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394"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SECURITIES AND EXCHANGE COMMISSION</w:t>
      </w:r>
    </w:p>
    <w:p>
      <w:pPr>
        <w:spacing w:after="0" w:line="10"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Washington, D.C. 20549</w:t>
      </w:r>
    </w:p>
    <w:p>
      <w:pPr>
        <w:spacing w:after="0" w:line="168" w:lineRule="exact"/>
        <w:rPr>
          <w:sz w:val="24"/>
          <w:szCs w:val="24"/>
          <w:color w:val="auto"/>
        </w:rPr>
      </w:pPr>
    </w:p>
    <w:p>
      <w:pPr>
        <w:jc w:val="center"/>
        <w:ind w:right="-840"/>
        <w:spacing w:after="0"/>
        <w:rPr>
          <w:sz w:val="20"/>
          <w:szCs w:val="20"/>
          <w:color w:val="auto"/>
        </w:rPr>
      </w:pPr>
      <w:r>
        <w:rPr>
          <w:rFonts w:ascii="Arial" w:cs="Arial" w:eastAsia="Arial" w:hAnsi="Arial"/>
          <w:sz w:val="25"/>
          <w:szCs w:val="25"/>
          <w:b w:val="1"/>
          <w:bCs w:val="1"/>
          <w:color w:val="auto"/>
        </w:rPr>
        <w:t>SCHEDULE 14A</w:t>
      </w:r>
    </w:p>
    <w:p>
      <w:pPr>
        <w:spacing w:after="0" w:line="201"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the Securities Exchange Act of 1934 (Amendment No.        )</w:t>
      </w:r>
    </w:p>
    <w:p>
      <w:pPr>
        <w:spacing w:after="0" w:line="84"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31"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8" w:lineRule="exact"/>
        <w:rPr>
          <w:rFonts w:ascii="MS PGothic" w:cs="MS PGothic" w:eastAsia="MS PGothic" w:hAnsi="MS PGothic"/>
          <w:sz w:val="18"/>
          <w:szCs w:val="18"/>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2" w:lineRule="exact"/>
        <w:rPr>
          <w:rFonts w:ascii="MS PGothic" w:cs="MS PGothic" w:eastAsia="MS PGothic" w:hAnsi="MS PGothic"/>
          <w:sz w:val="18"/>
          <w:szCs w:val="18"/>
          <w:color w:val="auto"/>
        </w:rPr>
      </w:pPr>
    </w:p>
    <w:p>
      <w:pPr>
        <w:ind w:left="6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76" w:lineRule="exact"/>
        <w:rPr>
          <w:rFonts w:ascii="MS PGothic" w:cs="MS PGothic" w:eastAsia="MS PGothic" w:hAnsi="MS PGothic"/>
          <w:sz w:val="18"/>
          <w:szCs w:val="18"/>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09"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SKYWORKS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62865</wp:posOffset>
            </wp:positionV>
            <wp:extent cx="5974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143" w:lineRule="exact"/>
        <w:rPr>
          <w:sz w:val="24"/>
          <w:szCs w:val="24"/>
          <w:color w:val="auto"/>
        </w:rPr>
      </w:pPr>
    </w:p>
    <w:p>
      <w:pPr>
        <w:ind w:left="3280"/>
        <w:spacing w:after="0"/>
        <w:rPr>
          <w:sz w:val="20"/>
          <w:szCs w:val="20"/>
          <w:color w:val="auto"/>
        </w:rPr>
      </w:pPr>
      <w:r>
        <w:rPr>
          <w:rFonts w:ascii="Arial" w:cs="Arial" w:eastAsia="Arial" w:hAnsi="Arial"/>
          <w:sz w:val="20"/>
          <w:szCs w:val="20"/>
          <w:color w:val="auto"/>
        </w:rPr>
        <w:t>(Name of Registrant as Specified In Its Charter)</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267970</wp:posOffset>
            </wp:positionV>
            <wp:extent cx="5974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3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1020" w:hanging="366"/>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1020" w:hanging="366"/>
        <w:spacing w:after="0"/>
        <w:tabs>
          <w:tab w:leader="none" w:pos="10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1020" w:hanging="366"/>
        <w:spacing w:after="0"/>
        <w:tabs>
          <w:tab w:leader="none" w:pos="10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3755390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003366"/>
        </w:rPr>
        <w:drawing>
          <wp:anchor simplePos="0" relativeHeight="251657728" behindDoc="1" locked="0" layoutInCell="0" allowOverlap="1">
            <wp:simplePos x="0" y="0"/>
            <wp:positionH relativeFrom="page">
              <wp:posOffset>208280</wp:posOffset>
            </wp:positionH>
            <wp:positionV relativeFrom="page">
              <wp:posOffset>88900</wp:posOffset>
            </wp:positionV>
            <wp:extent cx="680656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212090</wp:posOffset>
            </wp:positionV>
            <wp:extent cx="5906135" cy="7475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06135" cy="747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0075A8"/>
        </w:rPr>
        <w:t>March 24, 2023</w:t>
      </w:r>
    </w:p>
    <w:p>
      <w:pPr>
        <w:spacing w:after="0" w:line="315" w:lineRule="exact"/>
        <w:rPr>
          <w:sz w:val="20"/>
          <w:szCs w:val="20"/>
          <w:color w:val="auto"/>
        </w:rPr>
      </w:pPr>
    </w:p>
    <w:p>
      <w:pPr>
        <w:ind w:left="1580"/>
        <w:spacing w:after="0"/>
        <w:rPr>
          <w:sz w:val="20"/>
          <w:szCs w:val="20"/>
          <w:color w:val="auto"/>
        </w:rPr>
      </w:pPr>
      <w:r>
        <w:rPr>
          <w:rFonts w:ascii="Arial" w:cs="Arial" w:eastAsia="Arial" w:hAnsi="Arial"/>
          <w:sz w:val="22"/>
          <w:szCs w:val="22"/>
          <w:b w:val="1"/>
          <w:bCs w:val="1"/>
          <w:color w:val="0075A8"/>
        </w:rPr>
        <w:t>Dear Stockholder:</w:t>
      </w:r>
    </w:p>
    <w:p>
      <w:pPr>
        <w:spacing w:after="0" w:line="240"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I am pleased to invite you to attend the 2023 Annual Meeting of Stockholders (the “Annual Meeting”)</w:t>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of Skyworks Solutions, Inc., to be held at:</w:t>
      </w:r>
    </w:p>
    <w:p>
      <w:pPr>
        <w:spacing w:after="0" w:line="240"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520" w:type="dxa"/>
            <w:vAlign w:val="bottom"/>
          </w:tcPr>
          <w:p>
            <w:pPr>
              <w:spacing w:after="0"/>
              <w:rPr>
                <w:sz w:val="20"/>
                <w:szCs w:val="20"/>
                <w:color w:val="auto"/>
              </w:rPr>
            </w:pPr>
            <w:r>
              <w:rPr>
                <w:rFonts w:ascii="Arial" w:cs="Arial" w:eastAsia="Arial" w:hAnsi="Arial"/>
                <w:sz w:val="16"/>
                <w:szCs w:val="16"/>
                <w:color w:val="0075A8"/>
              </w:rPr>
              <w:t>Time:​</w:t>
            </w:r>
          </w:p>
        </w:tc>
        <w:tc>
          <w:tcPr>
            <w:tcW w:w="4880" w:type="dxa"/>
            <w:vAlign w:val="bottom"/>
          </w:tcPr>
          <w:p>
            <w:pPr>
              <w:ind w:left="120"/>
              <w:spacing w:after="0"/>
              <w:rPr>
                <w:sz w:val="20"/>
                <w:szCs w:val="20"/>
                <w:color w:val="auto"/>
              </w:rPr>
            </w:pPr>
            <w:r>
              <w:rPr>
                <w:rFonts w:ascii="Arial" w:cs="Arial" w:eastAsia="Arial" w:hAnsi="Arial"/>
                <w:sz w:val="16"/>
                <w:szCs w:val="16"/>
                <w:color w:val="0075A8"/>
              </w:rPr>
              <w:t>​​11:00 a.m. PDT</w:t>
            </w:r>
          </w:p>
        </w:tc>
        <w:tc>
          <w:tcPr>
            <w:tcW w:w="1260" w:type="dxa"/>
            <w:vAlign w:val="bottom"/>
          </w:tcPr>
          <w:p>
            <w:pPr>
              <w:ind w:left="1220"/>
              <w:spacing w:after="0"/>
              <w:rPr>
                <w:sz w:val="20"/>
                <w:szCs w:val="20"/>
                <w:color w:val="auto"/>
              </w:rPr>
            </w:pPr>
            <w:r>
              <w:rPr>
                <w:rFonts w:ascii="Arial" w:cs="Arial" w:eastAsia="Arial" w:hAnsi="Arial"/>
                <w:sz w:val="16"/>
                <w:szCs w:val="16"/>
                <w:color w:val="0075A8"/>
              </w:rPr>
              <w:t>​</w:t>
            </w:r>
          </w:p>
        </w:tc>
      </w:tr>
      <w:tr>
        <w:trPr>
          <w:trHeight w:val="147"/>
        </w:trPr>
        <w:tc>
          <w:tcPr>
            <w:tcW w:w="520" w:type="dxa"/>
            <w:vAlign w:val="bottom"/>
          </w:tcPr>
          <w:p>
            <w:pPr>
              <w:spacing w:after="0" w:line="147" w:lineRule="exact"/>
              <w:rPr>
                <w:sz w:val="20"/>
                <w:szCs w:val="20"/>
                <w:color w:val="auto"/>
              </w:rPr>
            </w:pPr>
            <w:r>
              <w:rPr>
                <w:rFonts w:ascii="Arial" w:cs="Arial" w:eastAsia="Arial" w:hAnsi="Arial"/>
                <w:sz w:val="16"/>
                <w:szCs w:val="16"/>
                <w:color w:val="0075A8"/>
              </w:rPr>
              <w:t>​</w:t>
            </w:r>
          </w:p>
        </w:tc>
        <w:tc>
          <w:tcPr>
            <w:tcW w:w="4880" w:type="dxa"/>
            <w:vAlign w:val="bottom"/>
          </w:tcPr>
          <w:p>
            <w:pPr>
              <w:ind w:left="120"/>
              <w:spacing w:after="0" w:line="147" w:lineRule="exact"/>
              <w:rPr>
                <w:sz w:val="20"/>
                <w:szCs w:val="20"/>
                <w:color w:val="auto"/>
              </w:rPr>
            </w:pPr>
            <w:r>
              <w:rPr>
                <w:rFonts w:ascii="Arial" w:cs="Arial" w:eastAsia="Arial" w:hAnsi="Arial"/>
                <w:sz w:val="16"/>
                <w:szCs w:val="16"/>
                <w:color w:val="0075A8"/>
              </w:rPr>
              <w:t>​​</w:t>
            </w:r>
          </w:p>
        </w:tc>
        <w:tc>
          <w:tcPr>
            <w:tcW w:w="1260" w:type="dxa"/>
            <w:vAlign w:val="bottom"/>
          </w:tcPr>
          <w:p>
            <w:pPr>
              <w:ind w:left="1220"/>
              <w:spacing w:after="0" w:line="147" w:lineRule="exact"/>
              <w:rPr>
                <w:sz w:val="20"/>
                <w:szCs w:val="20"/>
                <w:color w:val="auto"/>
              </w:rPr>
            </w:pPr>
            <w:r>
              <w:rPr>
                <w:rFonts w:ascii="Arial" w:cs="Arial" w:eastAsia="Arial" w:hAnsi="Arial"/>
                <w:sz w:val="16"/>
                <w:szCs w:val="16"/>
                <w:color w:val="0075A8"/>
              </w:rPr>
              <w:t>​</w:t>
            </w:r>
          </w:p>
        </w:tc>
      </w:tr>
      <w:tr>
        <w:trPr>
          <w:trHeight w:val="96"/>
        </w:trPr>
        <w:tc>
          <w:tcPr>
            <w:tcW w:w="520" w:type="dxa"/>
            <w:vAlign w:val="bottom"/>
          </w:tcPr>
          <w:p>
            <w:pPr>
              <w:spacing w:after="0" w:line="96" w:lineRule="exact"/>
              <w:rPr>
                <w:sz w:val="20"/>
                <w:szCs w:val="20"/>
                <w:color w:val="auto"/>
              </w:rPr>
            </w:pPr>
            <w:r>
              <w:rPr>
                <w:rFonts w:ascii="Arial" w:cs="Arial" w:eastAsia="Arial" w:hAnsi="Arial"/>
                <w:sz w:val="11"/>
                <w:szCs w:val="11"/>
                <w:color w:val="0075A8"/>
              </w:rPr>
              <w:t>Date:</w:t>
            </w:r>
          </w:p>
        </w:tc>
        <w:tc>
          <w:tcPr>
            <w:tcW w:w="4880" w:type="dxa"/>
            <w:vAlign w:val="bottom"/>
          </w:tcPr>
          <w:p>
            <w:pPr>
              <w:ind w:left="180"/>
              <w:spacing w:after="0" w:line="96" w:lineRule="exact"/>
              <w:rPr>
                <w:sz w:val="20"/>
                <w:szCs w:val="20"/>
                <w:color w:val="auto"/>
              </w:rPr>
            </w:pPr>
            <w:r>
              <w:rPr>
                <w:rFonts w:ascii="Arial" w:cs="Arial" w:eastAsia="Arial" w:hAnsi="Arial"/>
                <w:sz w:val="11"/>
                <w:szCs w:val="11"/>
                <w:color w:val="0075A8"/>
              </w:rPr>
              <w:t>Wednesday, May 10, 2023</w:t>
            </w:r>
          </w:p>
        </w:tc>
        <w:tc>
          <w:tcPr>
            <w:tcW w:w="1260" w:type="dxa"/>
            <w:vAlign w:val="bottom"/>
          </w:tcPr>
          <w:p>
            <w:pPr>
              <w:spacing w:after="0"/>
              <w:rPr>
                <w:sz w:val="8"/>
                <w:szCs w:val="8"/>
                <w:color w:val="auto"/>
              </w:rPr>
            </w:pPr>
          </w:p>
        </w:tc>
      </w:tr>
      <w:tr>
        <w:trPr>
          <w:trHeight w:val="147"/>
        </w:trPr>
        <w:tc>
          <w:tcPr>
            <w:tcW w:w="520" w:type="dxa"/>
            <w:vAlign w:val="bottom"/>
          </w:tcPr>
          <w:p>
            <w:pPr>
              <w:spacing w:after="0" w:line="147" w:lineRule="exact"/>
              <w:rPr>
                <w:sz w:val="20"/>
                <w:szCs w:val="20"/>
                <w:color w:val="auto"/>
              </w:rPr>
            </w:pPr>
            <w:r>
              <w:rPr>
                <w:rFonts w:ascii="Arial" w:cs="Arial" w:eastAsia="Arial" w:hAnsi="Arial"/>
                <w:sz w:val="16"/>
                <w:szCs w:val="16"/>
                <w:color w:val="0075A8"/>
              </w:rPr>
              <w:t>​</w:t>
            </w:r>
          </w:p>
        </w:tc>
        <w:tc>
          <w:tcPr>
            <w:tcW w:w="4880" w:type="dxa"/>
            <w:vAlign w:val="bottom"/>
          </w:tcPr>
          <w:p>
            <w:pPr>
              <w:ind w:left="120"/>
              <w:spacing w:after="0" w:line="147" w:lineRule="exact"/>
              <w:rPr>
                <w:sz w:val="20"/>
                <w:szCs w:val="20"/>
                <w:color w:val="auto"/>
              </w:rPr>
            </w:pPr>
            <w:r>
              <w:rPr>
                <w:rFonts w:ascii="Arial" w:cs="Arial" w:eastAsia="Arial" w:hAnsi="Arial"/>
                <w:sz w:val="16"/>
                <w:szCs w:val="16"/>
                <w:color w:val="0075A8"/>
              </w:rPr>
              <w:t>​​</w:t>
            </w:r>
          </w:p>
        </w:tc>
        <w:tc>
          <w:tcPr>
            <w:tcW w:w="1260" w:type="dxa"/>
            <w:vAlign w:val="bottom"/>
          </w:tcPr>
          <w:p>
            <w:pPr>
              <w:ind w:left="1220"/>
              <w:spacing w:after="0" w:line="147" w:lineRule="exact"/>
              <w:rPr>
                <w:sz w:val="20"/>
                <w:szCs w:val="20"/>
                <w:color w:val="auto"/>
              </w:rPr>
            </w:pPr>
            <w:r>
              <w:rPr>
                <w:rFonts w:ascii="Arial" w:cs="Arial" w:eastAsia="Arial" w:hAnsi="Arial"/>
                <w:sz w:val="16"/>
                <w:szCs w:val="16"/>
                <w:color w:val="0075A8"/>
              </w:rPr>
              <w:t>​</w:t>
            </w:r>
          </w:p>
        </w:tc>
      </w:tr>
      <w:tr>
        <w:trPr>
          <w:trHeight w:val="195"/>
        </w:trPr>
        <w:tc>
          <w:tcPr>
            <w:tcW w:w="520" w:type="dxa"/>
            <w:vAlign w:val="bottom"/>
          </w:tcPr>
          <w:p>
            <w:pPr>
              <w:spacing w:after="0"/>
              <w:rPr>
                <w:sz w:val="20"/>
                <w:szCs w:val="20"/>
                <w:color w:val="auto"/>
              </w:rPr>
            </w:pPr>
            <w:r>
              <w:rPr>
                <w:rFonts w:ascii="Arial" w:cs="Arial" w:eastAsia="Arial" w:hAnsi="Arial"/>
                <w:sz w:val="16"/>
                <w:szCs w:val="16"/>
                <w:color w:val="0075A8"/>
              </w:rPr>
              <w:t>Web:</w:t>
            </w:r>
          </w:p>
        </w:tc>
        <w:tc>
          <w:tcPr>
            <w:tcW w:w="4880" w:type="dxa"/>
            <w:vAlign w:val="bottom"/>
          </w:tcPr>
          <w:p>
            <w:pPr>
              <w:ind w:left="180"/>
              <w:spacing w:after="0"/>
              <w:rPr>
                <w:sz w:val="20"/>
                <w:szCs w:val="20"/>
                <w:color w:val="auto"/>
              </w:rPr>
            </w:pPr>
            <w:r>
              <w:rPr>
                <w:rFonts w:ascii="Arial" w:cs="Arial" w:eastAsia="Arial" w:hAnsi="Arial"/>
                <w:sz w:val="16"/>
                <w:szCs w:val="16"/>
                <w:color w:val="0075A8"/>
              </w:rPr>
              <w:t>www.virtualshareholdermeeting.com/SWKS2023</w:t>
            </w:r>
          </w:p>
        </w:tc>
        <w:tc>
          <w:tcPr>
            <w:tcW w:w="1260" w:type="dxa"/>
            <w:vAlign w:val="bottom"/>
          </w:tcPr>
          <w:p>
            <w:pPr>
              <w:spacing w:after="0"/>
              <w:rPr>
                <w:sz w:val="16"/>
                <w:szCs w:val="16"/>
                <w:color w:val="auto"/>
              </w:rPr>
            </w:pPr>
          </w:p>
        </w:tc>
      </w:tr>
    </w:tbl>
    <w:p>
      <w:pPr>
        <w:spacing w:after="0" w:line="266" w:lineRule="exact"/>
        <w:rPr>
          <w:sz w:val="20"/>
          <w:szCs w:val="20"/>
          <w:color w:val="auto"/>
        </w:rPr>
      </w:pPr>
    </w:p>
    <w:p>
      <w:pPr>
        <w:jc w:val="both"/>
        <w:ind w:left="1580" w:right="1059"/>
        <w:spacing w:after="0" w:line="251" w:lineRule="auto"/>
        <w:rPr>
          <w:sz w:val="20"/>
          <w:szCs w:val="20"/>
          <w:color w:val="auto"/>
        </w:rPr>
      </w:pPr>
      <w:r>
        <w:rPr>
          <w:rFonts w:ascii="Arial" w:cs="Arial" w:eastAsia="Arial" w:hAnsi="Arial"/>
          <w:sz w:val="16"/>
          <w:szCs w:val="16"/>
          <w:color w:val="auto"/>
        </w:rPr>
        <w:t>You will be able to attend and participate in the Annual Meeting online at the web address above, where you will be able to listen to the meeting live, submit questions, and vote. We look forward to your participation online or by proxy. The attached Notice of 2023 Annual Meeting of Stockholders and Proxy Statement describe the matters that we expect to be acted upon at the Annual Meeting.</w:t>
      </w:r>
    </w:p>
    <w:p>
      <w:pPr>
        <w:spacing w:after="0" w:line="202" w:lineRule="exact"/>
        <w:rPr>
          <w:sz w:val="20"/>
          <w:szCs w:val="20"/>
          <w:color w:val="auto"/>
        </w:rPr>
      </w:pPr>
    </w:p>
    <w:p>
      <w:pPr>
        <w:jc w:val="both"/>
        <w:ind w:left="1580" w:right="1059"/>
        <w:spacing w:after="0" w:line="248" w:lineRule="auto"/>
        <w:rPr>
          <w:sz w:val="20"/>
          <w:szCs w:val="20"/>
          <w:color w:val="auto"/>
        </w:rPr>
      </w:pPr>
      <w:r>
        <w:rPr>
          <w:rFonts w:ascii="Arial" w:cs="Arial" w:eastAsia="Arial" w:hAnsi="Arial"/>
          <w:sz w:val="16"/>
          <w:szCs w:val="16"/>
          <w:color w:val="auto"/>
        </w:rPr>
        <w:t>Whether or not you plan to attend the Annual Meeting online, and regardless of how many shares you own, it is important that your shares be represented at the Annual Meeting. Accordingly, if you are a stockholder of record, we urge you to complete the proxy and return it to us promptly in the postage prepaid envelope provided, or to complete and submit your proxy by telephone or via the internet in accordance with the instructions on the proxy card. If your shares are held in “street name,” that is, held for your account by a broker or other nominee, you will receive instructions from the holder of record that you must follow for your shares to be voted. If you do attend the Annual Meeting online and wish to vote at that time, you may revoke a previously submitted proxy by voting at the meeting.</w:t>
      </w:r>
    </w:p>
    <w:p>
      <w:pPr>
        <w:spacing w:after="0" w:line="207"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Sincerely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0075A8"/>
        </w:rPr>
        <w:t>Liam K. Griffin</w:t>
      </w:r>
    </w:p>
    <w:p>
      <w:pPr>
        <w:spacing w:after="0" w:line="25" w:lineRule="exact"/>
        <w:rPr>
          <w:sz w:val="20"/>
          <w:szCs w:val="20"/>
          <w:color w:val="auto"/>
        </w:rPr>
      </w:pPr>
    </w:p>
    <w:p>
      <w:pPr>
        <w:ind w:left="1580"/>
        <w:spacing w:after="0"/>
        <w:rPr>
          <w:sz w:val="20"/>
          <w:szCs w:val="20"/>
          <w:color w:val="auto"/>
        </w:rPr>
      </w:pPr>
      <w:r>
        <w:rPr>
          <w:rFonts w:ascii="Arial" w:cs="Arial" w:eastAsia="Arial" w:hAnsi="Arial"/>
          <w:sz w:val="16"/>
          <w:szCs w:val="16"/>
          <w:i w:val="1"/>
          <w:iCs w:val="1"/>
          <w:color w:val="auto"/>
        </w:rPr>
        <w:t>Chairman, Chief Executive Officer and President</w:t>
      </w:r>
    </w:p>
    <w:p>
      <w:pPr>
        <w:sectPr>
          <w:pgSz w:w="11900" w:h="16838" w:orient="portrait"/>
          <w:cols w:equalWidth="0" w:num="1">
            <w:col w:w="9979"/>
          </w:cols>
          <w:pgMar w:left="480" w:top="198"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003366"/>
        </w:rPr>
        <w:drawing>
          <wp:anchor simplePos="0" relativeHeight="251657728" behindDoc="1" locked="0" layoutInCell="0" allowOverlap="1">
            <wp:simplePos x="0" y="0"/>
            <wp:positionH relativeFrom="page">
              <wp:posOffset>208280</wp:posOffset>
            </wp:positionH>
            <wp:positionV relativeFrom="page">
              <wp:posOffset>88900</wp:posOffset>
            </wp:positionV>
            <wp:extent cx="680656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212090</wp:posOffset>
            </wp:positionV>
            <wp:extent cx="5906135" cy="7475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06135" cy="747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580"/>
        <w:spacing w:after="0"/>
        <w:rPr>
          <w:sz w:val="20"/>
          <w:szCs w:val="20"/>
          <w:color w:val="auto"/>
        </w:rPr>
      </w:pPr>
      <w:r>
        <w:rPr>
          <w:rFonts w:ascii="Arial" w:cs="Arial" w:eastAsia="Arial" w:hAnsi="Arial"/>
          <w:sz w:val="22"/>
          <w:szCs w:val="22"/>
          <w:b w:val="1"/>
          <w:bCs w:val="1"/>
          <w:i w:val="1"/>
          <w:iCs w:val="1"/>
          <w:color w:val="auto"/>
        </w:rPr>
        <w:t>Letter from Lead Independent Director</w:t>
      </w:r>
    </w:p>
    <w:p>
      <w:pPr>
        <w:spacing w:after="0" w:line="206" w:lineRule="exact"/>
        <w:rPr>
          <w:sz w:val="20"/>
          <w:szCs w:val="20"/>
          <w:color w:val="auto"/>
        </w:rPr>
      </w:pPr>
    </w:p>
    <w:p>
      <w:pPr>
        <w:ind w:left="1580"/>
        <w:spacing w:after="0"/>
        <w:rPr>
          <w:sz w:val="20"/>
          <w:szCs w:val="20"/>
          <w:color w:val="auto"/>
        </w:rPr>
      </w:pPr>
      <w:r>
        <w:rPr>
          <w:rFonts w:ascii="Arial" w:cs="Arial" w:eastAsia="Arial" w:hAnsi="Arial"/>
          <w:sz w:val="22"/>
          <w:szCs w:val="22"/>
          <w:b w:val="1"/>
          <w:bCs w:val="1"/>
          <w:color w:val="0075A8"/>
        </w:rPr>
        <w:t>Dear Stockholder:</w:t>
      </w:r>
    </w:p>
    <w:p>
      <w:pPr>
        <w:spacing w:after="0" w:line="92" w:lineRule="exact"/>
        <w:rPr>
          <w:sz w:val="20"/>
          <w:szCs w:val="20"/>
          <w:color w:val="auto"/>
        </w:rPr>
      </w:pPr>
    </w:p>
    <w:p>
      <w:pPr>
        <w:jc w:val="both"/>
        <w:ind w:left="1580" w:right="1059"/>
        <w:spacing w:after="0" w:line="236" w:lineRule="auto"/>
        <w:rPr>
          <w:sz w:val="20"/>
          <w:szCs w:val="20"/>
          <w:color w:val="auto"/>
        </w:rPr>
      </w:pPr>
      <w:r>
        <w:rPr>
          <w:rFonts w:ascii="Arial" w:cs="Arial" w:eastAsia="Arial" w:hAnsi="Arial"/>
          <w:sz w:val="16"/>
          <w:szCs w:val="16"/>
          <w:color w:val="auto"/>
        </w:rPr>
        <w:t>On behalf of the entire Board of Directors, I thank you for your continued support of Skyworks. We are proud of the Company’s achievements in fiscal year 2022, including generating record revenue of $5.5 billion, up 7% year-over-year. Despite challenging market dynamics, the Company continued making significant progress on its diversification and growth strategies with strong operational execution, positioning it to make further investments in next-generation technologies to capture future market opportunities.</w:t>
      </w:r>
    </w:p>
    <w:p>
      <w:pPr>
        <w:spacing w:after="0" w:line="75" w:lineRule="exact"/>
        <w:rPr>
          <w:sz w:val="20"/>
          <w:szCs w:val="20"/>
          <w:color w:val="auto"/>
        </w:rPr>
      </w:pPr>
    </w:p>
    <w:p>
      <w:pPr>
        <w:jc w:val="both"/>
        <w:ind w:left="1580" w:right="1059"/>
        <w:spacing w:after="0" w:line="244" w:lineRule="auto"/>
        <w:rPr>
          <w:sz w:val="20"/>
          <w:szCs w:val="20"/>
          <w:color w:val="auto"/>
        </w:rPr>
      </w:pPr>
      <w:r>
        <w:rPr>
          <w:rFonts w:ascii="Arial" w:cs="Arial" w:eastAsia="Arial" w:hAnsi="Arial"/>
          <w:sz w:val="16"/>
          <w:szCs w:val="16"/>
          <w:color w:val="auto"/>
        </w:rPr>
        <w:t>The Board remains focused on providing robust oversight of the Company’s strategy, risk and corporate culture. As we head toward our 2023 Annual Meeting, I would like to share some of the important actions we have taken in the past year:</w:t>
      </w:r>
    </w:p>
    <w:p>
      <w:pPr>
        <w:spacing w:after="0" w:line="53" w:lineRule="exact"/>
        <w:rPr>
          <w:sz w:val="20"/>
          <w:szCs w:val="20"/>
          <w:color w:val="auto"/>
        </w:rPr>
      </w:pPr>
    </w:p>
    <w:p>
      <w:pPr>
        <w:jc w:val="both"/>
        <w:ind w:left="1940" w:right="1059" w:hanging="364"/>
        <w:spacing w:after="0" w:line="241" w:lineRule="auto"/>
        <w:tabs>
          <w:tab w:leader="none" w:pos="19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0075A8"/>
        </w:rPr>
        <w:t xml:space="preserve">Thoughtful Board Refreshment: </w:t>
      </w:r>
      <w:r>
        <w:rPr>
          <w:rFonts w:ascii="Arial" w:cs="Arial" w:eastAsia="Arial" w:hAnsi="Arial"/>
          <w:sz w:val="16"/>
          <w:szCs w:val="16"/>
          <w:color w:val="000000"/>
        </w:rPr>
        <w:t>As part of our commitment to strong corporate governance,</w:t>
      </w:r>
      <w:r>
        <w:rPr>
          <w:rFonts w:ascii="Arial" w:cs="Arial" w:eastAsia="Arial" w:hAnsi="Arial"/>
          <w:sz w:val="16"/>
          <w:szCs w:val="16"/>
          <w:b w:val="1"/>
          <w:bCs w:val="1"/>
          <w:color w:val="0075A8"/>
        </w:rPr>
        <w:t xml:space="preserve"> </w:t>
      </w:r>
      <w:r>
        <w:rPr>
          <w:rFonts w:ascii="Arial" w:cs="Arial" w:eastAsia="Arial" w:hAnsi="Arial"/>
          <w:sz w:val="16"/>
          <w:szCs w:val="16"/>
          <w:color w:val="000000"/>
        </w:rPr>
        <w:t>we maintain a systematic and ongoing Board refreshment and evaluation process. Since 2022, we have welcomed three new directors to the Board, including our most recent appointment of Maryann Turcke to the Board in February 2023. Maryann brings substantial experience in operations, management and finance, and we are excited to leverage her skills and perspective. Our Board continues to include a diverse group of independent directors with wide-ranging experiences and backgrounds.</w:t>
      </w:r>
    </w:p>
    <w:p>
      <w:pPr>
        <w:spacing w:after="0" w:line="56" w:lineRule="exact"/>
        <w:rPr>
          <w:rFonts w:ascii="Arial" w:cs="Arial" w:eastAsia="Arial" w:hAnsi="Arial"/>
          <w:sz w:val="16"/>
          <w:szCs w:val="16"/>
          <w:color w:val="auto"/>
        </w:rPr>
      </w:pPr>
    </w:p>
    <w:p>
      <w:pPr>
        <w:jc w:val="both"/>
        <w:ind w:left="1940" w:right="1059" w:hanging="364"/>
        <w:spacing w:after="0" w:line="239" w:lineRule="auto"/>
        <w:tabs>
          <w:tab w:leader="none" w:pos="19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0075A8"/>
        </w:rPr>
        <w:t xml:space="preserve">Corporate Responsibility and Sustainability: </w:t>
      </w:r>
      <w:r>
        <w:rPr>
          <w:rFonts w:ascii="Arial" w:cs="Arial" w:eastAsia="Arial" w:hAnsi="Arial"/>
          <w:sz w:val="16"/>
          <w:szCs w:val="16"/>
          <w:color w:val="000000"/>
        </w:rPr>
        <w:t>The Board, and in particular our Nominating and</w:t>
      </w:r>
      <w:r>
        <w:rPr>
          <w:rFonts w:ascii="Arial" w:cs="Arial" w:eastAsia="Arial" w:hAnsi="Arial"/>
          <w:sz w:val="16"/>
          <w:szCs w:val="16"/>
          <w:b w:val="1"/>
          <w:bCs w:val="1"/>
          <w:color w:val="0075A8"/>
        </w:rPr>
        <w:t xml:space="preserve"> </w:t>
      </w:r>
      <w:r>
        <w:rPr>
          <w:rFonts w:ascii="Arial" w:cs="Arial" w:eastAsia="Arial" w:hAnsi="Arial"/>
          <w:sz w:val="16"/>
          <w:szCs w:val="16"/>
          <w:color w:val="000000"/>
        </w:rPr>
        <w:t>Corporate Governance Committee, oversees corporate responsibility and sustainability. As part of our commitment to ESG, we provide disclosure of important information and initiatives. Last year, we published our 2021 Sustainability Report, where we provided key updates on many topics, including human capital management, workforce diversity, environmental responsibility, cybersecurity and supply chain management. In response to stockholder feedback, we were pleased to share — for the first time — our goals on a variety of environmental metrics, including a 2030 carbon dioxide equivalent (CO2e) emissions reduction target. We also enhanced our disclosure in many areas, including aligning with the Task Force on Climate-related Financial Disclosures framework.</w:t>
      </w:r>
    </w:p>
    <w:p>
      <w:pPr>
        <w:spacing w:after="0" w:line="57" w:lineRule="exact"/>
        <w:rPr>
          <w:rFonts w:ascii="Arial" w:cs="Arial" w:eastAsia="Arial" w:hAnsi="Arial"/>
          <w:sz w:val="16"/>
          <w:szCs w:val="16"/>
          <w:color w:val="auto"/>
        </w:rPr>
      </w:pPr>
    </w:p>
    <w:p>
      <w:pPr>
        <w:jc w:val="both"/>
        <w:ind w:left="1940" w:right="1059" w:hanging="364"/>
        <w:spacing w:after="0"/>
        <w:tabs>
          <w:tab w:leader="none" w:pos="19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0075A8"/>
        </w:rPr>
        <w:t xml:space="preserve">Regular Engagement with Stockholders: </w:t>
      </w:r>
      <w:r>
        <w:rPr>
          <w:rFonts w:ascii="Arial" w:cs="Arial" w:eastAsia="Arial" w:hAnsi="Arial"/>
          <w:sz w:val="16"/>
          <w:szCs w:val="16"/>
          <w:color w:val="000000"/>
        </w:rPr>
        <w:t>Stockholder engagement remains a crucial element</w:t>
      </w:r>
      <w:r>
        <w:rPr>
          <w:rFonts w:ascii="Arial" w:cs="Arial" w:eastAsia="Arial" w:hAnsi="Arial"/>
          <w:sz w:val="16"/>
          <w:szCs w:val="16"/>
          <w:b w:val="1"/>
          <w:bCs w:val="1"/>
          <w:color w:val="0075A8"/>
        </w:rPr>
        <w:t xml:space="preserve"> </w:t>
      </w:r>
      <w:r>
        <w:rPr>
          <w:rFonts w:ascii="Arial" w:cs="Arial" w:eastAsia="Arial" w:hAnsi="Arial"/>
          <w:sz w:val="16"/>
          <w:szCs w:val="16"/>
          <w:color w:val="000000"/>
        </w:rPr>
        <w:t>of sound governance practices. In 2022, we continued a high level of engagement with stockholders. The Company proactively reached out to stockholders representing approximately 41% of our outstanding stock and spoke with every such stockholder that wanted to engage. Dialogue with stockholders throughout the year provides the Board important feedback to better understand our stockholders’ priorities on a wide range of topics. I have appreciated the opportunity to speak directly with some of our stockholders and look forward to continued engagement.</w:t>
      </w:r>
    </w:p>
    <w:p>
      <w:pPr>
        <w:spacing w:after="0" w:line="258" w:lineRule="exact"/>
        <w:rPr>
          <w:sz w:val="20"/>
          <w:szCs w:val="20"/>
          <w:color w:val="auto"/>
        </w:rPr>
      </w:pPr>
    </w:p>
    <w:p>
      <w:pPr>
        <w:ind w:left="1580" w:right="1059"/>
        <w:spacing w:after="0" w:line="242" w:lineRule="auto"/>
        <w:rPr>
          <w:sz w:val="20"/>
          <w:szCs w:val="20"/>
          <w:color w:val="auto"/>
        </w:rPr>
      </w:pPr>
      <w:r>
        <w:rPr>
          <w:rFonts w:ascii="Arial" w:cs="Arial" w:eastAsia="Arial" w:hAnsi="Arial"/>
          <w:sz w:val="16"/>
          <w:szCs w:val="16"/>
          <w:color w:val="auto"/>
        </w:rPr>
        <w:t>Thank you for your investment in Skyworks and continued confidence in the Board. We look forward to receiving your input at this year’s Annual Meeting and in the year to come.</w:t>
      </w:r>
    </w:p>
    <w:p>
      <w:pPr>
        <w:spacing w:after="0" w:line="74"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With appreciation,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0075A8"/>
        </w:rPr>
        <w:t>Christine King</w:t>
      </w:r>
    </w:p>
    <w:p>
      <w:pPr>
        <w:spacing w:after="0" w:line="17" w:lineRule="exact"/>
        <w:rPr>
          <w:sz w:val="20"/>
          <w:szCs w:val="20"/>
          <w:color w:val="auto"/>
        </w:rPr>
      </w:pPr>
    </w:p>
    <w:p>
      <w:pPr>
        <w:ind w:left="1580"/>
        <w:spacing w:after="0"/>
        <w:rPr>
          <w:sz w:val="20"/>
          <w:szCs w:val="20"/>
          <w:color w:val="auto"/>
        </w:rPr>
      </w:pPr>
      <w:r>
        <w:rPr>
          <w:rFonts w:ascii="Arial" w:cs="Arial" w:eastAsia="Arial" w:hAnsi="Arial"/>
          <w:sz w:val="16"/>
          <w:szCs w:val="16"/>
          <w:i w:val="1"/>
          <w:iCs w:val="1"/>
          <w:color w:val="auto"/>
        </w:rPr>
        <w:t>Lead Independent Director</w:t>
      </w:r>
    </w:p>
    <w:p>
      <w:pPr>
        <w:ind w:left="1580"/>
        <w:spacing w:after="0" w:line="228" w:lineRule="auto"/>
        <w:rPr>
          <w:sz w:val="20"/>
          <w:szCs w:val="20"/>
          <w:color w:val="auto"/>
        </w:rPr>
      </w:pPr>
      <w:r>
        <w:rPr>
          <w:rFonts w:ascii="Arial" w:cs="Arial" w:eastAsia="Arial" w:hAnsi="Arial"/>
          <w:sz w:val="16"/>
          <w:szCs w:val="16"/>
          <w:i w:val="1"/>
          <w:iCs w:val="1"/>
          <w:color w:val="auto"/>
        </w:rPr>
        <w:t>Chairman, Compensation Committee</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16"/>
          <w:szCs w:val="16"/>
          <w:i w:val="1"/>
          <w:iCs w:val="1"/>
          <w:color w:val="auto"/>
        </w:rPr>
        <w:t>Member, Audit Committee</w:t>
      </w:r>
    </w:p>
    <w:p>
      <w:pPr>
        <w:sectPr>
          <w:pgSz w:w="11900" w:h="16838" w:orient="portrait"/>
          <w:cols w:equalWidth="0" w:num="1">
            <w:col w:w="9979"/>
          </w:cols>
          <w:pgMar w:left="480" w:top="198"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186055</wp:posOffset>
            </wp:positionV>
            <wp:extent cx="1568450" cy="522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845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380"/>
        <w:spacing w:after="0"/>
        <w:rPr>
          <w:sz w:val="20"/>
          <w:szCs w:val="20"/>
          <w:color w:val="auto"/>
        </w:rPr>
      </w:pPr>
      <w:r>
        <w:rPr>
          <w:rFonts w:ascii="Arial" w:cs="Arial" w:eastAsia="Arial" w:hAnsi="Arial"/>
          <w:sz w:val="29"/>
          <w:szCs w:val="29"/>
          <w:b w:val="1"/>
          <w:bCs w:val="1"/>
          <w:color w:val="auto"/>
        </w:rPr>
        <w:t>NOTICE OF 2023 ANNUAL MEETING OF STOCKHOLDERS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1740" w:type="dxa"/>
            <w:vAlign w:val="bottom"/>
          </w:tcPr>
          <w:p>
            <w:pPr>
              <w:spacing w:after="0"/>
              <w:rPr>
                <w:sz w:val="20"/>
                <w:szCs w:val="20"/>
                <w:color w:val="auto"/>
              </w:rPr>
            </w:pPr>
          </w:p>
        </w:tc>
        <w:tc>
          <w:tcPr>
            <w:tcW w:w="500" w:type="dxa"/>
            <w:vAlign w:val="bottom"/>
          </w:tcPr>
          <w:p>
            <w:pPr>
              <w:ind w:left="220"/>
              <w:spacing w:after="0"/>
              <w:rPr>
                <w:sz w:val="20"/>
                <w:szCs w:val="20"/>
                <w:color w:val="auto"/>
              </w:rPr>
            </w:pPr>
            <w:r>
              <w:rPr>
                <w:rFonts w:ascii="Arial" w:cs="Arial" w:eastAsia="Arial" w:hAnsi="Arial"/>
                <w:sz w:val="20"/>
                <w:szCs w:val="20"/>
                <w:color w:val="auto"/>
              </w:rPr>
              <w:t>​ ​</w:t>
            </w:r>
          </w:p>
        </w:tc>
        <w:tc>
          <w:tcPr>
            <w:tcW w:w="454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20"/>
                <w:szCs w:val="20"/>
                <w:color w:val="auto"/>
              </w:rPr>
              <w:t>​ ​</w:t>
            </w:r>
          </w:p>
        </w:tc>
        <w:tc>
          <w:tcPr>
            <w:tcW w:w="1760" w:type="dxa"/>
            <w:vAlign w:val="bottom"/>
          </w:tcPr>
          <w:p>
            <w:pPr>
              <w:spacing w:after="0"/>
              <w:rPr>
                <w:sz w:val="20"/>
                <w:szCs w:val="20"/>
                <w:color w:val="auto"/>
              </w:rPr>
            </w:pPr>
          </w:p>
        </w:tc>
        <w:tc>
          <w:tcPr>
            <w:tcW w:w="240" w:type="dxa"/>
            <w:vAlign w:val="bottom"/>
          </w:tcPr>
          <w:p>
            <w:pPr>
              <w:ind w:left="180"/>
              <w:spacing w:after="0"/>
              <w:rPr>
                <w:sz w:val="20"/>
                <w:szCs w:val="20"/>
                <w:color w:val="auto"/>
              </w:rPr>
            </w:pPr>
            <w:r>
              <w:rPr>
                <w:rFonts w:ascii="Arial" w:cs="Arial" w:eastAsia="Arial" w:hAnsi="Arial"/>
                <w:sz w:val="20"/>
                <w:szCs w:val="20"/>
                <w:color w:val="auto"/>
              </w:rPr>
              <w:t>​</w:t>
            </w:r>
          </w:p>
        </w:tc>
      </w:tr>
      <w:tr>
        <w:trPr>
          <w:trHeight w:val="843"/>
        </w:trPr>
        <w:tc>
          <w:tcPr>
            <w:tcW w:w="200" w:type="dxa"/>
            <w:vAlign w:val="bottom"/>
          </w:tcPr>
          <w:p>
            <w:pPr>
              <w:spacing w:after="0"/>
              <w:rPr>
                <w:sz w:val="20"/>
                <w:szCs w:val="20"/>
                <w:color w:val="auto"/>
              </w:rPr>
            </w:pPr>
            <w:r>
              <w:rPr>
                <w:rFonts w:ascii="Arial" w:cs="Arial" w:eastAsia="Arial" w:hAnsi="Arial"/>
                <w:sz w:val="20"/>
                <w:szCs w:val="20"/>
                <w:b w:val="1"/>
                <w:bCs w:val="1"/>
                <w:color w:val="auto"/>
              </w:rPr>
              <w:t>​</w:t>
            </w:r>
          </w:p>
        </w:tc>
        <w:tc>
          <w:tcPr>
            <w:tcW w:w="1740" w:type="dxa"/>
            <w:vAlign w:val="bottom"/>
          </w:tcPr>
          <w:p>
            <w:pPr>
              <w:jc w:val="center"/>
              <w:spacing w:after="0"/>
              <w:rPr>
                <w:sz w:val="20"/>
                <w:szCs w:val="20"/>
                <w:color w:val="auto"/>
              </w:rPr>
            </w:pPr>
            <w:r>
              <w:rPr>
                <w:rFonts w:ascii="Arial" w:cs="Arial" w:eastAsia="Arial" w:hAnsi="Arial"/>
                <w:sz w:val="20"/>
                <w:szCs w:val="20"/>
                <w:b w:val="1"/>
                <w:bCs w:val="1"/>
                <w:color w:val="auto"/>
                <w:w w:val="97"/>
              </w:rPr>
              <w:t>Date and Time</w:t>
            </w:r>
          </w:p>
        </w:tc>
        <w:tc>
          <w:tcPr>
            <w:tcW w:w="500" w:type="dxa"/>
            <w:vAlign w:val="bottom"/>
          </w:tcPr>
          <w:p>
            <w:pPr>
              <w:ind w:left="220"/>
              <w:spacing w:after="0"/>
              <w:rPr>
                <w:sz w:val="20"/>
                <w:szCs w:val="20"/>
                <w:color w:val="auto"/>
              </w:rPr>
            </w:pPr>
            <w:r>
              <w:rPr>
                <w:rFonts w:ascii="Arial" w:cs="Arial" w:eastAsia="Arial" w:hAnsi="Arial"/>
                <w:sz w:val="20"/>
                <w:szCs w:val="20"/>
                <w:b w:val="1"/>
                <w:bCs w:val="1"/>
                <w:color w:val="auto"/>
              </w:rPr>
              <w:t>​ ​</w:t>
            </w:r>
          </w:p>
        </w:tc>
        <w:tc>
          <w:tcPr>
            <w:tcW w:w="4540" w:type="dxa"/>
            <w:vAlign w:val="bottom"/>
          </w:tcPr>
          <w:p>
            <w:pPr>
              <w:jc w:val="center"/>
              <w:spacing w:after="0"/>
              <w:rPr>
                <w:sz w:val="20"/>
                <w:szCs w:val="20"/>
                <w:color w:val="auto"/>
              </w:rPr>
            </w:pPr>
            <w:r>
              <w:rPr>
                <w:rFonts w:ascii="Arial" w:cs="Arial" w:eastAsia="Arial" w:hAnsi="Arial"/>
                <w:sz w:val="20"/>
                <w:szCs w:val="20"/>
                <w:b w:val="1"/>
                <w:bCs w:val="1"/>
                <w:color w:val="auto"/>
                <w:w w:val="98"/>
              </w:rPr>
              <w:t>Location</w:t>
            </w:r>
          </w:p>
        </w:tc>
        <w:tc>
          <w:tcPr>
            <w:tcW w:w="480" w:type="dxa"/>
            <w:vAlign w:val="bottom"/>
          </w:tcPr>
          <w:p>
            <w:pPr>
              <w:ind w:left="140"/>
              <w:spacing w:after="0"/>
              <w:rPr>
                <w:sz w:val="20"/>
                <w:szCs w:val="20"/>
                <w:color w:val="auto"/>
              </w:rPr>
            </w:pPr>
            <w:r>
              <w:rPr>
                <w:rFonts w:ascii="Arial" w:cs="Arial" w:eastAsia="Arial" w:hAnsi="Arial"/>
                <w:sz w:val="20"/>
                <w:szCs w:val="20"/>
                <w:b w:val="1"/>
                <w:bCs w:val="1"/>
                <w:color w:val="auto"/>
              </w:rPr>
              <w:t>​ ​</w:t>
            </w:r>
          </w:p>
        </w:tc>
        <w:tc>
          <w:tcPr>
            <w:tcW w:w="1760" w:type="dxa"/>
            <w:vAlign w:val="bottom"/>
          </w:tcPr>
          <w:p>
            <w:pPr>
              <w:jc w:val="center"/>
              <w:spacing w:after="0"/>
              <w:rPr>
                <w:sz w:val="20"/>
                <w:szCs w:val="20"/>
                <w:color w:val="auto"/>
              </w:rPr>
            </w:pPr>
            <w:r>
              <w:rPr>
                <w:rFonts w:ascii="Arial" w:cs="Arial" w:eastAsia="Arial" w:hAnsi="Arial"/>
                <w:sz w:val="20"/>
                <w:szCs w:val="20"/>
                <w:b w:val="1"/>
                <w:bCs w:val="1"/>
                <w:color w:val="auto"/>
                <w:w w:val="98"/>
              </w:rPr>
              <w:t>Record Date</w:t>
            </w:r>
          </w:p>
        </w:tc>
        <w:tc>
          <w:tcPr>
            <w:tcW w:w="240" w:type="dxa"/>
            <w:vAlign w:val="bottom"/>
          </w:tcPr>
          <w:p>
            <w:pPr>
              <w:ind w:left="180"/>
              <w:spacing w:after="0"/>
              <w:rPr>
                <w:sz w:val="20"/>
                <w:szCs w:val="20"/>
                <w:color w:val="auto"/>
              </w:rPr>
            </w:pPr>
            <w:r>
              <w:rPr>
                <w:rFonts w:ascii="Arial" w:cs="Arial" w:eastAsia="Arial" w:hAnsi="Arial"/>
                <w:sz w:val="20"/>
                <w:szCs w:val="20"/>
                <w:b w:val="1"/>
                <w:bCs w:val="1"/>
                <w:color w:val="auto"/>
              </w:rPr>
              <w:t>​</w:t>
            </w:r>
          </w:p>
        </w:tc>
      </w:tr>
      <w:tr>
        <w:trPr>
          <w:trHeight w:val="257"/>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1740" w:type="dxa"/>
            <w:vAlign w:val="bottom"/>
          </w:tcPr>
          <w:p>
            <w:pPr>
              <w:jc w:val="center"/>
              <w:spacing w:after="0"/>
              <w:rPr>
                <w:sz w:val="20"/>
                <w:szCs w:val="20"/>
                <w:color w:val="auto"/>
              </w:rPr>
            </w:pPr>
            <w:r>
              <w:rPr>
                <w:rFonts w:ascii="Arial" w:cs="Arial" w:eastAsia="Arial" w:hAnsi="Arial"/>
                <w:sz w:val="20"/>
                <w:szCs w:val="20"/>
                <w:color w:val="auto"/>
                <w:w w:val="98"/>
              </w:rPr>
              <w:t>May 10, 2023</w:t>
            </w:r>
          </w:p>
        </w:tc>
        <w:tc>
          <w:tcPr>
            <w:tcW w:w="500" w:type="dxa"/>
            <w:vAlign w:val="bottom"/>
          </w:tcPr>
          <w:p>
            <w:pPr>
              <w:ind w:left="220"/>
              <w:spacing w:after="0"/>
              <w:rPr>
                <w:sz w:val="20"/>
                <w:szCs w:val="20"/>
                <w:color w:val="auto"/>
              </w:rPr>
            </w:pPr>
            <w:r>
              <w:rPr>
                <w:rFonts w:ascii="Arial" w:cs="Arial" w:eastAsia="Arial" w:hAnsi="Arial"/>
                <w:sz w:val="20"/>
                <w:szCs w:val="20"/>
                <w:color w:val="auto"/>
              </w:rPr>
              <w:t>​ ​</w:t>
            </w:r>
          </w:p>
        </w:tc>
        <w:tc>
          <w:tcPr>
            <w:tcW w:w="4540" w:type="dxa"/>
            <w:vAlign w:val="bottom"/>
          </w:tcPr>
          <w:p>
            <w:pPr>
              <w:jc w:val="center"/>
              <w:spacing w:after="0"/>
              <w:rPr>
                <w:sz w:val="20"/>
                <w:szCs w:val="20"/>
                <w:color w:val="auto"/>
              </w:rPr>
            </w:pPr>
            <w:r>
              <w:rPr>
                <w:rFonts w:ascii="Arial" w:cs="Arial" w:eastAsia="Arial" w:hAnsi="Arial"/>
                <w:sz w:val="20"/>
                <w:szCs w:val="20"/>
                <w:color w:val="auto"/>
                <w:w w:val="98"/>
              </w:rPr>
              <w:t>www.virtualshareholdermeeting.com/SWKS2023</w:t>
            </w:r>
          </w:p>
        </w:tc>
        <w:tc>
          <w:tcPr>
            <w:tcW w:w="480" w:type="dxa"/>
            <w:vAlign w:val="bottom"/>
          </w:tcPr>
          <w:p>
            <w:pPr>
              <w:ind w:left="140"/>
              <w:spacing w:after="0"/>
              <w:rPr>
                <w:sz w:val="20"/>
                <w:szCs w:val="20"/>
                <w:color w:val="auto"/>
              </w:rPr>
            </w:pPr>
            <w:r>
              <w:rPr>
                <w:rFonts w:ascii="Arial" w:cs="Arial" w:eastAsia="Arial" w:hAnsi="Arial"/>
                <w:sz w:val="20"/>
                <w:szCs w:val="20"/>
                <w:color w:val="auto"/>
              </w:rPr>
              <w:t>​ ​</w:t>
            </w:r>
          </w:p>
        </w:tc>
        <w:tc>
          <w:tcPr>
            <w:tcW w:w="1760" w:type="dxa"/>
            <w:vAlign w:val="bottom"/>
          </w:tcPr>
          <w:p>
            <w:pPr>
              <w:jc w:val="center"/>
              <w:spacing w:after="0"/>
              <w:rPr>
                <w:sz w:val="20"/>
                <w:szCs w:val="20"/>
                <w:color w:val="auto"/>
              </w:rPr>
            </w:pPr>
            <w:r>
              <w:rPr>
                <w:rFonts w:ascii="Arial" w:cs="Arial" w:eastAsia="Arial" w:hAnsi="Arial"/>
                <w:sz w:val="20"/>
                <w:szCs w:val="20"/>
                <w:color w:val="auto"/>
                <w:w w:val="97"/>
              </w:rPr>
              <w:t>March 16, 2023</w:t>
            </w:r>
          </w:p>
        </w:tc>
        <w:tc>
          <w:tcPr>
            <w:tcW w:w="240" w:type="dxa"/>
            <w:vAlign w:val="bottom"/>
          </w:tcPr>
          <w:p>
            <w:pPr>
              <w:ind w:left="180"/>
              <w:spacing w:after="0"/>
              <w:rPr>
                <w:sz w:val="20"/>
                <w:szCs w:val="20"/>
                <w:color w:val="auto"/>
              </w:rPr>
            </w:pPr>
            <w:r>
              <w:rPr>
                <w:rFonts w:ascii="Arial" w:cs="Arial" w:eastAsia="Arial" w:hAnsi="Arial"/>
                <w:sz w:val="20"/>
                <w:szCs w:val="20"/>
                <w:color w:val="auto"/>
              </w:rPr>
              <w:t>​</w:t>
            </w:r>
          </w:p>
        </w:tc>
      </w:tr>
      <w:tr>
        <w:trPr>
          <w:trHeight w:val="237"/>
        </w:trPr>
        <w:tc>
          <w:tcPr>
            <w:tcW w:w="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auto"/>
                <w:w w:val="98"/>
              </w:rPr>
              <w:t>11:00 a.m. PDT</w:t>
            </w:r>
          </w:p>
        </w:tc>
        <w:tc>
          <w:tcPr>
            <w:tcW w:w="5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-996315</wp:posOffset>
            </wp:positionV>
            <wp:extent cx="454025" cy="454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4025" cy="454660"/>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-996315</wp:posOffset>
            </wp:positionV>
            <wp:extent cx="514350"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 cy="47180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-996315</wp:posOffset>
            </wp:positionV>
            <wp:extent cx="454025" cy="454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4025" cy="454660"/>
                    </a:xfrm>
                    <a:prstGeom prst="rect">
                      <a:avLst/>
                    </a:prstGeom>
                    <a:noFill/>
                  </pic:spPr>
                </pic:pic>
              </a:graphicData>
            </a:graphic>
          </wp:anchor>
        </w:drawing>
      </w:r>
    </w:p>
    <w:p>
      <w:pPr>
        <w:spacing w:after="0" w:line="74"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Items of Business</w:t>
      </w:r>
    </w:p>
    <w:p>
      <w:pPr>
        <w:spacing w:after="0" w:line="120" w:lineRule="exact"/>
        <w:rPr>
          <w:sz w:val="20"/>
          <w:szCs w:val="20"/>
          <w:color w:val="auto"/>
        </w:rPr>
      </w:pPr>
    </w:p>
    <w:p>
      <w:pPr>
        <w:ind w:left="1100" w:right="400" w:hanging="446"/>
        <w:spacing w:after="0" w:line="275" w:lineRule="auto"/>
        <w:tabs>
          <w:tab w:leader="none" w:pos="11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elect nine individuals nominated to serve as directors of the Company with terms expiring at the 2024 Annual Meeting of Stockholders and named in the Proxy Statement;</w:t>
      </w:r>
    </w:p>
    <w:p>
      <w:pPr>
        <w:spacing w:after="0" w:line="66" w:lineRule="exact"/>
        <w:rPr>
          <w:rFonts w:ascii="Arial" w:cs="Arial" w:eastAsia="Arial" w:hAnsi="Arial"/>
          <w:sz w:val="20"/>
          <w:szCs w:val="20"/>
          <w:color w:val="auto"/>
        </w:rPr>
      </w:pPr>
    </w:p>
    <w:p>
      <w:pPr>
        <w:ind w:left="1100" w:right="60" w:hanging="446"/>
        <w:spacing w:after="0" w:line="261" w:lineRule="auto"/>
        <w:tabs>
          <w:tab w:leader="none" w:pos="11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ratify the selection by the Company’s Audit Committee of KPMG LLP as the independent registered public accounting firm for the Company for fiscal year 2023;</w:t>
      </w:r>
    </w:p>
    <w:p>
      <w:pPr>
        <w:spacing w:after="0" w:line="66" w:lineRule="exact"/>
        <w:rPr>
          <w:rFonts w:ascii="Arial" w:cs="Arial" w:eastAsia="Arial" w:hAnsi="Arial"/>
          <w:sz w:val="20"/>
          <w:szCs w:val="20"/>
          <w:color w:val="auto"/>
        </w:rPr>
      </w:pPr>
    </w:p>
    <w:p>
      <w:pPr>
        <w:ind w:left="1100" w:hanging="446"/>
        <w:spacing w:after="0"/>
        <w:tabs>
          <w:tab w:leader="none" w:pos="11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approve, on an advisory basis, the compensation of the Company’s named executive officers;</w:t>
      </w:r>
    </w:p>
    <w:p>
      <w:pPr>
        <w:spacing w:after="0" w:line="107" w:lineRule="exact"/>
        <w:rPr>
          <w:rFonts w:ascii="Arial" w:cs="Arial" w:eastAsia="Arial" w:hAnsi="Arial"/>
          <w:sz w:val="20"/>
          <w:szCs w:val="20"/>
          <w:color w:val="auto"/>
        </w:rPr>
      </w:pPr>
    </w:p>
    <w:p>
      <w:pPr>
        <w:ind w:left="1100" w:right="280" w:hanging="446"/>
        <w:spacing w:after="0" w:line="261" w:lineRule="auto"/>
        <w:tabs>
          <w:tab w:leader="none" w:pos="11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approve, on an advisory basis, the frequency of future advisory votes on the compensation of the Company’s named executive officers;</w:t>
      </w:r>
    </w:p>
    <w:p>
      <w:pPr>
        <w:spacing w:after="0" w:line="93" w:lineRule="exact"/>
        <w:rPr>
          <w:rFonts w:ascii="Arial" w:cs="Arial" w:eastAsia="Arial" w:hAnsi="Arial"/>
          <w:sz w:val="20"/>
          <w:szCs w:val="20"/>
          <w:color w:val="auto"/>
        </w:rPr>
      </w:pPr>
    </w:p>
    <w:p>
      <w:pPr>
        <w:ind w:left="1100" w:right="620" w:hanging="446"/>
        <w:spacing w:after="0" w:line="261" w:lineRule="auto"/>
        <w:tabs>
          <w:tab w:leader="none" w:pos="11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approve an amendment to the Company’s Restated Certificate of Incorporation to reflect new Delaware law provisions regarding exculpation of officers;</w:t>
      </w:r>
    </w:p>
    <w:p>
      <w:pPr>
        <w:spacing w:after="0" w:line="66" w:lineRule="exact"/>
        <w:rPr>
          <w:rFonts w:ascii="Arial" w:cs="Arial" w:eastAsia="Arial" w:hAnsi="Arial"/>
          <w:sz w:val="20"/>
          <w:szCs w:val="20"/>
          <w:color w:val="auto"/>
        </w:rPr>
      </w:pPr>
    </w:p>
    <w:p>
      <w:pPr>
        <w:ind w:left="1100" w:hanging="446"/>
        <w:spacing w:after="0"/>
        <w:tabs>
          <w:tab w:leader="none" w:pos="11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consider one stockholder proposal, if properly presented at the Annual Meeting; and</w:t>
      </w:r>
    </w:p>
    <w:p>
      <w:pPr>
        <w:spacing w:after="0" w:line="80" w:lineRule="exact"/>
        <w:rPr>
          <w:rFonts w:ascii="Arial" w:cs="Arial" w:eastAsia="Arial" w:hAnsi="Arial"/>
          <w:sz w:val="20"/>
          <w:szCs w:val="20"/>
          <w:color w:val="auto"/>
        </w:rPr>
      </w:pPr>
    </w:p>
    <w:p>
      <w:pPr>
        <w:ind w:left="1100" w:hanging="446"/>
        <w:spacing w:after="0"/>
        <w:tabs>
          <w:tab w:leader="none" w:pos="11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transact such other business as may properly come before the Annual Meeting.</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290"/>
        </w:trPr>
        <w:tc>
          <w:tcPr>
            <w:tcW w:w="1820" w:type="dxa"/>
            <w:vAlign w:val="bottom"/>
            <w:shd w:val="clear" w:color="auto" w:fill="0075A8"/>
          </w:tcPr>
          <w:p>
            <w:pPr>
              <w:ind w:left="60"/>
              <w:spacing w:after="0"/>
              <w:rPr>
                <w:sz w:val="20"/>
                <w:szCs w:val="20"/>
                <w:color w:val="auto"/>
              </w:rPr>
            </w:pPr>
            <w:r>
              <w:rPr>
                <w:rFonts w:ascii="Arial" w:cs="Arial" w:eastAsia="Arial" w:hAnsi="Arial"/>
                <w:sz w:val="22"/>
                <w:szCs w:val="22"/>
                <w:b w:val="1"/>
                <w:bCs w:val="1"/>
                <w:color w:val="FFFFFF"/>
              </w:rPr>
              <w:t>​</w:t>
            </w:r>
          </w:p>
        </w:tc>
        <w:tc>
          <w:tcPr>
            <w:tcW w:w="5780" w:type="dxa"/>
            <w:vAlign w:val="bottom"/>
            <w:vMerge w:val="restart"/>
            <w:shd w:val="clear" w:color="auto" w:fill="0075A8"/>
          </w:tcPr>
          <w:p>
            <w:pPr>
              <w:ind w:left="1700"/>
              <w:spacing w:after="0"/>
              <w:rPr>
                <w:sz w:val="20"/>
                <w:szCs w:val="20"/>
                <w:color w:val="auto"/>
              </w:rPr>
            </w:pPr>
            <w:r>
              <w:rPr>
                <w:rFonts w:ascii="Arial" w:cs="Arial" w:eastAsia="Arial" w:hAnsi="Arial"/>
                <w:sz w:val="22"/>
                <w:szCs w:val="22"/>
                <w:b w:val="1"/>
                <w:bCs w:val="1"/>
                <w:color w:val="FFFFFF"/>
              </w:rPr>
              <w:t>Your Vote Is Important.</w:t>
            </w:r>
          </w:p>
        </w:tc>
        <w:tc>
          <w:tcPr>
            <w:tcW w:w="1800" w:type="dxa"/>
            <w:vAlign w:val="bottom"/>
            <w:shd w:val="clear" w:color="auto" w:fill="0075A8"/>
          </w:tcPr>
          <w:p>
            <w:pPr>
              <w:ind w:left="1720"/>
              <w:spacing w:after="0"/>
              <w:rPr>
                <w:sz w:val="20"/>
                <w:szCs w:val="20"/>
                <w:color w:val="auto"/>
              </w:rPr>
            </w:pPr>
            <w:r>
              <w:rPr>
                <w:rFonts w:ascii="Arial" w:cs="Arial" w:eastAsia="Arial" w:hAnsi="Arial"/>
                <w:sz w:val="22"/>
                <w:szCs w:val="22"/>
                <w:b w:val="1"/>
                <w:bCs w:val="1"/>
                <w:color w:val="FFFFFF"/>
              </w:rPr>
              <w:t>​</w:t>
            </w:r>
          </w:p>
        </w:tc>
        <w:tc>
          <w:tcPr>
            <w:tcW w:w="0" w:type="dxa"/>
            <w:vAlign w:val="bottom"/>
          </w:tcPr>
          <w:p>
            <w:pPr>
              <w:spacing w:after="0"/>
              <w:rPr>
                <w:sz w:val="1"/>
                <w:szCs w:val="1"/>
                <w:color w:val="auto"/>
              </w:rPr>
            </w:pPr>
          </w:p>
        </w:tc>
      </w:tr>
      <w:tr>
        <w:trPr>
          <w:trHeight w:val="64"/>
        </w:trPr>
        <w:tc>
          <w:tcPr>
            <w:tcW w:w="1820" w:type="dxa"/>
            <w:vAlign w:val="bottom"/>
            <w:shd w:val="clear" w:color="auto" w:fill="0075A8"/>
          </w:tcPr>
          <w:p>
            <w:pPr>
              <w:spacing w:after="0"/>
              <w:rPr>
                <w:sz w:val="5"/>
                <w:szCs w:val="5"/>
                <w:color w:val="auto"/>
              </w:rPr>
            </w:pPr>
          </w:p>
        </w:tc>
        <w:tc>
          <w:tcPr>
            <w:tcW w:w="5780" w:type="dxa"/>
            <w:vAlign w:val="bottom"/>
            <w:vMerge w:val="continue"/>
            <w:shd w:val="clear" w:color="auto" w:fill="0075A8"/>
          </w:tcPr>
          <w:p>
            <w:pPr>
              <w:spacing w:after="0"/>
              <w:rPr>
                <w:sz w:val="5"/>
                <w:szCs w:val="5"/>
                <w:color w:val="auto"/>
              </w:rPr>
            </w:pPr>
          </w:p>
        </w:tc>
        <w:tc>
          <w:tcPr>
            <w:tcW w:w="1800" w:type="dxa"/>
            <w:vAlign w:val="bottom"/>
            <w:shd w:val="clear" w:color="auto" w:fill="0075A8"/>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820" w:type="dxa"/>
            <w:vAlign w:val="bottom"/>
            <w:shd w:val="clear" w:color="auto" w:fill="0075A8"/>
          </w:tcPr>
          <w:p>
            <w:pPr>
              <w:spacing w:after="0"/>
              <w:rPr>
                <w:sz w:val="7"/>
                <w:szCs w:val="7"/>
                <w:color w:val="auto"/>
              </w:rPr>
            </w:pPr>
          </w:p>
        </w:tc>
        <w:tc>
          <w:tcPr>
            <w:tcW w:w="5780" w:type="dxa"/>
            <w:vAlign w:val="bottom"/>
            <w:shd w:val="clear" w:color="auto" w:fill="0075A8"/>
          </w:tcPr>
          <w:p>
            <w:pPr>
              <w:spacing w:after="0"/>
              <w:rPr>
                <w:sz w:val="7"/>
                <w:szCs w:val="7"/>
                <w:color w:val="auto"/>
              </w:rPr>
            </w:pPr>
          </w:p>
        </w:tc>
        <w:tc>
          <w:tcPr>
            <w:tcW w:w="1800" w:type="dxa"/>
            <w:vAlign w:val="bottom"/>
            <w:shd w:val="clear" w:color="auto" w:fill="0075A8"/>
          </w:tcPr>
          <w:p>
            <w:pPr>
              <w:spacing w:after="0"/>
              <w:rPr>
                <w:sz w:val="7"/>
                <w:szCs w:val="7"/>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660" w:right="60"/>
        <w:spacing w:after="0" w:line="232" w:lineRule="auto"/>
        <w:rPr>
          <w:sz w:val="20"/>
          <w:szCs w:val="20"/>
          <w:color w:val="auto"/>
        </w:rPr>
      </w:pPr>
      <w:r>
        <w:rPr>
          <w:rFonts w:ascii="Arial" w:cs="Arial" w:eastAsia="Arial" w:hAnsi="Arial"/>
          <w:sz w:val="20"/>
          <w:szCs w:val="20"/>
          <w:color w:val="auto"/>
        </w:rPr>
        <w:t>To ensure your representation at the Annual Meeting, please submit your proxy or voting instructions as soon as possible by using any of the following methods, as described in greater detail on your proxy card or voter instruction form.</w:t>
      </w:r>
    </w:p>
    <w:p>
      <w:pPr>
        <w:sectPr>
          <w:pgSz w:w="11900" w:h="16838" w:orient="portrait"/>
          <w:cols w:equalWidth="0" w:num="1">
            <w:col w:w="10120"/>
          </w:cols>
          <w:pgMar w:left="580" w:top="132" w:right="1199" w:bottom="1440" w:gutter="0" w:footer="0" w:header="0"/>
        </w:sect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-142875</wp:posOffset>
            </wp:positionV>
            <wp:extent cx="44577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2280"/>
        <w:spacing w:after="0"/>
        <w:rPr>
          <w:sz w:val="20"/>
          <w:szCs w:val="20"/>
          <w:color w:val="auto"/>
        </w:rPr>
      </w:pP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4">
            <w:col w:w="2980" w:space="720"/>
            <w:col w:w="2480" w:space="720"/>
            <w:col w:w="2440" w:space="720"/>
            <w:col w:w="60"/>
          </w:cols>
          <w:pgMar w:left="580" w:top="132" w:right="1199" w:bottom="1440" w:gutter="0" w:footer="0" w:header="0"/>
          <w:type w:val="continuous"/>
        </w:sect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Internet</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480"/>
        <w:spacing w:after="0"/>
        <w:rPr>
          <w:sz w:val="20"/>
          <w:szCs w:val="20"/>
          <w:color w:val="auto"/>
        </w:rPr>
      </w:pPr>
      <w:r>
        <w:rPr>
          <w:rFonts w:ascii="Arial" w:cs="Arial" w:eastAsia="Arial" w:hAnsi="Arial"/>
          <w:sz w:val="20"/>
          <w:szCs w:val="20"/>
          <w:b w:val="1"/>
          <w:bCs w:val="1"/>
          <w:color w:val="auto"/>
        </w:rPr>
        <w:t>​ ​</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ind w:right="520"/>
        <w:spacing w:after="0"/>
        <w:rPr>
          <w:sz w:val="20"/>
          <w:szCs w:val="20"/>
          <w:color w:val="auto"/>
        </w:rPr>
      </w:pPr>
      <w:r>
        <w:rPr>
          <w:rFonts w:ascii="Arial" w:cs="Arial" w:eastAsia="Arial" w:hAnsi="Arial"/>
          <w:sz w:val="19"/>
          <w:szCs w:val="19"/>
          <w:b w:val="1"/>
          <w:bCs w:val="1"/>
          <w:color w:val="auto"/>
        </w:rPr>
        <w:t>Phone</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580"/>
        <w:spacing w:after="0"/>
        <w:rPr>
          <w:sz w:val="20"/>
          <w:szCs w:val="20"/>
          <w:color w:val="auto"/>
        </w:rPr>
      </w:pPr>
      <w:r>
        <w:rPr>
          <w:rFonts w:ascii="Arial" w:cs="Arial" w:eastAsia="Arial" w:hAnsi="Arial"/>
          <w:sz w:val="20"/>
          <w:szCs w:val="20"/>
          <w:b w:val="1"/>
          <w:bCs w:val="1"/>
          <w:color w:val="auto"/>
        </w:rPr>
        <w:t>​ ​</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ind w:right="580"/>
        <w:spacing w:after="0"/>
        <w:rPr>
          <w:sz w:val="20"/>
          <w:szCs w:val="20"/>
          <w:color w:val="auto"/>
        </w:rPr>
      </w:pPr>
      <w:r>
        <w:rPr>
          <w:rFonts w:ascii="Arial" w:cs="Arial" w:eastAsia="Arial" w:hAnsi="Arial"/>
          <w:sz w:val="20"/>
          <w:szCs w:val="20"/>
          <w:b w:val="1"/>
          <w:bCs w:val="1"/>
          <w:color w:val="auto"/>
        </w:rPr>
        <w:t>Mail</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53" w:lineRule="exact"/>
        <w:rPr>
          <w:sz w:val="20"/>
          <w:szCs w:val="20"/>
          <w:color w:val="auto"/>
        </w:rPr>
      </w:pPr>
    </w:p>
    <w:p>
      <w:pPr>
        <w:sectPr>
          <w:pgSz w:w="11900" w:h="16838" w:orient="portrait"/>
          <w:cols w:equalWidth="0" w:num="7">
            <w:col w:w="1080" w:space="720"/>
            <w:col w:w="1180" w:space="720"/>
            <w:col w:w="640" w:space="720"/>
            <w:col w:w="1120" w:space="720"/>
            <w:col w:w="740" w:space="720"/>
            <w:col w:w="980" w:space="720"/>
            <w:col w:w="60"/>
          </w:cols>
          <w:pgMar w:left="580" w:top="132" w:right="1199" w:bottom="1440" w:gutter="0" w:footer="0" w:header="0"/>
          <w:type w:val="continuous"/>
        </w:sectPr>
      </w:pPr>
    </w:p>
    <w:p>
      <w:pPr>
        <w:spacing w:after="0" w:line="26" w:lineRule="exact"/>
        <w:rPr>
          <w:sz w:val="20"/>
          <w:szCs w:val="20"/>
          <w:color w:val="auto"/>
        </w:rPr>
      </w:pPr>
    </w:p>
    <w:p>
      <w:pPr>
        <w:ind w:left="660" w:right="240"/>
        <w:spacing w:after="0" w:line="230" w:lineRule="auto"/>
        <w:rPr>
          <w:sz w:val="20"/>
          <w:szCs w:val="20"/>
          <w:color w:val="auto"/>
        </w:rPr>
      </w:pPr>
      <w:r>
        <w:rPr>
          <w:rFonts w:ascii="Arial" w:cs="Arial" w:eastAsia="Arial" w:hAnsi="Arial"/>
          <w:sz w:val="20"/>
          <w:szCs w:val="20"/>
          <w:color w:val="auto"/>
        </w:rPr>
        <w:t>The accompanying Proxy Statement includes further information about how to attend the Annual Meeting online, vote your shares online during the Annual Meeting, and submit questions online during the Annual Meeting. A complete list of registered stockholders will be available for examination during the Annual Meeting at www.virtualshareholdermeeting.com/SWKS2023.</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180340</wp:posOffset>
            </wp:positionV>
            <wp:extent cx="951230" cy="402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12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0075A8"/>
        </w:rPr>
        <w:t>Robert J. Terry</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Senior Vice President, General Counsel and Secretary</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Irvine, California • March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593090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20"/>
          </w:cols>
          <w:pgMar w:left="580" w:top="132" w:right="11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75A8"/>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PROXY STATEMENT 2023</w:t>
      </w: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p>
      <w:pPr>
        <w:spacing w:after="0" w:line="200" w:lineRule="exact"/>
        <w:rPr>
          <w:sz w:val="20"/>
          <w:szCs w:val="20"/>
          <w:color w:val="auto"/>
        </w:rPr>
      </w:pPr>
    </w:p>
    <w:p>
      <w:pPr>
        <w:spacing w:after="0" w:line="241" w:lineRule="exact"/>
        <w:rPr>
          <w:sz w:val="20"/>
          <w:szCs w:val="20"/>
          <w:color w:val="auto"/>
        </w:rPr>
      </w:pPr>
    </w:p>
    <w:tbl>
      <w:tblPr>
        <w:tblLayout w:type="fixed"/>
        <w:tblInd w:w="780" w:type="dxa"/>
        <w:tblCellMar>
          <w:top w:w="0" w:type="dxa"/>
          <w:left w:w="0" w:type="dxa"/>
          <w:bottom w:w="0" w:type="dxa"/>
          <w:right w:w="0" w:type="dxa"/>
        </w:tblCellMar>
      </w:tblPr>
      <w:tr>
        <w:trPr>
          <w:trHeight w:val="264"/>
        </w:trPr>
        <w:tc>
          <w:tcPr>
            <w:tcW w:w="3760" w:type="dxa"/>
            <w:vAlign w:val="bottom"/>
            <w:gridSpan w:val="12"/>
          </w:tcPr>
          <w:p>
            <w:pPr>
              <w:spacing w:after="0"/>
              <w:rPr>
                <w:sz w:val="20"/>
                <w:szCs w:val="20"/>
                <w:color w:val="auto"/>
              </w:rPr>
            </w:pPr>
            <w:r>
              <w:rPr>
                <w:rFonts w:ascii="Arial" w:cs="Arial" w:eastAsia="Arial" w:hAnsi="Arial"/>
                <w:sz w:val="23"/>
                <w:szCs w:val="23"/>
                <w:color w:val="0075A8"/>
              </w:rPr>
              <w:t>​ Proxy Statement Summary</w:t>
            </w:r>
          </w:p>
        </w:tc>
        <w:tc>
          <w:tcPr>
            <w:tcW w:w="320" w:type="dxa"/>
            <w:vAlign w:val="bottom"/>
          </w:tcPr>
          <w:p>
            <w:pPr>
              <w:ind w:left="40"/>
              <w:spacing w:after="0"/>
              <w:rPr>
                <w:sz w:val="20"/>
                <w:szCs w:val="20"/>
                <w:color w:val="auto"/>
              </w:rPr>
            </w:pPr>
            <w:r>
              <w:rPr>
                <w:rFonts w:ascii="Arial" w:cs="Arial" w:eastAsia="Arial" w:hAnsi="Arial"/>
                <w:sz w:val="23"/>
                <w:szCs w:val="23"/>
                <w:color w:val="0075A8"/>
              </w:rPr>
              <w:t>​ ​​</w:t>
            </w:r>
          </w:p>
        </w:tc>
        <w:tc>
          <w:tcPr>
            <w:tcW w:w="80" w:type="dxa"/>
            <w:vAlign w:val="bottom"/>
          </w:tcPr>
          <w:p>
            <w:pPr>
              <w:spacing w:after="0"/>
              <w:rPr>
                <w:sz w:val="22"/>
                <w:szCs w:val="22"/>
                <w:color w:val="auto"/>
              </w:rPr>
            </w:pPr>
          </w:p>
        </w:tc>
        <w:tc>
          <w:tcPr>
            <w:tcW w:w="320" w:type="dxa"/>
            <w:vAlign w:val="bottom"/>
            <w:gridSpan w:val="3"/>
          </w:tcPr>
          <w:p>
            <w:pPr>
              <w:jc w:val="right"/>
              <w:spacing w:after="0"/>
              <w:rPr>
                <w:sz w:val="20"/>
                <w:szCs w:val="20"/>
                <w:color w:val="auto"/>
              </w:rPr>
            </w:pPr>
            <w:r>
              <w:rPr>
                <w:rFonts w:ascii="Arial" w:cs="Arial" w:eastAsia="Arial" w:hAnsi="Arial"/>
                <w:sz w:val="23"/>
                <w:szCs w:val="23"/>
                <w:color w:val="0075A8"/>
              </w:rPr>
              <w:t>1​ ​</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760" w:type="dxa"/>
            <w:vAlign w:val="bottom"/>
            <w:shd w:val="clear" w:color="auto" w:fill="0075A8"/>
          </w:tcPr>
          <w:p>
            <w:pPr>
              <w:spacing w:after="0" w:line="20" w:lineRule="exact"/>
              <w:rPr>
                <w:sz w:val="1"/>
                <w:szCs w:val="1"/>
                <w:color w:val="auto"/>
              </w:rPr>
            </w:pPr>
          </w:p>
        </w:tc>
        <w:tc>
          <w:tcPr>
            <w:tcW w:w="880" w:type="dxa"/>
            <w:vAlign w:val="bottom"/>
            <w:tcBorders>
              <w:right w:val="single" w:sz="8" w:color="0075A8"/>
            </w:tcBorders>
            <w:shd w:val="clear" w:color="auto" w:fill="0075A8"/>
          </w:tcPr>
          <w:p>
            <w:pPr>
              <w:spacing w:after="0" w:line="20" w:lineRule="exact"/>
              <w:rPr>
                <w:sz w:val="1"/>
                <w:szCs w:val="1"/>
                <w:color w:val="auto"/>
              </w:rPr>
            </w:pPr>
          </w:p>
        </w:tc>
        <w:tc>
          <w:tcPr>
            <w:tcW w:w="120" w:type="dxa"/>
            <w:vAlign w:val="bottom"/>
            <w:shd w:val="clear" w:color="auto" w:fill="0075A8"/>
          </w:tcPr>
          <w:p>
            <w:pPr>
              <w:spacing w:after="0" w:line="20" w:lineRule="exact"/>
              <w:rPr>
                <w:sz w:val="1"/>
                <w:szCs w:val="1"/>
                <w:color w:val="auto"/>
              </w:rPr>
            </w:pPr>
          </w:p>
        </w:tc>
        <w:tc>
          <w:tcPr>
            <w:tcW w:w="60" w:type="dxa"/>
            <w:vAlign w:val="bottom"/>
            <w:tcBorders>
              <w:left w:val="single" w:sz="8" w:color="0075A8"/>
            </w:tcBorders>
            <w:shd w:val="clear" w:color="auto" w:fill="0075A8"/>
          </w:tcPr>
          <w:p>
            <w:pPr>
              <w:spacing w:after="0" w:line="20" w:lineRule="exact"/>
              <w:rPr>
                <w:sz w:val="1"/>
                <w:szCs w:val="1"/>
                <w:color w:val="auto"/>
              </w:rPr>
            </w:pPr>
          </w:p>
        </w:tc>
        <w:tc>
          <w:tcPr>
            <w:tcW w:w="620" w:type="dxa"/>
            <w:vAlign w:val="bottom"/>
            <w:shd w:val="clear" w:color="auto" w:fill="0075A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75A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25"/>
        </w:trPr>
        <w:tc>
          <w:tcPr>
            <w:tcW w:w="3760" w:type="dxa"/>
            <w:vAlign w:val="bottom"/>
            <w:gridSpan w:val="12"/>
          </w:tcPr>
          <w:p>
            <w:pPr>
              <w:spacing w:after="0"/>
              <w:rPr>
                <w:sz w:val="20"/>
                <w:szCs w:val="20"/>
                <w:color w:val="auto"/>
              </w:rPr>
            </w:pPr>
            <w:r>
              <w:rPr>
                <w:rFonts w:ascii="Arial" w:cs="Arial" w:eastAsia="Arial" w:hAnsi="Arial"/>
                <w:sz w:val="23"/>
                <w:szCs w:val="23"/>
                <w:color w:val="0075A8"/>
              </w:rPr>
              <w:t>​ Proposal 1: Election of Directors</w:t>
            </w:r>
          </w:p>
        </w:tc>
        <w:tc>
          <w:tcPr>
            <w:tcW w:w="320" w:type="dxa"/>
            <w:vAlign w:val="bottom"/>
          </w:tcPr>
          <w:p>
            <w:pPr>
              <w:ind w:left="40"/>
              <w:spacing w:after="0"/>
              <w:rPr>
                <w:sz w:val="20"/>
                <w:szCs w:val="20"/>
                <w:color w:val="auto"/>
              </w:rPr>
            </w:pPr>
            <w:r>
              <w:rPr>
                <w:rFonts w:ascii="Arial" w:cs="Arial" w:eastAsia="Arial" w:hAnsi="Arial"/>
                <w:sz w:val="23"/>
                <w:szCs w:val="23"/>
                <w:color w:val="0075A8"/>
              </w:rPr>
              <w:t>​ ​​</w:t>
            </w:r>
          </w:p>
        </w:tc>
        <w:tc>
          <w:tcPr>
            <w:tcW w:w="8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23"/>
                <w:szCs w:val="23"/>
                <w:color w:val="0075A8"/>
              </w:rPr>
              <w:t>8​ ​</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760" w:type="dxa"/>
            <w:vAlign w:val="bottom"/>
            <w:shd w:val="clear" w:color="auto" w:fill="0075A8"/>
          </w:tcPr>
          <w:p>
            <w:pPr>
              <w:spacing w:after="0" w:line="20" w:lineRule="exact"/>
              <w:rPr>
                <w:sz w:val="1"/>
                <w:szCs w:val="1"/>
                <w:color w:val="auto"/>
              </w:rPr>
            </w:pPr>
          </w:p>
        </w:tc>
        <w:tc>
          <w:tcPr>
            <w:tcW w:w="880" w:type="dxa"/>
            <w:vAlign w:val="bottom"/>
            <w:tcBorders>
              <w:right w:val="single" w:sz="8" w:color="0075A8"/>
            </w:tcBorders>
            <w:shd w:val="clear" w:color="auto" w:fill="0075A8"/>
          </w:tcPr>
          <w:p>
            <w:pPr>
              <w:spacing w:after="0" w:line="20" w:lineRule="exact"/>
              <w:rPr>
                <w:sz w:val="1"/>
                <w:szCs w:val="1"/>
                <w:color w:val="auto"/>
              </w:rPr>
            </w:pPr>
          </w:p>
        </w:tc>
        <w:tc>
          <w:tcPr>
            <w:tcW w:w="120" w:type="dxa"/>
            <w:vAlign w:val="bottom"/>
            <w:shd w:val="clear" w:color="auto" w:fill="0075A8"/>
          </w:tcPr>
          <w:p>
            <w:pPr>
              <w:spacing w:after="0" w:line="20" w:lineRule="exact"/>
              <w:rPr>
                <w:sz w:val="1"/>
                <w:szCs w:val="1"/>
                <w:color w:val="auto"/>
              </w:rPr>
            </w:pPr>
          </w:p>
        </w:tc>
        <w:tc>
          <w:tcPr>
            <w:tcW w:w="60" w:type="dxa"/>
            <w:vAlign w:val="bottom"/>
            <w:tcBorders>
              <w:left w:val="single" w:sz="8" w:color="0075A8"/>
            </w:tcBorders>
            <w:shd w:val="clear" w:color="auto" w:fill="0075A8"/>
          </w:tcPr>
          <w:p>
            <w:pPr>
              <w:spacing w:after="0" w:line="20" w:lineRule="exact"/>
              <w:rPr>
                <w:sz w:val="1"/>
                <w:szCs w:val="1"/>
                <w:color w:val="auto"/>
              </w:rPr>
            </w:pPr>
          </w:p>
        </w:tc>
        <w:tc>
          <w:tcPr>
            <w:tcW w:w="900" w:type="dxa"/>
            <w:vAlign w:val="bottom"/>
            <w:gridSpan w:val="2"/>
            <w:shd w:val="clear" w:color="auto" w:fill="0075A8"/>
          </w:tcPr>
          <w:p>
            <w:pPr>
              <w:spacing w:after="0" w:line="20" w:lineRule="exact"/>
              <w:rPr>
                <w:sz w:val="1"/>
                <w:szCs w:val="1"/>
                <w:color w:val="auto"/>
              </w:rPr>
            </w:pPr>
          </w:p>
        </w:tc>
        <w:tc>
          <w:tcPr>
            <w:tcW w:w="240" w:type="dxa"/>
            <w:vAlign w:val="bottom"/>
            <w:shd w:val="clear" w:color="auto" w:fill="0075A8"/>
          </w:tcPr>
          <w:p>
            <w:pPr>
              <w:spacing w:after="0" w:line="20" w:lineRule="exact"/>
              <w:rPr>
                <w:sz w:val="1"/>
                <w:szCs w:val="1"/>
                <w:color w:val="auto"/>
              </w:rPr>
            </w:pPr>
          </w:p>
        </w:tc>
        <w:tc>
          <w:tcPr>
            <w:tcW w:w="40" w:type="dxa"/>
            <w:vAlign w:val="bottom"/>
            <w:tcBorders>
              <w:right w:val="single" w:sz="8" w:color="0075A8"/>
            </w:tcBorders>
            <w:shd w:val="clear" w:color="auto" w:fill="0075A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shd w:val="clear" w:color="auto" w:fill="0075A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31"/>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0000EE"/>
                <w:w w:val="97"/>
              </w:rPr>
              <w:t>Nominees for Election</w:t>
            </w:r>
          </w:p>
        </w:tc>
        <w:tc>
          <w:tcPr>
            <w:tcW w:w="1240" w:type="dxa"/>
            <w:vAlign w:val="bottom"/>
            <w:gridSpan w:val="5"/>
          </w:tcPr>
          <w:p>
            <w:pPr>
              <w:spacing w:after="0"/>
              <w:rPr>
                <w:sz w:val="24"/>
                <w:szCs w:val="24"/>
                <w:color w:val="auto"/>
              </w:rPr>
            </w:pPr>
          </w:p>
        </w:tc>
        <w:tc>
          <w:tcPr>
            <w:tcW w:w="280" w:type="dxa"/>
            <w:vAlign w:val="bottom"/>
            <w:gridSpan w:val="2"/>
          </w:tcPr>
          <w:p>
            <w:pPr>
              <w:spacing w:after="0"/>
              <w:rPr>
                <w:sz w:val="24"/>
                <w:szCs w:val="24"/>
                <w:color w:val="auto"/>
              </w:rPr>
            </w:pPr>
          </w:p>
        </w:tc>
        <w:tc>
          <w:tcPr>
            <w:tcW w:w="720" w:type="dxa"/>
            <w:vAlign w:val="bottom"/>
            <w:gridSpan w:val="5"/>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10</w:t>
            </w:r>
            <w:r>
              <w:rPr>
                <w:rFonts w:ascii="Arial" w:cs="Arial" w:eastAsia="Arial" w:hAnsi="Arial"/>
                <w:sz w:val="18"/>
                <w:szCs w:val="18"/>
                <w:color w:val="auto"/>
              </w:rPr>
              <w:t>​ ​</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31"/>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0000EE"/>
                <w:w w:val="97"/>
              </w:rPr>
              <w:t>Board Diversity Matrix</w:t>
            </w:r>
          </w:p>
        </w:tc>
        <w:tc>
          <w:tcPr>
            <w:tcW w:w="1520" w:type="dxa"/>
            <w:vAlign w:val="bottom"/>
            <w:gridSpan w:val="7"/>
          </w:tcPr>
          <w:p>
            <w:pPr>
              <w:spacing w:after="0"/>
              <w:rPr>
                <w:sz w:val="24"/>
                <w:szCs w:val="24"/>
                <w:color w:val="auto"/>
              </w:rPr>
            </w:pPr>
          </w:p>
        </w:tc>
        <w:tc>
          <w:tcPr>
            <w:tcW w:w="720" w:type="dxa"/>
            <w:vAlign w:val="bottom"/>
            <w:gridSpan w:val="5"/>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16</w:t>
            </w:r>
            <w:r>
              <w:rPr>
                <w:rFonts w:ascii="Arial" w:cs="Arial" w:eastAsia="Arial" w:hAnsi="Arial"/>
                <w:sz w:val="18"/>
                <w:szCs w:val="18"/>
                <w:color w:val="auto"/>
              </w:rPr>
              <w:t>​ ​</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31"/>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280" w:type="dxa"/>
            <w:vAlign w:val="bottom"/>
            <w:gridSpan w:val="10"/>
          </w:tcPr>
          <w:p>
            <w:pPr>
              <w:spacing w:after="0"/>
              <w:rPr>
                <w:sz w:val="20"/>
                <w:szCs w:val="20"/>
                <w:color w:val="auto"/>
              </w:rPr>
            </w:pPr>
            <w:r>
              <w:rPr>
                <w:rFonts w:ascii="Arial" w:cs="Arial" w:eastAsia="Arial" w:hAnsi="Arial"/>
                <w:sz w:val="18"/>
                <w:szCs w:val="18"/>
                <w:color w:val="0000EE"/>
              </w:rPr>
              <w:t>Corporate Governance</w:t>
            </w:r>
          </w:p>
        </w:tc>
        <w:tc>
          <w:tcPr>
            <w:tcW w:w="720" w:type="dxa"/>
            <w:vAlign w:val="bottom"/>
            <w:gridSpan w:val="5"/>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17</w:t>
            </w:r>
            <w:r>
              <w:rPr>
                <w:rFonts w:ascii="Arial" w:cs="Arial" w:eastAsia="Arial" w:hAnsi="Arial"/>
                <w:sz w:val="18"/>
                <w:szCs w:val="18"/>
                <w:color w:val="auto"/>
              </w:rPr>
              <w:t>​ ​</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000" w:type="dxa"/>
            <w:vAlign w:val="bottom"/>
            <w:gridSpan w:val="8"/>
          </w:tcPr>
          <w:p>
            <w:pPr>
              <w:spacing w:after="0"/>
              <w:rPr>
                <w:sz w:val="20"/>
                <w:szCs w:val="20"/>
                <w:color w:val="auto"/>
              </w:rPr>
            </w:pPr>
            <w:r>
              <w:rPr>
                <w:rFonts w:ascii="Arial" w:cs="Arial" w:eastAsia="Arial" w:hAnsi="Arial"/>
                <w:sz w:val="18"/>
                <w:szCs w:val="18"/>
                <w:color w:val="0000EE"/>
                <w:w w:val="99"/>
              </w:rPr>
              <w:t>Committees of the Board of Directors</w:t>
            </w:r>
          </w:p>
        </w:tc>
        <w:tc>
          <w:tcPr>
            <w:tcW w:w="280" w:type="dxa"/>
            <w:vAlign w:val="bottom"/>
            <w:gridSpan w:val="2"/>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300" w:type="dxa"/>
            <w:vAlign w:val="bottom"/>
            <w:gridSpan w:val="3"/>
          </w:tcPr>
          <w:p>
            <w:pPr>
              <w:spacing w:after="0"/>
              <w:rPr>
                <w:sz w:val="20"/>
                <w:szCs w:val="20"/>
                <w:color w:val="auto"/>
              </w:rPr>
            </w:pPr>
            <w:r>
              <w:rPr>
                <w:rFonts w:ascii="Arial" w:cs="Arial" w:eastAsia="Arial" w:hAnsi="Arial"/>
                <w:sz w:val="18"/>
                <w:szCs w:val="18"/>
                <w:color w:val="0000EE"/>
              </w:rPr>
              <w:t>20</w:t>
            </w:r>
            <w:r>
              <w:rPr>
                <w:rFonts w:ascii="Arial" w:cs="Arial" w:eastAsia="Arial" w:hAnsi="Arial"/>
                <w:sz w:val="18"/>
                <w:szCs w:val="18"/>
                <w:color w:val="000000"/>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9"/>
              </w:rPr>
              <w:t>Role of the Board of Directors in Risk</w:t>
            </w:r>
          </w:p>
        </w:tc>
        <w:tc>
          <w:tcPr>
            <w:tcW w:w="40" w:type="dxa"/>
            <w:vAlign w:val="bottom"/>
            <w:tcBorders>
              <w:top w:val="single" w:sz="8" w:color="0000EE"/>
            </w:tcBorders>
          </w:tcPr>
          <w:p>
            <w:pPr>
              <w:spacing w:after="0"/>
              <w:rPr>
                <w:sz w:val="24"/>
                <w:szCs w:val="24"/>
                <w:color w:val="auto"/>
              </w:rPr>
            </w:pPr>
          </w:p>
        </w:tc>
        <w:tc>
          <w:tcPr>
            <w:tcW w:w="2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80" w:type="dxa"/>
            <w:vAlign w:val="bottom"/>
            <w:gridSpan w:val="10"/>
          </w:tcPr>
          <w:p>
            <w:pPr>
              <w:spacing w:after="0" w:line="196" w:lineRule="exact"/>
              <w:rPr>
                <w:sz w:val="20"/>
                <w:szCs w:val="20"/>
                <w:color w:val="auto"/>
              </w:rPr>
            </w:pPr>
            <w:r>
              <w:rPr>
                <w:rFonts w:ascii="Arial" w:cs="Arial" w:eastAsia="Arial" w:hAnsi="Arial"/>
                <w:sz w:val="18"/>
                <w:szCs w:val="18"/>
                <w:color w:val="0000EE"/>
              </w:rPr>
              <w:t>Oversight</w:t>
            </w:r>
          </w:p>
        </w:tc>
        <w:tc>
          <w:tcPr>
            <w:tcW w:w="320" w:type="dxa"/>
            <w:vAlign w:val="bottom"/>
          </w:tcPr>
          <w:p>
            <w:pPr>
              <w:ind w:left="40"/>
              <w:spacing w:after="0" w:line="196" w:lineRule="exact"/>
              <w:rPr>
                <w:sz w:val="20"/>
                <w:szCs w:val="20"/>
                <w:color w:val="auto"/>
              </w:rPr>
            </w:pPr>
            <w:r>
              <w:rPr>
                <w:rFonts w:ascii="Arial" w:cs="Arial" w:eastAsia="Arial" w:hAnsi="Arial"/>
                <w:sz w:val="18"/>
                <w:szCs w:val="18"/>
                <w:color w:val="auto"/>
              </w:rPr>
              <w:t>​ ​​</w:t>
            </w:r>
          </w:p>
        </w:tc>
        <w:tc>
          <w:tcPr>
            <w:tcW w:w="300" w:type="dxa"/>
            <w:vAlign w:val="bottom"/>
            <w:gridSpan w:val="3"/>
          </w:tcPr>
          <w:p>
            <w:pPr>
              <w:spacing w:after="0" w:line="196" w:lineRule="exact"/>
              <w:rPr>
                <w:sz w:val="20"/>
                <w:szCs w:val="20"/>
                <w:color w:val="auto"/>
              </w:rPr>
            </w:pPr>
            <w:r>
              <w:rPr>
                <w:rFonts w:ascii="Arial" w:cs="Arial" w:eastAsia="Arial" w:hAnsi="Arial"/>
                <w:sz w:val="18"/>
                <w:szCs w:val="18"/>
                <w:color w:val="0000EE"/>
              </w:rPr>
              <w:t>24</w:t>
            </w:r>
            <w:r>
              <w:rPr>
                <w:rFonts w:ascii="Arial" w:cs="Arial" w:eastAsia="Arial" w:hAnsi="Arial"/>
                <w:sz w:val="18"/>
                <w:szCs w:val="18"/>
                <w:color w:val="000000"/>
              </w:rPr>
              <w:t>​</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5"/>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gridSpan w:val="10"/>
          </w:tcPr>
          <w:p>
            <w:pPr>
              <w:spacing w:after="0"/>
              <w:rPr>
                <w:sz w:val="20"/>
                <w:szCs w:val="20"/>
                <w:color w:val="auto"/>
              </w:rPr>
            </w:pPr>
            <w:r>
              <w:rPr>
                <w:rFonts w:ascii="Arial" w:cs="Arial" w:eastAsia="Arial" w:hAnsi="Arial"/>
                <w:sz w:val="18"/>
                <w:szCs w:val="18"/>
                <w:color w:val="0000EE"/>
              </w:rPr>
              <w:t>Compensation Committee Interlocks and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1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Insider Participation</w:t>
            </w:r>
          </w:p>
        </w:tc>
        <w:tc>
          <w:tcPr>
            <w:tcW w:w="1600" w:type="dxa"/>
            <w:vAlign w:val="bottom"/>
            <w:tcBorders>
              <w:top w:val="single" w:sz="8" w:color="0000EE"/>
            </w:tcBorders>
            <w:gridSpan w:val="7"/>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ind w:left="40"/>
              <w:spacing w:after="0" w:line="196" w:lineRule="exact"/>
              <w:rPr>
                <w:sz w:val="20"/>
                <w:szCs w:val="20"/>
                <w:color w:val="auto"/>
              </w:rPr>
            </w:pPr>
            <w:r>
              <w:rPr>
                <w:rFonts w:ascii="Arial" w:cs="Arial" w:eastAsia="Arial" w:hAnsi="Arial"/>
                <w:sz w:val="18"/>
                <w:szCs w:val="18"/>
                <w:color w:val="auto"/>
              </w:rPr>
              <w:t>​ ​​</w:t>
            </w:r>
          </w:p>
        </w:tc>
        <w:tc>
          <w:tcPr>
            <w:tcW w:w="300" w:type="dxa"/>
            <w:vAlign w:val="bottom"/>
            <w:gridSpan w:val="3"/>
          </w:tcPr>
          <w:p>
            <w:pPr>
              <w:spacing w:after="0" w:line="196" w:lineRule="exact"/>
              <w:rPr>
                <w:sz w:val="20"/>
                <w:szCs w:val="20"/>
                <w:color w:val="auto"/>
              </w:rPr>
            </w:pPr>
            <w:r>
              <w:rPr>
                <w:rFonts w:ascii="Arial" w:cs="Arial" w:eastAsia="Arial" w:hAnsi="Arial"/>
                <w:sz w:val="18"/>
                <w:szCs w:val="18"/>
                <w:color w:val="0000EE"/>
              </w:rPr>
              <w:t>25</w:t>
            </w:r>
            <w:r>
              <w:rPr>
                <w:rFonts w:ascii="Arial" w:cs="Arial" w:eastAsia="Arial" w:hAnsi="Arial"/>
                <w:sz w:val="18"/>
                <w:szCs w:val="18"/>
                <w:color w:val="000000"/>
              </w:rPr>
              <w:t>​</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32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gridSpan w:val="10"/>
          </w:tcPr>
          <w:p>
            <w:pPr>
              <w:spacing w:after="0"/>
              <w:rPr>
                <w:sz w:val="20"/>
                <w:szCs w:val="20"/>
                <w:color w:val="auto"/>
              </w:rPr>
            </w:pPr>
            <w:r>
              <w:rPr>
                <w:rFonts w:ascii="Arial" w:cs="Arial" w:eastAsia="Arial" w:hAnsi="Arial"/>
                <w:sz w:val="18"/>
                <w:szCs w:val="18"/>
                <w:color w:val="0000EE"/>
              </w:rPr>
              <w:t>Certain Relationships and Related</w:t>
            </w:r>
          </w:p>
        </w:tc>
        <w:tc>
          <w:tcPr>
            <w:tcW w:w="3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7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Person Transactions</w:t>
            </w:r>
          </w:p>
        </w:tc>
        <w:tc>
          <w:tcPr>
            <w:tcW w:w="560" w:type="dxa"/>
            <w:vAlign w:val="bottom"/>
            <w:gridSpan w:val="4"/>
          </w:tcPr>
          <w:p>
            <w:pPr>
              <w:spacing w:after="0"/>
              <w:rPr>
                <w:sz w:val="18"/>
                <w:szCs w:val="18"/>
                <w:color w:val="auto"/>
              </w:rPr>
            </w:pPr>
          </w:p>
        </w:tc>
        <w:tc>
          <w:tcPr>
            <w:tcW w:w="320" w:type="dxa"/>
            <w:vAlign w:val="bottom"/>
          </w:tcPr>
          <w:p>
            <w:pPr>
              <w:ind w:left="40"/>
              <w:spacing w:after="0" w:line="196" w:lineRule="exact"/>
              <w:rPr>
                <w:sz w:val="20"/>
                <w:szCs w:val="20"/>
                <w:color w:val="auto"/>
              </w:rPr>
            </w:pPr>
            <w:r>
              <w:rPr>
                <w:rFonts w:ascii="Arial" w:cs="Arial" w:eastAsia="Arial" w:hAnsi="Arial"/>
                <w:sz w:val="18"/>
                <w:szCs w:val="18"/>
                <w:color w:val="auto"/>
              </w:rPr>
              <w:t>​ ​​</w:t>
            </w:r>
          </w:p>
        </w:tc>
        <w:tc>
          <w:tcPr>
            <w:tcW w:w="300" w:type="dxa"/>
            <w:vAlign w:val="bottom"/>
            <w:gridSpan w:val="3"/>
          </w:tcPr>
          <w:p>
            <w:pPr>
              <w:spacing w:after="0" w:line="196" w:lineRule="exact"/>
              <w:rPr>
                <w:sz w:val="20"/>
                <w:szCs w:val="20"/>
                <w:color w:val="auto"/>
              </w:rPr>
            </w:pPr>
            <w:r>
              <w:rPr>
                <w:rFonts w:ascii="Arial" w:cs="Arial" w:eastAsia="Arial" w:hAnsi="Arial"/>
                <w:sz w:val="18"/>
                <w:szCs w:val="18"/>
                <w:color w:val="0000EE"/>
              </w:rPr>
              <w:t>25</w:t>
            </w:r>
            <w:r>
              <w:rPr>
                <w:rFonts w:ascii="Arial" w:cs="Arial" w:eastAsia="Arial" w:hAnsi="Arial"/>
                <w:sz w:val="18"/>
                <w:szCs w:val="18"/>
                <w:color w:val="000000"/>
              </w:rPr>
              <w:t>​</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88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220" w:lineRule="exact"/>
        <w:rPr>
          <w:sz w:val="20"/>
          <w:szCs w:val="20"/>
          <w:color w:val="auto"/>
        </w:rPr>
      </w:pPr>
    </w:p>
    <w:p>
      <w:pPr>
        <w:ind w:left="900" w:right="1160"/>
        <w:spacing w:after="0" w:line="206" w:lineRule="auto"/>
        <w:rPr>
          <w:sz w:val="20"/>
          <w:szCs w:val="20"/>
          <w:color w:val="auto"/>
        </w:rPr>
      </w:pPr>
      <w:r>
        <w:rPr>
          <w:rFonts w:ascii="Arial" w:cs="Arial" w:eastAsia="Arial" w:hAnsi="Arial"/>
          <w:sz w:val="23"/>
          <w:szCs w:val="23"/>
          <w:u w:val="single" w:color="auto"/>
          <w:color w:val="0075A8"/>
        </w:rPr>
        <w:t xml:space="preserve">Proposal 2: Ratification of </w:t>
      </w:r>
      <w:r>
        <w:rPr>
          <w:rFonts w:ascii="Arial" w:cs="Arial" w:eastAsia="Arial" w:hAnsi="Arial"/>
          <w:sz w:val="23"/>
          <w:szCs w:val="23"/>
          <w:color w:val="0075A8"/>
        </w:rPr>
        <w:t>Independent Registered Public</w:t>
      </w:r>
    </w:p>
    <w:p>
      <w:pPr>
        <w:spacing w:after="0" w:line="21" w:lineRule="exact"/>
        <w:rPr>
          <w:sz w:val="20"/>
          <w:szCs w:val="20"/>
          <w:color w:val="auto"/>
        </w:rPr>
      </w:pPr>
    </w:p>
    <w:tbl>
      <w:tblPr>
        <w:tblLayout w:type="fixed"/>
        <w:tblInd w:w="78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860" w:type="dxa"/>
            <w:vAlign w:val="bottom"/>
            <w:shd w:val="clear" w:color="auto" w:fill="0075A8"/>
          </w:tcPr>
          <w:p>
            <w:pPr>
              <w:spacing w:after="0" w:line="20" w:lineRule="exact"/>
              <w:rPr>
                <w:sz w:val="1"/>
                <w:szCs w:val="1"/>
                <w:color w:val="auto"/>
              </w:rPr>
            </w:pPr>
          </w:p>
        </w:tc>
        <w:tc>
          <w:tcPr>
            <w:tcW w:w="460" w:type="dxa"/>
            <w:vAlign w:val="bottom"/>
            <w:shd w:val="clear" w:color="auto" w:fill="0075A8"/>
          </w:tcPr>
          <w:p>
            <w:pPr>
              <w:spacing w:after="0" w:line="20" w:lineRule="exact"/>
              <w:rPr>
                <w:sz w:val="1"/>
                <w:szCs w:val="1"/>
                <w:color w:val="auto"/>
              </w:rPr>
            </w:pPr>
          </w:p>
        </w:tc>
        <w:tc>
          <w:tcPr>
            <w:tcW w:w="1520" w:type="dxa"/>
            <w:vAlign w:val="bottom"/>
            <w:shd w:val="clear" w:color="auto" w:fill="0075A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3320" w:type="dxa"/>
            <w:vAlign w:val="bottom"/>
            <w:gridSpan w:val="5"/>
          </w:tcPr>
          <w:p>
            <w:pPr>
              <w:spacing w:after="0" w:line="203" w:lineRule="exact"/>
              <w:rPr>
                <w:sz w:val="20"/>
                <w:szCs w:val="20"/>
                <w:color w:val="auto"/>
              </w:rPr>
            </w:pPr>
            <w:r>
              <w:rPr>
                <w:rFonts w:ascii="Arial" w:cs="Arial" w:eastAsia="Arial" w:hAnsi="Arial"/>
                <w:sz w:val="23"/>
                <w:szCs w:val="23"/>
                <w:color w:val="0075A8"/>
              </w:rPr>
              <w:t>​ Accounting Firm</w:t>
            </w:r>
          </w:p>
        </w:tc>
        <w:tc>
          <w:tcPr>
            <w:tcW w:w="1160" w:type="dxa"/>
            <w:vAlign w:val="bottom"/>
            <w:gridSpan w:val="3"/>
          </w:tcPr>
          <w:p>
            <w:pPr>
              <w:ind w:left="480"/>
              <w:spacing w:after="0" w:line="203" w:lineRule="exact"/>
              <w:rPr>
                <w:sz w:val="20"/>
                <w:szCs w:val="20"/>
                <w:color w:val="auto"/>
              </w:rPr>
            </w:pPr>
            <w:r>
              <w:rPr>
                <w:rFonts w:ascii="Arial" w:cs="Arial" w:eastAsia="Arial" w:hAnsi="Arial"/>
                <w:sz w:val="23"/>
                <w:szCs w:val="23"/>
                <w:color w:val="0075A8"/>
              </w:rPr>
              <w:t>​ ​​26​ ​</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860" w:type="dxa"/>
            <w:vAlign w:val="bottom"/>
            <w:shd w:val="clear" w:color="auto" w:fill="0075A8"/>
          </w:tcPr>
          <w:p>
            <w:pPr>
              <w:spacing w:after="0" w:line="20" w:lineRule="exact"/>
              <w:rPr>
                <w:sz w:val="1"/>
                <w:szCs w:val="1"/>
                <w:color w:val="auto"/>
              </w:rPr>
            </w:pPr>
          </w:p>
        </w:tc>
        <w:tc>
          <w:tcPr>
            <w:tcW w:w="460" w:type="dxa"/>
            <w:vAlign w:val="bottom"/>
            <w:shd w:val="clear" w:color="auto" w:fill="0075A8"/>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Borders>
              <w:right w:val="single" w:sz="8" w:color="0075A8"/>
            </w:tcBorders>
          </w:tcPr>
          <w:p>
            <w:pPr>
              <w:spacing w:after="0" w:line="20" w:lineRule="exact"/>
              <w:rPr>
                <w:sz w:val="1"/>
                <w:szCs w:val="1"/>
                <w:color w:val="auto"/>
              </w:rPr>
            </w:pPr>
          </w:p>
        </w:tc>
        <w:tc>
          <w:tcPr>
            <w:tcW w:w="200" w:type="dxa"/>
            <w:vAlign w:val="bottom"/>
            <w:shd w:val="clear" w:color="auto" w:fill="0075A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0000EE"/>
                <w:w w:val="97"/>
              </w:rPr>
              <w:t>Audit Fees</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60" w:type="dxa"/>
            <w:vAlign w:val="bottom"/>
            <w:gridSpan w:val="3"/>
          </w:tcPr>
          <w:p>
            <w:pPr>
              <w:ind w:left="4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27</w:t>
            </w:r>
            <w:r>
              <w:rPr>
                <w:rFonts w:ascii="Arial" w:cs="Arial" w:eastAsia="Arial" w:hAnsi="Arial"/>
                <w:sz w:val="18"/>
                <w:szCs w:val="18"/>
                <w:color w:val="auto"/>
              </w:rPr>
              <w:t>​ ​</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20" w:type="dxa"/>
            <w:vAlign w:val="bottom"/>
          </w:tcPr>
          <w:p>
            <w:pPr>
              <w:spacing w:after="0"/>
              <w:rPr>
                <w:sz w:val="22"/>
                <w:szCs w:val="22"/>
                <w:color w:val="auto"/>
              </w:rPr>
            </w:pPr>
          </w:p>
        </w:tc>
        <w:tc>
          <w:tcPr>
            <w:tcW w:w="3660" w:type="dxa"/>
            <w:vAlign w:val="bottom"/>
            <w:gridSpan w:val="18"/>
          </w:tcPr>
          <w:p>
            <w:pPr>
              <w:spacing w:after="0"/>
              <w:rPr>
                <w:sz w:val="20"/>
                <w:szCs w:val="20"/>
                <w:color w:val="auto"/>
              </w:rPr>
            </w:pPr>
            <w:r>
              <w:rPr>
                <w:rFonts w:ascii="Arial" w:cs="Arial" w:eastAsia="Arial" w:hAnsi="Arial"/>
                <w:sz w:val="23"/>
                <w:szCs w:val="23"/>
                <w:color w:val="0075A8"/>
              </w:rPr>
              <w:t>Compensation Committee</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line="190" w:lineRule="exact"/>
              <w:rPr>
                <w:sz w:val="20"/>
                <w:szCs w:val="20"/>
                <w:color w:val="auto"/>
              </w:rPr>
            </w:pPr>
            <w:r>
              <w:rPr>
                <w:rFonts w:ascii="Arial" w:cs="Arial" w:eastAsia="Arial" w:hAnsi="Arial"/>
                <w:sz w:val="21"/>
                <w:szCs w:val="21"/>
                <w:color w:val="0075A8"/>
              </w:rPr>
              <w:t>​</w:t>
            </w:r>
          </w:p>
        </w:tc>
        <w:tc>
          <w:tcPr>
            <w:tcW w:w="820" w:type="dxa"/>
            <w:vAlign w:val="bottom"/>
            <w:tcBorders>
              <w:top w:val="single" w:sz="8" w:color="0075A8"/>
              <w:bottom w:val="single" w:sz="8" w:color="0075A8"/>
            </w:tcBorders>
            <w:gridSpan w:val="3"/>
          </w:tcPr>
          <w:p>
            <w:pPr>
              <w:spacing w:after="0" w:line="195" w:lineRule="exact"/>
              <w:rPr>
                <w:sz w:val="20"/>
                <w:szCs w:val="20"/>
                <w:color w:val="auto"/>
              </w:rPr>
            </w:pPr>
            <w:r>
              <w:rPr>
                <w:rFonts w:ascii="Arial" w:cs="Arial" w:eastAsia="Arial" w:hAnsi="Arial"/>
                <w:sz w:val="22"/>
                <w:szCs w:val="22"/>
                <w:color w:val="0075A8"/>
              </w:rPr>
              <w:t>Report</w:t>
            </w:r>
          </w:p>
        </w:tc>
        <w:tc>
          <w:tcPr>
            <w:tcW w:w="1940" w:type="dxa"/>
            <w:vAlign w:val="bottom"/>
            <w:tcBorders>
              <w:top w:val="single" w:sz="8" w:color="0075A8"/>
            </w:tcBorders>
            <w:gridSpan w:val="5"/>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ind w:left="40"/>
              <w:spacing w:after="0" w:line="190" w:lineRule="exact"/>
              <w:rPr>
                <w:sz w:val="20"/>
                <w:szCs w:val="20"/>
                <w:color w:val="auto"/>
              </w:rPr>
            </w:pPr>
            <w:r>
              <w:rPr>
                <w:rFonts w:ascii="Arial" w:cs="Arial" w:eastAsia="Arial" w:hAnsi="Arial"/>
                <w:sz w:val="21"/>
                <w:szCs w:val="21"/>
                <w:color w:val="0075A8"/>
              </w:rPr>
              <w:t>​ ​​58​ ​</w:t>
            </w:r>
          </w:p>
        </w:tc>
        <w:tc>
          <w:tcPr>
            <w:tcW w:w="0" w:type="dxa"/>
            <w:vAlign w:val="bottom"/>
          </w:tcPr>
          <w:p>
            <w:pPr>
              <w:spacing w:after="0"/>
              <w:rPr>
                <w:sz w:val="1"/>
                <w:szCs w:val="1"/>
                <w:color w:val="auto"/>
              </w:rPr>
            </w:pPr>
          </w:p>
        </w:tc>
      </w:tr>
      <w:tr>
        <w:trPr>
          <w:trHeight w:val="419"/>
        </w:trPr>
        <w:tc>
          <w:tcPr>
            <w:tcW w:w="120" w:type="dxa"/>
            <w:vAlign w:val="bottom"/>
          </w:tcPr>
          <w:p>
            <w:pPr>
              <w:spacing w:after="0"/>
              <w:rPr>
                <w:sz w:val="24"/>
                <w:szCs w:val="24"/>
                <w:color w:val="auto"/>
              </w:rPr>
            </w:pPr>
          </w:p>
        </w:tc>
        <w:tc>
          <w:tcPr>
            <w:tcW w:w="3660" w:type="dxa"/>
            <w:vAlign w:val="bottom"/>
            <w:gridSpan w:val="18"/>
          </w:tcPr>
          <w:p>
            <w:pPr>
              <w:spacing w:after="0"/>
              <w:rPr>
                <w:sz w:val="20"/>
                <w:szCs w:val="20"/>
                <w:color w:val="auto"/>
              </w:rPr>
            </w:pPr>
            <w:r>
              <w:rPr>
                <w:rFonts w:ascii="Arial" w:cs="Arial" w:eastAsia="Arial" w:hAnsi="Arial"/>
                <w:sz w:val="23"/>
                <w:szCs w:val="23"/>
                <w:color w:val="0075A8"/>
              </w:rPr>
              <w:t>Proposal 4: Advisory Vote on the</w:t>
            </w:r>
          </w:p>
        </w:tc>
        <w:tc>
          <w:tcPr>
            <w:tcW w:w="320" w:type="dxa"/>
            <w:vAlign w:val="bottom"/>
          </w:tcPr>
          <w:p>
            <w:pPr>
              <w:spacing w:after="0"/>
              <w:rPr>
                <w:sz w:val="24"/>
                <w:szCs w:val="24"/>
                <w:color w:val="auto"/>
              </w:rPr>
            </w:pPr>
          </w:p>
        </w:tc>
        <w:tc>
          <w:tcPr>
            <w:tcW w:w="200" w:type="dxa"/>
            <w:vAlign w:val="bottom"/>
            <w:tcBorders>
              <w:top w:val="single" w:sz="8" w:color="0075A8"/>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400" w:type="dxa"/>
            <w:vAlign w:val="bottom"/>
            <w:tcBorders>
              <w:top w:val="single" w:sz="8" w:color="0075A8"/>
            </w:tcBorders>
            <w:gridSpan w:val="13"/>
          </w:tcPr>
          <w:p>
            <w:pPr>
              <w:spacing w:after="0" w:line="210" w:lineRule="exact"/>
              <w:rPr>
                <w:sz w:val="20"/>
                <w:szCs w:val="20"/>
                <w:color w:val="auto"/>
              </w:rPr>
            </w:pPr>
            <w:r>
              <w:rPr>
                <w:rFonts w:ascii="Arial" w:cs="Arial" w:eastAsia="Arial" w:hAnsi="Arial"/>
                <w:sz w:val="23"/>
                <w:szCs w:val="23"/>
                <w:color w:val="0075A8"/>
              </w:rPr>
              <w:t>Frequency of Future Advisory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440" w:type="dxa"/>
            <w:vAlign w:val="bottom"/>
            <w:shd w:val="clear" w:color="auto" w:fill="0075A8"/>
          </w:tcPr>
          <w:p>
            <w:pPr>
              <w:spacing w:after="0" w:line="20" w:lineRule="exact"/>
              <w:rPr>
                <w:sz w:val="1"/>
                <w:szCs w:val="1"/>
                <w:color w:val="auto"/>
              </w:rPr>
            </w:pPr>
          </w:p>
        </w:tc>
        <w:tc>
          <w:tcPr>
            <w:tcW w:w="1340" w:type="dxa"/>
            <w:vAlign w:val="bottom"/>
            <w:gridSpan w:val="2"/>
            <w:shd w:val="clear" w:color="auto" w:fill="0075A8"/>
          </w:tcPr>
          <w:p>
            <w:pPr>
              <w:spacing w:after="0" w:line="20" w:lineRule="exact"/>
              <w:rPr>
                <w:sz w:val="1"/>
                <w:szCs w:val="1"/>
                <w:color w:val="auto"/>
              </w:rPr>
            </w:pPr>
          </w:p>
        </w:tc>
        <w:tc>
          <w:tcPr>
            <w:tcW w:w="220" w:type="dxa"/>
            <w:vAlign w:val="bottom"/>
            <w:tcBorders>
              <w:right w:val="single" w:sz="8" w:color="0075A8"/>
            </w:tcBorders>
            <w:shd w:val="clear" w:color="auto" w:fill="0075A8"/>
          </w:tcPr>
          <w:p>
            <w:pPr>
              <w:spacing w:after="0" w:line="20" w:lineRule="exact"/>
              <w:rPr>
                <w:sz w:val="1"/>
                <w:szCs w:val="1"/>
                <w:color w:val="auto"/>
              </w:rPr>
            </w:pPr>
          </w:p>
        </w:tc>
        <w:tc>
          <w:tcPr>
            <w:tcW w:w="260" w:type="dxa"/>
            <w:vAlign w:val="bottom"/>
            <w:tcBorders>
              <w:left w:val="single" w:sz="8" w:color="0075A8"/>
            </w:tcBorders>
            <w:shd w:val="clear" w:color="auto" w:fill="0075A8"/>
          </w:tcPr>
          <w:p>
            <w:pPr>
              <w:spacing w:after="0" w:line="20" w:lineRule="exact"/>
              <w:rPr>
                <w:sz w:val="1"/>
                <w:szCs w:val="1"/>
                <w:color w:val="auto"/>
              </w:rPr>
            </w:pPr>
          </w:p>
        </w:tc>
        <w:tc>
          <w:tcPr>
            <w:tcW w:w="60" w:type="dxa"/>
            <w:vAlign w:val="bottom"/>
            <w:shd w:val="clear" w:color="auto" w:fill="0075A8"/>
          </w:tcPr>
          <w:p>
            <w:pPr>
              <w:spacing w:after="0" w:line="20" w:lineRule="exact"/>
              <w:rPr>
                <w:sz w:val="1"/>
                <w:szCs w:val="1"/>
                <w:color w:val="auto"/>
              </w:rPr>
            </w:pPr>
          </w:p>
        </w:tc>
        <w:tc>
          <w:tcPr>
            <w:tcW w:w="260" w:type="dxa"/>
            <w:vAlign w:val="bottom"/>
            <w:gridSpan w:val="2"/>
            <w:shd w:val="clear" w:color="auto" w:fill="0075A8"/>
          </w:tcPr>
          <w:p>
            <w:pPr>
              <w:spacing w:after="0" w:line="20" w:lineRule="exact"/>
              <w:rPr>
                <w:sz w:val="1"/>
                <w:szCs w:val="1"/>
                <w:color w:val="auto"/>
              </w:rPr>
            </w:pPr>
          </w:p>
        </w:tc>
        <w:tc>
          <w:tcPr>
            <w:tcW w:w="120" w:type="dxa"/>
            <w:vAlign w:val="bottom"/>
            <w:shd w:val="clear" w:color="auto" w:fill="0075A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3660" w:type="dxa"/>
            <w:vAlign w:val="bottom"/>
            <w:gridSpan w:val="18"/>
          </w:tcPr>
          <w:p>
            <w:pPr>
              <w:spacing w:after="0" w:line="223" w:lineRule="exact"/>
              <w:rPr>
                <w:sz w:val="20"/>
                <w:szCs w:val="20"/>
                <w:color w:val="auto"/>
              </w:rPr>
            </w:pPr>
            <w:r>
              <w:rPr>
                <w:rFonts w:ascii="Arial" w:cs="Arial" w:eastAsia="Arial" w:hAnsi="Arial"/>
                <w:sz w:val="23"/>
                <w:szCs w:val="23"/>
                <w:color w:val="0075A8"/>
              </w:rPr>
              <w:t>Votes on the Compensation of Our</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580" w:type="dxa"/>
            <w:vAlign w:val="bottom"/>
            <w:tcBorders>
              <w:top w:val="single" w:sz="8" w:color="0075A8"/>
            </w:tcBorders>
            <w:gridSpan w:val="16"/>
          </w:tcPr>
          <w:p>
            <w:pPr>
              <w:spacing w:after="0" w:line="210" w:lineRule="exact"/>
              <w:rPr>
                <w:sz w:val="20"/>
                <w:szCs w:val="20"/>
                <w:color w:val="auto"/>
              </w:rPr>
            </w:pPr>
            <w:r>
              <w:rPr>
                <w:rFonts w:ascii="Arial" w:cs="Arial" w:eastAsia="Arial" w:hAnsi="Arial"/>
                <w:sz w:val="23"/>
                <w:szCs w:val="23"/>
                <w:color w:val="0075A8"/>
              </w:rPr>
              <w:t>Named Executive Officers (“Say-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line="190" w:lineRule="exact"/>
              <w:rPr>
                <w:sz w:val="20"/>
                <w:szCs w:val="20"/>
                <w:color w:val="auto"/>
              </w:rPr>
            </w:pPr>
            <w:r>
              <w:rPr>
                <w:rFonts w:ascii="Arial" w:cs="Arial" w:eastAsia="Arial" w:hAnsi="Arial"/>
                <w:sz w:val="21"/>
                <w:szCs w:val="21"/>
                <w:color w:val="0075A8"/>
              </w:rPr>
              <w:t>​</w:t>
            </w:r>
          </w:p>
        </w:tc>
        <w:tc>
          <w:tcPr>
            <w:tcW w:w="2140" w:type="dxa"/>
            <w:vAlign w:val="bottom"/>
            <w:tcBorders>
              <w:top w:val="single" w:sz="8" w:color="0075A8"/>
              <w:bottom w:val="single" w:sz="8" w:color="0075A8"/>
            </w:tcBorders>
            <w:gridSpan w:val="4"/>
          </w:tcPr>
          <w:p>
            <w:pPr>
              <w:spacing w:after="0" w:line="195" w:lineRule="exact"/>
              <w:rPr>
                <w:sz w:val="20"/>
                <w:szCs w:val="20"/>
                <w:color w:val="auto"/>
              </w:rPr>
            </w:pPr>
            <w:r>
              <w:rPr>
                <w:rFonts w:ascii="Arial" w:cs="Arial" w:eastAsia="Arial" w:hAnsi="Arial"/>
                <w:sz w:val="22"/>
                <w:szCs w:val="22"/>
                <w:color w:val="0075A8"/>
              </w:rPr>
              <w:t>on-Frequency” Vote)</w:t>
            </w:r>
          </w:p>
        </w:tc>
        <w:tc>
          <w:tcPr>
            <w:tcW w:w="1280" w:type="dxa"/>
            <w:vAlign w:val="bottom"/>
            <w:tcBorders>
              <w:top w:val="single" w:sz="8" w:color="0075A8"/>
            </w:tcBorders>
            <w:gridSpan w:val="10"/>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ind w:left="40"/>
              <w:spacing w:after="0" w:line="190" w:lineRule="exact"/>
              <w:rPr>
                <w:sz w:val="20"/>
                <w:szCs w:val="20"/>
                <w:color w:val="auto"/>
              </w:rPr>
            </w:pPr>
            <w:r>
              <w:rPr>
                <w:rFonts w:ascii="Arial" w:cs="Arial" w:eastAsia="Arial" w:hAnsi="Arial"/>
                <w:sz w:val="21"/>
                <w:szCs w:val="21"/>
                <w:color w:val="0075A8"/>
              </w:rPr>
              <w:t>​ ​​59​ ​</w:t>
            </w:r>
          </w:p>
        </w:tc>
        <w:tc>
          <w:tcPr>
            <w:tcW w:w="0" w:type="dxa"/>
            <w:vAlign w:val="bottom"/>
          </w:tcPr>
          <w:p>
            <w:pPr>
              <w:spacing w:after="0"/>
              <w:rPr>
                <w:sz w:val="1"/>
                <w:szCs w:val="1"/>
                <w:color w:val="auto"/>
              </w:rPr>
            </w:pPr>
          </w:p>
        </w:tc>
      </w:tr>
      <w:tr>
        <w:trPr>
          <w:trHeight w:val="419"/>
        </w:trPr>
        <w:tc>
          <w:tcPr>
            <w:tcW w:w="120" w:type="dxa"/>
            <w:vAlign w:val="bottom"/>
          </w:tcPr>
          <w:p>
            <w:pPr>
              <w:spacing w:after="0"/>
              <w:rPr>
                <w:sz w:val="24"/>
                <w:szCs w:val="24"/>
                <w:color w:val="auto"/>
              </w:rPr>
            </w:pPr>
          </w:p>
        </w:tc>
        <w:tc>
          <w:tcPr>
            <w:tcW w:w="3660" w:type="dxa"/>
            <w:vAlign w:val="bottom"/>
            <w:gridSpan w:val="18"/>
          </w:tcPr>
          <w:p>
            <w:pPr>
              <w:spacing w:after="0"/>
              <w:rPr>
                <w:sz w:val="20"/>
                <w:szCs w:val="20"/>
                <w:color w:val="auto"/>
              </w:rPr>
            </w:pPr>
            <w:r>
              <w:rPr>
                <w:rFonts w:ascii="Arial" w:cs="Arial" w:eastAsia="Arial" w:hAnsi="Arial"/>
                <w:sz w:val="23"/>
                <w:szCs w:val="23"/>
                <w:color w:val="0075A8"/>
              </w:rPr>
              <w:t>Proposal 5: Approval of</w:t>
            </w:r>
          </w:p>
        </w:tc>
        <w:tc>
          <w:tcPr>
            <w:tcW w:w="320" w:type="dxa"/>
            <w:vAlign w:val="bottom"/>
          </w:tcPr>
          <w:p>
            <w:pPr>
              <w:spacing w:after="0"/>
              <w:rPr>
                <w:sz w:val="24"/>
                <w:szCs w:val="24"/>
                <w:color w:val="auto"/>
              </w:rPr>
            </w:pPr>
          </w:p>
        </w:tc>
        <w:tc>
          <w:tcPr>
            <w:tcW w:w="200" w:type="dxa"/>
            <w:vAlign w:val="bottom"/>
            <w:tcBorders>
              <w:top w:val="single" w:sz="8" w:color="0075A8"/>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440" w:type="dxa"/>
            <w:vAlign w:val="bottom"/>
            <w:shd w:val="clear" w:color="auto" w:fill="0075A8"/>
          </w:tcPr>
          <w:p>
            <w:pPr>
              <w:spacing w:after="0" w:line="20" w:lineRule="exact"/>
              <w:rPr>
                <w:sz w:val="1"/>
                <w:szCs w:val="1"/>
                <w:color w:val="auto"/>
              </w:rPr>
            </w:pPr>
          </w:p>
        </w:tc>
        <w:tc>
          <w:tcPr>
            <w:tcW w:w="1560" w:type="dxa"/>
            <w:vAlign w:val="bottom"/>
            <w:tcBorders>
              <w:right w:val="single" w:sz="8" w:color="0075A8"/>
            </w:tcBorders>
            <w:gridSpan w:val="3"/>
            <w:shd w:val="clear" w:color="auto" w:fill="0075A8"/>
          </w:tcPr>
          <w:p>
            <w:pPr>
              <w:spacing w:after="0" w:line="20" w:lineRule="exact"/>
              <w:rPr>
                <w:sz w:val="1"/>
                <w:szCs w:val="1"/>
                <w:color w:val="auto"/>
              </w:rPr>
            </w:pPr>
          </w:p>
        </w:tc>
        <w:tc>
          <w:tcPr>
            <w:tcW w:w="260" w:type="dxa"/>
            <w:vAlign w:val="bottom"/>
            <w:tcBorders>
              <w:left w:val="single" w:sz="8" w:color="0075A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140" w:type="dxa"/>
            <w:vAlign w:val="bottom"/>
            <w:tcBorders>
              <w:bottom w:val="single" w:sz="8" w:color="0075A8"/>
            </w:tcBorders>
            <w:gridSpan w:val="11"/>
          </w:tcPr>
          <w:p>
            <w:pPr>
              <w:spacing w:after="0" w:line="210" w:lineRule="exact"/>
              <w:rPr>
                <w:sz w:val="20"/>
                <w:szCs w:val="20"/>
                <w:color w:val="auto"/>
              </w:rPr>
            </w:pPr>
            <w:r>
              <w:rPr>
                <w:rFonts w:ascii="Arial" w:cs="Arial" w:eastAsia="Arial" w:hAnsi="Arial"/>
                <w:sz w:val="23"/>
                <w:szCs w:val="23"/>
                <w:color w:val="0075A8"/>
              </w:rPr>
              <w:t>Amendment to the Company's</w:t>
            </w:r>
          </w:p>
        </w:tc>
        <w:tc>
          <w:tcPr>
            <w:tcW w:w="520" w:type="dxa"/>
            <w:vAlign w:val="bottom"/>
            <w:gridSpan w:val="7"/>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660" w:type="dxa"/>
            <w:vAlign w:val="bottom"/>
            <w:gridSpan w:val="18"/>
          </w:tcPr>
          <w:p>
            <w:pPr>
              <w:spacing w:after="0" w:line="223" w:lineRule="exact"/>
              <w:rPr>
                <w:sz w:val="20"/>
                <w:szCs w:val="20"/>
                <w:color w:val="auto"/>
              </w:rPr>
            </w:pPr>
            <w:r>
              <w:rPr>
                <w:rFonts w:ascii="Arial" w:cs="Arial" w:eastAsia="Arial" w:hAnsi="Arial"/>
                <w:sz w:val="23"/>
                <w:szCs w:val="23"/>
                <w:color w:val="0075A8"/>
              </w:rPr>
              <w:t>Restated Certificate of</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360" w:type="dxa"/>
            <w:vAlign w:val="bottom"/>
            <w:tcBorders>
              <w:top w:val="single" w:sz="8" w:color="0075A8"/>
            </w:tcBorders>
            <w:gridSpan w:val="5"/>
          </w:tcPr>
          <w:p>
            <w:pPr>
              <w:spacing w:after="0" w:line="210" w:lineRule="exact"/>
              <w:rPr>
                <w:sz w:val="20"/>
                <w:szCs w:val="20"/>
                <w:color w:val="auto"/>
              </w:rPr>
            </w:pPr>
            <w:r>
              <w:rPr>
                <w:rFonts w:ascii="Arial" w:cs="Arial" w:eastAsia="Arial" w:hAnsi="Arial"/>
                <w:sz w:val="23"/>
                <w:szCs w:val="23"/>
                <w:color w:val="0075A8"/>
                <w:w w:val="97"/>
              </w:rPr>
              <w:t>Incorporation to Reflect</w:t>
            </w:r>
          </w:p>
        </w:tc>
        <w:tc>
          <w:tcPr>
            <w:tcW w:w="1300" w:type="dxa"/>
            <w:vAlign w:val="bottom"/>
            <w:gridSpan w:val="13"/>
          </w:tcPr>
          <w:p>
            <w:pPr>
              <w:ind w:left="120"/>
              <w:spacing w:after="0" w:line="210" w:lineRule="exact"/>
              <w:rPr>
                <w:sz w:val="20"/>
                <w:szCs w:val="20"/>
                <w:color w:val="auto"/>
              </w:rPr>
            </w:pPr>
            <w:r>
              <w:rPr>
                <w:rFonts w:ascii="Arial" w:cs="Arial" w:eastAsia="Arial" w:hAnsi="Arial"/>
                <w:sz w:val="23"/>
                <w:szCs w:val="23"/>
                <w:color w:val="0075A8"/>
              </w:rPr>
              <w:t>New</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940" w:type="dxa"/>
            <w:vAlign w:val="bottom"/>
            <w:tcBorders>
              <w:top w:val="single" w:sz="8" w:color="0075A8"/>
            </w:tcBorders>
            <w:gridSpan w:val="9"/>
          </w:tcPr>
          <w:p>
            <w:pPr>
              <w:spacing w:after="0" w:line="210" w:lineRule="exact"/>
              <w:rPr>
                <w:sz w:val="20"/>
                <w:szCs w:val="20"/>
                <w:color w:val="auto"/>
              </w:rPr>
            </w:pPr>
            <w:r>
              <w:rPr>
                <w:rFonts w:ascii="Arial" w:cs="Arial" w:eastAsia="Arial" w:hAnsi="Arial"/>
                <w:sz w:val="23"/>
                <w:szCs w:val="23"/>
                <w:color w:val="0075A8"/>
              </w:rPr>
              <w:t>Delaware Law Provisions</w:t>
            </w:r>
          </w:p>
        </w:tc>
        <w:tc>
          <w:tcPr>
            <w:tcW w:w="340" w:type="dxa"/>
            <w:vAlign w:val="bottom"/>
            <w:gridSpan w:val="3"/>
          </w:tcPr>
          <w:p>
            <w:pPr>
              <w:spacing w:after="0"/>
              <w:rPr>
                <w:sz w:val="18"/>
                <w:szCs w:val="18"/>
                <w:color w:val="auto"/>
              </w:rPr>
            </w:pPr>
          </w:p>
        </w:tc>
        <w:tc>
          <w:tcPr>
            <w:tcW w:w="240" w:type="dxa"/>
            <w:vAlign w:val="bottom"/>
            <w:gridSpan w:val="3"/>
          </w:tcPr>
          <w:p>
            <w:pPr>
              <w:spacing w:after="0"/>
              <w:rPr>
                <w:sz w:val="18"/>
                <w:szCs w:val="18"/>
                <w:color w:val="auto"/>
              </w:rPr>
            </w:pPr>
          </w:p>
        </w:tc>
        <w:tc>
          <w:tcPr>
            <w:tcW w:w="1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620" w:type="dxa"/>
            <w:vAlign w:val="bottom"/>
            <w:tcBorders>
              <w:top w:val="single" w:sz="8" w:color="0075A8"/>
              <w:bottom w:val="single" w:sz="8" w:color="0075A8"/>
            </w:tcBorders>
            <w:gridSpan w:val="6"/>
          </w:tcPr>
          <w:p>
            <w:pPr>
              <w:spacing w:after="0" w:line="210" w:lineRule="exact"/>
              <w:rPr>
                <w:sz w:val="20"/>
                <w:szCs w:val="20"/>
                <w:color w:val="auto"/>
              </w:rPr>
            </w:pPr>
            <w:r>
              <w:rPr>
                <w:rFonts w:ascii="Arial" w:cs="Arial" w:eastAsia="Arial" w:hAnsi="Arial"/>
                <w:sz w:val="23"/>
                <w:szCs w:val="23"/>
                <w:color w:val="0075A8"/>
              </w:rPr>
              <w:t>Regarding Exculpation of</w:t>
            </w:r>
          </w:p>
        </w:tc>
        <w:tc>
          <w:tcPr>
            <w:tcW w:w="60" w:type="dxa"/>
            <w:vAlign w:val="bottom"/>
            <w:tcBorders>
              <w:bottom w:val="single" w:sz="8" w:color="0075A8"/>
            </w:tcBorders>
          </w:tcPr>
          <w:p>
            <w:pPr>
              <w:spacing w:after="0"/>
              <w:rPr>
                <w:sz w:val="18"/>
                <w:szCs w:val="18"/>
                <w:color w:val="auto"/>
              </w:rPr>
            </w:pPr>
          </w:p>
        </w:tc>
        <w:tc>
          <w:tcPr>
            <w:tcW w:w="600" w:type="dxa"/>
            <w:vAlign w:val="bottom"/>
            <w:gridSpan w:val="5"/>
          </w:tcPr>
          <w:p>
            <w:pPr>
              <w:spacing w:after="0"/>
              <w:rPr>
                <w:sz w:val="18"/>
                <w:szCs w:val="18"/>
                <w:color w:val="auto"/>
              </w:rPr>
            </w:pPr>
          </w:p>
        </w:tc>
        <w:tc>
          <w:tcPr>
            <w:tcW w:w="240" w:type="dxa"/>
            <w:vAlign w:val="bottom"/>
            <w:gridSpan w:val="3"/>
          </w:tcPr>
          <w:p>
            <w:pPr>
              <w:spacing w:after="0"/>
              <w:rPr>
                <w:sz w:val="18"/>
                <w:szCs w:val="18"/>
                <w:color w:val="auto"/>
              </w:rPr>
            </w:pPr>
          </w:p>
        </w:tc>
        <w:tc>
          <w:tcPr>
            <w:tcW w:w="1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23"/>
                <w:szCs w:val="23"/>
                <w:color w:val="0075A8"/>
              </w:rPr>
              <w:t>​ ​​60​ ​</w:t>
            </w:r>
          </w:p>
        </w:tc>
        <w:tc>
          <w:tcPr>
            <w:tcW w:w="0" w:type="dxa"/>
            <w:vAlign w:val="bottom"/>
          </w:tcPr>
          <w:p>
            <w:pPr>
              <w:spacing w:after="0"/>
              <w:rPr>
                <w:sz w:val="1"/>
                <w:szCs w:val="1"/>
                <w:color w:val="auto"/>
              </w:rPr>
            </w:pPr>
          </w:p>
        </w:tc>
      </w:tr>
      <w:tr>
        <w:trPr>
          <w:trHeight w:val="223"/>
        </w:trPr>
        <w:tc>
          <w:tcPr>
            <w:tcW w:w="3780" w:type="dxa"/>
            <w:vAlign w:val="bottom"/>
            <w:gridSpan w:val="19"/>
          </w:tcPr>
          <w:p>
            <w:pPr>
              <w:spacing w:after="0" w:line="223" w:lineRule="exact"/>
              <w:rPr>
                <w:sz w:val="20"/>
                <w:szCs w:val="20"/>
                <w:color w:val="auto"/>
              </w:rPr>
            </w:pPr>
            <w:r>
              <w:rPr>
                <w:rFonts w:ascii="Arial" w:cs="Arial" w:eastAsia="Arial" w:hAnsi="Arial"/>
                <w:sz w:val="23"/>
                <w:szCs w:val="23"/>
                <w:color w:val="0075A8"/>
              </w:rPr>
              <w:t>​ Officers</w:t>
            </w:r>
          </w:p>
        </w:tc>
        <w:tc>
          <w:tcPr>
            <w:tcW w:w="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75A8"/>
          </w:tcPr>
          <w:p>
            <w:pPr>
              <w:spacing w:after="0" w:line="20" w:lineRule="exact"/>
              <w:rPr>
                <w:sz w:val="1"/>
                <w:szCs w:val="1"/>
                <w:color w:val="auto"/>
              </w:rPr>
            </w:pPr>
          </w:p>
        </w:tc>
        <w:tc>
          <w:tcPr>
            <w:tcW w:w="440" w:type="dxa"/>
            <w:vAlign w:val="bottom"/>
            <w:shd w:val="clear" w:color="auto" w:fill="0075A8"/>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75A8"/>
            </w:tcBorders>
          </w:tcPr>
          <w:p>
            <w:pPr>
              <w:spacing w:after="0" w:line="20" w:lineRule="exact"/>
              <w:rPr>
                <w:sz w:val="1"/>
                <w:szCs w:val="1"/>
                <w:color w:val="auto"/>
              </w:rPr>
            </w:pPr>
          </w:p>
        </w:tc>
        <w:tc>
          <w:tcPr>
            <w:tcW w:w="200" w:type="dxa"/>
            <w:vAlign w:val="bottom"/>
            <w:shd w:val="clear" w:color="auto" w:fill="0075A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20" w:type="dxa"/>
            <w:vAlign w:val="bottom"/>
          </w:tcPr>
          <w:p>
            <w:pPr>
              <w:spacing w:after="0"/>
              <w:rPr>
                <w:sz w:val="24"/>
                <w:szCs w:val="24"/>
                <w:color w:val="auto"/>
              </w:rPr>
            </w:pPr>
          </w:p>
        </w:tc>
        <w:tc>
          <w:tcPr>
            <w:tcW w:w="3660" w:type="dxa"/>
            <w:vAlign w:val="bottom"/>
            <w:gridSpan w:val="18"/>
          </w:tcPr>
          <w:p>
            <w:pPr>
              <w:spacing w:after="0"/>
              <w:rPr>
                <w:sz w:val="20"/>
                <w:szCs w:val="20"/>
                <w:color w:val="auto"/>
              </w:rPr>
            </w:pPr>
            <w:r>
              <w:rPr>
                <w:rFonts w:ascii="Arial" w:cs="Arial" w:eastAsia="Arial" w:hAnsi="Arial"/>
                <w:sz w:val="23"/>
                <w:szCs w:val="23"/>
                <w:color w:val="0075A8"/>
              </w:rPr>
              <w:t>Proposal 6: Stockholder Proposal</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line="190" w:lineRule="exact"/>
              <w:rPr>
                <w:sz w:val="20"/>
                <w:szCs w:val="20"/>
                <w:color w:val="auto"/>
              </w:rPr>
            </w:pPr>
            <w:r>
              <w:rPr>
                <w:rFonts w:ascii="Arial" w:cs="Arial" w:eastAsia="Arial" w:hAnsi="Arial"/>
                <w:sz w:val="21"/>
                <w:szCs w:val="21"/>
                <w:color w:val="0075A8"/>
              </w:rPr>
              <w:t>​</w:t>
            </w:r>
          </w:p>
        </w:tc>
        <w:tc>
          <w:tcPr>
            <w:tcW w:w="3280" w:type="dxa"/>
            <w:vAlign w:val="bottom"/>
            <w:tcBorders>
              <w:top w:val="single" w:sz="8" w:color="0075A8"/>
              <w:bottom w:val="single" w:sz="8" w:color="0075A8"/>
            </w:tcBorders>
            <w:gridSpan w:val="12"/>
          </w:tcPr>
          <w:p>
            <w:pPr>
              <w:spacing w:after="0" w:line="195" w:lineRule="exact"/>
              <w:rPr>
                <w:sz w:val="20"/>
                <w:szCs w:val="20"/>
                <w:color w:val="auto"/>
              </w:rPr>
            </w:pPr>
            <w:r>
              <w:rPr>
                <w:rFonts w:ascii="Arial" w:cs="Arial" w:eastAsia="Arial" w:hAnsi="Arial"/>
                <w:sz w:val="22"/>
                <w:szCs w:val="22"/>
                <w:color w:val="0075A8"/>
              </w:rPr>
              <w:t>Regarding Simple Majority Vote</w:t>
            </w:r>
          </w:p>
        </w:tc>
        <w:tc>
          <w:tcPr>
            <w:tcW w:w="360" w:type="dxa"/>
            <w:vAlign w:val="bottom"/>
            <w:tcBorders>
              <w:top w:val="single" w:sz="8" w:color="0075A8"/>
            </w:tcBorders>
            <w:gridSpan w:val="5"/>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ind w:left="40"/>
              <w:spacing w:after="0" w:line="190" w:lineRule="exact"/>
              <w:rPr>
                <w:sz w:val="20"/>
                <w:szCs w:val="20"/>
                <w:color w:val="auto"/>
              </w:rPr>
            </w:pPr>
            <w:r>
              <w:rPr>
                <w:rFonts w:ascii="Arial" w:cs="Arial" w:eastAsia="Arial" w:hAnsi="Arial"/>
                <w:sz w:val="21"/>
                <w:szCs w:val="21"/>
                <w:color w:val="0075A8"/>
              </w:rPr>
              <w:t>​ ​​62​ ​</w:t>
            </w:r>
          </w:p>
        </w:tc>
        <w:tc>
          <w:tcPr>
            <w:tcW w:w="0" w:type="dxa"/>
            <w:vAlign w:val="bottom"/>
          </w:tcPr>
          <w:p>
            <w:pPr>
              <w:spacing w:after="0"/>
              <w:rPr>
                <w:sz w:val="1"/>
                <w:szCs w:val="1"/>
                <w:color w:val="auto"/>
              </w:rPr>
            </w:pPr>
          </w:p>
        </w:tc>
      </w:tr>
      <w:tr>
        <w:trPr>
          <w:trHeight w:val="311"/>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rPr>
              <w:t>Statement by the Board of Directors on</w:t>
            </w:r>
          </w:p>
        </w:tc>
        <w:tc>
          <w:tcPr>
            <w:tcW w:w="14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0075A8"/>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300" w:type="dxa"/>
            <w:vAlign w:val="bottom"/>
            <w:gridSpan w:val="17"/>
          </w:tcPr>
          <w:p>
            <w:pPr>
              <w:spacing w:after="0" w:line="196" w:lineRule="exact"/>
              <w:rPr>
                <w:sz w:val="20"/>
                <w:szCs w:val="20"/>
                <w:color w:val="auto"/>
              </w:rPr>
            </w:pPr>
            <w:r>
              <w:rPr>
                <w:rFonts w:ascii="Arial" w:cs="Arial" w:eastAsia="Arial" w:hAnsi="Arial"/>
                <w:sz w:val="18"/>
                <w:szCs w:val="18"/>
                <w:color w:val="0000EE"/>
              </w:rPr>
              <w:t>the Stockholder Proposal</w:t>
            </w:r>
          </w:p>
        </w:tc>
        <w:tc>
          <w:tcPr>
            <w:tcW w:w="72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63</w:t>
            </w: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3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2">
            <w:col w:w="5260" w:space="240"/>
            <w:col w:w="5220"/>
          </w:cols>
          <w:pgMar w:left="580" w:top="132" w:right="59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080" w:type="dxa"/>
            <w:vAlign w:val="bottom"/>
            <w:gridSpan w:val="13"/>
            <w:vMerge w:val="restart"/>
          </w:tcPr>
          <w:p>
            <w:pPr>
              <w:jc w:val="center"/>
              <w:ind w:left="642"/>
              <w:spacing w:after="0"/>
              <w:rPr>
                <w:sz w:val="20"/>
                <w:szCs w:val="20"/>
                <w:color w:val="auto"/>
              </w:rPr>
            </w:pPr>
            <w:r>
              <w:rPr>
                <w:rFonts w:ascii="Arial" w:cs="Arial" w:eastAsia="Arial" w:hAnsi="Arial"/>
                <w:sz w:val="23"/>
                <w:szCs w:val="23"/>
                <w:color w:val="0075A8"/>
              </w:rPr>
              <w:t>​ Report of the Audit Committee</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23"/>
                <w:szCs w:val="23"/>
                <w:color w:val="0075A8"/>
              </w:rPr>
              <w:t>​ ​​28​ ​</w:t>
            </w:r>
          </w:p>
        </w:tc>
        <w:tc>
          <w:tcPr>
            <w:tcW w:w="240" w:type="dxa"/>
            <w:vAlign w:val="bottom"/>
          </w:tcPr>
          <w:p>
            <w:pPr>
              <w:spacing w:after="0"/>
              <w:rPr>
                <w:sz w:val="23"/>
                <w:szCs w:val="23"/>
                <w:color w:val="auto"/>
              </w:rPr>
            </w:pPr>
          </w:p>
        </w:tc>
        <w:tc>
          <w:tcPr>
            <w:tcW w:w="3100" w:type="dxa"/>
            <w:vAlign w:val="bottom"/>
            <w:tcBorders>
              <w:bottom w:val="single" w:sz="8" w:color="0075A8"/>
            </w:tcBorders>
            <w:gridSpan w:val="11"/>
          </w:tcPr>
          <w:p>
            <w:pPr>
              <w:spacing w:after="0"/>
              <w:rPr>
                <w:sz w:val="20"/>
                <w:szCs w:val="20"/>
                <w:color w:val="auto"/>
              </w:rPr>
            </w:pPr>
            <w:r>
              <w:rPr>
                <w:rFonts w:ascii="Arial" w:cs="Arial" w:eastAsia="Arial" w:hAnsi="Arial"/>
                <w:sz w:val="23"/>
                <w:szCs w:val="23"/>
                <w:color w:val="0075A8"/>
              </w:rPr>
              <w:t>Security Ownership of Certain</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4080" w:type="dxa"/>
            <w:vAlign w:val="bottom"/>
            <w:gridSpan w:val="13"/>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gridSpan w:val="6"/>
            <w:vMerge w:val="restart"/>
          </w:tcPr>
          <w:p>
            <w:pPr>
              <w:spacing w:after="0" w:line="210" w:lineRule="exact"/>
              <w:rPr>
                <w:sz w:val="20"/>
                <w:szCs w:val="20"/>
                <w:color w:val="auto"/>
              </w:rPr>
            </w:pPr>
            <w:r>
              <w:rPr>
                <w:rFonts w:ascii="Arial" w:cs="Arial" w:eastAsia="Arial" w:hAnsi="Arial"/>
                <w:sz w:val="23"/>
                <w:szCs w:val="23"/>
                <w:color w:val="0075A8"/>
              </w:rPr>
              <w:t>Beneficial Owners and</w:t>
            </w:r>
          </w:p>
        </w:tc>
        <w:tc>
          <w:tcPr>
            <w:tcW w:w="760" w:type="dxa"/>
            <w:vAlign w:val="bottom"/>
            <w:gridSpan w:val="5"/>
            <w:vMerge w:val="restart"/>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gridSpan w:val="3"/>
            <w:vMerge w:val="restart"/>
          </w:tcPr>
          <w:p>
            <w:pPr>
              <w:ind w:left="280"/>
              <w:spacing w:after="0"/>
              <w:rPr>
                <w:sz w:val="20"/>
                <w:szCs w:val="20"/>
                <w:color w:val="auto"/>
              </w:rPr>
            </w:pPr>
            <w:r>
              <w:rPr>
                <w:rFonts w:ascii="Arial" w:cs="Arial" w:eastAsia="Arial" w:hAnsi="Arial"/>
                <w:sz w:val="23"/>
                <w:szCs w:val="23"/>
                <w:color w:val="0075A8"/>
              </w:rPr>
              <w:t>​ ​​64​ ​</w:t>
            </w:r>
          </w:p>
        </w:tc>
        <w:tc>
          <w:tcPr>
            <w:tcW w:w="0" w:type="dxa"/>
            <w:vAlign w:val="bottom"/>
          </w:tcPr>
          <w:p>
            <w:pPr>
              <w:spacing w:after="0"/>
              <w:rPr>
                <w:sz w:val="1"/>
                <w:szCs w:val="1"/>
                <w:color w:val="auto"/>
              </w:rPr>
            </w:pPr>
          </w:p>
        </w:tc>
      </w:tr>
      <w:tr>
        <w:trPr>
          <w:trHeight w:val="79"/>
        </w:trPr>
        <w:tc>
          <w:tcPr>
            <w:tcW w:w="900" w:type="dxa"/>
            <w:vAlign w:val="bottom"/>
          </w:tcPr>
          <w:p>
            <w:pPr>
              <w:spacing w:after="0"/>
              <w:rPr>
                <w:sz w:val="6"/>
                <w:szCs w:val="6"/>
                <w:color w:val="auto"/>
              </w:rPr>
            </w:pPr>
          </w:p>
        </w:tc>
        <w:tc>
          <w:tcPr>
            <w:tcW w:w="360" w:type="dxa"/>
            <w:vAlign w:val="bottom"/>
            <w:tcBorders>
              <w:top w:val="single" w:sz="8" w:color="0075A8"/>
            </w:tcBorders>
          </w:tcPr>
          <w:p>
            <w:pPr>
              <w:spacing w:after="0"/>
              <w:rPr>
                <w:sz w:val="6"/>
                <w:szCs w:val="6"/>
                <w:color w:val="auto"/>
              </w:rPr>
            </w:pPr>
          </w:p>
        </w:tc>
        <w:tc>
          <w:tcPr>
            <w:tcW w:w="180" w:type="dxa"/>
            <w:vAlign w:val="bottom"/>
            <w:tcBorders>
              <w:top w:val="single" w:sz="8" w:color="0075A8"/>
            </w:tcBorders>
          </w:tcPr>
          <w:p>
            <w:pPr>
              <w:spacing w:after="0"/>
              <w:rPr>
                <w:sz w:val="6"/>
                <w:szCs w:val="6"/>
                <w:color w:val="auto"/>
              </w:rPr>
            </w:pPr>
          </w:p>
        </w:tc>
        <w:tc>
          <w:tcPr>
            <w:tcW w:w="480" w:type="dxa"/>
            <w:vAlign w:val="bottom"/>
            <w:tcBorders>
              <w:top w:val="single" w:sz="8" w:color="0075A8"/>
            </w:tcBorders>
          </w:tcPr>
          <w:p>
            <w:pPr>
              <w:spacing w:after="0"/>
              <w:rPr>
                <w:sz w:val="6"/>
                <w:szCs w:val="6"/>
                <w:color w:val="auto"/>
              </w:rPr>
            </w:pPr>
          </w:p>
        </w:tc>
        <w:tc>
          <w:tcPr>
            <w:tcW w:w="300" w:type="dxa"/>
            <w:vAlign w:val="bottom"/>
            <w:tcBorders>
              <w:top w:val="single" w:sz="8" w:color="0075A8"/>
            </w:tcBorders>
          </w:tcPr>
          <w:p>
            <w:pPr>
              <w:spacing w:after="0"/>
              <w:rPr>
                <w:sz w:val="6"/>
                <w:szCs w:val="6"/>
                <w:color w:val="auto"/>
              </w:rPr>
            </w:pPr>
          </w:p>
        </w:tc>
        <w:tc>
          <w:tcPr>
            <w:tcW w:w="480" w:type="dxa"/>
            <w:vAlign w:val="bottom"/>
            <w:tcBorders>
              <w:top w:val="single" w:sz="8" w:color="0075A8"/>
            </w:tcBorders>
          </w:tcPr>
          <w:p>
            <w:pPr>
              <w:spacing w:after="0"/>
              <w:rPr>
                <w:sz w:val="6"/>
                <w:szCs w:val="6"/>
                <w:color w:val="auto"/>
              </w:rPr>
            </w:pPr>
          </w:p>
        </w:tc>
        <w:tc>
          <w:tcPr>
            <w:tcW w:w="400" w:type="dxa"/>
            <w:vAlign w:val="bottom"/>
            <w:tcBorders>
              <w:top w:val="single" w:sz="8" w:color="0075A8"/>
            </w:tcBorders>
          </w:tcPr>
          <w:p>
            <w:pPr>
              <w:spacing w:after="0"/>
              <w:rPr>
                <w:sz w:val="6"/>
                <w:szCs w:val="6"/>
                <w:color w:val="auto"/>
              </w:rPr>
            </w:pPr>
          </w:p>
        </w:tc>
        <w:tc>
          <w:tcPr>
            <w:tcW w:w="120" w:type="dxa"/>
            <w:vAlign w:val="bottom"/>
            <w:tcBorders>
              <w:top w:val="single" w:sz="8" w:color="0075A8"/>
            </w:tcBorders>
          </w:tcPr>
          <w:p>
            <w:pPr>
              <w:spacing w:after="0"/>
              <w:rPr>
                <w:sz w:val="6"/>
                <w:szCs w:val="6"/>
                <w:color w:val="auto"/>
              </w:rPr>
            </w:pPr>
          </w:p>
        </w:tc>
        <w:tc>
          <w:tcPr>
            <w:tcW w:w="460" w:type="dxa"/>
            <w:vAlign w:val="bottom"/>
            <w:tcBorders>
              <w:top w:val="single" w:sz="8" w:color="0075A8"/>
            </w:tcBorders>
          </w:tcPr>
          <w:p>
            <w:pPr>
              <w:spacing w:after="0"/>
              <w:rPr>
                <w:sz w:val="6"/>
                <w:szCs w:val="6"/>
                <w:color w:val="auto"/>
              </w:rPr>
            </w:pPr>
          </w:p>
        </w:tc>
        <w:tc>
          <w:tcPr>
            <w:tcW w:w="200" w:type="dxa"/>
            <w:vAlign w:val="bottom"/>
            <w:tcBorders>
              <w:top w:val="single" w:sz="8" w:color="0075A8"/>
            </w:tcBorders>
          </w:tcPr>
          <w:p>
            <w:pPr>
              <w:spacing w:after="0"/>
              <w:rPr>
                <w:sz w:val="6"/>
                <w:szCs w:val="6"/>
                <w:color w:val="auto"/>
              </w:rPr>
            </w:pPr>
          </w:p>
        </w:tc>
        <w:tc>
          <w:tcPr>
            <w:tcW w:w="60" w:type="dxa"/>
            <w:vAlign w:val="bottom"/>
            <w:tcBorders>
              <w:top w:val="single" w:sz="8" w:color="0075A8"/>
            </w:tcBorders>
          </w:tcPr>
          <w:p>
            <w:pPr>
              <w:spacing w:after="0"/>
              <w:rPr>
                <w:sz w:val="6"/>
                <w:szCs w:val="6"/>
                <w:color w:val="auto"/>
              </w:rPr>
            </w:pPr>
          </w:p>
        </w:tc>
        <w:tc>
          <w:tcPr>
            <w:tcW w:w="100" w:type="dxa"/>
            <w:vAlign w:val="bottom"/>
            <w:tcBorders>
              <w:top w:val="single" w:sz="8" w:color="0075A8"/>
            </w:tcBorders>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Borders>
              <w:top w:val="single" w:sz="8" w:color="0075A8"/>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340" w:type="dxa"/>
            <w:vAlign w:val="bottom"/>
            <w:tcBorders>
              <w:bottom w:val="single" w:sz="8" w:color="0075A8"/>
            </w:tcBorders>
            <w:gridSpan w:val="6"/>
            <w:vMerge w:val="continue"/>
          </w:tcPr>
          <w:p>
            <w:pPr>
              <w:spacing w:after="0"/>
              <w:rPr>
                <w:sz w:val="6"/>
                <w:szCs w:val="6"/>
                <w:color w:val="auto"/>
              </w:rPr>
            </w:pPr>
          </w:p>
        </w:tc>
        <w:tc>
          <w:tcPr>
            <w:tcW w:w="760" w:type="dxa"/>
            <w:vAlign w:val="bottom"/>
            <w:gridSpan w:val="5"/>
            <w:vMerge w:val="continue"/>
          </w:tcPr>
          <w:p>
            <w:pPr>
              <w:spacing w:after="0"/>
              <w:rPr>
                <w:sz w:val="6"/>
                <w:szCs w:val="6"/>
                <w:color w:val="auto"/>
              </w:rPr>
            </w:pPr>
          </w:p>
        </w:tc>
        <w:tc>
          <w:tcPr>
            <w:tcW w:w="320" w:type="dxa"/>
            <w:vAlign w:val="bottom"/>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4480" w:type="dxa"/>
            <w:vAlign w:val="bottom"/>
            <w:gridSpan w:val="17"/>
            <w:vMerge w:val="restart"/>
          </w:tcPr>
          <w:p>
            <w:pPr>
              <w:spacing w:after="0"/>
              <w:rPr>
                <w:sz w:val="20"/>
                <w:szCs w:val="20"/>
                <w:color w:val="auto"/>
              </w:rPr>
            </w:pPr>
            <w:r>
              <w:rPr>
                <w:rFonts w:ascii="Arial" w:cs="Arial" w:eastAsia="Arial" w:hAnsi="Arial"/>
                <w:sz w:val="23"/>
                <w:szCs w:val="23"/>
                <w:color w:val="0075A8"/>
              </w:rPr>
              <w:t>Proposal 3: Advisory Vote on the</w:t>
            </w:r>
          </w:p>
        </w:tc>
        <w:tc>
          <w:tcPr>
            <w:tcW w:w="3340" w:type="dxa"/>
            <w:vAlign w:val="bottom"/>
            <w:gridSpan w:val="12"/>
          </w:tcPr>
          <w:p>
            <w:pPr>
              <w:ind w:left="120"/>
              <w:spacing w:after="0" w:line="223" w:lineRule="exact"/>
              <w:rPr>
                <w:sz w:val="20"/>
                <w:szCs w:val="20"/>
                <w:color w:val="auto"/>
              </w:rPr>
            </w:pPr>
            <w:r>
              <w:rPr>
                <w:rFonts w:ascii="Arial" w:cs="Arial" w:eastAsia="Arial" w:hAnsi="Arial"/>
                <w:sz w:val="23"/>
                <w:szCs w:val="23"/>
                <w:color w:val="0075A8"/>
              </w:rPr>
              <w:t>​ Management</w:t>
            </w:r>
          </w:p>
        </w:tc>
        <w:tc>
          <w:tcPr>
            <w:tcW w:w="320" w:type="dxa"/>
            <w:vAlign w:val="bottom"/>
          </w:tcPr>
          <w:p>
            <w:pPr>
              <w:spacing w:after="0"/>
              <w:rPr>
                <w:sz w:val="19"/>
                <w:szCs w:val="19"/>
                <w:color w:val="auto"/>
              </w:rPr>
            </w:pPr>
          </w:p>
        </w:tc>
        <w:tc>
          <w:tcPr>
            <w:tcW w:w="16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900" w:type="dxa"/>
            <w:vAlign w:val="bottom"/>
          </w:tcPr>
          <w:p>
            <w:pPr>
              <w:spacing w:after="0"/>
              <w:rPr>
                <w:sz w:val="7"/>
                <w:szCs w:val="7"/>
                <w:color w:val="auto"/>
              </w:rPr>
            </w:pPr>
          </w:p>
        </w:tc>
        <w:tc>
          <w:tcPr>
            <w:tcW w:w="4480" w:type="dxa"/>
            <w:vAlign w:val="bottom"/>
            <w:gridSpan w:val="17"/>
            <w:vMerge w:val="continue"/>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Borders>
              <w:top w:val="single" w:sz="8" w:color="0075A8"/>
            </w:tcBorders>
          </w:tcPr>
          <w:p>
            <w:pPr>
              <w:spacing w:after="0"/>
              <w:rPr>
                <w:sz w:val="7"/>
                <w:szCs w:val="7"/>
                <w:color w:val="auto"/>
              </w:rPr>
            </w:pPr>
          </w:p>
        </w:tc>
        <w:tc>
          <w:tcPr>
            <w:tcW w:w="1000" w:type="dxa"/>
            <w:vAlign w:val="bottom"/>
            <w:tcBorders>
              <w:top w:val="single" w:sz="8" w:color="0075A8"/>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Borders>
              <w:top w:val="single" w:sz="8" w:color="0075A8"/>
            </w:tcBorders>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040" w:type="dxa"/>
            <w:vAlign w:val="bottom"/>
            <w:tcBorders>
              <w:top w:val="single" w:sz="8" w:color="0075A8"/>
              <w:bottom w:val="single" w:sz="8" w:color="0075A8"/>
            </w:tcBorders>
            <w:gridSpan w:val="10"/>
          </w:tcPr>
          <w:p>
            <w:pPr>
              <w:spacing w:after="0" w:line="210" w:lineRule="exact"/>
              <w:rPr>
                <w:sz w:val="20"/>
                <w:szCs w:val="20"/>
                <w:color w:val="auto"/>
              </w:rPr>
            </w:pPr>
            <w:r>
              <w:rPr>
                <w:rFonts w:ascii="Arial" w:cs="Arial" w:eastAsia="Arial" w:hAnsi="Arial"/>
                <w:sz w:val="23"/>
                <w:szCs w:val="23"/>
                <w:color w:val="0075A8"/>
              </w:rPr>
              <w:t>Compensation of Our Named</w:t>
            </w:r>
          </w:p>
        </w:tc>
        <w:tc>
          <w:tcPr>
            <w:tcW w:w="140" w:type="dxa"/>
            <w:vAlign w:val="bottom"/>
            <w:tcBorders>
              <w:top w:val="single" w:sz="8" w:color="0075A8"/>
            </w:tcBorders>
            <w:gridSpan w:val="2"/>
          </w:tcPr>
          <w:p>
            <w:pPr>
              <w:spacing w:after="0"/>
              <w:rPr>
                <w:sz w:val="18"/>
                <w:szCs w:val="18"/>
                <w:color w:val="auto"/>
              </w:rPr>
            </w:pPr>
          </w:p>
        </w:tc>
        <w:tc>
          <w:tcPr>
            <w:tcW w:w="220" w:type="dxa"/>
            <w:vAlign w:val="bottom"/>
            <w:tcBorders>
              <w:top w:val="single" w:sz="8" w:color="0075A8"/>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gridSpan w:val="12"/>
            <w:vMerge w:val="restart"/>
          </w:tcPr>
          <w:p>
            <w:pPr>
              <w:ind w:left="120"/>
              <w:spacing w:after="0"/>
              <w:rPr>
                <w:sz w:val="20"/>
                <w:szCs w:val="20"/>
                <w:color w:val="auto"/>
              </w:rPr>
            </w:pPr>
            <w:r>
              <w:rPr>
                <w:rFonts w:ascii="Arial" w:cs="Arial" w:eastAsia="Arial" w:hAnsi="Arial"/>
                <w:sz w:val="23"/>
                <w:szCs w:val="23"/>
                <w:color w:val="0075A8"/>
              </w:rPr>
              <w:t>​ General Information</w:t>
            </w:r>
          </w:p>
        </w:tc>
        <w:tc>
          <w:tcPr>
            <w:tcW w:w="320" w:type="dxa"/>
            <w:vAlign w:val="bottom"/>
          </w:tcPr>
          <w:p>
            <w:pPr>
              <w:spacing w:after="0"/>
              <w:rPr>
                <w:sz w:val="18"/>
                <w:szCs w:val="18"/>
                <w:color w:val="auto"/>
              </w:rPr>
            </w:pPr>
          </w:p>
        </w:tc>
        <w:tc>
          <w:tcPr>
            <w:tcW w:w="1680" w:type="dxa"/>
            <w:vAlign w:val="bottom"/>
            <w:gridSpan w:val="3"/>
            <w:vMerge w:val="restart"/>
          </w:tcPr>
          <w:p>
            <w:pPr>
              <w:ind w:left="280"/>
              <w:spacing w:after="0"/>
              <w:rPr>
                <w:sz w:val="20"/>
                <w:szCs w:val="20"/>
                <w:color w:val="auto"/>
              </w:rPr>
            </w:pPr>
            <w:r>
              <w:rPr>
                <w:rFonts w:ascii="Arial" w:cs="Arial" w:eastAsia="Arial" w:hAnsi="Arial"/>
                <w:sz w:val="23"/>
                <w:szCs w:val="23"/>
                <w:color w:val="0075A8"/>
              </w:rPr>
              <w:t>​ ​​66​ ​</w:t>
            </w:r>
          </w:p>
        </w:tc>
        <w:tc>
          <w:tcPr>
            <w:tcW w:w="0" w:type="dxa"/>
            <w:vAlign w:val="bottom"/>
          </w:tcPr>
          <w:p>
            <w:pPr>
              <w:spacing w:after="0"/>
              <w:rPr>
                <w:sz w:val="1"/>
                <w:szCs w:val="1"/>
                <w:color w:val="auto"/>
              </w:rPr>
            </w:pPr>
          </w:p>
        </w:tc>
      </w:tr>
      <w:tr>
        <w:trPr>
          <w:trHeight w:val="88"/>
        </w:trPr>
        <w:tc>
          <w:tcPr>
            <w:tcW w:w="900" w:type="dxa"/>
            <w:vAlign w:val="bottom"/>
          </w:tcPr>
          <w:p>
            <w:pPr>
              <w:spacing w:after="0"/>
              <w:rPr>
                <w:sz w:val="7"/>
                <w:szCs w:val="7"/>
                <w:color w:val="auto"/>
              </w:rPr>
            </w:pPr>
          </w:p>
        </w:tc>
        <w:tc>
          <w:tcPr>
            <w:tcW w:w="4480" w:type="dxa"/>
            <w:vAlign w:val="bottom"/>
            <w:gridSpan w:val="17"/>
            <w:vMerge w:val="restart"/>
          </w:tcPr>
          <w:p>
            <w:pPr>
              <w:spacing w:after="0" w:line="223" w:lineRule="exact"/>
              <w:rPr>
                <w:sz w:val="20"/>
                <w:szCs w:val="20"/>
                <w:color w:val="auto"/>
              </w:rPr>
            </w:pPr>
            <w:r>
              <w:rPr>
                <w:rFonts w:ascii="Arial" w:cs="Arial" w:eastAsia="Arial" w:hAnsi="Arial"/>
                <w:sz w:val="23"/>
                <w:szCs w:val="23"/>
                <w:color w:val="0075A8"/>
              </w:rPr>
              <w:t>Executive Officers (“Say-on-Pay”</w:t>
            </w:r>
          </w:p>
        </w:tc>
        <w:tc>
          <w:tcPr>
            <w:tcW w:w="3340" w:type="dxa"/>
            <w:vAlign w:val="bottom"/>
            <w:gridSpan w:val="12"/>
            <w:vMerge w:val="continue"/>
          </w:tcPr>
          <w:p>
            <w:pPr>
              <w:spacing w:after="0"/>
              <w:rPr>
                <w:sz w:val="7"/>
                <w:szCs w:val="7"/>
                <w:color w:val="auto"/>
              </w:rPr>
            </w:pPr>
          </w:p>
        </w:tc>
        <w:tc>
          <w:tcPr>
            <w:tcW w:w="320" w:type="dxa"/>
            <w:vAlign w:val="bottom"/>
          </w:tcPr>
          <w:p>
            <w:pPr>
              <w:spacing w:after="0"/>
              <w:rPr>
                <w:sz w:val="7"/>
                <w:szCs w:val="7"/>
                <w:color w:val="auto"/>
              </w:rPr>
            </w:pPr>
          </w:p>
        </w:tc>
        <w:tc>
          <w:tcPr>
            <w:tcW w:w="16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4480" w:type="dxa"/>
            <w:vAlign w:val="bottom"/>
            <w:gridSpan w:val="17"/>
            <w:vMerge w:val="continue"/>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top w:val="single" w:sz="8" w:color="0075A8"/>
            </w:tcBorders>
          </w:tcPr>
          <w:p>
            <w:pPr>
              <w:spacing w:after="0"/>
              <w:rPr>
                <w:sz w:val="10"/>
                <w:szCs w:val="10"/>
                <w:color w:val="auto"/>
              </w:rPr>
            </w:pPr>
          </w:p>
        </w:tc>
        <w:tc>
          <w:tcPr>
            <w:tcW w:w="1000" w:type="dxa"/>
            <w:vAlign w:val="bottom"/>
            <w:tcBorders>
              <w:top w:val="single" w:sz="8" w:color="0075A8"/>
            </w:tcBorders>
          </w:tcPr>
          <w:p>
            <w:pPr>
              <w:spacing w:after="0"/>
              <w:rPr>
                <w:sz w:val="10"/>
                <w:szCs w:val="10"/>
                <w:color w:val="auto"/>
              </w:rPr>
            </w:pPr>
          </w:p>
        </w:tc>
        <w:tc>
          <w:tcPr>
            <w:tcW w:w="60" w:type="dxa"/>
            <w:vAlign w:val="bottom"/>
            <w:tcBorders>
              <w:top w:val="single" w:sz="8" w:color="0075A8"/>
            </w:tcBorders>
          </w:tcPr>
          <w:p>
            <w:pPr>
              <w:spacing w:after="0"/>
              <w:rPr>
                <w:sz w:val="10"/>
                <w:szCs w:val="10"/>
                <w:color w:val="auto"/>
              </w:rPr>
            </w:pPr>
          </w:p>
        </w:tc>
        <w:tc>
          <w:tcPr>
            <w:tcW w:w="600" w:type="dxa"/>
            <w:vAlign w:val="bottom"/>
            <w:tcBorders>
              <w:top w:val="single" w:sz="8" w:color="0075A8"/>
            </w:tcBorders>
          </w:tcPr>
          <w:p>
            <w:pPr>
              <w:spacing w:after="0"/>
              <w:rPr>
                <w:sz w:val="10"/>
                <w:szCs w:val="10"/>
                <w:color w:val="auto"/>
              </w:rPr>
            </w:pPr>
          </w:p>
        </w:tc>
        <w:tc>
          <w:tcPr>
            <w:tcW w:w="40" w:type="dxa"/>
            <w:vAlign w:val="bottom"/>
            <w:tcBorders>
              <w:top w:val="single" w:sz="8" w:color="0075A8"/>
            </w:tcBorders>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Borders>
              <w:top w:val="single" w:sz="8" w:color="0075A8"/>
            </w:tcBorders>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900" w:type="dxa"/>
            <w:vAlign w:val="bottom"/>
            <w:vMerge w:val="restart"/>
          </w:tcPr>
          <w:p>
            <w:pPr>
              <w:ind w:left="780"/>
              <w:spacing w:after="0"/>
              <w:rPr>
                <w:sz w:val="20"/>
                <w:szCs w:val="20"/>
                <w:color w:val="auto"/>
              </w:rPr>
            </w:pPr>
            <w:r>
              <w:rPr>
                <w:rFonts w:ascii="Arial" w:cs="Arial" w:eastAsia="Arial" w:hAnsi="Arial"/>
                <w:sz w:val="23"/>
                <w:szCs w:val="23"/>
                <w:color w:val="0075A8"/>
              </w:rPr>
              <w:t>​</w:t>
            </w:r>
          </w:p>
        </w:tc>
        <w:tc>
          <w:tcPr>
            <w:tcW w:w="540" w:type="dxa"/>
            <w:vAlign w:val="bottom"/>
            <w:tcBorders>
              <w:top w:val="single" w:sz="8" w:color="0075A8"/>
              <w:bottom w:val="single" w:sz="8" w:color="0075A8"/>
            </w:tcBorders>
            <w:gridSpan w:val="2"/>
          </w:tcPr>
          <w:p>
            <w:pPr>
              <w:spacing w:after="0" w:line="195" w:lineRule="exact"/>
              <w:rPr>
                <w:sz w:val="20"/>
                <w:szCs w:val="20"/>
                <w:color w:val="auto"/>
              </w:rPr>
            </w:pPr>
            <w:r>
              <w:rPr>
                <w:rFonts w:ascii="Arial" w:cs="Arial" w:eastAsia="Arial" w:hAnsi="Arial"/>
                <w:sz w:val="22"/>
                <w:szCs w:val="22"/>
                <w:color w:val="0075A8"/>
                <w:w w:val="98"/>
              </w:rPr>
              <w:t>Vote)</w:t>
            </w:r>
          </w:p>
        </w:tc>
        <w:tc>
          <w:tcPr>
            <w:tcW w:w="480" w:type="dxa"/>
            <w:vAlign w:val="bottom"/>
            <w:tcBorders>
              <w:top w:val="single" w:sz="8" w:color="0075A8"/>
              <w:bottom w:val="single" w:sz="8" w:color="0075A8"/>
            </w:tcBorders>
            <w:vMerge w:val="restart"/>
          </w:tcPr>
          <w:p>
            <w:pPr>
              <w:spacing w:after="0"/>
              <w:rPr>
                <w:sz w:val="18"/>
                <w:szCs w:val="18"/>
                <w:color w:val="auto"/>
              </w:rPr>
            </w:pPr>
          </w:p>
        </w:tc>
        <w:tc>
          <w:tcPr>
            <w:tcW w:w="300" w:type="dxa"/>
            <w:vAlign w:val="bottom"/>
            <w:tcBorders>
              <w:top w:val="single" w:sz="8" w:color="0075A8"/>
              <w:bottom w:val="single" w:sz="8" w:color="0075A8"/>
            </w:tcBorders>
            <w:vMerge w:val="restart"/>
          </w:tcPr>
          <w:p>
            <w:pPr>
              <w:spacing w:after="0"/>
              <w:rPr>
                <w:sz w:val="18"/>
                <w:szCs w:val="18"/>
                <w:color w:val="auto"/>
              </w:rPr>
            </w:pPr>
          </w:p>
        </w:tc>
        <w:tc>
          <w:tcPr>
            <w:tcW w:w="480" w:type="dxa"/>
            <w:vAlign w:val="bottom"/>
            <w:tcBorders>
              <w:top w:val="single" w:sz="8" w:color="0075A8"/>
            </w:tcBorders>
          </w:tcPr>
          <w:p>
            <w:pPr>
              <w:spacing w:after="0"/>
              <w:rPr>
                <w:sz w:val="18"/>
                <w:szCs w:val="18"/>
                <w:color w:val="auto"/>
              </w:rPr>
            </w:pPr>
          </w:p>
        </w:tc>
        <w:tc>
          <w:tcPr>
            <w:tcW w:w="400" w:type="dxa"/>
            <w:vAlign w:val="bottom"/>
            <w:tcBorders>
              <w:top w:val="single" w:sz="8" w:color="0075A8"/>
            </w:tcBorders>
          </w:tcPr>
          <w:p>
            <w:pPr>
              <w:spacing w:after="0"/>
              <w:rPr>
                <w:sz w:val="18"/>
                <w:szCs w:val="18"/>
                <w:color w:val="auto"/>
              </w:rPr>
            </w:pPr>
          </w:p>
        </w:tc>
        <w:tc>
          <w:tcPr>
            <w:tcW w:w="120" w:type="dxa"/>
            <w:vAlign w:val="bottom"/>
            <w:tcBorders>
              <w:top w:val="single" w:sz="8" w:color="0075A8"/>
            </w:tcBorders>
          </w:tcPr>
          <w:p>
            <w:pPr>
              <w:spacing w:after="0"/>
              <w:rPr>
                <w:sz w:val="18"/>
                <w:szCs w:val="18"/>
                <w:color w:val="auto"/>
              </w:rPr>
            </w:pPr>
          </w:p>
        </w:tc>
        <w:tc>
          <w:tcPr>
            <w:tcW w:w="460" w:type="dxa"/>
            <w:vAlign w:val="bottom"/>
            <w:tcBorders>
              <w:top w:val="single" w:sz="8" w:color="0075A8"/>
            </w:tcBorders>
          </w:tcPr>
          <w:p>
            <w:pPr>
              <w:spacing w:after="0"/>
              <w:rPr>
                <w:sz w:val="18"/>
                <w:szCs w:val="18"/>
                <w:color w:val="auto"/>
              </w:rPr>
            </w:pPr>
          </w:p>
        </w:tc>
        <w:tc>
          <w:tcPr>
            <w:tcW w:w="200" w:type="dxa"/>
            <w:vAlign w:val="bottom"/>
            <w:tcBorders>
              <w:top w:val="single" w:sz="8" w:color="0075A8"/>
            </w:tcBorders>
          </w:tcPr>
          <w:p>
            <w:pPr>
              <w:spacing w:after="0"/>
              <w:rPr>
                <w:sz w:val="18"/>
                <w:szCs w:val="18"/>
                <w:color w:val="auto"/>
              </w:rPr>
            </w:pPr>
          </w:p>
        </w:tc>
        <w:tc>
          <w:tcPr>
            <w:tcW w:w="60" w:type="dxa"/>
            <w:vAlign w:val="bottom"/>
            <w:tcBorders>
              <w:top w:val="single" w:sz="8" w:color="0075A8"/>
            </w:tcBorders>
          </w:tcPr>
          <w:p>
            <w:pPr>
              <w:spacing w:after="0"/>
              <w:rPr>
                <w:sz w:val="18"/>
                <w:szCs w:val="18"/>
                <w:color w:val="auto"/>
              </w:rPr>
            </w:pPr>
          </w:p>
        </w:tc>
        <w:tc>
          <w:tcPr>
            <w:tcW w:w="100" w:type="dxa"/>
            <w:vAlign w:val="bottom"/>
            <w:tcBorders>
              <w:top w:val="single" w:sz="8" w:color="0075A8"/>
            </w:tcBorders>
          </w:tcPr>
          <w:p>
            <w:pPr>
              <w:spacing w:after="0"/>
              <w:rPr>
                <w:sz w:val="18"/>
                <w:szCs w:val="18"/>
                <w:color w:val="auto"/>
              </w:rPr>
            </w:pPr>
          </w:p>
        </w:tc>
        <w:tc>
          <w:tcPr>
            <w:tcW w:w="40" w:type="dxa"/>
            <w:vAlign w:val="bottom"/>
            <w:tcBorders>
              <w:top w:val="single" w:sz="8" w:color="0075A8"/>
            </w:tcBorders>
          </w:tcPr>
          <w:p>
            <w:pPr>
              <w:spacing w:after="0"/>
              <w:rPr>
                <w:sz w:val="18"/>
                <w:szCs w:val="18"/>
                <w:color w:val="auto"/>
              </w:rPr>
            </w:pPr>
          </w:p>
        </w:tc>
        <w:tc>
          <w:tcPr>
            <w:tcW w:w="220" w:type="dxa"/>
            <w:vAlign w:val="bottom"/>
            <w:tcBorders>
              <w:top w:val="single" w:sz="8" w:color="0075A8"/>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340" w:type="dxa"/>
            <w:vAlign w:val="bottom"/>
            <w:vMerge w:val="restart"/>
          </w:tcPr>
          <w:p>
            <w:pPr>
              <w:ind w:left="60"/>
              <w:spacing w:after="0"/>
              <w:rPr>
                <w:sz w:val="20"/>
                <w:szCs w:val="20"/>
                <w:color w:val="auto"/>
              </w:rPr>
            </w:pPr>
            <w:r>
              <w:rPr>
                <w:rFonts w:ascii="Arial" w:cs="Arial" w:eastAsia="Arial" w:hAnsi="Arial"/>
                <w:sz w:val="23"/>
                <w:szCs w:val="23"/>
                <w:color w:val="0075A8"/>
              </w:rPr>
              <w:t>​ ​​</w:t>
            </w:r>
          </w:p>
        </w:tc>
        <w:tc>
          <w:tcPr>
            <w:tcW w:w="200" w:type="dxa"/>
            <w:vAlign w:val="bottom"/>
            <w:tcBorders>
              <w:bottom w:val="single" w:sz="8" w:color="0075A8"/>
            </w:tcBorders>
          </w:tcPr>
          <w:p>
            <w:pPr>
              <w:jc w:val="right"/>
              <w:spacing w:after="0" w:line="190" w:lineRule="exact"/>
              <w:rPr>
                <w:sz w:val="20"/>
                <w:szCs w:val="20"/>
                <w:color w:val="auto"/>
              </w:rPr>
            </w:pPr>
            <w:r>
              <w:rPr>
                <w:rFonts w:ascii="Arial" w:cs="Arial" w:eastAsia="Arial" w:hAnsi="Arial"/>
                <w:sz w:val="21"/>
                <w:szCs w:val="21"/>
                <w:color w:val="0075A8"/>
                <w:w w:val="76"/>
              </w:rPr>
              <w:t>29</w:t>
            </w:r>
          </w:p>
        </w:tc>
        <w:tc>
          <w:tcPr>
            <w:tcW w:w="320" w:type="dxa"/>
            <w:vAlign w:val="bottom"/>
            <w:vMerge w:val="restart"/>
          </w:tcPr>
          <w:p>
            <w:pPr>
              <w:spacing w:after="0"/>
              <w:rPr>
                <w:sz w:val="20"/>
                <w:szCs w:val="20"/>
                <w:color w:val="auto"/>
              </w:rPr>
            </w:pPr>
            <w:r>
              <w:rPr>
                <w:rFonts w:ascii="Arial" w:cs="Arial" w:eastAsia="Arial" w:hAnsi="Arial"/>
                <w:sz w:val="23"/>
                <w:szCs w:val="23"/>
                <w:color w:val="0075A8"/>
              </w:rPr>
              <w:t>​ ​</w:t>
            </w:r>
          </w:p>
        </w:tc>
        <w:tc>
          <w:tcPr>
            <w:tcW w:w="3340" w:type="dxa"/>
            <w:vAlign w:val="bottom"/>
            <w:gridSpan w:val="12"/>
            <w:vMerge w:val="restart"/>
          </w:tcPr>
          <w:p>
            <w:pPr>
              <w:ind w:left="120"/>
              <w:spacing w:after="0"/>
              <w:rPr>
                <w:sz w:val="20"/>
                <w:szCs w:val="20"/>
                <w:color w:val="auto"/>
              </w:rPr>
            </w:pPr>
            <w:r>
              <w:rPr>
                <w:rFonts w:ascii="Arial" w:cs="Arial" w:eastAsia="Arial" w:hAnsi="Arial"/>
                <w:sz w:val="23"/>
                <w:szCs w:val="23"/>
                <w:color w:val="0075A8"/>
              </w:rPr>
              <w:t>​ Other Proposed Action</w:t>
            </w:r>
          </w:p>
        </w:tc>
        <w:tc>
          <w:tcPr>
            <w:tcW w:w="320" w:type="dxa"/>
            <w:vAlign w:val="bottom"/>
            <w:vMerge w:val="restart"/>
          </w:tcPr>
          <w:p>
            <w:pPr>
              <w:spacing w:after="0"/>
              <w:rPr>
                <w:sz w:val="18"/>
                <w:szCs w:val="18"/>
                <w:color w:val="auto"/>
              </w:rPr>
            </w:pPr>
          </w:p>
        </w:tc>
        <w:tc>
          <w:tcPr>
            <w:tcW w:w="1680" w:type="dxa"/>
            <w:vAlign w:val="bottom"/>
            <w:gridSpan w:val="3"/>
            <w:vMerge w:val="restart"/>
          </w:tcPr>
          <w:p>
            <w:pPr>
              <w:ind w:left="280"/>
              <w:spacing w:after="0"/>
              <w:rPr>
                <w:sz w:val="20"/>
                <w:szCs w:val="20"/>
                <w:color w:val="auto"/>
              </w:rPr>
            </w:pPr>
            <w:r>
              <w:rPr>
                <w:rFonts w:ascii="Arial" w:cs="Arial" w:eastAsia="Arial" w:hAnsi="Arial"/>
                <w:sz w:val="23"/>
                <w:szCs w:val="23"/>
                <w:color w:val="0075A8"/>
              </w:rPr>
              <w:t>​ ​​72​ ​</w:t>
            </w:r>
          </w:p>
        </w:tc>
        <w:tc>
          <w:tcPr>
            <w:tcW w:w="0" w:type="dxa"/>
            <w:vAlign w:val="bottom"/>
          </w:tcPr>
          <w:p>
            <w:pPr>
              <w:spacing w:after="0"/>
              <w:rPr>
                <w:sz w:val="1"/>
                <w:szCs w:val="1"/>
                <w:color w:val="auto"/>
              </w:rPr>
            </w:pPr>
          </w:p>
        </w:tc>
      </w:tr>
      <w:tr>
        <w:trPr>
          <w:trHeight w:val="61"/>
        </w:trPr>
        <w:tc>
          <w:tcPr>
            <w:tcW w:w="9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3340" w:type="dxa"/>
            <w:vAlign w:val="bottom"/>
            <w:gridSpan w:val="12"/>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6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4"/>
        </w:trPr>
        <w:tc>
          <w:tcPr>
            <w:tcW w:w="90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23"/>
                <w:szCs w:val="23"/>
                <w:color w:val="0075A8"/>
              </w:rPr>
              <w:t>Information</w:t>
            </w:r>
          </w:p>
        </w:tc>
        <w:tc>
          <w:tcPr>
            <w:tcW w:w="1860" w:type="dxa"/>
            <w:vAlign w:val="bottom"/>
            <w:gridSpan w:val="8"/>
          </w:tcPr>
          <w:p>
            <w:pPr>
              <w:spacing w:after="0"/>
              <w:rPr>
                <w:sz w:val="20"/>
                <w:szCs w:val="20"/>
                <w:color w:val="auto"/>
              </w:rPr>
            </w:pPr>
            <w:r>
              <w:rPr>
                <w:rFonts w:ascii="Arial" w:cs="Arial" w:eastAsia="Arial" w:hAnsi="Arial"/>
                <w:sz w:val="23"/>
                <w:szCs w:val="23"/>
                <w:color w:val="0075A8"/>
              </w:rPr>
              <w:t>About Executive</w:t>
            </w:r>
          </w:p>
        </w:tc>
        <w:tc>
          <w:tcPr>
            <w:tcW w:w="1300" w:type="dxa"/>
            <w:vAlign w:val="bottom"/>
            <w:gridSpan w:val="5"/>
          </w:tcPr>
          <w:p>
            <w:pPr>
              <w:ind w:left="60"/>
              <w:spacing w:after="0"/>
              <w:rPr>
                <w:sz w:val="20"/>
                <w:szCs w:val="20"/>
                <w:color w:val="auto"/>
              </w:rPr>
            </w:pPr>
            <w:r>
              <w:rPr>
                <w:rFonts w:ascii="Arial" w:cs="Arial" w:eastAsia="Arial" w:hAnsi="Arial"/>
                <w:sz w:val="23"/>
                <w:szCs w:val="23"/>
                <w:color w:val="0075A8"/>
              </w:rPr>
              <w:t>and</w:t>
            </w:r>
          </w:p>
        </w:tc>
        <w:tc>
          <w:tcPr>
            <w:tcW w:w="240" w:type="dxa"/>
            <w:vAlign w:val="bottom"/>
            <w:vMerge w:val="restart"/>
          </w:tcPr>
          <w:p>
            <w:pPr>
              <w:ind w:left="120"/>
              <w:spacing w:after="0"/>
              <w:rPr>
                <w:sz w:val="20"/>
                <w:szCs w:val="20"/>
                <w:color w:val="auto"/>
              </w:rPr>
            </w:pPr>
            <w:r>
              <w:rPr>
                <w:rFonts w:ascii="Arial" w:cs="Arial" w:eastAsia="Arial" w:hAnsi="Arial"/>
                <w:sz w:val="23"/>
                <w:szCs w:val="23"/>
                <w:color w:val="0075A8"/>
              </w:rPr>
              <w:t>​</w:t>
            </w:r>
          </w:p>
        </w:tc>
        <w:tc>
          <w:tcPr>
            <w:tcW w:w="1420" w:type="dxa"/>
            <w:vAlign w:val="bottom"/>
            <w:tcBorders>
              <w:top w:val="single" w:sz="8" w:color="0075A8"/>
            </w:tcBorders>
            <w:gridSpan w:val="3"/>
            <w:vMerge w:val="restart"/>
          </w:tcPr>
          <w:p>
            <w:pPr>
              <w:spacing w:after="0"/>
              <w:rPr>
                <w:sz w:val="20"/>
                <w:szCs w:val="20"/>
                <w:color w:val="auto"/>
              </w:rPr>
            </w:pPr>
            <w:r>
              <w:rPr>
                <w:rFonts w:ascii="Arial" w:cs="Arial" w:eastAsia="Arial" w:hAnsi="Arial"/>
                <w:sz w:val="23"/>
                <w:szCs w:val="23"/>
                <w:color w:val="0075A8"/>
                <w:w w:val="99"/>
              </w:rPr>
              <w:t>Other Matters</w:t>
            </w:r>
          </w:p>
        </w:tc>
        <w:tc>
          <w:tcPr>
            <w:tcW w:w="600" w:type="dxa"/>
            <w:vAlign w:val="bottom"/>
            <w:tcBorders>
              <w:top w:val="single" w:sz="8" w:color="0075A8"/>
            </w:tcBorders>
          </w:tcPr>
          <w:p>
            <w:pPr>
              <w:spacing w:after="0"/>
              <w:rPr>
                <w:sz w:val="24"/>
                <w:szCs w:val="24"/>
                <w:color w:val="auto"/>
              </w:rPr>
            </w:pPr>
          </w:p>
        </w:tc>
        <w:tc>
          <w:tcPr>
            <w:tcW w:w="40" w:type="dxa"/>
            <w:vAlign w:val="bottom"/>
            <w:tcBorders>
              <w:top w:val="single" w:sz="8" w:color="0075A8"/>
            </w:tcBorders>
          </w:tcPr>
          <w:p>
            <w:pPr>
              <w:spacing w:after="0"/>
              <w:rPr>
                <w:sz w:val="24"/>
                <w:szCs w:val="24"/>
                <w:color w:val="auto"/>
              </w:rPr>
            </w:pPr>
          </w:p>
        </w:tc>
        <w:tc>
          <w:tcPr>
            <w:tcW w:w="280" w:type="dxa"/>
            <w:vAlign w:val="bottom"/>
            <w:tcBorders>
              <w:top w:val="single" w:sz="8" w:color="0075A8"/>
            </w:tcBorders>
          </w:tcPr>
          <w:p>
            <w:pPr>
              <w:spacing w:after="0"/>
              <w:rPr>
                <w:sz w:val="24"/>
                <w:szCs w:val="24"/>
                <w:color w:val="auto"/>
              </w:rPr>
            </w:pPr>
          </w:p>
        </w:tc>
        <w:tc>
          <w:tcPr>
            <w:tcW w:w="20" w:type="dxa"/>
            <w:vAlign w:val="bottom"/>
            <w:tcBorders>
              <w:top w:val="single" w:sz="8" w:color="0075A8"/>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vMerge w:val="restart"/>
          </w:tcPr>
          <w:p>
            <w:pPr>
              <w:ind w:left="280"/>
              <w:spacing w:after="0"/>
              <w:rPr>
                <w:sz w:val="20"/>
                <w:szCs w:val="20"/>
                <w:color w:val="auto"/>
              </w:rPr>
            </w:pPr>
            <w:r>
              <w:rPr>
                <w:rFonts w:ascii="Arial" w:cs="Arial" w:eastAsia="Arial" w:hAnsi="Arial"/>
                <w:sz w:val="23"/>
                <w:szCs w:val="23"/>
                <w:color w:val="0075A8"/>
              </w:rPr>
              <w:t>​ ​​</w:t>
            </w:r>
          </w:p>
        </w:tc>
        <w:tc>
          <w:tcPr>
            <w:tcW w:w="200" w:type="dxa"/>
            <w:vAlign w:val="bottom"/>
            <w:tcBorders>
              <w:top w:val="single" w:sz="8" w:color="0075A8"/>
            </w:tcBorders>
            <w:vMerge w:val="restart"/>
          </w:tcPr>
          <w:p>
            <w:pPr>
              <w:jc w:val="right"/>
              <w:spacing w:after="0"/>
              <w:rPr>
                <w:sz w:val="20"/>
                <w:szCs w:val="20"/>
                <w:color w:val="auto"/>
              </w:rPr>
            </w:pPr>
            <w:r>
              <w:rPr>
                <w:rFonts w:ascii="Arial" w:cs="Arial" w:eastAsia="Arial" w:hAnsi="Arial"/>
                <w:sz w:val="23"/>
                <w:szCs w:val="23"/>
                <w:color w:val="0075A8"/>
                <w:w w:val="70"/>
              </w:rPr>
              <w:t>72</w:t>
            </w:r>
          </w:p>
        </w:tc>
        <w:tc>
          <w:tcPr>
            <w:tcW w:w="920" w:type="dxa"/>
            <w:vAlign w:val="bottom"/>
            <w:vMerge w:val="restart"/>
          </w:tcPr>
          <w:p>
            <w:pPr>
              <w:spacing w:after="0"/>
              <w:rPr>
                <w:sz w:val="20"/>
                <w:szCs w:val="20"/>
                <w:color w:val="auto"/>
              </w:rPr>
            </w:pPr>
            <w:r>
              <w:rPr>
                <w:rFonts w:ascii="Arial" w:cs="Arial" w:eastAsia="Arial" w:hAnsi="Arial"/>
                <w:sz w:val="23"/>
                <w:szCs w:val="23"/>
                <w:color w:val="0075A8"/>
              </w:rPr>
              <w:t>​ ​</w:t>
            </w:r>
          </w:p>
        </w:tc>
        <w:tc>
          <w:tcPr>
            <w:tcW w:w="0" w:type="dxa"/>
            <w:vAlign w:val="bottom"/>
          </w:tcPr>
          <w:p>
            <w:pPr>
              <w:spacing w:after="0"/>
              <w:rPr>
                <w:sz w:val="1"/>
                <w:szCs w:val="1"/>
                <w:color w:val="auto"/>
              </w:rPr>
            </w:pPr>
          </w:p>
        </w:tc>
      </w:tr>
      <w:tr>
        <w:trPr>
          <w:trHeight w:val="66"/>
        </w:trPr>
        <w:tc>
          <w:tcPr>
            <w:tcW w:w="900" w:type="dxa"/>
            <w:vAlign w:val="bottom"/>
            <w:vMerge w:val="restart"/>
          </w:tcPr>
          <w:p>
            <w:pPr>
              <w:ind w:left="780"/>
              <w:spacing w:after="0" w:line="190" w:lineRule="exact"/>
              <w:rPr>
                <w:sz w:val="20"/>
                <w:szCs w:val="20"/>
                <w:color w:val="auto"/>
              </w:rPr>
            </w:pPr>
            <w:r>
              <w:rPr>
                <w:rFonts w:ascii="Arial" w:cs="Arial" w:eastAsia="Arial" w:hAnsi="Arial"/>
                <w:sz w:val="21"/>
                <w:szCs w:val="21"/>
                <w:color w:val="0075A8"/>
              </w:rPr>
              <w:t>​</w:t>
            </w:r>
          </w:p>
        </w:tc>
        <w:tc>
          <w:tcPr>
            <w:tcW w:w="3180" w:type="dxa"/>
            <w:vAlign w:val="bottom"/>
            <w:tcBorders>
              <w:top w:val="single" w:sz="8" w:color="0075A8"/>
              <w:bottom w:val="single" w:sz="8" w:color="0075A8"/>
            </w:tcBorders>
            <w:gridSpan w:val="12"/>
            <w:vMerge w:val="restart"/>
          </w:tcPr>
          <w:p>
            <w:pPr>
              <w:spacing w:after="0" w:line="195" w:lineRule="exact"/>
              <w:rPr>
                <w:sz w:val="20"/>
                <w:szCs w:val="20"/>
                <w:color w:val="auto"/>
              </w:rPr>
            </w:pPr>
            <w:r>
              <w:rPr>
                <w:rFonts w:ascii="Arial" w:cs="Arial" w:eastAsia="Arial" w:hAnsi="Arial"/>
                <w:sz w:val="22"/>
                <w:szCs w:val="22"/>
                <w:color w:val="0075A8"/>
              </w:rPr>
              <w:t>Director Compensation</w:t>
            </w:r>
          </w:p>
        </w:tc>
        <w:tc>
          <w:tcPr>
            <w:tcW w:w="220" w:type="dxa"/>
            <w:vAlign w:val="bottom"/>
            <w:tcBorders>
              <w:top w:val="single" w:sz="8" w:color="0075A8"/>
            </w:tcBorders>
          </w:tcPr>
          <w:p>
            <w:pPr>
              <w:spacing w:after="0"/>
              <w:rPr>
                <w:sz w:val="5"/>
                <w:szCs w:val="5"/>
                <w:color w:val="auto"/>
              </w:rPr>
            </w:pPr>
          </w:p>
        </w:tc>
        <w:tc>
          <w:tcPr>
            <w:tcW w:w="220" w:type="dxa"/>
            <w:vAlign w:val="bottom"/>
            <w:tcBorders>
              <w:top w:val="single" w:sz="8" w:color="0075A8"/>
            </w:tcBorders>
          </w:tcPr>
          <w:p>
            <w:pPr>
              <w:spacing w:after="0"/>
              <w:rPr>
                <w:sz w:val="5"/>
                <w:szCs w:val="5"/>
                <w:color w:val="auto"/>
              </w:rPr>
            </w:pPr>
          </w:p>
        </w:tc>
        <w:tc>
          <w:tcPr>
            <w:tcW w:w="860" w:type="dxa"/>
            <w:vAlign w:val="bottom"/>
            <w:gridSpan w:val="3"/>
            <w:vMerge w:val="restart"/>
          </w:tcPr>
          <w:p>
            <w:pPr>
              <w:ind w:left="60"/>
              <w:spacing w:after="0" w:line="195" w:lineRule="exact"/>
              <w:rPr>
                <w:sz w:val="20"/>
                <w:szCs w:val="20"/>
                <w:color w:val="auto"/>
              </w:rPr>
            </w:pPr>
            <w:r>
              <w:rPr>
                <w:rFonts w:ascii="Arial" w:cs="Arial" w:eastAsia="Arial" w:hAnsi="Arial"/>
                <w:sz w:val="22"/>
                <w:szCs w:val="22"/>
                <w:color w:val="0075A8"/>
              </w:rPr>
              <w:t>​ ​​30​ ​</w:t>
            </w:r>
          </w:p>
        </w:tc>
        <w:tc>
          <w:tcPr>
            <w:tcW w:w="240" w:type="dxa"/>
            <w:vAlign w:val="bottom"/>
            <w:vMerge w:val="continue"/>
          </w:tcPr>
          <w:p>
            <w:pPr>
              <w:spacing w:after="0"/>
              <w:rPr>
                <w:sz w:val="5"/>
                <w:szCs w:val="5"/>
                <w:color w:val="auto"/>
              </w:rPr>
            </w:pPr>
          </w:p>
        </w:tc>
        <w:tc>
          <w:tcPr>
            <w:tcW w:w="1420" w:type="dxa"/>
            <w:vAlign w:val="bottom"/>
            <w:tcBorders>
              <w:top w:val="single" w:sz="8" w:color="0075A8"/>
              <w:bottom w:val="single" w:sz="8" w:color="0075A8"/>
            </w:tcBorders>
            <w:gridSpan w:val="3"/>
            <w:vMerge w:val="continue"/>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gridSpan w:val="4"/>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Borders>
              <w:top w:val="single" w:sz="8" w:color="0075A8"/>
              <w:bottom w:val="single" w:sz="8" w:color="0075A8"/>
            </w:tcBorders>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00" w:type="dxa"/>
            <w:vAlign w:val="bottom"/>
            <w:vMerge w:val="continue"/>
          </w:tcPr>
          <w:p>
            <w:pPr>
              <w:spacing w:after="0"/>
              <w:rPr>
                <w:sz w:val="11"/>
                <w:szCs w:val="11"/>
                <w:color w:val="auto"/>
              </w:rPr>
            </w:pPr>
          </w:p>
        </w:tc>
        <w:tc>
          <w:tcPr>
            <w:tcW w:w="3180" w:type="dxa"/>
            <w:vAlign w:val="bottom"/>
            <w:gridSpan w:val="12"/>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380" w:type="dxa"/>
            <w:vAlign w:val="bottom"/>
            <w:gridSpan w:val="8"/>
            <w:vMerge w:val="restart"/>
          </w:tcPr>
          <w:p>
            <w:pPr>
              <w:spacing w:after="0"/>
              <w:rPr>
                <w:sz w:val="20"/>
                <w:szCs w:val="20"/>
                <w:color w:val="auto"/>
              </w:rPr>
            </w:pPr>
            <w:r>
              <w:rPr>
                <w:rFonts w:ascii="Arial" w:cs="Arial" w:eastAsia="Arial" w:hAnsi="Arial"/>
                <w:sz w:val="23"/>
                <w:szCs w:val="23"/>
                <w:color w:val="0075A8"/>
              </w:rPr>
              <w:t>Appendix A: Unaudited</w:t>
            </w:r>
          </w:p>
        </w:tc>
        <w:tc>
          <w:tcPr>
            <w:tcW w:w="720" w:type="dxa"/>
            <w:vAlign w:val="bottom"/>
            <w:gridSpan w:val="3"/>
            <w:vMerge w:val="restart"/>
          </w:tcPr>
          <w:p>
            <w:pPr>
              <w:spacing w:after="0"/>
              <w:rPr>
                <w:sz w:val="11"/>
                <w:szCs w:val="11"/>
                <w:color w:val="auto"/>
              </w:rPr>
            </w:pPr>
          </w:p>
        </w:tc>
        <w:tc>
          <w:tcPr>
            <w:tcW w:w="3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360" w:type="dxa"/>
            <w:vAlign w:val="bottom"/>
            <w:shd w:val="clear" w:color="auto" w:fill="0075A8"/>
          </w:tcPr>
          <w:p>
            <w:pPr>
              <w:spacing w:after="0"/>
              <w:rPr>
                <w:sz w:val="2"/>
                <w:szCs w:val="2"/>
                <w:color w:val="auto"/>
              </w:rPr>
            </w:pPr>
          </w:p>
        </w:tc>
        <w:tc>
          <w:tcPr>
            <w:tcW w:w="180" w:type="dxa"/>
            <w:vAlign w:val="bottom"/>
            <w:shd w:val="clear" w:color="auto" w:fill="0075A8"/>
          </w:tcPr>
          <w:p>
            <w:pPr>
              <w:spacing w:after="0"/>
              <w:rPr>
                <w:sz w:val="2"/>
                <w:szCs w:val="2"/>
                <w:color w:val="auto"/>
              </w:rPr>
            </w:pPr>
          </w:p>
        </w:tc>
        <w:tc>
          <w:tcPr>
            <w:tcW w:w="480" w:type="dxa"/>
            <w:vAlign w:val="bottom"/>
            <w:shd w:val="clear" w:color="auto" w:fill="0075A8"/>
          </w:tcPr>
          <w:p>
            <w:pPr>
              <w:spacing w:after="0"/>
              <w:rPr>
                <w:sz w:val="2"/>
                <w:szCs w:val="2"/>
                <w:color w:val="auto"/>
              </w:rPr>
            </w:pPr>
          </w:p>
        </w:tc>
        <w:tc>
          <w:tcPr>
            <w:tcW w:w="300" w:type="dxa"/>
            <w:vAlign w:val="bottom"/>
            <w:shd w:val="clear" w:color="auto" w:fill="0075A8"/>
          </w:tcPr>
          <w:p>
            <w:pPr>
              <w:spacing w:after="0"/>
              <w:rPr>
                <w:sz w:val="2"/>
                <w:szCs w:val="2"/>
                <w:color w:val="auto"/>
              </w:rPr>
            </w:pPr>
          </w:p>
        </w:tc>
        <w:tc>
          <w:tcPr>
            <w:tcW w:w="480" w:type="dxa"/>
            <w:vAlign w:val="bottom"/>
            <w:shd w:val="clear" w:color="auto" w:fill="0075A8"/>
          </w:tcPr>
          <w:p>
            <w:pPr>
              <w:spacing w:after="0"/>
              <w:rPr>
                <w:sz w:val="2"/>
                <w:szCs w:val="2"/>
                <w:color w:val="auto"/>
              </w:rPr>
            </w:pPr>
          </w:p>
        </w:tc>
        <w:tc>
          <w:tcPr>
            <w:tcW w:w="400" w:type="dxa"/>
            <w:vAlign w:val="bottom"/>
            <w:shd w:val="clear" w:color="auto" w:fill="0075A8"/>
          </w:tcPr>
          <w:p>
            <w:pPr>
              <w:spacing w:after="0"/>
              <w:rPr>
                <w:sz w:val="2"/>
                <w:szCs w:val="2"/>
                <w:color w:val="auto"/>
              </w:rPr>
            </w:pPr>
          </w:p>
        </w:tc>
        <w:tc>
          <w:tcPr>
            <w:tcW w:w="120" w:type="dxa"/>
            <w:vAlign w:val="bottom"/>
            <w:shd w:val="clear" w:color="auto" w:fill="0075A8"/>
          </w:tcPr>
          <w:p>
            <w:pPr>
              <w:spacing w:after="0"/>
              <w:rPr>
                <w:sz w:val="2"/>
                <w:szCs w:val="2"/>
                <w:color w:val="auto"/>
              </w:rPr>
            </w:pPr>
          </w:p>
        </w:tc>
        <w:tc>
          <w:tcPr>
            <w:tcW w:w="460" w:type="dxa"/>
            <w:vAlign w:val="bottom"/>
            <w:tcBorders>
              <w:left w:val="single" w:sz="8" w:color="0075A8"/>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right w:val="single" w:sz="8" w:color="0075A8"/>
            </w:tcBorders>
          </w:tcPr>
          <w:p>
            <w:pPr>
              <w:spacing w:after="0"/>
              <w:rPr>
                <w:sz w:val="2"/>
                <w:szCs w:val="2"/>
                <w:color w:val="auto"/>
              </w:rPr>
            </w:pPr>
          </w:p>
        </w:tc>
        <w:tc>
          <w:tcPr>
            <w:tcW w:w="200" w:type="dxa"/>
            <w:vAlign w:val="bottom"/>
            <w:shd w:val="clear" w:color="auto" w:fill="0075A8"/>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gridSpan w:val="8"/>
            <w:vMerge w:val="continue"/>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900" w:type="dxa"/>
            <w:vAlign w:val="bottom"/>
            <w:vMerge w:val="restart"/>
          </w:tcPr>
          <w:p>
            <w:pPr>
              <w:ind w:left="7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960" w:type="dxa"/>
            <w:vAlign w:val="bottom"/>
            <w:gridSpan w:val="6"/>
            <w:vMerge w:val="restart"/>
          </w:tcPr>
          <w:p>
            <w:pPr>
              <w:spacing w:after="0"/>
              <w:rPr>
                <w:sz w:val="20"/>
                <w:szCs w:val="20"/>
                <w:color w:val="auto"/>
              </w:rPr>
            </w:pPr>
            <w:r>
              <w:rPr>
                <w:rFonts w:ascii="Arial" w:cs="Arial" w:eastAsia="Arial" w:hAnsi="Arial"/>
                <w:sz w:val="18"/>
                <w:szCs w:val="18"/>
                <w:color w:val="0000EE"/>
                <w:w w:val="97"/>
              </w:rPr>
              <w:t>Summary and Highlights</w:t>
            </w:r>
          </w:p>
        </w:tc>
        <w:tc>
          <w:tcPr>
            <w:tcW w:w="860" w:type="dxa"/>
            <w:vAlign w:val="bottom"/>
            <w:gridSpan w:val="5"/>
            <w:vMerge w:val="restart"/>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30</w:t>
            </w:r>
            <w:r>
              <w:rPr>
                <w:rFonts w:ascii="Arial" w:cs="Arial" w:eastAsia="Arial" w:hAnsi="Arial"/>
                <w:sz w:val="18"/>
                <w:szCs w:val="18"/>
                <w:color w:val="auto"/>
              </w:rPr>
              <w:t>​ ​</w:t>
            </w:r>
          </w:p>
        </w:tc>
        <w:tc>
          <w:tcPr>
            <w:tcW w:w="240" w:type="dxa"/>
            <w:vAlign w:val="bottom"/>
          </w:tcPr>
          <w:p>
            <w:pPr>
              <w:spacing w:after="0"/>
              <w:rPr>
                <w:sz w:val="23"/>
                <w:szCs w:val="23"/>
                <w:color w:val="auto"/>
              </w:rPr>
            </w:pPr>
          </w:p>
        </w:tc>
        <w:tc>
          <w:tcPr>
            <w:tcW w:w="2380" w:type="dxa"/>
            <w:vAlign w:val="bottom"/>
            <w:tcBorders>
              <w:bottom w:val="single" w:sz="8" w:color="0075A8"/>
            </w:tcBorders>
            <w:gridSpan w:val="8"/>
            <w:vMerge w:val="continue"/>
          </w:tcPr>
          <w:p>
            <w:pPr>
              <w:spacing w:after="0"/>
              <w:rPr>
                <w:sz w:val="23"/>
                <w:szCs w:val="23"/>
                <w:color w:val="auto"/>
              </w:rPr>
            </w:pPr>
          </w:p>
        </w:tc>
        <w:tc>
          <w:tcPr>
            <w:tcW w:w="720" w:type="dxa"/>
            <w:vAlign w:val="bottom"/>
            <w:gridSpan w:val="3"/>
            <w:vMerge w:val="continue"/>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9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960" w:type="dxa"/>
            <w:vAlign w:val="bottom"/>
            <w:gridSpan w:val="6"/>
            <w:vMerge w:val="continue"/>
          </w:tcPr>
          <w:p>
            <w:pPr>
              <w:spacing w:after="0"/>
              <w:rPr>
                <w:sz w:val="4"/>
                <w:szCs w:val="4"/>
                <w:color w:val="auto"/>
              </w:rPr>
            </w:pPr>
          </w:p>
        </w:tc>
        <w:tc>
          <w:tcPr>
            <w:tcW w:w="860" w:type="dxa"/>
            <w:vAlign w:val="bottom"/>
            <w:gridSpan w:val="5"/>
            <w:vMerge w:val="continue"/>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3060" w:type="dxa"/>
            <w:vAlign w:val="bottom"/>
            <w:gridSpan w:val="10"/>
            <w:vMerge w:val="restart"/>
          </w:tcPr>
          <w:p>
            <w:pPr>
              <w:spacing w:after="0" w:line="210" w:lineRule="exact"/>
              <w:rPr>
                <w:sz w:val="20"/>
                <w:szCs w:val="20"/>
                <w:color w:val="auto"/>
              </w:rPr>
            </w:pPr>
            <w:r>
              <w:rPr>
                <w:rFonts w:ascii="Arial" w:cs="Arial" w:eastAsia="Arial" w:hAnsi="Arial"/>
                <w:sz w:val="23"/>
                <w:szCs w:val="23"/>
                <w:color w:val="0075A8"/>
              </w:rPr>
              <w:t>Reconciliations of Non-GAAP</w:t>
            </w:r>
          </w:p>
        </w:tc>
        <w:tc>
          <w:tcPr>
            <w:tcW w:w="4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gridSpan w:val="10"/>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gridSpan w:val="7"/>
            <w:vMerge w:val="restart"/>
          </w:tcPr>
          <w:p>
            <w:pPr>
              <w:spacing w:after="0"/>
              <w:rPr>
                <w:sz w:val="20"/>
                <w:szCs w:val="20"/>
                <w:color w:val="auto"/>
              </w:rPr>
            </w:pPr>
            <w:r>
              <w:rPr>
                <w:rFonts w:ascii="Arial" w:cs="Arial" w:eastAsia="Arial" w:hAnsi="Arial"/>
                <w:sz w:val="18"/>
                <w:szCs w:val="18"/>
                <w:color w:val="0000EE"/>
                <w:w w:val="98"/>
              </w:rPr>
              <w:t>Compensation Discussion and</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60" w:type="dxa"/>
            <w:vAlign w:val="bottom"/>
            <w:tcBorders>
              <w:bottom w:val="single" w:sz="8" w:color="0075A8"/>
            </w:tcBorders>
            <w:gridSpan w:val="10"/>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20" w:type="dxa"/>
            <w:vAlign w:val="bottom"/>
            <w:tcBorders>
              <w:bottom w:val="single" w:sz="8" w:color="0000EE"/>
            </w:tcBorders>
            <w:gridSpan w:val="7"/>
            <w:vMerge w:val="continue"/>
          </w:tcPr>
          <w:p>
            <w:pPr>
              <w:spacing w:after="0"/>
              <w:rPr>
                <w:sz w:val="13"/>
                <w:szCs w:val="13"/>
                <w:color w:val="auto"/>
              </w:rPr>
            </w:pPr>
          </w:p>
        </w:tc>
        <w:tc>
          <w:tcPr>
            <w:tcW w:w="200" w:type="dxa"/>
            <w:vAlign w:val="bottom"/>
            <w:vMerge w:val="restart"/>
          </w:tcPr>
          <w:p>
            <w:pPr>
              <w:spacing w:after="0"/>
              <w:rPr>
                <w:sz w:val="13"/>
                <w:szCs w:val="13"/>
                <w:color w:val="auto"/>
              </w:rPr>
            </w:pPr>
          </w:p>
        </w:tc>
        <w:tc>
          <w:tcPr>
            <w:tcW w:w="200" w:type="dxa"/>
            <w:vAlign w:val="bottom"/>
            <w:gridSpan w:val="3"/>
            <w:vMerge w:val="restart"/>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40" w:type="dxa"/>
            <w:vAlign w:val="bottom"/>
            <w:gridSpan w:val="12"/>
            <w:vMerge w:val="restart"/>
          </w:tcPr>
          <w:p>
            <w:pPr>
              <w:ind w:left="120"/>
              <w:spacing w:after="0" w:line="210" w:lineRule="exact"/>
              <w:rPr>
                <w:sz w:val="20"/>
                <w:szCs w:val="20"/>
                <w:color w:val="auto"/>
              </w:rPr>
            </w:pPr>
            <w:r>
              <w:rPr>
                <w:rFonts w:ascii="Arial" w:cs="Arial" w:eastAsia="Arial" w:hAnsi="Arial"/>
                <w:sz w:val="23"/>
                <w:szCs w:val="23"/>
                <w:color w:val="0075A8"/>
              </w:rPr>
              <w:t>​ Financial Measures</w:t>
            </w:r>
          </w:p>
        </w:tc>
        <w:tc>
          <w:tcPr>
            <w:tcW w:w="320" w:type="dxa"/>
            <w:vAlign w:val="bottom"/>
            <w:vMerge w:val="restart"/>
          </w:tcPr>
          <w:p>
            <w:pPr>
              <w:spacing w:after="0"/>
              <w:rPr>
                <w:sz w:val="13"/>
                <w:szCs w:val="13"/>
                <w:color w:val="auto"/>
              </w:rPr>
            </w:pPr>
          </w:p>
        </w:tc>
        <w:tc>
          <w:tcPr>
            <w:tcW w:w="1680" w:type="dxa"/>
            <w:vAlign w:val="bottom"/>
            <w:gridSpan w:val="3"/>
            <w:vMerge w:val="restart"/>
          </w:tcPr>
          <w:p>
            <w:pPr>
              <w:ind w:left="280"/>
              <w:spacing w:after="0" w:line="210" w:lineRule="exact"/>
              <w:rPr>
                <w:sz w:val="20"/>
                <w:szCs w:val="20"/>
                <w:color w:val="auto"/>
              </w:rPr>
            </w:pPr>
            <w:r>
              <w:rPr>
                <w:rFonts w:ascii="Arial" w:cs="Arial" w:eastAsia="Arial" w:hAnsi="Arial"/>
                <w:sz w:val="23"/>
                <w:szCs w:val="23"/>
                <w:color w:val="0075A8"/>
              </w:rPr>
              <w:t>​ ​​74​ ​</w:t>
            </w: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00" w:type="dxa"/>
            <w:vAlign w:val="bottom"/>
            <w:vMerge w:val="continue"/>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340" w:type="dxa"/>
            <w:vAlign w:val="bottom"/>
            <w:gridSpan w:val="12"/>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6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900" w:type="dxa"/>
            <w:vAlign w:val="bottom"/>
            <w:vMerge w:val="restart"/>
          </w:tcPr>
          <w:p>
            <w:pPr>
              <w:ind w:left="780"/>
              <w:spacing w:after="0" w:line="15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2"/>
                <w:szCs w:val="2"/>
                <w:color w:val="auto"/>
              </w:rPr>
            </w:pPr>
          </w:p>
        </w:tc>
        <w:tc>
          <w:tcPr>
            <w:tcW w:w="960" w:type="dxa"/>
            <w:vAlign w:val="bottom"/>
            <w:gridSpan w:val="3"/>
            <w:vMerge w:val="restart"/>
          </w:tcPr>
          <w:p>
            <w:pPr>
              <w:spacing w:after="0" w:line="156" w:lineRule="exact"/>
              <w:rPr>
                <w:sz w:val="20"/>
                <w:szCs w:val="20"/>
                <w:color w:val="auto"/>
              </w:rPr>
            </w:pPr>
            <w:r>
              <w:rPr>
                <w:rFonts w:ascii="Arial" w:cs="Arial" w:eastAsia="Arial" w:hAnsi="Arial"/>
                <w:sz w:val="18"/>
                <w:szCs w:val="18"/>
                <w:color w:val="0000EE"/>
              </w:rPr>
              <w:t>Analysis</w:t>
            </w: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3"/>
            <w:vMerge w:val="restart"/>
          </w:tcPr>
          <w:p>
            <w:pPr>
              <w:ind w:left="60"/>
              <w:spacing w:after="0" w:line="15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31</w:t>
            </w:r>
            <w:r>
              <w:rPr>
                <w:rFonts w:ascii="Arial" w:cs="Arial" w:eastAsia="Arial" w:hAnsi="Arial"/>
                <w:sz w:val="18"/>
                <w:szCs w:val="18"/>
                <w:color w:val="auto"/>
              </w:rPr>
              <w:t>​ ​</w:t>
            </w:r>
          </w:p>
        </w:tc>
        <w:tc>
          <w:tcPr>
            <w:tcW w:w="240" w:type="dxa"/>
            <w:vAlign w:val="bottom"/>
          </w:tcPr>
          <w:p>
            <w:pPr>
              <w:spacing w:after="0"/>
              <w:rPr>
                <w:sz w:val="2"/>
                <w:szCs w:val="2"/>
                <w:color w:val="auto"/>
              </w:rPr>
            </w:pPr>
          </w:p>
        </w:tc>
        <w:tc>
          <w:tcPr>
            <w:tcW w:w="360" w:type="dxa"/>
            <w:vAlign w:val="bottom"/>
            <w:shd w:val="clear" w:color="auto" w:fill="0075A8"/>
          </w:tcPr>
          <w:p>
            <w:pPr>
              <w:spacing w:after="0"/>
              <w:rPr>
                <w:sz w:val="2"/>
                <w:szCs w:val="2"/>
                <w:color w:val="auto"/>
              </w:rPr>
            </w:pPr>
          </w:p>
        </w:tc>
        <w:tc>
          <w:tcPr>
            <w:tcW w:w="1000" w:type="dxa"/>
            <w:vAlign w:val="bottom"/>
            <w:shd w:val="clear" w:color="auto" w:fill="0075A8"/>
          </w:tcPr>
          <w:p>
            <w:pPr>
              <w:spacing w:after="0"/>
              <w:rPr>
                <w:sz w:val="2"/>
                <w:szCs w:val="2"/>
                <w:color w:val="auto"/>
              </w:rPr>
            </w:pPr>
          </w:p>
        </w:tc>
        <w:tc>
          <w:tcPr>
            <w:tcW w:w="60" w:type="dxa"/>
            <w:vAlign w:val="bottom"/>
            <w:shd w:val="clear" w:color="auto" w:fill="0075A8"/>
          </w:tcPr>
          <w:p>
            <w:pPr>
              <w:spacing w:after="0"/>
              <w:rPr>
                <w:sz w:val="2"/>
                <w:szCs w:val="2"/>
                <w:color w:val="auto"/>
              </w:rPr>
            </w:pPr>
          </w:p>
        </w:tc>
        <w:tc>
          <w:tcPr>
            <w:tcW w:w="600" w:type="dxa"/>
            <w:vAlign w:val="bottom"/>
            <w:shd w:val="clear" w:color="auto" w:fill="0075A8"/>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right w:val="single" w:sz="8" w:color="0075A8"/>
            </w:tcBorders>
          </w:tcPr>
          <w:p>
            <w:pPr>
              <w:spacing w:after="0"/>
              <w:rPr>
                <w:sz w:val="2"/>
                <w:szCs w:val="2"/>
                <w:color w:val="auto"/>
              </w:rPr>
            </w:pPr>
          </w:p>
        </w:tc>
        <w:tc>
          <w:tcPr>
            <w:tcW w:w="200" w:type="dxa"/>
            <w:vAlign w:val="bottom"/>
            <w:shd w:val="clear" w:color="auto" w:fill="0075A8"/>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5100" w:type="dxa"/>
            <w:vAlign w:val="bottom"/>
            <w:gridSpan w:val="15"/>
            <w:vMerge w:val="restart"/>
          </w:tcPr>
          <w:p>
            <w:pPr>
              <w:ind w:left="360"/>
              <w:spacing w:after="0"/>
              <w:rPr>
                <w:sz w:val="20"/>
                <w:szCs w:val="20"/>
                <w:color w:val="auto"/>
              </w:rPr>
            </w:pPr>
            <w:r>
              <w:rPr>
                <w:rFonts w:ascii="Arial" w:cs="Arial" w:eastAsia="Arial" w:hAnsi="Arial"/>
                <w:sz w:val="18"/>
                <w:szCs w:val="18"/>
                <w:color w:val="0000EE"/>
              </w:rPr>
              <w:t>Discussion Regarding the Use of Non-</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00" w:type="dxa"/>
            <w:vAlign w:val="bottom"/>
            <w:gridSpan w:val="1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20" w:type="dxa"/>
            <w:vAlign w:val="bottom"/>
            <w:gridSpan w:val="8"/>
            <w:vMerge w:val="restart"/>
          </w:tcPr>
          <w:p>
            <w:pPr>
              <w:spacing w:after="0"/>
              <w:rPr>
                <w:sz w:val="20"/>
                <w:szCs w:val="20"/>
                <w:color w:val="auto"/>
              </w:rPr>
            </w:pPr>
            <w:r>
              <w:rPr>
                <w:rFonts w:ascii="Arial" w:cs="Arial" w:eastAsia="Arial" w:hAnsi="Arial"/>
                <w:sz w:val="18"/>
                <w:szCs w:val="18"/>
                <w:color w:val="0000EE"/>
                <w:w w:val="98"/>
              </w:rPr>
              <w:t>Compensation Tables for Named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100" w:type="dxa"/>
            <w:vAlign w:val="bottom"/>
            <w:gridSpan w:val="1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20" w:type="dxa"/>
            <w:vAlign w:val="bottom"/>
            <w:gridSpan w:val="8"/>
            <w:vMerge w:val="continu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tcBorders>
              <w:bottom w:val="single" w:sz="8" w:color="0000EE"/>
            </w:tcBorders>
            <w:gridSpan w:val="8"/>
            <w:vMerge w:val="continue"/>
          </w:tcPr>
          <w:p>
            <w:pPr>
              <w:spacing w:after="0"/>
              <w:rPr>
                <w:sz w:val="14"/>
                <w:szCs w:val="14"/>
                <w:color w:val="auto"/>
              </w:rPr>
            </w:pPr>
          </w:p>
        </w:tc>
        <w:tc>
          <w:tcPr>
            <w:tcW w:w="20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vMerge w:val="restart"/>
          </w:tcPr>
          <w:p>
            <w:pPr>
              <w:ind w:left="120"/>
              <w:spacing w:after="0" w:line="196" w:lineRule="exact"/>
              <w:rPr>
                <w:sz w:val="20"/>
                <w:szCs w:val="20"/>
                <w:color w:val="auto"/>
              </w:rPr>
            </w:pPr>
            <w:r>
              <w:rPr>
                <w:rFonts w:ascii="Arial" w:cs="Arial" w:eastAsia="Arial" w:hAnsi="Arial"/>
                <w:sz w:val="18"/>
                <w:szCs w:val="18"/>
                <w:color w:val="auto"/>
              </w:rPr>
              <w:t>​</w:t>
            </w:r>
          </w:p>
        </w:tc>
        <w:tc>
          <w:tcPr>
            <w:tcW w:w="3100" w:type="dxa"/>
            <w:vAlign w:val="bottom"/>
            <w:gridSpan w:val="11"/>
            <w:vMerge w:val="restart"/>
          </w:tcPr>
          <w:p>
            <w:pPr>
              <w:ind w:left="360"/>
              <w:spacing w:after="0" w:line="196" w:lineRule="exact"/>
              <w:rPr>
                <w:sz w:val="20"/>
                <w:szCs w:val="20"/>
                <w:color w:val="auto"/>
              </w:rPr>
            </w:pPr>
            <w:r>
              <w:rPr>
                <w:rFonts w:ascii="Arial" w:cs="Arial" w:eastAsia="Arial" w:hAnsi="Arial"/>
                <w:sz w:val="18"/>
                <w:szCs w:val="18"/>
                <w:color w:val="0000EE"/>
              </w:rPr>
              <w:t>GAAP Financial Measures</w:t>
            </w:r>
          </w:p>
        </w:tc>
        <w:tc>
          <w:tcPr>
            <w:tcW w:w="320" w:type="dxa"/>
            <w:vAlign w:val="bottom"/>
            <w:vMerge w:val="restart"/>
          </w:tcPr>
          <w:p>
            <w:pPr>
              <w:spacing w:after="0"/>
              <w:rPr>
                <w:sz w:val="14"/>
                <w:szCs w:val="14"/>
                <w:color w:val="auto"/>
              </w:rPr>
            </w:pPr>
          </w:p>
        </w:tc>
        <w:tc>
          <w:tcPr>
            <w:tcW w:w="1680" w:type="dxa"/>
            <w:vAlign w:val="bottom"/>
            <w:gridSpan w:val="3"/>
            <w:vMerge w:val="restart"/>
          </w:tcPr>
          <w:p>
            <w:pPr>
              <w:ind w:left="280"/>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75</w:t>
            </w: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8"/>
        </w:trPr>
        <w:tc>
          <w:tcPr>
            <w:tcW w:w="900" w:type="dxa"/>
            <w:vAlign w:val="bottom"/>
            <w:vMerge w:val="restart"/>
          </w:tcPr>
          <w:p>
            <w:pPr>
              <w:ind w:left="78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2"/>
                <w:szCs w:val="2"/>
                <w:color w:val="auto"/>
              </w:rPr>
            </w:pPr>
          </w:p>
        </w:tc>
        <w:tc>
          <w:tcPr>
            <w:tcW w:w="1840" w:type="dxa"/>
            <w:vAlign w:val="bottom"/>
            <w:gridSpan w:val="5"/>
            <w:vMerge w:val="restart"/>
          </w:tcPr>
          <w:p>
            <w:pPr>
              <w:spacing w:after="0" w:line="196" w:lineRule="exact"/>
              <w:rPr>
                <w:sz w:val="20"/>
                <w:szCs w:val="20"/>
                <w:color w:val="auto"/>
              </w:rPr>
            </w:pPr>
            <w:r>
              <w:rPr>
                <w:rFonts w:ascii="Arial" w:cs="Arial" w:eastAsia="Arial" w:hAnsi="Arial"/>
                <w:sz w:val="18"/>
                <w:szCs w:val="18"/>
                <w:color w:val="0000EE"/>
              </w:rPr>
              <w:t>Executive Officers</w:t>
            </w:r>
          </w:p>
        </w:tc>
        <w:tc>
          <w:tcPr>
            <w:tcW w:w="980" w:type="dxa"/>
            <w:vAlign w:val="bottom"/>
            <w:gridSpan w:val="6"/>
            <w:vMerge w:val="restart"/>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3"/>
            <w:vMerge w:val="restart"/>
          </w:tcPr>
          <w:p>
            <w:pPr>
              <w:ind w:left="60"/>
              <w:spacing w:after="0" w:line="19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45</w:t>
            </w:r>
            <w:r>
              <w:rPr>
                <w:rFonts w:ascii="Arial" w:cs="Arial" w:eastAsia="Arial" w:hAnsi="Arial"/>
                <w:sz w:val="18"/>
                <w:szCs w:val="18"/>
                <w:color w:val="auto"/>
              </w:rPr>
              <w:t>​ ​</w:t>
            </w:r>
          </w:p>
        </w:tc>
        <w:tc>
          <w:tcPr>
            <w:tcW w:w="240" w:type="dxa"/>
            <w:vAlign w:val="bottom"/>
            <w:vMerge w:val="continue"/>
          </w:tcPr>
          <w:p>
            <w:pPr>
              <w:spacing w:after="0"/>
              <w:rPr>
                <w:sz w:val="2"/>
                <w:szCs w:val="2"/>
                <w:color w:val="auto"/>
              </w:rPr>
            </w:pPr>
          </w:p>
        </w:tc>
        <w:tc>
          <w:tcPr>
            <w:tcW w:w="3100" w:type="dxa"/>
            <w:vAlign w:val="bottom"/>
            <w:gridSpan w:val="11"/>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6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9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5"/>
            <w:vMerge w:val="continue"/>
          </w:tcPr>
          <w:p>
            <w:pPr>
              <w:spacing w:after="0"/>
              <w:rPr>
                <w:sz w:val="14"/>
                <w:szCs w:val="14"/>
                <w:color w:val="auto"/>
              </w:rPr>
            </w:pPr>
          </w:p>
        </w:tc>
        <w:tc>
          <w:tcPr>
            <w:tcW w:w="98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gridSpan w:val="5"/>
            <w:shd w:val="clear" w:color="auto" w:fill="0000EE"/>
          </w:tcPr>
          <w:p>
            <w:pPr>
              <w:spacing w:after="0"/>
              <w:rPr>
                <w:sz w:val="2"/>
                <w:szCs w:val="2"/>
                <w:color w:val="auto"/>
              </w:rPr>
            </w:pPr>
          </w:p>
        </w:tc>
        <w:tc>
          <w:tcPr>
            <w:tcW w:w="980" w:type="dxa"/>
            <w:vAlign w:val="bottom"/>
            <w:gridSpan w:val="6"/>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900" w:type="dxa"/>
            <w:vAlign w:val="bottom"/>
          </w:tcPr>
          <w:p>
            <w:pPr>
              <w:ind w:left="7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840" w:type="dxa"/>
            <w:vAlign w:val="bottom"/>
            <w:gridSpan w:val="5"/>
          </w:tcPr>
          <w:p>
            <w:pPr>
              <w:spacing w:after="0"/>
              <w:rPr>
                <w:sz w:val="20"/>
                <w:szCs w:val="20"/>
                <w:color w:val="auto"/>
              </w:rPr>
            </w:pPr>
            <w:r>
              <w:rPr>
                <w:rFonts w:ascii="Arial" w:cs="Arial" w:eastAsia="Arial" w:hAnsi="Arial"/>
                <w:sz w:val="18"/>
                <w:szCs w:val="18"/>
                <w:color w:val="0000EE"/>
                <w:w w:val="98"/>
              </w:rPr>
              <w:t>Director Compensation</w:t>
            </w:r>
          </w:p>
        </w:tc>
        <w:tc>
          <w:tcPr>
            <w:tcW w:w="98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56</w:t>
            </w:r>
            <w:r>
              <w:rPr>
                <w:rFonts w:ascii="Arial" w:cs="Arial" w:eastAsia="Arial" w:hAnsi="Arial"/>
                <w:sz w:val="18"/>
                <w:szCs w:val="18"/>
                <w:color w:val="auto"/>
              </w:rPr>
              <w:t>​ ​</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7"/>
        </w:trPr>
        <w:tc>
          <w:tcPr>
            <w:tcW w:w="900" w:type="dxa"/>
            <w:vAlign w:val="bottom"/>
          </w:tcPr>
          <w:p>
            <w:pPr>
              <w:ind w:left="6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ind w:left="2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0000EE"/>
            </w:tcBorders>
            <w:gridSpan w:val="2"/>
          </w:tcPr>
          <w:p>
            <w:pPr>
              <w:jc w:val="center"/>
              <w:ind w:right="460"/>
              <w:spacing w:after="0"/>
              <w:rPr>
                <w:sz w:val="20"/>
                <w:szCs w:val="20"/>
                <w:color w:val="auto"/>
              </w:rPr>
            </w:pPr>
            <w:r>
              <w:rPr>
                <w:rFonts w:ascii="Arial" w:cs="Arial" w:eastAsia="Arial" w:hAnsi="Arial"/>
                <w:sz w:val="16"/>
                <w:szCs w:val="16"/>
                <w:color w:val="auto"/>
              </w:rPr>
              <w:t>​</w:t>
            </w:r>
          </w:p>
        </w:tc>
        <w:tc>
          <w:tcPr>
            <w:tcW w:w="98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Arial" w:cs="Arial" w:eastAsia="Arial" w:hAnsi="Arial"/>
                <w:sz w:val="16"/>
                <w:szCs w:val="16"/>
                <w:color w:val="auto"/>
              </w:rPr>
              <w:t>​   ​</w:t>
            </w:r>
          </w:p>
        </w:tc>
        <w:tc>
          <w:tcPr>
            <w:tcW w:w="2000" w:type="dxa"/>
            <w:vAlign w:val="bottom"/>
            <w:gridSpan w:val="4"/>
          </w:tcPr>
          <w:p>
            <w:pPr>
              <w:ind w:left="140"/>
              <w:spacing w:after="0"/>
              <w:rPr>
                <w:sz w:val="20"/>
                <w:szCs w:val="20"/>
                <w:color w:val="auto"/>
              </w:rPr>
            </w:pPr>
            <w:r>
              <w:rPr>
                <w:rFonts w:ascii="Arial" w:cs="Arial" w:eastAsia="Arial" w:hAnsi="Arial"/>
                <w:sz w:val="16"/>
                <w:szCs w:val="16"/>
                <w:color w:val="auto"/>
              </w:rPr>
              <w:t>Proxy Statement​</w:t>
            </w:r>
          </w:p>
        </w:tc>
        <w:tc>
          <w:tcPr>
            <w:tcW w:w="0" w:type="dxa"/>
            <w:vAlign w:val="bottom"/>
          </w:tcPr>
          <w:p>
            <w:pPr>
              <w:spacing w:after="0"/>
              <w:rPr>
                <w:sz w:val="1"/>
                <w:szCs w:val="1"/>
                <w:color w:val="auto"/>
              </w:rPr>
            </w:pPr>
          </w:p>
        </w:tc>
      </w:tr>
      <w:tr>
        <w:trPr>
          <w:trHeight w:val="297"/>
        </w:trPr>
        <w:tc>
          <w:tcPr>
            <w:tcW w:w="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-393700</wp:posOffset>
            </wp:positionV>
            <wp:extent cx="77978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2591435</wp:posOffset>
            </wp:positionH>
            <wp:positionV relativeFrom="paragraph">
              <wp:posOffset>408940</wp:posOffset>
            </wp:positionV>
            <wp:extent cx="2305685" cy="763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0568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900"/>
        <w:spacing w:after="0"/>
        <w:rPr>
          <w:sz w:val="20"/>
          <w:szCs w:val="20"/>
          <w:color w:val="auto"/>
        </w:rPr>
      </w:pPr>
      <w:r>
        <w:rPr>
          <w:rFonts w:ascii="Arial" w:cs="Arial" w:eastAsia="Arial" w:hAnsi="Arial"/>
          <w:sz w:val="32"/>
          <w:szCs w:val="32"/>
          <w:b w:val="1"/>
          <w:bCs w:val="1"/>
          <w:color w:val="0075A8"/>
        </w:rPr>
        <w:t>PROXY STATEMENT SUMMARY</w:t>
      </w:r>
    </w:p>
    <w:p>
      <w:pPr>
        <w:spacing w:after="0" w:line="272" w:lineRule="exact"/>
        <w:rPr>
          <w:sz w:val="20"/>
          <w:szCs w:val="20"/>
          <w:color w:val="auto"/>
        </w:rPr>
      </w:pPr>
    </w:p>
    <w:p>
      <w:pPr>
        <w:ind w:left="660" w:right="300"/>
        <w:spacing w:after="0" w:line="256" w:lineRule="auto"/>
        <w:rPr>
          <w:sz w:val="20"/>
          <w:szCs w:val="20"/>
          <w:color w:val="auto"/>
        </w:rPr>
      </w:pPr>
      <w:r>
        <w:rPr>
          <w:rFonts w:ascii="Arial" w:cs="Arial" w:eastAsia="Arial" w:hAnsi="Arial"/>
          <w:sz w:val="20"/>
          <w:szCs w:val="20"/>
          <w:color w:val="auto"/>
        </w:rPr>
        <w:t>This summary highlights financial and other accomplishments during fiscal year 2022, as well as information generally contained elsewhere in this Proxy Statement. This summary does not contain all of the information that you should consider in advance of the 2023 Annual Meeting of Stockholders, and we encourage you to read the entire Proxy Statement before voting your shares.</w:t>
      </w:r>
    </w:p>
    <w:p>
      <w:pPr>
        <w:spacing w:after="0" w:line="215" w:lineRule="exact"/>
        <w:rPr>
          <w:sz w:val="20"/>
          <w:szCs w:val="20"/>
          <w:color w:val="auto"/>
        </w:rPr>
      </w:pPr>
    </w:p>
    <w:p>
      <w:pPr>
        <w:ind w:left="2480"/>
        <w:spacing w:after="0"/>
        <w:rPr>
          <w:sz w:val="20"/>
          <w:szCs w:val="20"/>
          <w:color w:val="auto"/>
        </w:rPr>
      </w:pPr>
      <w:r>
        <w:rPr>
          <w:rFonts w:ascii="Arial" w:cs="Arial" w:eastAsia="Arial" w:hAnsi="Arial"/>
          <w:sz w:val="32"/>
          <w:szCs w:val="32"/>
          <w:b w:val="1"/>
          <w:bCs w:val="1"/>
          <w:color w:val="auto"/>
        </w:rPr>
        <w:t>2023 Annual Meeting of Stockholders</w:t>
      </w:r>
    </w:p>
    <w:p>
      <w:pPr>
        <w:sectPr>
          <w:pgSz w:w="11900" w:h="16838" w:orient="portrait"/>
          <w:cols w:equalWidth="0" w:num="1">
            <w:col w:w="10120"/>
          </w:cols>
          <w:pgMar w:left="580" w:top="131" w:right="1199" w:bottom="1440" w:gutter="0" w:footer="0" w:header="0"/>
        </w:sect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-142875</wp:posOffset>
            </wp:positionV>
            <wp:extent cx="454025" cy="454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4025" cy="45402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420" w:hanging="766"/>
        <w:spacing w:after="0"/>
        <w:tabs>
          <w:tab w:leader="none" w:pos="1420" w:val="left"/>
        </w:tabs>
        <w:numPr>
          <w:ilvl w:val="0"/>
          <w:numId w:val="6"/>
        </w:numPr>
        <w:rPr>
          <w:rFonts w:ascii="Arial" w:cs="Arial" w:eastAsia="Arial" w:hAnsi="Arial"/>
          <w:sz w:val="39"/>
          <w:szCs w:val="39"/>
          <w:b w:val="1"/>
          <w:bCs w:val="1"/>
          <w:color w:val="auto"/>
          <w:vertAlign w:val="superscript"/>
        </w:rPr>
      </w:pPr>
      <w:r>
        <w:rPr>
          <w:rFonts w:ascii="Arial" w:cs="Arial" w:eastAsia="Arial" w:hAnsi="Arial"/>
          <w:sz w:val="19"/>
          <w:szCs w:val="19"/>
          <w:b w:val="1"/>
          <w:bCs w:val="1"/>
          <w:color w:val="auto"/>
        </w:rPr>
        <w:t>Date and Time</w:t>
      </w:r>
    </w:p>
    <w:p>
      <w:pPr>
        <w:spacing w:after="0" w:line="5" w:lineRule="exact"/>
        <w:rPr>
          <w:rFonts w:ascii="Arial" w:cs="Arial" w:eastAsia="Arial" w:hAnsi="Arial"/>
          <w:sz w:val="39"/>
          <w:szCs w:val="39"/>
          <w:b w:val="1"/>
          <w:bCs w:val="1"/>
          <w:color w:val="auto"/>
          <w:vertAlign w:val="superscript"/>
        </w:rPr>
      </w:pPr>
    </w:p>
    <w:p>
      <w:pPr>
        <w:ind w:left="1480" w:hanging="826"/>
        <w:spacing w:after="0"/>
        <w:tabs>
          <w:tab w:leader="none" w:pos="1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May 10, 2023</w:t>
      </w:r>
    </w:p>
    <w:p>
      <w:pPr>
        <w:ind w:left="1400"/>
        <w:spacing w:after="0"/>
        <w:rPr>
          <w:rFonts w:ascii="Arial" w:cs="Arial" w:eastAsia="Arial" w:hAnsi="Arial"/>
          <w:sz w:val="20"/>
          <w:szCs w:val="20"/>
          <w:color w:val="auto"/>
        </w:rPr>
      </w:pPr>
      <w:r>
        <w:rPr>
          <w:rFonts w:ascii="Arial" w:cs="Arial" w:eastAsia="Arial" w:hAnsi="Arial"/>
          <w:sz w:val="19"/>
          <w:szCs w:val="19"/>
          <w:color w:val="auto"/>
        </w:rPr>
        <w:t>11:00 a.m. PDT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760" w:type="dxa"/>
            <w:vAlign w:val="bottom"/>
          </w:tcPr>
          <w:p>
            <w:pPr>
              <w:spacing w:after="0"/>
              <w:rPr>
                <w:sz w:val="20"/>
                <w:szCs w:val="20"/>
                <w:color w:val="auto"/>
              </w:rPr>
            </w:pPr>
            <w:r>
              <w:rPr>
                <w:rFonts w:ascii="Arial" w:cs="Arial" w:eastAsia="Arial" w:hAnsi="Arial"/>
                <w:sz w:val="20"/>
                <w:szCs w:val="20"/>
                <w:color w:val="auto"/>
              </w:rPr>
              <w:t>​ ​</w:t>
            </w:r>
          </w:p>
        </w:tc>
        <w:tc>
          <w:tcPr>
            <w:tcW w:w="2060" w:type="dxa"/>
            <w:vAlign w:val="bottom"/>
          </w:tcPr>
          <w:p>
            <w:pPr>
              <w:spacing w:after="0"/>
              <w:rPr>
                <w:sz w:val="20"/>
                <w:szCs w:val="20"/>
                <w:color w:val="auto"/>
              </w:rPr>
            </w:pPr>
          </w:p>
        </w:tc>
        <w:tc>
          <w:tcPr>
            <w:tcW w:w="780" w:type="dxa"/>
            <w:vAlign w:val="bottom"/>
          </w:tcPr>
          <w:p>
            <w:pPr>
              <w:ind w:left="620"/>
              <w:spacing w:after="0"/>
              <w:rPr>
                <w:sz w:val="20"/>
                <w:szCs w:val="20"/>
                <w:color w:val="auto"/>
              </w:rPr>
            </w:pPr>
            <w:r>
              <w:rPr>
                <w:rFonts w:ascii="Arial" w:cs="Arial" w:eastAsia="Arial" w:hAnsi="Arial"/>
                <w:sz w:val="20"/>
                <w:szCs w:val="20"/>
                <w:color w:val="auto"/>
              </w:rPr>
              <w:t>​ ​</w:t>
            </w:r>
          </w:p>
        </w:tc>
      </w:tr>
      <w:tr>
        <w:trPr>
          <w:trHeight w:val="843"/>
        </w:trPr>
        <w:tc>
          <w:tcPr>
            <w:tcW w:w="760" w:type="dxa"/>
            <w:vAlign w:val="bottom"/>
          </w:tcPr>
          <w:p>
            <w:pPr>
              <w:spacing w:after="0"/>
              <w:rPr>
                <w:sz w:val="20"/>
                <w:szCs w:val="20"/>
                <w:color w:val="auto"/>
              </w:rPr>
            </w:pPr>
            <w:r>
              <w:rPr>
                <w:rFonts w:ascii="Arial" w:cs="Arial" w:eastAsia="Arial" w:hAnsi="Arial"/>
                <w:sz w:val="20"/>
                <w:szCs w:val="20"/>
                <w:b w:val="1"/>
                <w:bCs w:val="1"/>
                <w:color w:val="auto"/>
              </w:rPr>
              <w:t>​ ​</w:t>
            </w:r>
          </w:p>
        </w:tc>
        <w:tc>
          <w:tcPr>
            <w:tcW w:w="2060" w:type="dxa"/>
            <w:vAlign w:val="bottom"/>
          </w:tcPr>
          <w:p>
            <w:pPr>
              <w:ind w:left="600"/>
              <w:spacing w:after="0"/>
              <w:rPr>
                <w:sz w:val="20"/>
                <w:szCs w:val="20"/>
                <w:color w:val="auto"/>
              </w:rPr>
            </w:pPr>
            <w:r>
              <w:rPr>
                <w:rFonts w:ascii="Arial" w:cs="Arial" w:eastAsia="Arial" w:hAnsi="Arial"/>
                <w:sz w:val="20"/>
                <w:szCs w:val="20"/>
                <w:b w:val="1"/>
                <w:bCs w:val="1"/>
                <w:color w:val="auto"/>
              </w:rPr>
              <w:t>Location</w:t>
            </w:r>
          </w:p>
        </w:tc>
        <w:tc>
          <w:tcPr>
            <w:tcW w:w="780" w:type="dxa"/>
            <w:vAlign w:val="bottom"/>
          </w:tcPr>
          <w:p>
            <w:pPr>
              <w:ind w:left="620"/>
              <w:spacing w:after="0"/>
              <w:rPr>
                <w:sz w:val="20"/>
                <w:szCs w:val="20"/>
                <w:color w:val="auto"/>
              </w:rPr>
            </w:pPr>
            <w:r>
              <w:rPr>
                <w:rFonts w:ascii="Arial" w:cs="Arial" w:eastAsia="Arial" w:hAnsi="Arial"/>
                <w:sz w:val="20"/>
                <w:szCs w:val="20"/>
                <w:b w:val="1"/>
                <w:bCs w:val="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-682625</wp:posOffset>
            </wp:positionV>
            <wp:extent cx="514350" cy="471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 cy="47180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20"/>
          <w:szCs w:val="20"/>
          <w:color w:val="auto"/>
        </w:rPr>
        <w:t>​ ​www.virtualshareholdermeeting.com/​​ ​</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SWKS2023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-676275</wp:posOffset>
            </wp:positionV>
            <wp:extent cx="454025" cy="454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4025" cy="454025"/>
                    </a:xfrm>
                    <a:prstGeom prst="rect">
                      <a:avLst/>
                    </a:prstGeom>
                    <a:noFill/>
                  </pic:spPr>
                </pic:pic>
              </a:graphicData>
            </a:graphic>
          </wp:anchor>
        </w:drawing>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March 16, 2023</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456" w:lineRule="exact"/>
        <w:rPr>
          <w:sz w:val="20"/>
          <w:szCs w:val="20"/>
          <w:color w:val="auto"/>
        </w:rPr>
      </w:pPr>
    </w:p>
    <w:p>
      <w:pPr>
        <w:sectPr>
          <w:pgSz w:w="11900" w:h="16838" w:orient="portrait"/>
          <w:cols w:equalWidth="0" w:num="4">
            <w:col w:w="2860" w:space="720"/>
            <w:col w:w="3640" w:space="720"/>
            <w:col w:w="1400" w:space="720"/>
            <w:col w:w="60"/>
          </w:cols>
          <w:pgMar w:left="580" w:top="131" w:right="1199" w:bottom="1440" w:gutter="0" w:footer="0" w:header="0"/>
          <w:type w:val="continuous"/>
        </w:sect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Matters to be Voted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300"/>
        <w:spacing w:after="0" w:line="261" w:lineRule="auto"/>
        <w:rPr>
          <w:sz w:val="20"/>
          <w:szCs w:val="20"/>
          <w:color w:val="auto"/>
        </w:rPr>
      </w:pPr>
      <w:r>
        <w:rPr>
          <w:rFonts w:ascii="Arial" w:cs="Arial" w:eastAsia="Arial" w:hAnsi="Arial"/>
          <w:sz w:val="20"/>
          <w:szCs w:val="20"/>
          <w:color w:val="auto"/>
        </w:rPr>
        <w:t>Your vote is very important to us. Please cast your vote on all of the proposals to ensure that your shares are represented.</w:t>
      </w:r>
    </w:p>
    <w:p>
      <w:pPr>
        <w:spacing w:after="0" w:line="100" w:lineRule="exact"/>
        <w:rPr>
          <w:sz w:val="20"/>
          <w:szCs w:val="20"/>
          <w:color w:val="auto"/>
        </w:rPr>
      </w:pPr>
    </w:p>
    <w:tbl>
      <w:tblPr>
        <w:tblLayout w:type="fixed"/>
        <w:tblInd w:w="660" w:type="dxa"/>
        <w:tblCellMar>
          <w:top w:w="0" w:type="dxa"/>
          <w:left w:w="0" w:type="dxa"/>
          <w:bottom w:w="0" w:type="dxa"/>
          <w:right w:w="0" w:type="dxa"/>
        </w:tblCellMar>
      </w:tblPr>
      <w:tr>
        <w:trPr>
          <w:trHeight w:val="402"/>
        </w:trPr>
        <w:tc>
          <w:tcPr>
            <w:tcW w:w="2560" w:type="dxa"/>
            <w:vAlign w:val="bottom"/>
            <w:shd w:val="clear" w:color="auto" w:fill="0075A8"/>
          </w:tcPr>
          <w:p>
            <w:pPr>
              <w:ind w:left="40"/>
              <w:spacing w:after="0"/>
              <w:rPr>
                <w:sz w:val="20"/>
                <w:szCs w:val="20"/>
                <w:color w:val="auto"/>
              </w:rPr>
            </w:pPr>
            <w:r>
              <w:rPr>
                <w:rFonts w:ascii="Arial" w:cs="Arial" w:eastAsia="Arial" w:hAnsi="Arial"/>
                <w:sz w:val="18"/>
                <w:szCs w:val="18"/>
                <w:color w:val="FFFFFF"/>
              </w:rPr>
              <w:t>​Proposal</w:t>
            </w:r>
          </w:p>
        </w:tc>
        <w:tc>
          <w:tcPr>
            <w:tcW w:w="3500" w:type="dxa"/>
            <w:vAlign w:val="bottom"/>
            <w:shd w:val="clear" w:color="auto" w:fill="0075A8"/>
          </w:tcPr>
          <w:p>
            <w:pPr>
              <w:ind w:left="660"/>
              <w:spacing w:after="0"/>
              <w:rPr>
                <w:sz w:val="20"/>
                <w:szCs w:val="20"/>
                <w:color w:val="auto"/>
              </w:rPr>
            </w:pPr>
            <w:r>
              <w:rPr>
                <w:rFonts w:ascii="Arial" w:cs="Arial" w:eastAsia="Arial" w:hAnsi="Arial"/>
                <w:sz w:val="35"/>
                <w:szCs w:val="35"/>
                <w:color w:val="FFFFFF"/>
                <w:vertAlign w:val="subscript"/>
              </w:rPr>
              <w:t>​ ​</w:t>
            </w:r>
            <w:r>
              <w:rPr>
                <w:rFonts w:ascii="Arial" w:cs="Arial" w:eastAsia="Arial" w:hAnsi="Arial"/>
                <w:sz w:val="18"/>
                <w:szCs w:val="18"/>
                <w:color w:val="FFFFFF"/>
              </w:rPr>
              <w:t>Required Vote</w:t>
            </w:r>
          </w:p>
        </w:tc>
        <w:tc>
          <w:tcPr>
            <w:tcW w:w="360" w:type="dxa"/>
            <w:vAlign w:val="bottom"/>
            <w:shd w:val="clear" w:color="auto" w:fill="0075A8"/>
          </w:tcPr>
          <w:p>
            <w:pPr>
              <w:ind w:left="160"/>
              <w:spacing w:after="0"/>
              <w:rPr>
                <w:sz w:val="20"/>
                <w:szCs w:val="20"/>
                <w:color w:val="auto"/>
              </w:rPr>
            </w:pPr>
            <w:r>
              <w:rPr>
                <w:rFonts w:ascii="Arial" w:cs="Arial" w:eastAsia="Arial" w:hAnsi="Arial"/>
                <w:sz w:val="18"/>
                <w:szCs w:val="18"/>
                <w:color w:val="FFFFFF"/>
              </w:rPr>
              <w:t>​ ​</w:t>
            </w:r>
          </w:p>
        </w:tc>
        <w:tc>
          <w:tcPr>
            <w:tcW w:w="1480" w:type="dxa"/>
            <w:vAlign w:val="bottom"/>
            <w:shd w:val="clear" w:color="auto" w:fill="0075A8"/>
          </w:tcPr>
          <w:p>
            <w:pPr>
              <w:jc w:val="center"/>
              <w:spacing w:after="0"/>
              <w:rPr>
                <w:sz w:val="20"/>
                <w:szCs w:val="20"/>
                <w:color w:val="auto"/>
              </w:rPr>
            </w:pPr>
            <w:r>
              <w:rPr>
                <w:rFonts w:ascii="Arial" w:cs="Arial" w:eastAsia="Arial" w:hAnsi="Arial"/>
                <w:sz w:val="18"/>
                <w:szCs w:val="18"/>
                <w:color w:val="FFFFFF"/>
                <w:w w:val="99"/>
              </w:rPr>
              <w:t>Board</w:t>
            </w:r>
          </w:p>
        </w:tc>
        <w:tc>
          <w:tcPr>
            <w:tcW w:w="360" w:type="dxa"/>
            <w:vAlign w:val="bottom"/>
            <w:shd w:val="clear" w:color="auto" w:fill="0075A8"/>
          </w:tcPr>
          <w:p>
            <w:pPr>
              <w:ind w:left="60"/>
              <w:spacing w:after="0"/>
              <w:rPr>
                <w:sz w:val="20"/>
                <w:szCs w:val="20"/>
                <w:color w:val="auto"/>
              </w:rPr>
            </w:pPr>
            <w:r>
              <w:rPr>
                <w:rFonts w:ascii="Arial" w:cs="Arial" w:eastAsia="Arial" w:hAnsi="Arial"/>
                <w:sz w:val="18"/>
                <w:szCs w:val="18"/>
                <w:color w:val="FFFFFF"/>
              </w:rPr>
              <w:t>​ ​</w:t>
            </w:r>
          </w:p>
        </w:tc>
        <w:tc>
          <w:tcPr>
            <w:tcW w:w="1060" w:type="dxa"/>
            <w:vAlign w:val="bottom"/>
            <w:shd w:val="clear" w:color="auto" w:fill="0075A8"/>
          </w:tcPr>
          <w:p>
            <w:pPr>
              <w:ind w:left="120"/>
              <w:spacing w:after="0"/>
              <w:rPr>
                <w:sz w:val="20"/>
                <w:szCs w:val="20"/>
                <w:color w:val="auto"/>
              </w:rPr>
            </w:pPr>
            <w:r>
              <w:rPr>
                <w:rFonts w:ascii="Arial" w:cs="Arial" w:eastAsia="Arial" w:hAnsi="Arial"/>
                <w:sz w:val="18"/>
                <w:szCs w:val="18"/>
                <w:color w:val="FFFFFF"/>
              </w:rPr>
              <w:t xml:space="preserve">​   ​ ​ </w:t>
            </w:r>
            <w:r>
              <w:rPr>
                <w:rFonts w:ascii="Arial" w:cs="Arial" w:eastAsia="Arial" w:hAnsi="Arial"/>
                <w:sz w:val="35"/>
                <w:szCs w:val="35"/>
                <w:color w:val="FFFFFF"/>
                <w:vertAlign w:val="superscript"/>
              </w:rPr>
              <w:t>See</w:t>
            </w:r>
          </w:p>
        </w:tc>
        <w:tc>
          <w:tcPr>
            <w:tcW w:w="80" w:type="dxa"/>
            <w:vAlign w:val="bottom"/>
            <w:shd w:val="clear" w:color="auto" w:fill="0075A8"/>
          </w:tcPr>
          <w:p>
            <w:pPr>
              <w:ind w:left="20"/>
              <w:spacing w:after="0"/>
              <w:rPr>
                <w:sz w:val="20"/>
                <w:szCs w:val="20"/>
                <w:color w:val="auto"/>
              </w:rPr>
            </w:pPr>
            <w:r>
              <w:rPr>
                <w:rFonts w:ascii="Arial" w:cs="Arial" w:eastAsia="Arial" w:hAnsi="Arial"/>
                <w:sz w:val="18"/>
                <w:szCs w:val="18"/>
                <w:color w:val="FFFFFF"/>
              </w:rPr>
              <w:t>​</w:t>
            </w:r>
          </w:p>
        </w:tc>
      </w:tr>
      <w:tr>
        <w:trPr>
          <w:trHeight w:val="189"/>
        </w:trPr>
        <w:tc>
          <w:tcPr>
            <w:tcW w:w="2560" w:type="dxa"/>
            <w:vAlign w:val="bottom"/>
            <w:shd w:val="clear" w:color="auto" w:fill="0075A8"/>
          </w:tcPr>
          <w:p>
            <w:pPr>
              <w:spacing w:after="0"/>
              <w:rPr>
                <w:sz w:val="16"/>
                <w:szCs w:val="16"/>
                <w:color w:val="auto"/>
              </w:rPr>
            </w:pPr>
          </w:p>
        </w:tc>
        <w:tc>
          <w:tcPr>
            <w:tcW w:w="3500" w:type="dxa"/>
            <w:vAlign w:val="bottom"/>
            <w:shd w:val="clear" w:color="auto" w:fill="0075A8"/>
          </w:tcPr>
          <w:p>
            <w:pPr>
              <w:ind w:left="820"/>
              <w:spacing w:after="0" w:line="176" w:lineRule="exact"/>
              <w:rPr>
                <w:sz w:val="20"/>
                <w:szCs w:val="20"/>
                <w:color w:val="auto"/>
              </w:rPr>
            </w:pPr>
            <w:r>
              <w:rPr>
                <w:rFonts w:ascii="Arial" w:cs="Arial" w:eastAsia="Arial" w:hAnsi="Arial"/>
                <w:sz w:val="18"/>
                <w:szCs w:val="18"/>
                <w:color w:val="FFFFFF"/>
              </w:rPr>
              <w:t>for Approval</w:t>
            </w:r>
          </w:p>
        </w:tc>
        <w:tc>
          <w:tcPr>
            <w:tcW w:w="360" w:type="dxa"/>
            <w:vAlign w:val="bottom"/>
            <w:shd w:val="clear" w:color="auto" w:fill="0075A8"/>
          </w:tcPr>
          <w:p>
            <w:pPr>
              <w:spacing w:after="0"/>
              <w:rPr>
                <w:sz w:val="16"/>
                <w:szCs w:val="16"/>
                <w:color w:val="auto"/>
              </w:rPr>
            </w:pPr>
          </w:p>
        </w:tc>
        <w:tc>
          <w:tcPr>
            <w:tcW w:w="1480" w:type="dxa"/>
            <w:vAlign w:val="bottom"/>
            <w:shd w:val="clear" w:color="auto" w:fill="0075A8"/>
          </w:tcPr>
          <w:p>
            <w:pPr>
              <w:jc w:val="center"/>
              <w:spacing w:after="0" w:line="176" w:lineRule="exact"/>
              <w:rPr>
                <w:sz w:val="20"/>
                <w:szCs w:val="20"/>
                <w:color w:val="auto"/>
              </w:rPr>
            </w:pPr>
            <w:r>
              <w:rPr>
                <w:rFonts w:ascii="Arial" w:cs="Arial" w:eastAsia="Arial" w:hAnsi="Arial"/>
                <w:sz w:val="18"/>
                <w:szCs w:val="18"/>
                <w:color w:val="FFFFFF"/>
              </w:rPr>
              <w:t>Recommendation</w:t>
            </w:r>
          </w:p>
        </w:tc>
        <w:tc>
          <w:tcPr>
            <w:tcW w:w="360" w:type="dxa"/>
            <w:vAlign w:val="bottom"/>
            <w:shd w:val="clear" w:color="auto" w:fill="0075A8"/>
          </w:tcPr>
          <w:p>
            <w:pPr>
              <w:spacing w:after="0"/>
              <w:rPr>
                <w:sz w:val="16"/>
                <w:szCs w:val="16"/>
                <w:color w:val="auto"/>
              </w:rPr>
            </w:pPr>
          </w:p>
        </w:tc>
        <w:tc>
          <w:tcPr>
            <w:tcW w:w="1060" w:type="dxa"/>
            <w:vAlign w:val="bottom"/>
            <w:shd w:val="clear" w:color="auto" w:fill="0075A8"/>
          </w:tcPr>
          <w:p>
            <w:pPr>
              <w:ind w:left="600"/>
              <w:spacing w:after="0" w:line="176" w:lineRule="exact"/>
              <w:rPr>
                <w:sz w:val="20"/>
                <w:szCs w:val="20"/>
                <w:color w:val="auto"/>
              </w:rPr>
            </w:pPr>
            <w:r>
              <w:rPr>
                <w:rFonts w:ascii="Arial" w:cs="Arial" w:eastAsia="Arial" w:hAnsi="Arial"/>
                <w:sz w:val="18"/>
                <w:szCs w:val="18"/>
                <w:color w:val="FFFFFF"/>
              </w:rPr>
              <w:t>Page</w:t>
            </w:r>
          </w:p>
        </w:tc>
        <w:tc>
          <w:tcPr>
            <w:tcW w:w="80" w:type="dxa"/>
            <w:vAlign w:val="bottom"/>
            <w:shd w:val="clear" w:color="auto" w:fill="0075A8"/>
          </w:tcPr>
          <w:p>
            <w:pPr>
              <w:spacing w:after="0"/>
              <w:rPr>
                <w:sz w:val="16"/>
                <w:szCs w:val="16"/>
                <w:color w:val="auto"/>
              </w:rPr>
            </w:pPr>
          </w:p>
        </w:tc>
      </w:tr>
      <w:tr>
        <w:trPr>
          <w:trHeight w:val="243"/>
        </w:trPr>
        <w:tc>
          <w:tcPr>
            <w:tcW w:w="2560" w:type="dxa"/>
            <w:vAlign w:val="bottom"/>
            <w:shd w:val="clear" w:color="auto" w:fill="E5E5E5"/>
          </w:tcPr>
          <w:p>
            <w:pPr>
              <w:spacing w:after="0"/>
              <w:rPr>
                <w:sz w:val="21"/>
                <w:szCs w:val="21"/>
                <w:color w:val="auto"/>
              </w:rPr>
            </w:pPr>
          </w:p>
        </w:tc>
        <w:tc>
          <w:tcPr>
            <w:tcW w:w="3500" w:type="dxa"/>
            <w:vAlign w:val="bottom"/>
            <w:shd w:val="clear" w:color="auto" w:fill="E5E5E5"/>
          </w:tcPr>
          <w:p>
            <w:pPr>
              <w:ind w:left="840"/>
              <w:spacing w:after="0"/>
              <w:rPr>
                <w:sz w:val="20"/>
                <w:szCs w:val="20"/>
                <w:color w:val="auto"/>
              </w:rPr>
            </w:pPr>
            <w:r>
              <w:rPr>
                <w:rFonts w:ascii="Arial" w:cs="Arial" w:eastAsia="Arial" w:hAnsi="Arial"/>
                <w:sz w:val="16"/>
                <w:szCs w:val="16"/>
                <w:color w:val="auto"/>
              </w:rPr>
              <w:t>For each director, majority of votes</w:t>
            </w:r>
          </w:p>
        </w:tc>
        <w:tc>
          <w:tcPr>
            <w:tcW w:w="360" w:type="dxa"/>
            <w:vAlign w:val="bottom"/>
            <w:shd w:val="clear" w:color="auto" w:fill="E5E5E5"/>
          </w:tcPr>
          <w:p>
            <w:pPr>
              <w:spacing w:after="0"/>
              <w:rPr>
                <w:sz w:val="21"/>
                <w:szCs w:val="21"/>
                <w:color w:val="auto"/>
              </w:rPr>
            </w:pPr>
          </w:p>
        </w:tc>
        <w:tc>
          <w:tcPr>
            <w:tcW w:w="148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FOR Each</w:t>
            </w:r>
          </w:p>
        </w:tc>
        <w:tc>
          <w:tcPr>
            <w:tcW w:w="360" w:type="dxa"/>
            <w:vAlign w:val="bottom"/>
            <w:shd w:val="clear" w:color="auto" w:fill="E5E5E5"/>
          </w:tcPr>
          <w:p>
            <w:pPr>
              <w:spacing w:after="0"/>
              <w:rPr>
                <w:sz w:val="21"/>
                <w:szCs w:val="21"/>
                <w:color w:val="auto"/>
              </w:rPr>
            </w:pPr>
          </w:p>
        </w:tc>
        <w:tc>
          <w:tcPr>
            <w:tcW w:w="106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r>
      <w:tr>
        <w:trPr>
          <w:trHeight w:val="310"/>
        </w:trPr>
        <w:tc>
          <w:tcPr>
            <w:tcW w:w="2560" w:type="dxa"/>
            <w:vAlign w:val="bottom"/>
            <w:shd w:val="clear" w:color="auto" w:fill="E5E5E5"/>
          </w:tcPr>
          <w:p>
            <w:pPr>
              <w:ind w:left="40"/>
              <w:spacing w:after="0"/>
              <w:rPr>
                <w:sz w:val="20"/>
                <w:szCs w:val="20"/>
                <w:color w:val="auto"/>
              </w:rPr>
            </w:pPr>
            <w:r>
              <w:rPr>
                <w:rFonts w:ascii="Arial" w:cs="Arial" w:eastAsia="Arial" w:hAnsi="Arial"/>
                <w:sz w:val="16"/>
                <w:szCs w:val="16"/>
                <w:color w:val="auto"/>
              </w:rPr>
              <w:t>​1. ​ ​Election of Directors</w:t>
            </w:r>
          </w:p>
        </w:tc>
        <w:tc>
          <w:tcPr>
            <w:tcW w:w="3500" w:type="dxa"/>
            <w:vAlign w:val="bottom"/>
            <w:shd w:val="clear" w:color="auto" w:fill="E5E5E5"/>
          </w:tcPr>
          <w:p>
            <w:pPr>
              <w:ind w:left="660"/>
              <w:spacing w:after="0" w:line="310"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cast</w:t>
            </w:r>
          </w:p>
        </w:tc>
        <w:tc>
          <w:tcPr>
            <w:tcW w:w="360" w:type="dxa"/>
            <w:vAlign w:val="bottom"/>
            <w:shd w:val="clear" w:color="auto" w:fill="E5E5E5"/>
          </w:tcPr>
          <w:p>
            <w:pPr>
              <w:ind w:left="160"/>
              <w:spacing w:after="0"/>
              <w:rPr>
                <w:sz w:val="20"/>
                <w:szCs w:val="20"/>
                <w:color w:val="auto"/>
              </w:rPr>
            </w:pPr>
            <w:r>
              <w:rPr>
                <w:rFonts w:ascii="Arial" w:cs="Arial" w:eastAsia="Arial" w:hAnsi="Arial"/>
                <w:sz w:val="16"/>
                <w:szCs w:val="16"/>
                <w:color w:val="auto"/>
              </w:rPr>
              <w:t>​ ​</w:t>
            </w:r>
          </w:p>
        </w:tc>
        <w:tc>
          <w:tcPr>
            <w:tcW w:w="14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Nominee</w:t>
            </w:r>
          </w:p>
        </w:tc>
        <w:tc>
          <w:tcPr>
            <w:tcW w:w="360" w:type="dxa"/>
            <w:vAlign w:val="bottom"/>
            <w:shd w:val="clear" w:color="auto" w:fill="E5E5E5"/>
          </w:tcPr>
          <w:p>
            <w:pPr>
              <w:ind w:left="60"/>
              <w:spacing w:after="0"/>
              <w:rPr>
                <w:sz w:val="20"/>
                <w:szCs w:val="20"/>
                <w:color w:val="auto"/>
              </w:rPr>
            </w:pPr>
            <w:r>
              <w:rPr>
                <w:rFonts w:ascii="Arial" w:cs="Arial" w:eastAsia="Arial" w:hAnsi="Arial"/>
                <w:sz w:val="16"/>
                <w:szCs w:val="16"/>
                <w:color w:val="auto"/>
              </w:rPr>
              <w:t>​ ​</w:t>
            </w:r>
          </w:p>
        </w:tc>
        <w:tc>
          <w:tcPr>
            <w:tcW w:w="1060" w:type="dxa"/>
            <w:vAlign w:val="bottom"/>
            <w:shd w:val="clear" w:color="auto" w:fill="E5E5E5"/>
          </w:tcPr>
          <w:p>
            <w:pPr>
              <w:ind w:left="420"/>
              <w:spacing w:after="0"/>
              <w:rPr>
                <w:sz w:val="20"/>
                <w:szCs w:val="20"/>
                <w:color w:val="auto"/>
              </w:rPr>
            </w:pPr>
            <w:r>
              <w:rPr>
                <w:rFonts w:ascii="Arial" w:cs="Arial" w:eastAsia="Arial" w:hAnsi="Arial"/>
                <w:sz w:val="16"/>
                <w:szCs w:val="16"/>
                <w:color w:val="auto"/>
              </w:rPr>
              <w:t>​ ​  8</w:t>
            </w:r>
          </w:p>
        </w:tc>
        <w:tc>
          <w:tcPr>
            <w:tcW w:w="80" w:type="dxa"/>
            <w:vAlign w:val="bottom"/>
            <w:shd w:val="clear" w:color="auto" w:fill="E5E5E5"/>
          </w:tcPr>
          <w:p>
            <w:pPr>
              <w:ind w:left="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5608955</wp:posOffset>
            </wp:positionH>
            <wp:positionV relativeFrom="paragraph">
              <wp:posOffset>-307975</wp:posOffset>
            </wp:positionV>
            <wp:extent cx="266065"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6065" cy="265430"/>
                    </a:xfrm>
                    <a:prstGeom prst="rect">
                      <a:avLst/>
                    </a:prstGeom>
                    <a:noFill/>
                  </pic:spPr>
                </pic:pic>
              </a:graphicData>
            </a:graphic>
          </wp:anchor>
        </w:drawing>
      </w:r>
    </w:p>
    <w:p>
      <w:pPr>
        <w:sectPr>
          <w:pgSz w:w="11900" w:h="16838" w:orient="portrait"/>
          <w:cols w:equalWidth="0" w:num="1">
            <w:col w:w="10120"/>
          </w:cols>
          <w:pgMar w:left="580" w:top="131" w:right="1199" w:bottom="1440" w:gutter="0" w:footer="0" w:header="0"/>
          <w:type w:val="continuous"/>
        </w:sectPr>
      </w:pPr>
    </w:p>
    <w:p>
      <w:pPr>
        <w:ind w:left="700"/>
        <w:spacing w:after="0"/>
        <w:rPr>
          <w:sz w:val="20"/>
          <w:szCs w:val="20"/>
          <w:color w:val="auto"/>
        </w:rPr>
      </w:pPr>
      <w:r>
        <w:rPr>
          <w:rFonts w:ascii="Arial" w:cs="Arial" w:eastAsia="Arial" w:hAnsi="Arial"/>
          <w:sz w:val="29"/>
          <w:szCs w:val="29"/>
          <w:color w:val="auto"/>
          <w:vertAlign w:val="subscript"/>
        </w:rPr>
        <w:t>​2. ​ ​</w:t>
      </w:r>
      <w:r>
        <w:rPr>
          <w:rFonts w:ascii="Arial" w:cs="Arial" w:eastAsia="Arial" w:hAnsi="Arial"/>
          <w:sz w:val="15"/>
          <w:szCs w:val="15"/>
          <w:color w:val="auto"/>
        </w:rPr>
        <w:t>Ratification</w:t>
      </w:r>
      <w:r>
        <w:rPr>
          <w:rFonts w:ascii="Arial" w:cs="Arial" w:eastAsia="Arial" w:hAnsi="Arial"/>
          <w:sz w:val="29"/>
          <w:szCs w:val="29"/>
          <w:color w:val="auto"/>
          <w:vertAlign w:val="subscript"/>
        </w:rPr>
        <w:t>LLP</w:t>
      </w:r>
      <w:r>
        <w:rPr>
          <w:rFonts w:ascii="Arial" w:cs="Arial" w:eastAsia="Arial" w:hAnsi="Arial"/>
          <w:sz w:val="15"/>
          <w:szCs w:val="15"/>
          <w:color w:val="auto"/>
        </w:rPr>
        <w:t xml:space="preserve"> of Appointment of KPMG</w:t>
      </w:r>
    </w:p>
    <w:p>
      <w:pPr>
        <w:spacing w:after="0" w:line="24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Advisory Vote to Approve</w:t>
      </w:r>
    </w:p>
    <w:p>
      <w:pPr>
        <w:ind w:left="1100" w:right="160" w:hanging="404"/>
        <w:spacing w:after="0" w:line="242" w:lineRule="auto"/>
        <w:rPr>
          <w:sz w:val="20"/>
          <w:szCs w:val="20"/>
          <w:color w:val="auto"/>
        </w:rPr>
      </w:pPr>
      <w:r>
        <w:rPr>
          <w:rFonts w:ascii="Arial" w:cs="Arial" w:eastAsia="Arial" w:hAnsi="Arial"/>
          <w:sz w:val="16"/>
          <w:szCs w:val="16"/>
          <w:color w:val="auto"/>
        </w:rPr>
        <w:t>​3. ​ ​Compensation of Named Executive Officers</w:t>
      </w:r>
    </w:p>
    <w:p>
      <w:pPr>
        <w:spacing w:after="0" w:line="128" w:lineRule="exact"/>
        <w:rPr>
          <w:sz w:val="20"/>
          <w:szCs w:val="20"/>
          <w:color w:val="auto"/>
        </w:rPr>
      </w:pPr>
    </w:p>
    <w:p>
      <w:pPr>
        <w:ind w:left="1120" w:right="100" w:hanging="418"/>
        <w:spacing w:after="0" w:line="232" w:lineRule="auto"/>
        <w:rPr>
          <w:sz w:val="20"/>
          <w:szCs w:val="20"/>
          <w:color w:val="auto"/>
        </w:rPr>
      </w:pPr>
      <w:r>
        <w:rPr>
          <w:rFonts w:ascii="Arial" w:cs="Arial" w:eastAsia="Arial" w:hAnsi="Arial"/>
          <w:sz w:val="16"/>
          <w:szCs w:val="16"/>
          <w:color w:val="auto"/>
        </w:rPr>
        <w:t>​4. ​ ​Advisory Vote on Frequency of Say-on-Pay Vote</w:t>
      </w:r>
    </w:p>
    <w:p>
      <w:pPr>
        <w:spacing w:after="0" w:line="144" w:lineRule="exact"/>
        <w:rPr>
          <w:sz w:val="20"/>
          <w:szCs w:val="20"/>
          <w:color w:val="auto"/>
        </w:rPr>
      </w:pPr>
    </w:p>
    <w:p>
      <w:pPr>
        <w:ind w:left="700" w:firstLine="405"/>
        <w:spacing w:after="0" w:line="211" w:lineRule="auto"/>
        <w:rPr>
          <w:sz w:val="20"/>
          <w:szCs w:val="20"/>
          <w:color w:val="auto"/>
        </w:rPr>
      </w:pPr>
      <w:r>
        <w:rPr>
          <w:rFonts w:ascii="Arial" w:cs="Arial" w:eastAsia="Arial" w:hAnsi="Arial"/>
          <w:sz w:val="16"/>
          <w:szCs w:val="16"/>
          <w:color w:val="auto"/>
        </w:rPr>
        <w:t>Amendment to Restated Certificate of ​5. ​ ​Incorporation to Add Officer</w:t>
      </w:r>
    </w:p>
    <w:p>
      <w:pPr>
        <w:ind w:left="1100"/>
        <w:spacing w:after="0"/>
        <w:rPr>
          <w:sz w:val="20"/>
          <w:szCs w:val="20"/>
          <w:color w:val="auto"/>
        </w:rPr>
      </w:pPr>
      <w:r>
        <w:rPr>
          <w:rFonts w:ascii="Arial" w:cs="Arial" w:eastAsia="Arial" w:hAnsi="Arial"/>
          <w:sz w:val="16"/>
          <w:szCs w:val="16"/>
          <w:color w:val="auto"/>
        </w:rPr>
        <w:t>Exculpation Provision</w:t>
      </w:r>
    </w:p>
    <w:p>
      <w:pPr>
        <w:spacing w:after="0" w:line="6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One Stockholder Proposal, if</w:t>
      </w:r>
    </w:p>
    <w:p>
      <w:pPr>
        <w:ind w:left="700"/>
        <w:spacing w:after="0" w:line="211" w:lineRule="auto"/>
        <w:rPr>
          <w:sz w:val="20"/>
          <w:szCs w:val="20"/>
          <w:color w:val="auto"/>
        </w:rPr>
      </w:pPr>
      <w:r>
        <w:rPr>
          <w:rFonts w:ascii="Arial" w:cs="Arial" w:eastAsia="Arial" w:hAnsi="Arial"/>
          <w:sz w:val="16"/>
          <w:szCs w:val="16"/>
          <w:color w:val="auto"/>
        </w:rPr>
        <w:t>​6. ​ ​Properly Presented at the Annual</w:t>
      </w:r>
    </w:p>
    <w:p>
      <w:pPr>
        <w:ind w:left="1120"/>
        <w:spacing w:after="0"/>
        <w:rPr>
          <w:sz w:val="20"/>
          <w:szCs w:val="20"/>
          <w:color w:val="auto"/>
        </w:rPr>
      </w:pPr>
      <w:r>
        <w:rPr>
          <w:rFonts w:ascii="Arial" w:cs="Arial" w:eastAsia="Arial" w:hAnsi="Arial"/>
          <w:sz w:val="16"/>
          <w:szCs w:val="16"/>
          <w:color w:val="auto"/>
        </w:rPr>
        <w:t>Meeting</w:t>
      </w:r>
    </w:p>
    <w:p>
      <w:pPr>
        <w:spacing w:after="0" w:line="20" w:lineRule="exact"/>
        <w:rPr>
          <w:sz w:val="20"/>
          <w:szCs w:val="20"/>
          <w:color w:val="auto"/>
        </w:rPr>
      </w:pPr>
      <w:r>
        <w:rPr>
          <w:sz w:val="20"/>
          <w:szCs w:val="20"/>
          <w:color w:val="auto"/>
        </w:rPr>
        <w:br w:type="column"/>
      </w:r>
    </w:p>
    <w:p>
      <w:pPr>
        <w:ind w:left="186" w:hanging="186"/>
        <w:spacing w:after="0" w:line="202" w:lineRule="auto"/>
        <w:tabs>
          <w:tab w:leader="none" w:pos="125" w:val="left"/>
        </w:tabs>
        <w:numPr>
          <w:ilvl w:val="0"/>
          <w:numId w:val="7"/>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Majority of votes present and entitled to vote</w:t>
      </w:r>
    </w:p>
    <w:p>
      <w:pPr>
        <w:spacing w:after="0" w:line="73" w:lineRule="exact"/>
        <w:rPr>
          <w:rFonts w:ascii="Arial" w:cs="Arial" w:eastAsia="Arial" w:hAnsi="Arial"/>
          <w:sz w:val="32"/>
          <w:szCs w:val="32"/>
          <w:color w:val="auto"/>
          <w:vertAlign w:val="subscript"/>
        </w:rPr>
      </w:pPr>
    </w:p>
    <w:p>
      <w:pPr>
        <w:ind w:left="186" w:hanging="186"/>
        <w:spacing w:after="0" w:line="215" w:lineRule="auto"/>
        <w:tabs>
          <w:tab w:leader="none" w:pos="125" w:val="left"/>
        </w:tabs>
        <w:numPr>
          <w:ilvl w:val="0"/>
          <w:numId w:val="7"/>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Majority of votes present and entitled to vote</w:t>
      </w:r>
    </w:p>
    <w:p>
      <w:pPr>
        <w:spacing w:after="0" w:line="86" w:lineRule="exact"/>
        <w:rPr>
          <w:rFonts w:ascii="Arial" w:cs="Arial" w:eastAsia="Arial" w:hAnsi="Arial"/>
          <w:sz w:val="32"/>
          <w:szCs w:val="32"/>
          <w:color w:val="auto"/>
          <w:vertAlign w:val="subscript"/>
        </w:rPr>
      </w:pPr>
    </w:p>
    <w:p>
      <w:pPr>
        <w:ind w:left="186" w:hanging="186"/>
        <w:spacing w:after="0" w:line="215" w:lineRule="auto"/>
        <w:tabs>
          <w:tab w:leader="none" w:pos="125" w:val="left"/>
        </w:tabs>
        <w:numPr>
          <w:ilvl w:val="0"/>
          <w:numId w:val="7"/>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Majority of votes present and entitled to vote</w:t>
      </w:r>
    </w:p>
    <w:p>
      <w:pPr>
        <w:spacing w:after="0" w:line="292" w:lineRule="exact"/>
        <w:rPr>
          <w:rFonts w:ascii="Arial" w:cs="Arial" w:eastAsia="Arial" w:hAnsi="Arial"/>
          <w:sz w:val="32"/>
          <w:szCs w:val="32"/>
          <w:color w:val="auto"/>
          <w:vertAlign w:val="subscript"/>
        </w:rPr>
      </w:pPr>
    </w:p>
    <w:p>
      <w:pPr>
        <w:ind w:left="126" w:hanging="126"/>
        <w:spacing w:after="0"/>
        <w:tabs>
          <w:tab w:leader="none" w:pos="126" w:val="left"/>
        </w:tabs>
        <w:numPr>
          <w:ilvl w:val="0"/>
          <w:numId w:val="7"/>
        </w:numPr>
        <w:rPr>
          <w:rFonts w:ascii="Arial" w:cs="Arial" w:eastAsia="Arial" w:hAnsi="Arial"/>
          <w:sz w:val="16"/>
          <w:szCs w:val="16"/>
          <w:color w:val="auto"/>
        </w:rPr>
      </w:pPr>
      <w:r>
        <w:rPr>
          <w:rFonts w:ascii="Arial" w:cs="Arial" w:eastAsia="Arial" w:hAnsi="Arial"/>
          <w:sz w:val="16"/>
          <w:szCs w:val="16"/>
          <w:color w:val="auto"/>
        </w:rPr>
        <w:t>​Majority of shares outstanding</w:t>
      </w:r>
    </w:p>
    <w:p>
      <w:pPr>
        <w:spacing w:after="0" w:line="203" w:lineRule="exact"/>
        <w:rPr>
          <w:rFonts w:ascii="Arial" w:cs="Arial" w:eastAsia="Arial" w:hAnsi="Arial"/>
          <w:sz w:val="16"/>
          <w:szCs w:val="16"/>
          <w:color w:val="auto"/>
        </w:rPr>
      </w:pPr>
    </w:p>
    <w:p>
      <w:pPr>
        <w:ind w:left="186" w:hanging="186"/>
        <w:spacing w:after="0" w:line="215" w:lineRule="auto"/>
        <w:tabs>
          <w:tab w:leader="none" w:pos="125" w:val="left"/>
        </w:tabs>
        <w:numPr>
          <w:ilvl w:val="0"/>
          <w:numId w:val="7"/>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Majority of votes present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-1409065</wp:posOffset>
            </wp:positionV>
            <wp:extent cx="5974715" cy="368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74715" cy="36830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-680720</wp:posOffset>
            </wp:positionV>
            <wp:extent cx="5974715" cy="368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74715" cy="368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Pr>
          <w:p>
            <w:pPr>
              <w:spacing w:after="0"/>
              <w:rPr>
                <w:sz w:val="20"/>
                <w:szCs w:val="20"/>
                <w:color w:val="auto"/>
              </w:rPr>
            </w:pPr>
            <w:r>
              <w:rPr>
                <w:rFonts w:ascii="Arial" w:cs="Arial" w:eastAsia="Arial" w:hAnsi="Arial"/>
                <w:sz w:val="16"/>
                <w:szCs w:val="16"/>
                <w:color w:val="auto"/>
              </w:rPr>
              <w:t>​ ​</w:t>
            </w:r>
          </w:p>
        </w:tc>
        <w:tc>
          <w:tcPr>
            <w:tcW w:w="1200" w:type="dxa"/>
            <w:vAlign w:val="bottom"/>
          </w:tcPr>
          <w:p>
            <w:pPr>
              <w:jc w:val="center"/>
              <w:spacing w:after="0"/>
              <w:rPr>
                <w:sz w:val="20"/>
                <w:szCs w:val="20"/>
                <w:color w:val="auto"/>
              </w:rPr>
            </w:pPr>
            <w:r>
              <w:rPr>
                <w:rFonts w:ascii="Arial" w:cs="Arial" w:eastAsia="Arial" w:hAnsi="Arial"/>
                <w:sz w:val="16"/>
                <w:szCs w:val="16"/>
                <w:color w:val="auto"/>
              </w:rPr>
              <w:t>FOR</w:t>
            </w:r>
          </w:p>
        </w:tc>
        <w:tc>
          <w:tcPr>
            <w:tcW w:w="640" w:type="dxa"/>
            <w:vAlign w:val="bottom"/>
          </w:tcPr>
          <w:p>
            <w:pPr>
              <w:ind w:left="200"/>
              <w:spacing w:after="0"/>
              <w:rPr>
                <w:sz w:val="20"/>
                <w:szCs w:val="20"/>
                <w:color w:val="auto"/>
              </w:rPr>
            </w:pPr>
            <w:r>
              <w:rPr>
                <w:rFonts w:ascii="Arial" w:cs="Arial" w:eastAsia="Arial" w:hAnsi="Arial"/>
                <w:sz w:val="16"/>
                <w:szCs w:val="16"/>
                <w:color w:val="auto"/>
              </w:rPr>
              <w:t>​ ​</w:t>
            </w:r>
          </w:p>
        </w:tc>
        <w:tc>
          <w:tcPr>
            <w:tcW w:w="520" w:type="dxa"/>
            <w:vAlign w:val="bottom"/>
          </w:tcPr>
          <w:p>
            <w:pPr>
              <w:ind w:left="280"/>
              <w:spacing w:after="0"/>
              <w:rPr>
                <w:sz w:val="20"/>
                <w:szCs w:val="20"/>
                <w:color w:val="auto"/>
              </w:rPr>
            </w:pPr>
            <w:r>
              <w:rPr>
                <w:rFonts w:ascii="Arial" w:cs="Arial" w:eastAsia="Arial" w:hAnsi="Arial"/>
                <w:sz w:val="16"/>
                <w:szCs w:val="16"/>
                <w:color w:val="auto"/>
              </w:rPr>
              <w:t>​ ​</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4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567"/>
        </w:trPr>
        <w:tc>
          <w:tcPr>
            <w:tcW w:w="340" w:type="dxa"/>
            <w:vAlign w:val="bottom"/>
          </w:tcPr>
          <w:p>
            <w:pPr>
              <w:spacing w:after="0"/>
              <w:rPr>
                <w:sz w:val="20"/>
                <w:szCs w:val="20"/>
                <w:color w:val="auto"/>
              </w:rPr>
            </w:pPr>
            <w:r>
              <w:rPr>
                <w:rFonts w:ascii="Arial" w:cs="Arial" w:eastAsia="Arial" w:hAnsi="Arial"/>
                <w:sz w:val="16"/>
                <w:szCs w:val="16"/>
                <w:color w:val="auto"/>
              </w:rPr>
              <w:t>​ ​</w:t>
            </w:r>
          </w:p>
        </w:tc>
        <w:tc>
          <w:tcPr>
            <w:tcW w:w="1200" w:type="dxa"/>
            <w:vAlign w:val="bottom"/>
          </w:tcPr>
          <w:p>
            <w:pPr>
              <w:jc w:val="center"/>
              <w:spacing w:after="0"/>
              <w:rPr>
                <w:sz w:val="20"/>
                <w:szCs w:val="20"/>
                <w:color w:val="auto"/>
              </w:rPr>
            </w:pPr>
            <w:r>
              <w:rPr>
                <w:rFonts w:ascii="Arial" w:cs="Arial" w:eastAsia="Arial" w:hAnsi="Arial"/>
                <w:sz w:val="16"/>
                <w:szCs w:val="16"/>
                <w:color w:val="auto"/>
              </w:rPr>
              <w:t>FOR</w:t>
            </w:r>
          </w:p>
        </w:tc>
        <w:tc>
          <w:tcPr>
            <w:tcW w:w="640" w:type="dxa"/>
            <w:vAlign w:val="bottom"/>
          </w:tcPr>
          <w:p>
            <w:pPr>
              <w:ind w:left="200"/>
              <w:spacing w:after="0"/>
              <w:rPr>
                <w:sz w:val="20"/>
                <w:szCs w:val="20"/>
                <w:color w:val="auto"/>
              </w:rPr>
            </w:pPr>
            <w:r>
              <w:rPr>
                <w:rFonts w:ascii="Arial" w:cs="Arial" w:eastAsia="Arial" w:hAnsi="Arial"/>
                <w:sz w:val="16"/>
                <w:szCs w:val="16"/>
                <w:color w:val="auto"/>
              </w:rPr>
              <w:t>​ ​</w:t>
            </w:r>
          </w:p>
        </w:tc>
        <w:tc>
          <w:tcPr>
            <w:tcW w:w="520" w:type="dxa"/>
            <w:vAlign w:val="bottom"/>
          </w:tcPr>
          <w:p>
            <w:pPr>
              <w:ind w:left="280"/>
              <w:spacing w:after="0"/>
              <w:rPr>
                <w:sz w:val="20"/>
                <w:szCs w:val="20"/>
                <w:color w:val="auto"/>
              </w:rPr>
            </w:pPr>
            <w:r>
              <w:rPr>
                <w:rFonts w:ascii="Arial" w:cs="Arial" w:eastAsia="Arial" w:hAnsi="Arial"/>
                <w:sz w:val="16"/>
                <w:szCs w:val="16"/>
                <w:color w:val="auto"/>
              </w:rPr>
              <w:t>​ ​</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4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580"/>
        </w:trPr>
        <w:tc>
          <w:tcPr>
            <w:tcW w:w="340" w:type="dxa"/>
            <w:vAlign w:val="bottom"/>
          </w:tcPr>
          <w:p>
            <w:pPr>
              <w:spacing w:after="0"/>
              <w:rPr>
                <w:sz w:val="20"/>
                <w:szCs w:val="20"/>
                <w:color w:val="auto"/>
              </w:rPr>
            </w:pPr>
            <w:r>
              <w:rPr>
                <w:rFonts w:ascii="Arial" w:cs="Arial" w:eastAsia="Arial" w:hAnsi="Arial"/>
                <w:sz w:val="16"/>
                <w:szCs w:val="16"/>
                <w:color w:val="auto"/>
              </w:rPr>
              <w:t>​ ​</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ONE YEAR</w:t>
            </w:r>
          </w:p>
        </w:tc>
        <w:tc>
          <w:tcPr>
            <w:tcW w:w="640" w:type="dxa"/>
            <w:vAlign w:val="bottom"/>
          </w:tcPr>
          <w:p>
            <w:pPr>
              <w:ind w:left="200"/>
              <w:spacing w:after="0"/>
              <w:rPr>
                <w:sz w:val="20"/>
                <w:szCs w:val="20"/>
                <w:color w:val="auto"/>
              </w:rPr>
            </w:pPr>
            <w:r>
              <w:rPr>
                <w:rFonts w:ascii="Arial" w:cs="Arial" w:eastAsia="Arial" w:hAnsi="Arial"/>
                <w:sz w:val="16"/>
                <w:szCs w:val="16"/>
                <w:color w:val="auto"/>
              </w:rPr>
              <w:t>​ ​</w:t>
            </w:r>
          </w:p>
        </w:tc>
        <w:tc>
          <w:tcPr>
            <w:tcW w:w="520" w:type="dxa"/>
            <w:vAlign w:val="bottom"/>
          </w:tcPr>
          <w:p>
            <w:pPr>
              <w:ind w:left="280"/>
              <w:spacing w:after="0"/>
              <w:rPr>
                <w:sz w:val="20"/>
                <w:szCs w:val="20"/>
                <w:color w:val="auto"/>
              </w:rPr>
            </w:pPr>
            <w:r>
              <w:rPr>
                <w:rFonts w:ascii="Arial" w:cs="Arial" w:eastAsia="Arial" w:hAnsi="Arial"/>
                <w:sz w:val="16"/>
                <w:szCs w:val="16"/>
                <w:color w:val="auto"/>
              </w:rPr>
              <w:t>​ ​</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4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567"/>
        </w:trPr>
        <w:tc>
          <w:tcPr>
            <w:tcW w:w="340" w:type="dxa"/>
            <w:vAlign w:val="bottom"/>
          </w:tcPr>
          <w:p>
            <w:pPr>
              <w:spacing w:after="0"/>
              <w:rPr>
                <w:sz w:val="20"/>
                <w:szCs w:val="20"/>
                <w:color w:val="auto"/>
              </w:rPr>
            </w:pPr>
            <w:r>
              <w:rPr>
                <w:rFonts w:ascii="Arial" w:cs="Arial" w:eastAsia="Arial" w:hAnsi="Arial"/>
                <w:sz w:val="16"/>
                <w:szCs w:val="16"/>
                <w:color w:val="auto"/>
              </w:rPr>
              <w:t>​ ​</w:t>
            </w:r>
          </w:p>
        </w:tc>
        <w:tc>
          <w:tcPr>
            <w:tcW w:w="1200" w:type="dxa"/>
            <w:vAlign w:val="bottom"/>
          </w:tcPr>
          <w:p>
            <w:pPr>
              <w:jc w:val="center"/>
              <w:spacing w:after="0"/>
              <w:rPr>
                <w:sz w:val="20"/>
                <w:szCs w:val="20"/>
                <w:color w:val="auto"/>
              </w:rPr>
            </w:pPr>
            <w:r>
              <w:rPr>
                <w:rFonts w:ascii="Arial" w:cs="Arial" w:eastAsia="Arial" w:hAnsi="Arial"/>
                <w:sz w:val="16"/>
                <w:szCs w:val="16"/>
                <w:color w:val="auto"/>
              </w:rPr>
              <w:t>FOR</w:t>
            </w:r>
          </w:p>
        </w:tc>
        <w:tc>
          <w:tcPr>
            <w:tcW w:w="640" w:type="dxa"/>
            <w:vAlign w:val="bottom"/>
          </w:tcPr>
          <w:p>
            <w:pPr>
              <w:ind w:left="200"/>
              <w:spacing w:after="0"/>
              <w:rPr>
                <w:sz w:val="20"/>
                <w:szCs w:val="20"/>
                <w:color w:val="auto"/>
              </w:rPr>
            </w:pPr>
            <w:r>
              <w:rPr>
                <w:rFonts w:ascii="Arial" w:cs="Arial" w:eastAsia="Arial" w:hAnsi="Arial"/>
                <w:sz w:val="16"/>
                <w:szCs w:val="16"/>
                <w:color w:val="auto"/>
              </w:rPr>
              <w:t>​ ​</w:t>
            </w:r>
          </w:p>
        </w:tc>
        <w:tc>
          <w:tcPr>
            <w:tcW w:w="520" w:type="dxa"/>
            <w:vAlign w:val="bottom"/>
          </w:tcPr>
          <w:p>
            <w:pPr>
              <w:ind w:left="280"/>
              <w:spacing w:after="0"/>
              <w:rPr>
                <w:sz w:val="20"/>
                <w:szCs w:val="20"/>
                <w:color w:val="auto"/>
              </w:rPr>
            </w:pPr>
            <w:r>
              <w:rPr>
                <w:rFonts w:ascii="Arial" w:cs="Arial" w:eastAsia="Arial" w:hAnsi="Arial"/>
                <w:sz w:val="16"/>
                <w:szCs w:val="16"/>
                <w:color w:val="auto"/>
              </w:rPr>
              <w:t>​ ​</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4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607"/>
        </w:trPr>
        <w:tc>
          <w:tcPr>
            <w:tcW w:w="340" w:type="dxa"/>
            <w:vAlign w:val="bottom"/>
          </w:tcPr>
          <w:p>
            <w:pPr>
              <w:spacing w:after="0"/>
              <w:rPr>
                <w:sz w:val="20"/>
                <w:szCs w:val="20"/>
                <w:color w:val="auto"/>
              </w:rPr>
            </w:pPr>
            <w:r>
              <w:rPr>
                <w:rFonts w:ascii="Arial" w:cs="Arial" w:eastAsia="Arial" w:hAnsi="Arial"/>
                <w:sz w:val="16"/>
                <w:szCs w:val="16"/>
                <w:color w:val="auto"/>
              </w:rPr>
              <w:t>​ ​</w:t>
            </w:r>
          </w:p>
        </w:tc>
        <w:tc>
          <w:tcPr>
            <w:tcW w:w="1200" w:type="dxa"/>
            <w:vAlign w:val="bottom"/>
          </w:tcPr>
          <w:p>
            <w:pPr>
              <w:jc w:val="center"/>
              <w:spacing w:after="0"/>
              <w:rPr>
                <w:sz w:val="20"/>
                <w:szCs w:val="20"/>
                <w:color w:val="auto"/>
              </w:rPr>
            </w:pPr>
            <w:r>
              <w:rPr>
                <w:rFonts w:ascii="Arial" w:cs="Arial" w:eastAsia="Arial" w:hAnsi="Arial"/>
                <w:sz w:val="16"/>
                <w:szCs w:val="16"/>
                <w:color w:val="auto"/>
              </w:rPr>
              <w:t>Neutral</w:t>
            </w:r>
          </w:p>
        </w:tc>
        <w:tc>
          <w:tcPr>
            <w:tcW w:w="640" w:type="dxa"/>
            <w:vAlign w:val="bottom"/>
          </w:tcPr>
          <w:p>
            <w:pPr>
              <w:ind w:left="200"/>
              <w:spacing w:after="0"/>
              <w:rPr>
                <w:sz w:val="20"/>
                <w:szCs w:val="20"/>
                <w:color w:val="auto"/>
              </w:rPr>
            </w:pPr>
            <w:r>
              <w:rPr>
                <w:rFonts w:ascii="Arial" w:cs="Arial" w:eastAsia="Arial" w:hAnsi="Arial"/>
                <w:sz w:val="16"/>
                <w:szCs w:val="16"/>
                <w:color w:val="auto"/>
              </w:rPr>
              <w:t>​ ​</w:t>
            </w:r>
          </w:p>
        </w:tc>
        <w:tc>
          <w:tcPr>
            <w:tcW w:w="520" w:type="dxa"/>
            <w:vAlign w:val="bottom"/>
          </w:tcPr>
          <w:p>
            <w:pPr>
              <w:ind w:left="280"/>
              <w:spacing w:after="0"/>
              <w:rPr>
                <w:sz w:val="20"/>
                <w:szCs w:val="20"/>
                <w:color w:val="auto"/>
              </w:rPr>
            </w:pPr>
            <w:r>
              <w:rPr>
                <w:rFonts w:ascii="Arial" w:cs="Arial" w:eastAsia="Arial" w:hAnsi="Arial"/>
                <w:sz w:val="16"/>
                <w:szCs w:val="16"/>
                <w:color w:val="auto"/>
              </w:rPr>
              <w:t>​ ​</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40" w:type="dxa"/>
            <w:vAlign w:val="bottom"/>
          </w:tcPr>
          <w:p>
            <w:pPr>
              <w:ind w:left="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-1675765</wp:posOffset>
            </wp:positionV>
            <wp:extent cx="266065" cy="266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6065" cy="26606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-947420</wp:posOffset>
            </wp:positionV>
            <wp:extent cx="266065" cy="266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6065" cy="26606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-218440</wp:posOffset>
            </wp:positionV>
            <wp:extent cx="300355" cy="300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351" w:lineRule="exact"/>
        <w:rPr>
          <w:sz w:val="20"/>
          <w:szCs w:val="20"/>
          <w:color w:val="auto"/>
        </w:rPr>
      </w:pPr>
    </w:p>
    <w:p>
      <w:pPr>
        <w:sectPr>
          <w:pgSz w:w="11900" w:h="16838" w:orient="portrait"/>
          <w:cols w:equalWidth="0" w:num="3">
            <w:col w:w="3800" w:space="74"/>
            <w:col w:w="2826" w:space="180"/>
            <w:col w:w="3240"/>
          </w:cols>
          <w:pgMar w:left="580" w:top="131" w:right="1199" w:bottom="1440" w:gutter="0" w:footer="0" w:header="0"/>
          <w:type w:val="continuous"/>
        </w:sectPr>
      </w:pPr>
    </w:p>
    <w:p>
      <w:pPr>
        <w:spacing w:after="0" w:line="201" w:lineRule="exact"/>
        <w:rPr>
          <w:sz w:val="20"/>
          <w:szCs w:val="20"/>
          <w:color w:val="auto"/>
        </w:rPr>
      </w:pPr>
    </w:p>
    <w:p>
      <w:pPr>
        <w:ind w:left="660"/>
        <w:spacing w:after="0"/>
        <w:tabs>
          <w:tab w:leader="none" w:pos="2160" w:val="left"/>
          <w:tab w:leader="none" w:pos="2400" w:val="left"/>
          <w:tab w:leader="none" w:pos="8480" w:val="left"/>
          <w:tab w:leader="none" w:pos="994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20"/>
          </w:cols>
          <w:pgMar w:left="580" w:top="131" w:right="11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Financial Highlights from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60" w:right="80"/>
        <w:spacing w:after="0" w:line="255" w:lineRule="auto"/>
        <w:rPr>
          <w:sz w:val="20"/>
          <w:szCs w:val="20"/>
          <w:color w:val="auto"/>
        </w:rPr>
      </w:pPr>
      <w:r>
        <w:rPr>
          <w:rFonts w:ascii="Arial" w:cs="Arial" w:eastAsia="Arial" w:hAnsi="Arial"/>
          <w:sz w:val="20"/>
          <w:szCs w:val="20"/>
          <w:color w:val="auto"/>
        </w:rPr>
        <w:t>During the fiscal year ended September 30, 2022 (“fiscal year 2022”), the Company delivered year-over-year growth driven by an increasingly diversified product portfolio and strong execution. We continued investing in advanced technologies and innovative solutions, forged deep customer relationships and expanded our internal fabrication capabilities, positioning us to capture new opportunities across a range of attractive end markets.</w:t>
      </w:r>
    </w:p>
    <w:p>
      <w:pPr>
        <w:spacing w:after="0" w:line="131" w:lineRule="exact"/>
        <w:rPr>
          <w:sz w:val="20"/>
          <w:szCs w:val="20"/>
          <w:color w:val="auto"/>
        </w:rPr>
      </w:pPr>
    </w:p>
    <w:p>
      <w:pPr>
        <w:ind w:left="1200" w:hanging="186"/>
        <w:spacing w:after="0"/>
        <w:tabs>
          <w:tab w:leader="none" w:pos="12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Delivered record net revenue of </w:t>
      </w:r>
      <w:r>
        <w:rPr>
          <w:rFonts w:ascii="Arial" w:cs="Arial" w:eastAsia="Arial" w:hAnsi="Arial"/>
          <w:sz w:val="20"/>
          <w:szCs w:val="20"/>
          <w:b w:val="1"/>
          <w:bCs w:val="1"/>
          <w:color w:val="auto"/>
        </w:rPr>
        <w:t>$5.5 billion</w:t>
      </w:r>
    </w:p>
    <w:p>
      <w:pPr>
        <w:spacing w:after="0" w:line="31" w:lineRule="exact"/>
        <w:rPr>
          <w:rFonts w:ascii="Arial" w:cs="Arial" w:eastAsia="Arial" w:hAnsi="Arial"/>
          <w:sz w:val="20"/>
          <w:szCs w:val="20"/>
          <w:color w:val="auto"/>
        </w:rPr>
      </w:pPr>
    </w:p>
    <w:p>
      <w:pPr>
        <w:ind w:left="1200" w:hanging="186"/>
        <w:spacing w:after="0" w:line="191" w:lineRule="auto"/>
        <w:tabs>
          <w:tab w:leader="none" w:pos="12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Achieved operating margin of </w:t>
      </w:r>
      <w:r>
        <w:rPr>
          <w:rFonts w:ascii="Arial" w:cs="Arial" w:eastAsia="Arial" w:hAnsi="Arial"/>
          <w:sz w:val="20"/>
          <w:szCs w:val="20"/>
          <w:b w:val="1"/>
          <w:bCs w:val="1"/>
          <w:color w:val="auto"/>
        </w:rPr>
        <w:t>27.8%</w:t>
      </w:r>
      <w:r>
        <w:rPr>
          <w:rFonts w:ascii="Arial" w:cs="Arial" w:eastAsia="Arial" w:hAnsi="Arial"/>
          <w:sz w:val="20"/>
          <w:szCs w:val="20"/>
          <w:color w:val="auto"/>
        </w:rPr>
        <w:t xml:space="preserve"> on a GAAP basis (</w:t>
      </w:r>
      <w:r>
        <w:rPr>
          <w:rFonts w:ascii="Arial" w:cs="Arial" w:eastAsia="Arial" w:hAnsi="Arial"/>
          <w:sz w:val="20"/>
          <w:szCs w:val="20"/>
          <w:b w:val="1"/>
          <w:bCs w:val="1"/>
          <w:color w:val="auto"/>
        </w:rPr>
        <w:t>37.3%</w:t>
      </w:r>
      <w:r>
        <w:rPr>
          <w:rFonts w:ascii="Arial" w:cs="Arial" w:eastAsia="Arial" w:hAnsi="Arial"/>
          <w:sz w:val="20"/>
          <w:szCs w:val="20"/>
          <w:color w:val="auto"/>
        </w:rPr>
        <w:t xml:space="preserve"> on a non-GAAP basis)</w:t>
      </w:r>
      <w:r>
        <w:rPr>
          <w:rFonts w:ascii="Arial" w:cs="Arial" w:eastAsia="Arial" w:hAnsi="Arial"/>
          <w:sz w:val="30"/>
          <w:szCs w:val="30"/>
          <w:color w:val="auto"/>
          <w:vertAlign w:val="superscript"/>
        </w:rPr>
        <w:t>1</w:t>
      </w:r>
    </w:p>
    <w:p>
      <w:pPr>
        <w:spacing w:after="0" w:line="1" w:lineRule="exact"/>
        <w:rPr>
          <w:rFonts w:ascii="Arial" w:cs="Arial" w:eastAsia="Arial" w:hAnsi="Arial"/>
          <w:sz w:val="20"/>
          <w:szCs w:val="20"/>
          <w:color w:val="auto"/>
        </w:rPr>
      </w:pPr>
    </w:p>
    <w:p>
      <w:pPr>
        <w:ind w:left="1200" w:hanging="186"/>
        <w:spacing w:after="0" w:line="187" w:lineRule="auto"/>
        <w:tabs>
          <w:tab w:leader="none" w:pos="12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Posted diluted earnings per share of </w:t>
      </w:r>
      <w:r>
        <w:rPr>
          <w:rFonts w:ascii="Arial" w:cs="Arial" w:eastAsia="Arial" w:hAnsi="Arial"/>
          <w:sz w:val="20"/>
          <w:szCs w:val="20"/>
          <w:b w:val="1"/>
          <w:bCs w:val="1"/>
          <w:color w:val="auto"/>
        </w:rPr>
        <w:t>$7.81</w:t>
      </w:r>
      <w:r>
        <w:rPr>
          <w:rFonts w:ascii="Arial" w:cs="Arial" w:eastAsia="Arial" w:hAnsi="Arial"/>
          <w:sz w:val="20"/>
          <w:szCs w:val="20"/>
          <w:color w:val="auto"/>
        </w:rPr>
        <w:t xml:space="preserve"> on a GAAP basis (record </w:t>
      </w:r>
      <w:r>
        <w:rPr>
          <w:rFonts w:ascii="Arial" w:cs="Arial" w:eastAsia="Arial" w:hAnsi="Arial"/>
          <w:sz w:val="20"/>
          <w:szCs w:val="20"/>
          <w:b w:val="1"/>
          <w:bCs w:val="1"/>
          <w:color w:val="auto"/>
        </w:rPr>
        <w:t>$11.24</w:t>
      </w:r>
      <w:r>
        <w:rPr>
          <w:rFonts w:ascii="Arial" w:cs="Arial" w:eastAsia="Arial" w:hAnsi="Arial"/>
          <w:sz w:val="20"/>
          <w:szCs w:val="20"/>
          <w:color w:val="auto"/>
        </w:rPr>
        <w:t xml:space="preserve"> on a non-GAAP basis)</w:t>
      </w:r>
      <w:r>
        <w:rPr>
          <w:rFonts w:ascii="Arial" w:cs="Arial" w:eastAsia="Arial" w:hAnsi="Arial"/>
          <w:sz w:val="30"/>
          <w:szCs w:val="30"/>
          <w:color w:val="auto"/>
          <w:vertAlign w:val="superscript"/>
        </w:rPr>
        <w:t>1</w:t>
      </w:r>
    </w:p>
    <w:p>
      <w:pPr>
        <w:spacing w:after="0" w:line="1" w:lineRule="exact"/>
        <w:rPr>
          <w:rFonts w:ascii="Arial" w:cs="Arial" w:eastAsia="Arial" w:hAnsi="Arial"/>
          <w:sz w:val="20"/>
          <w:szCs w:val="20"/>
          <w:color w:val="auto"/>
        </w:rPr>
      </w:pPr>
    </w:p>
    <w:p>
      <w:pPr>
        <w:ind w:left="1200" w:hanging="186"/>
        <w:spacing w:after="0"/>
        <w:tabs>
          <w:tab w:leader="none" w:pos="12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Generated operating cash flow of </w:t>
      </w:r>
      <w:r>
        <w:rPr>
          <w:rFonts w:ascii="Arial" w:cs="Arial" w:eastAsia="Arial" w:hAnsi="Arial"/>
          <w:sz w:val="20"/>
          <w:szCs w:val="20"/>
          <w:b w:val="1"/>
          <w:bCs w:val="1"/>
          <w:color w:val="auto"/>
        </w:rPr>
        <w:t>$1.4 billion</w:t>
      </w:r>
    </w:p>
    <w:p>
      <w:pPr>
        <w:spacing w:after="0" w:line="7" w:lineRule="exact"/>
        <w:rPr>
          <w:rFonts w:ascii="Arial" w:cs="Arial" w:eastAsia="Arial" w:hAnsi="Arial"/>
          <w:sz w:val="20"/>
          <w:szCs w:val="20"/>
          <w:color w:val="auto"/>
        </w:rPr>
      </w:pPr>
    </w:p>
    <w:p>
      <w:pPr>
        <w:ind w:left="1200" w:hanging="186"/>
        <w:spacing w:after="0"/>
        <w:tabs>
          <w:tab w:leader="none" w:pos="12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Raised our quarterly dividend from </w:t>
      </w:r>
      <w:r>
        <w:rPr>
          <w:rFonts w:ascii="Arial" w:cs="Arial" w:eastAsia="Arial" w:hAnsi="Arial"/>
          <w:sz w:val="20"/>
          <w:szCs w:val="20"/>
          <w:b w:val="1"/>
          <w:bCs w:val="1"/>
          <w:color w:val="auto"/>
        </w:rPr>
        <w:t>$0.56</w:t>
      </w:r>
      <w:r>
        <w:rPr>
          <w:rFonts w:ascii="Arial" w:cs="Arial" w:eastAsia="Arial" w:hAnsi="Arial"/>
          <w:sz w:val="20"/>
          <w:szCs w:val="20"/>
          <w:color w:val="auto"/>
        </w:rPr>
        <w:t xml:space="preserve"> per share to </w:t>
      </w:r>
      <w:r>
        <w:rPr>
          <w:rFonts w:ascii="Arial" w:cs="Arial" w:eastAsia="Arial" w:hAnsi="Arial"/>
          <w:sz w:val="20"/>
          <w:szCs w:val="20"/>
          <w:b w:val="1"/>
          <w:bCs w:val="1"/>
          <w:color w:val="auto"/>
        </w:rPr>
        <w:t>$0.62</w:t>
      </w:r>
      <w:r>
        <w:rPr>
          <w:rFonts w:ascii="Arial" w:cs="Arial" w:eastAsia="Arial" w:hAnsi="Arial"/>
          <w:sz w:val="20"/>
          <w:szCs w:val="20"/>
          <w:color w:val="auto"/>
        </w:rPr>
        <w:t xml:space="preserve"> per share</w:t>
      </w:r>
    </w:p>
    <w:p>
      <w:pPr>
        <w:spacing w:after="0" w:line="13" w:lineRule="exact"/>
        <w:rPr>
          <w:rFonts w:ascii="Arial" w:cs="Arial" w:eastAsia="Arial" w:hAnsi="Arial"/>
          <w:sz w:val="20"/>
          <w:szCs w:val="20"/>
          <w:color w:val="auto"/>
        </w:rPr>
      </w:pPr>
    </w:p>
    <w:p>
      <w:pPr>
        <w:ind w:left="1200" w:right="220" w:hanging="186"/>
        <w:spacing w:after="0" w:line="267" w:lineRule="auto"/>
        <w:tabs>
          <w:tab w:leader="none" w:pos="12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Returned over </w:t>
      </w:r>
      <w:r>
        <w:rPr>
          <w:rFonts w:ascii="Arial" w:cs="Arial" w:eastAsia="Arial" w:hAnsi="Arial"/>
          <w:sz w:val="20"/>
          <w:szCs w:val="20"/>
          <w:b w:val="1"/>
          <w:bCs w:val="1"/>
          <w:color w:val="auto"/>
        </w:rPr>
        <w:t>$1.2 billion</w:t>
      </w:r>
      <w:r>
        <w:rPr>
          <w:rFonts w:ascii="Arial" w:cs="Arial" w:eastAsia="Arial" w:hAnsi="Arial"/>
          <w:sz w:val="20"/>
          <w:szCs w:val="20"/>
          <w:color w:val="auto"/>
        </w:rPr>
        <w:t xml:space="preserve"> to stockholders through repurchasing </w:t>
      </w:r>
      <w:r>
        <w:rPr>
          <w:rFonts w:ascii="Arial" w:cs="Arial" w:eastAsia="Arial" w:hAnsi="Arial"/>
          <w:sz w:val="20"/>
          <w:szCs w:val="20"/>
          <w:b w:val="1"/>
          <w:bCs w:val="1"/>
          <w:color w:val="auto"/>
        </w:rPr>
        <w:t>6.5 million</w:t>
      </w:r>
      <w:r>
        <w:rPr>
          <w:rFonts w:ascii="Arial" w:cs="Arial" w:eastAsia="Arial" w:hAnsi="Arial"/>
          <w:sz w:val="20"/>
          <w:szCs w:val="20"/>
          <w:color w:val="auto"/>
        </w:rPr>
        <w:t xml:space="preserve"> shares of our common stock for </w:t>
      </w:r>
      <w:r>
        <w:rPr>
          <w:rFonts w:ascii="Arial" w:cs="Arial" w:eastAsia="Arial" w:hAnsi="Arial"/>
          <w:sz w:val="20"/>
          <w:szCs w:val="20"/>
          <w:b w:val="1"/>
          <w:bCs w:val="1"/>
          <w:color w:val="auto"/>
        </w:rPr>
        <w:t>$887 million</w:t>
      </w:r>
      <w:r>
        <w:rPr>
          <w:rFonts w:ascii="Arial" w:cs="Arial" w:eastAsia="Arial" w:hAnsi="Arial"/>
          <w:sz w:val="20"/>
          <w:szCs w:val="20"/>
          <w:color w:val="auto"/>
        </w:rPr>
        <w:t xml:space="preserve"> and through payments of </w:t>
      </w:r>
      <w:r>
        <w:rPr>
          <w:rFonts w:ascii="Arial" w:cs="Arial" w:eastAsia="Arial" w:hAnsi="Arial"/>
          <w:sz w:val="20"/>
          <w:szCs w:val="20"/>
          <w:b w:val="1"/>
          <w:bCs w:val="1"/>
          <w:color w:val="auto"/>
        </w:rPr>
        <w:t>$373 million</w:t>
      </w:r>
      <w:r>
        <w:rPr>
          <w:rFonts w:ascii="Arial" w:cs="Arial" w:eastAsia="Arial" w:hAnsi="Arial"/>
          <w:sz w:val="20"/>
          <w:szCs w:val="20"/>
          <w:color w:val="auto"/>
        </w:rPr>
        <w:t xml:space="preserve"> in cash dividends</w:t>
      </w:r>
    </w:p>
    <w:p>
      <w:pPr>
        <w:spacing w:after="0" w:line="1" w:lineRule="exact"/>
        <w:rPr>
          <w:rFonts w:ascii="Arial" w:cs="Arial" w:eastAsia="Arial" w:hAnsi="Arial"/>
          <w:sz w:val="20"/>
          <w:szCs w:val="20"/>
          <w:color w:val="auto"/>
        </w:rPr>
      </w:pPr>
    </w:p>
    <w:p>
      <w:pPr>
        <w:ind w:left="1200" w:right="320" w:hanging="186"/>
        <w:spacing w:after="0" w:line="267" w:lineRule="auto"/>
        <w:tabs>
          <w:tab w:leader="none" w:pos="12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Total stockholder return over the last 10 years was </w:t>
      </w:r>
      <w:r>
        <w:rPr>
          <w:rFonts w:ascii="Arial" w:cs="Arial" w:eastAsia="Arial" w:hAnsi="Arial"/>
          <w:sz w:val="20"/>
          <w:szCs w:val="20"/>
          <w:b w:val="1"/>
          <w:bCs w:val="1"/>
          <w:color w:val="auto"/>
        </w:rPr>
        <w:t>309%</w:t>
      </w:r>
      <w:r>
        <w:rPr>
          <w:rFonts w:ascii="Arial" w:cs="Arial" w:eastAsia="Arial" w:hAnsi="Arial"/>
          <w:sz w:val="20"/>
          <w:szCs w:val="20"/>
          <w:color w:val="auto"/>
        </w:rPr>
        <w:t>, compared to 202% for the companies in the S&amp;P 500 Index</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4109085</wp:posOffset>
            </wp:positionV>
            <wp:extent cx="1234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1160145</wp:posOffset>
            </wp:positionH>
            <wp:positionV relativeFrom="paragraph">
              <wp:posOffset>97155</wp:posOffset>
            </wp:positionV>
            <wp:extent cx="4483100" cy="3566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8310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80" w:hanging="354"/>
        <w:spacing w:after="0"/>
        <w:tabs>
          <w:tab w:leader="none" w:pos="1080" w:val="left"/>
        </w:tabs>
        <w:numPr>
          <w:ilvl w:val="0"/>
          <w:numId w:val="9"/>
        </w:numPr>
        <w:rPr>
          <w:rFonts w:ascii="Arial" w:cs="Arial" w:eastAsia="Arial" w:hAnsi="Arial"/>
          <w:sz w:val="25"/>
          <w:szCs w:val="25"/>
          <w:i w:val="1"/>
          <w:iCs w:val="1"/>
          <w:color w:val="auto"/>
          <w:vertAlign w:val="superscript"/>
        </w:rPr>
      </w:pPr>
      <w:r>
        <w:rPr>
          <w:rFonts w:ascii="Arial" w:cs="Arial" w:eastAsia="Arial" w:hAnsi="Arial"/>
          <w:sz w:val="16"/>
          <w:szCs w:val="16"/>
          <w:i w:val="1"/>
          <w:iCs w:val="1"/>
          <w:color w:val="auto"/>
        </w:rPr>
        <w:t>Please see table on page 74 for a full reconciliation of non-GAAP results to GAAP results.</w:t>
      </w:r>
    </w:p>
    <w:p>
      <w:pPr>
        <w:ind w:left="1080" w:hanging="354"/>
        <w:spacing w:after="0" w:line="202" w:lineRule="auto"/>
        <w:tabs>
          <w:tab w:leader="none" w:pos="1080" w:val="left"/>
        </w:tabs>
        <w:numPr>
          <w:ilvl w:val="0"/>
          <w:numId w:val="10"/>
        </w:numPr>
        <w:rPr>
          <w:rFonts w:ascii="Arial" w:cs="Arial" w:eastAsia="Arial" w:hAnsi="Arial"/>
          <w:sz w:val="25"/>
          <w:szCs w:val="25"/>
          <w:i w:val="1"/>
          <w:iCs w:val="1"/>
          <w:color w:val="auto"/>
          <w:vertAlign w:val="superscript"/>
        </w:rPr>
      </w:pPr>
      <w:r>
        <w:rPr>
          <w:rFonts w:ascii="Arial" w:cs="Arial" w:eastAsia="Arial" w:hAnsi="Arial"/>
          <w:sz w:val="16"/>
          <w:szCs w:val="16"/>
          <w:i w:val="1"/>
          <w:iCs w:val="1"/>
          <w:color w:val="auto"/>
        </w:rPr>
        <w:t>Source: S&amp;P Capital IQ. Represents TSR for the ten-year period ended September 30, 2022.</w:t>
      </w:r>
    </w:p>
    <w:p>
      <w:pPr>
        <w:spacing w:after="0" w:line="338"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Other Accomplishments from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50" w:lineRule="exact"/>
        <w:rPr>
          <w:sz w:val="20"/>
          <w:szCs w:val="20"/>
          <w:color w:val="auto"/>
        </w:rPr>
      </w:pPr>
    </w:p>
    <w:p>
      <w:pPr>
        <w:ind w:left="660" w:right="340"/>
        <w:spacing w:after="0" w:line="277" w:lineRule="auto"/>
        <w:rPr>
          <w:sz w:val="20"/>
          <w:szCs w:val="20"/>
          <w:color w:val="auto"/>
        </w:rPr>
      </w:pPr>
      <w:r>
        <w:rPr>
          <w:rFonts w:ascii="Arial" w:cs="Arial" w:eastAsia="Arial" w:hAnsi="Arial"/>
          <w:sz w:val="19"/>
          <w:szCs w:val="19"/>
          <w:color w:val="auto"/>
        </w:rPr>
        <w:t>Throughout fiscal year 2022, our connectivity and analog solutions enabled a broad set of applications across mobile, IoT, automotive, industrial, data center and 5G wireless infrastructure, providing essential technologies and products in many of the strongest market segments. Highlights from the year include:</w:t>
      </w:r>
    </w:p>
    <w:p>
      <w:pPr>
        <w:spacing w:after="0" w:line="40" w:lineRule="exact"/>
        <w:rPr>
          <w:sz w:val="20"/>
          <w:szCs w:val="20"/>
          <w:color w:val="auto"/>
        </w:rPr>
      </w:pPr>
    </w:p>
    <w:p>
      <w:pPr>
        <w:ind w:left="1200" w:right="240" w:hanging="186"/>
        <w:spacing w:after="0" w:line="260" w:lineRule="auto"/>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Leveraged our Sky5 portfolio to enable high performance connectivity at leading Tier-1 smartphone customers</w:t>
      </w:r>
    </w:p>
    <w:p>
      <w:pPr>
        <w:spacing w:after="0" w:line="1" w:lineRule="exact"/>
        <w:rPr>
          <w:rFonts w:ascii="Arial" w:cs="Arial" w:eastAsia="Arial" w:hAnsi="Arial"/>
          <w:sz w:val="20"/>
          <w:szCs w:val="20"/>
          <w:color w:val="auto"/>
        </w:rPr>
      </w:pPr>
    </w:p>
    <w:p>
      <w:pPr>
        <w:ind w:left="1200" w:hanging="186"/>
        <w:spacing w:after="0"/>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Extended market leadership in Wi-Fi 6 and 6E and launched next-generation Wi-Fi 7 platforms</w:t>
      </w:r>
    </w:p>
    <w:p>
      <w:pPr>
        <w:spacing w:after="0" w:line="26" w:lineRule="exact"/>
        <w:rPr>
          <w:rFonts w:ascii="Arial" w:cs="Arial" w:eastAsia="Arial" w:hAnsi="Arial"/>
          <w:sz w:val="20"/>
          <w:szCs w:val="20"/>
          <w:color w:val="auto"/>
        </w:rPr>
      </w:pPr>
    </w:p>
    <w:p>
      <w:pPr>
        <w:ind w:left="1200" w:right="340" w:hanging="186"/>
        <w:spacing w:after="0" w:line="260" w:lineRule="auto"/>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Ramped wireless connectivity, EV power isolation and digital radio solutions at leading automotive OEMs</w:t>
      </w:r>
    </w:p>
    <w:p>
      <w:pPr>
        <w:spacing w:after="0" w:line="1" w:lineRule="exact"/>
        <w:rPr>
          <w:rFonts w:ascii="Arial" w:cs="Arial" w:eastAsia="Arial" w:hAnsi="Arial"/>
          <w:sz w:val="20"/>
          <w:szCs w:val="20"/>
          <w:color w:val="auto"/>
        </w:rPr>
      </w:pPr>
    </w:p>
    <w:p>
      <w:pPr>
        <w:ind w:left="1200" w:hanging="186"/>
        <w:spacing w:after="0"/>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Provided programmable timing technology in data centers and advanced telco network deployments</w:t>
      </w:r>
    </w:p>
    <w:p>
      <w:pPr>
        <w:spacing w:after="0" w:line="26" w:lineRule="exact"/>
        <w:rPr>
          <w:rFonts w:ascii="Arial" w:cs="Arial" w:eastAsia="Arial" w:hAnsi="Arial"/>
          <w:sz w:val="20"/>
          <w:szCs w:val="20"/>
          <w:color w:val="auto"/>
        </w:rPr>
      </w:pPr>
    </w:p>
    <w:p>
      <w:pPr>
        <w:ind w:left="1200" w:hanging="186"/>
        <w:spacing w:after="0"/>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Delivered industrial IoT solutions supporting smart energy and factory automation</w:t>
      </w:r>
    </w:p>
    <w:p>
      <w:pPr>
        <w:spacing w:after="0" w:line="26" w:lineRule="exact"/>
        <w:rPr>
          <w:rFonts w:ascii="Arial" w:cs="Arial" w:eastAsia="Arial" w:hAnsi="Arial"/>
          <w:sz w:val="20"/>
          <w:szCs w:val="20"/>
          <w:color w:val="auto"/>
        </w:rPr>
      </w:pPr>
    </w:p>
    <w:p>
      <w:pPr>
        <w:ind w:left="1200" w:hanging="186"/>
        <w:spacing w:after="0"/>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Captured multiple design wins fueling 5G massive MIMO deployments</w:t>
      </w:r>
    </w:p>
    <w:p>
      <w:pPr>
        <w:spacing w:after="0" w:line="13" w:lineRule="exact"/>
        <w:rPr>
          <w:rFonts w:ascii="Arial" w:cs="Arial" w:eastAsia="Arial" w:hAnsi="Arial"/>
          <w:sz w:val="20"/>
          <w:szCs w:val="20"/>
          <w:color w:val="auto"/>
        </w:rPr>
      </w:pPr>
    </w:p>
    <w:p>
      <w:pPr>
        <w:ind w:left="1200" w:right="880" w:hanging="186"/>
        <w:spacing w:after="0" w:line="267" w:lineRule="auto"/>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Supported leading wearables brands with our proprietary cellular, GPS, Wi-Fi and Bluetooth technologies</w:t>
      </w:r>
    </w:p>
    <w:p>
      <w:pPr>
        <w:spacing w:after="0" w:line="1" w:lineRule="exact"/>
        <w:rPr>
          <w:rFonts w:ascii="Arial" w:cs="Arial" w:eastAsia="Arial" w:hAnsi="Arial"/>
          <w:sz w:val="20"/>
          <w:szCs w:val="20"/>
          <w:color w:val="auto"/>
        </w:rPr>
      </w:pPr>
    </w:p>
    <w:p>
      <w:pPr>
        <w:ind w:left="1200" w:hanging="186"/>
        <w:spacing w:after="0"/>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Integrated more than 2.4 billion BAW filters into transmit and receive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1270635</wp:posOffset>
            </wp:positionV>
            <wp:extent cx="5726430" cy="25114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2643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tabs>
          <w:tab w:leader="none" w:pos="2160" w:val="left"/>
          <w:tab w:leader="none" w:pos="2400" w:val="left"/>
          <w:tab w:leader="none" w:pos="8480" w:val="left"/>
          <w:tab w:leader="none" w:pos="994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60" w:right="160"/>
        <w:spacing w:after="0" w:line="254" w:lineRule="auto"/>
        <w:rPr>
          <w:sz w:val="20"/>
          <w:szCs w:val="20"/>
          <w:color w:val="auto"/>
        </w:rPr>
      </w:pPr>
      <w:r>
        <w:rPr>
          <w:rFonts w:ascii="Arial" w:cs="Arial" w:eastAsia="Arial" w:hAnsi="Arial"/>
          <w:sz w:val="20"/>
          <w:szCs w:val="20"/>
          <w:color w:val="auto"/>
        </w:rPr>
        <w:t>Nine of our currently serving directors have been nominated for election to our Board of Directors (the “Board”) to serve until the 2024 Annual Meeting of Stockholders and until their successors are elected and qualified or until their earlier resignation or removal. Additional information on each nominee may be found below under “</w:t>
      </w:r>
      <w:r>
        <w:rPr>
          <w:rFonts w:ascii="Arial" w:cs="Arial" w:eastAsia="Arial" w:hAnsi="Arial"/>
          <w:sz w:val="20"/>
          <w:szCs w:val="20"/>
          <w:i w:val="1"/>
          <w:iCs w:val="1"/>
          <w:color w:val="auto"/>
        </w:rPr>
        <w:t>Election of Directors</w:t>
      </w:r>
      <w:r>
        <w:rPr>
          <w:rFonts w:ascii="Arial" w:cs="Arial" w:eastAsia="Arial" w:hAnsi="Arial"/>
          <w:sz w:val="20"/>
          <w:szCs w:val="20"/>
          <w:color w:val="auto"/>
        </w:rPr>
        <w:t>.” The following table lists the nine nominees, their age, the year such nominees were first elected as directors of the Company, their principal occupation, their independence status, their Board committee memberships as of March 1, 2023, and the number of other public company boards on which they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163195</wp:posOffset>
            </wp:positionV>
            <wp:extent cx="5974715" cy="437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74715" cy="437515"/>
                    </a:xfrm>
                    <a:prstGeom prst="rect">
                      <a:avLst/>
                    </a:prstGeom>
                    <a:noFill/>
                  </pic:spPr>
                </pic:pic>
              </a:graphicData>
            </a:graphic>
          </wp:anchor>
        </w:drawing>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42"/>
        </w:trPr>
        <w:tc>
          <w:tcPr>
            <w:tcW w:w="2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FFFFFF"/>
              </w:rPr>
              <w:t>Other Public</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ind w:left="140"/>
              <w:spacing w:after="0" w:line="202" w:lineRule="exact"/>
              <w:rPr>
                <w:sz w:val="20"/>
                <w:szCs w:val="20"/>
                <w:color w:val="auto"/>
              </w:rPr>
            </w:pPr>
            <w:r>
              <w:rPr>
                <w:rFonts w:ascii="Arial" w:cs="Arial" w:eastAsia="Arial" w:hAnsi="Arial"/>
                <w:sz w:val="18"/>
                <w:szCs w:val="18"/>
                <w:color w:val="FFFFFF"/>
                <w:w w:val="98"/>
              </w:rPr>
              <w:t>Director</w:t>
            </w:r>
          </w:p>
        </w:tc>
        <w:tc>
          <w:tcPr>
            <w:tcW w:w="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center"/>
              <w:ind w:right="18"/>
              <w:spacing w:after="0" w:line="202" w:lineRule="exact"/>
              <w:rPr>
                <w:sz w:val="20"/>
                <w:szCs w:val="20"/>
                <w:color w:val="auto"/>
              </w:rPr>
            </w:pPr>
            <w:r>
              <w:rPr>
                <w:rFonts w:ascii="Arial" w:cs="Arial" w:eastAsia="Arial" w:hAnsi="Arial"/>
                <w:sz w:val="18"/>
                <w:szCs w:val="18"/>
                <w:color w:val="FFFFFF"/>
                <w:w w:val="98"/>
              </w:rPr>
              <w:t>Committee</w:t>
            </w:r>
          </w:p>
        </w:tc>
        <w:tc>
          <w:tcPr>
            <w:tcW w:w="160" w:type="dxa"/>
            <w:vAlign w:val="bottom"/>
          </w:tcPr>
          <w:p>
            <w:pPr>
              <w:spacing w:after="0"/>
              <w:rPr>
                <w:sz w:val="17"/>
                <w:szCs w:val="17"/>
                <w:color w:val="auto"/>
              </w:rPr>
            </w:pPr>
          </w:p>
        </w:tc>
        <w:tc>
          <w:tcPr>
            <w:tcW w:w="1020" w:type="dxa"/>
            <w:vAlign w:val="bottom"/>
            <w:gridSpan w:val="2"/>
          </w:tcPr>
          <w:p>
            <w:pPr>
              <w:jc w:val="center"/>
              <w:spacing w:after="0" w:line="202" w:lineRule="exact"/>
              <w:rPr>
                <w:sz w:val="20"/>
                <w:szCs w:val="20"/>
                <w:color w:val="auto"/>
              </w:rPr>
            </w:pPr>
            <w:r>
              <w:rPr>
                <w:rFonts w:ascii="Arial" w:cs="Arial" w:eastAsia="Arial" w:hAnsi="Arial"/>
                <w:sz w:val="18"/>
                <w:szCs w:val="18"/>
                <w:color w:val="FFFFFF"/>
                <w:w w:val="98"/>
              </w:rPr>
              <w:t>Company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20" w:type="dxa"/>
            <w:vAlign w:val="bottom"/>
          </w:tcPr>
          <w:p>
            <w:pPr>
              <w:spacing w:after="0"/>
              <w:rPr>
                <w:sz w:val="20"/>
                <w:szCs w:val="20"/>
                <w:color w:val="auto"/>
              </w:rPr>
            </w:pPr>
            <w:r>
              <w:rPr>
                <w:rFonts w:ascii="Arial" w:cs="Arial" w:eastAsia="Arial" w:hAnsi="Arial"/>
                <w:sz w:val="18"/>
                <w:szCs w:val="18"/>
                <w:color w:val="FFFFFF"/>
              </w:rPr>
              <w:t>​Name</w:t>
            </w:r>
          </w:p>
        </w:tc>
        <w:tc>
          <w:tcPr>
            <w:tcW w:w="1240" w:type="dxa"/>
            <w:vAlign w:val="bottom"/>
            <w:gridSpan w:val="4"/>
          </w:tcPr>
          <w:p>
            <w:pPr>
              <w:ind w:left="80"/>
              <w:spacing w:after="0"/>
              <w:rPr>
                <w:sz w:val="20"/>
                <w:szCs w:val="20"/>
                <w:color w:val="auto"/>
              </w:rPr>
            </w:pPr>
            <w:r>
              <w:rPr>
                <w:rFonts w:ascii="Arial" w:cs="Arial" w:eastAsia="Arial" w:hAnsi="Arial"/>
                <w:sz w:val="18"/>
                <w:szCs w:val="18"/>
                <w:color w:val="FFFFFF"/>
              </w:rPr>
              <w:t>​​Age ​​ Since</w:t>
            </w:r>
          </w:p>
        </w:tc>
        <w:tc>
          <w:tcPr>
            <w:tcW w:w="320" w:type="dxa"/>
            <w:vAlign w:val="bottom"/>
          </w:tcPr>
          <w:p>
            <w:pPr>
              <w:jc w:val="center"/>
              <w:ind w:right="68"/>
              <w:spacing w:after="0"/>
              <w:rPr>
                <w:sz w:val="20"/>
                <w:szCs w:val="20"/>
                <w:color w:val="auto"/>
              </w:rPr>
            </w:pPr>
            <w:r>
              <w:rPr>
                <w:rFonts w:ascii="Arial" w:cs="Arial" w:eastAsia="Arial" w:hAnsi="Arial"/>
                <w:sz w:val="18"/>
                <w:szCs w:val="18"/>
                <w:color w:val="FFFFFF"/>
              </w:rPr>
              <w:t>​​</w:t>
            </w:r>
          </w:p>
        </w:tc>
        <w:tc>
          <w:tcPr>
            <w:tcW w:w="2120" w:type="dxa"/>
            <w:vAlign w:val="bottom"/>
          </w:tcPr>
          <w:p>
            <w:pPr>
              <w:ind w:left="140"/>
              <w:spacing w:after="0"/>
              <w:rPr>
                <w:sz w:val="20"/>
                <w:szCs w:val="20"/>
                <w:color w:val="auto"/>
              </w:rPr>
            </w:pPr>
            <w:r>
              <w:rPr>
                <w:rFonts w:ascii="Arial" w:cs="Arial" w:eastAsia="Arial" w:hAnsi="Arial"/>
                <w:sz w:val="18"/>
                <w:szCs w:val="18"/>
                <w:color w:val="FFFFFF"/>
              </w:rPr>
              <w:t>Principal Occupation</w:t>
            </w:r>
          </w:p>
        </w:tc>
        <w:tc>
          <w:tcPr>
            <w:tcW w:w="2600" w:type="dxa"/>
            <w:vAlign w:val="bottom"/>
            <w:gridSpan w:val="5"/>
          </w:tcPr>
          <w:p>
            <w:pPr>
              <w:jc w:val="center"/>
              <w:spacing w:after="0"/>
              <w:rPr>
                <w:sz w:val="20"/>
                <w:szCs w:val="20"/>
                <w:color w:val="auto"/>
              </w:rPr>
            </w:pPr>
            <w:r>
              <w:rPr>
                <w:rFonts w:ascii="Arial" w:cs="Arial" w:eastAsia="Arial" w:hAnsi="Arial"/>
                <w:sz w:val="18"/>
                <w:szCs w:val="18"/>
                <w:color w:val="FFFFFF"/>
              </w:rPr>
              <w:t>​​ Independent ​​Memberships ​​</w:t>
            </w:r>
          </w:p>
        </w:tc>
        <w:tc>
          <w:tcPr>
            <w:tcW w:w="1020" w:type="dxa"/>
            <w:vAlign w:val="bottom"/>
            <w:gridSpan w:val="2"/>
          </w:tcPr>
          <w:p>
            <w:pPr>
              <w:jc w:val="center"/>
              <w:spacing w:after="0"/>
              <w:rPr>
                <w:sz w:val="20"/>
                <w:szCs w:val="20"/>
                <w:color w:val="auto"/>
              </w:rPr>
            </w:pPr>
            <w:r>
              <w:rPr>
                <w:rFonts w:ascii="Arial" w:cs="Arial" w:eastAsia="Arial" w:hAnsi="Arial"/>
                <w:sz w:val="18"/>
                <w:szCs w:val="18"/>
                <w:color w:val="FFFFFF"/>
                <w:w w:val="98"/>
              </w:rPr>
              <w:t>Boards</w:t>
            </w:r>
          </w:p>
        </w:tc>
        <w:tc>
          <w:tcPr>
            <w:tcW w:w="120" w:type="dxa"/>
            <w:vAlign w:val="bottom"/>
          </w:tcPr>
          <w:p>
            <w:pPr>
              <w:jc w:val="right"/>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48"/>
        </w:trPr>
        <w:tc>
          <w:tcPr>
            <w:tcW w:w="20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c>
          <w:tcPr>
            <w:tcW w:w="200" w:type="dxa"/>
            <w:vAlign w:val="bottom"/>
          </w:tcPr>
          <w:p>
            <w:pPr>
              <w:ind w:left="100"/>
              <w:spacing w:after="0" w:line="148" w:lineRule="exact"/>
              <w:rPr>
                <w:sz w:val="20"/>
                <w:szCs w:val="20"/>
                <w:color w:val="auto"/>
              </w:rPr>
            </w:pPr>
            <w:r>
              <w:rPr>
                <w:rFonts w:ascii="Arial" w:cs="Arial" w:eastAsia="Arial" w:hAnsi="Arial"/>
                <w:sz w:val="16"/>
                <w:szCs w:val="16"/>
                <w:color w:val="auto"/>
              </w:rPr>
              <w:t>​​</w:t>
            </w: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​56​</w:t>
            </w:r>
          </w:p>
        </w:tc>
        <w:tc>
          <w:tcPr>
            <w:tcW w:w="240" w:type="dxa"/>
            <w:vAlign w:val="bottom"/>
          </w:tcPr>
          <w:p>
            <w:pPr>
              <w:ind w:left="20"/>
              <w:spacing w:after="0" w:line="148" w:lineRule="exact"/>
              <w:rPr>
                <w:sz w:val="20"/>
                <w:szCs w:val="20"/>
                <w:color w:val="auto"/>
              </w:rPr>
            </w:pPr>
            <w:r>
              <w:rPr>
                <w:rFonts w:ascii="Arial" w:cs="Arial" w:eastAsia="Arial" w:hAnsi="Arial"/>
                <w:sz w:val="16"/>
                <w:szCs w:val="16"/>
                <w:color w:val="auto"/>
              </w:rPr>
              <w:t>​​​</w:t>
            </w:r>
          </w:p>
        </w:tc>
        <w:tc>
          <w:tcPr>
            <w:tcW w:w="540" w:type="dxa"/>
            <w:vAlign w:val="bottom"/>
            <w:vMerge w:val="restart"/>
          </w:tcPr>
          <w:p>
            <w:pPr>
              <w:ind w:left="40"/>
              <w:spacing w:after="0"/>
              <w:rPr>
                <w:sz w:val="20"/>
                <w:szCs w:val="20"/>
                <w:color w:val="auto"/>
              </w:rPr>
            </w:pPr>
            <w:r>
              <w:rPr>
                <w:rFonts w:ascii="Arial" w:cs="Arial" w:eastAsia="Arial" w:hAnsi="Arial"/>
                <w:sz w:val="16"/>
                <w:szCs w:val="16"/>
                <w:color w:val="auto"/>
              </w:rPr>
              <w:t>​2016​</w:t>
            </w:r>
          </w:p>
        </w:tc>
        <w:tc>
          <w:tcPr>
            <w:tcW w:w="320" w:type="dxa"/>
            <w:vAlign w:val="bottom"/>
          </w:tcPr>
          <w:p>
            <w:pPr>
              <w:jc w:val="center"/>
              <w:ind w:right="68"/>
              <w:spacing w:after="0" w:line="148" w:lineRule="exact"/>
              <w:rPr>
                <w:sz w:val="20"/>
                <w:szCs w:val="20"/>
                <w:color w:val="auto"/>
              </w:rPr>
            </w:pPr>
            <w:r>
              <w:rPr>
                <w:rFonts w:ascii="Arial" w:cs="Arial" w:eastAsia="Arial" w:hAnsi="Arial"/>
                <w:sz w:val="16"/>
                <w:szCs w:val="16"/>
                <w:color w:val="auto"/>
              </w:rPr>
              <w:t>​​​</w:t>
            </w:r>
          </w:p>
        </w:tc>
        <w:tc>
          <w:tcPr>
            <w:tcW w:w="2120" w:type="dxa"/>
            <w:vAlign w:val="bottom"/>
          </w:tcPr>
          <w:p>
            <w:pPr>
              <w:spacing w:after="0"/>
              <w:rPr>
                <w:sz w:val="12"/>
                <w:szCs w:val="12"/>
                <w:color w:val="auto"/>
              </w:rPr>
            </w:pPr>
          </w:p>
        </w:tc>
        <w:tc>
          <w:tcPr>
            <w:tcW w:w="380" w:type="dxa"/>
            <w:vAlign w:val="bottom"/>
          </w:tcPr>
          <w:p>
            <w:pPr>
              <w:ind w:left="60"/>
              <w:spacing w:after="0" w:line="148" w:lineRule="exact"/>
              <w:rPr>
                <w:sz w:val="20"/>
                <w:szCs w:val="20"/>
                <w:color w:val="auto"/>
              </w:rPr>
            </w:pPr>
            <w:r>
              <w:rPr>
                <w:rFonts w:ascii="Arial" w:cs="Arial" w:eastAsia="Arial" w:hAnsi="Arial"/>
                <w:sz w:val="16"/>
                <w:szCs w:val="16"/>
                <w:color w:val="auto"/>
              </w:rPr>
              <w:t>​​</w:t>
            </w:r>
          </w:p>
        </w:tc>
        <w:tc>
          <w:tcPr>
            <w:tcW w:w="600" w:type="dxa"/>
            <w:vAlign w:val="bottom"/>
          </w:tcPr>
          <w:p>
            <w:pPr>
              <w:ind w:left="240"/>
              <w:spacing w:after="0" w:line="148" w:lineRule="exact"/>
              <w:rPr>
                <w:sz w:val="20"/>
                <w:szCs w:val="20"/>
                <w:color w:val="auto"/>
              </w:rPr>
            </w:pPr>
            <w:r>
              <w:rPr>
                <w:rFonts w:ascii="Arial" w:cs="Arial" w:eastAsia="Arial" w:hAnsi="Arial"/>
                <w:sz w:val="16"/>
                <w:szCs w:val="16"/>
                <w:color w:val="auto"/>
              </w:rPr>
              <w:t>​ ​</w:t>
            </w:r>
          </w:p>
        </w:tc>
        <w:tc>
          <w:tcPr>
            <w:tcW w:w="420" w:type="dxa"/>
            <w:vAlign w:val="bottom"/>
          </w:tcPr>
          <w:p>
            <w:pPr>
              <w:jc w:val="center"/>
              <w:ind w:left="103"/>
              <w:spacing w:after="0" w:line="148" w:lineRule="exact"/>
              <w:rPr>
                <w:sz w:val="20"/>
                <w:szCs w:val="20"/>
                <w:color w:val="auto"/>
              </w:rPr>
            </w:pPr>
            <w:r>
              <w:rPr>
                <w:rFonts w:ascii="Arial" w:cs="Arial" w:eastAsia="Arial" w:hAnsi="Arial"/>
                <w:sz w:val="16"/>
                <w:szCs w:val="16"/>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ind w:left="40"/>
              <w:spacing w:after="0" w:line="148" w:lineRule="exact"/>
              <w:rPr>
                <w:sz w:val="20"/>
                <w:szCs w:val="20"/>
                <w:color w:val="auto"/>
              </w:rPr>
            </w:pPr>
            <w:r>
              <w:rPr>
                <w:rFonts w:ascii="Arial" w:cs="Arial" w:eastAsia="Arial" w:hAnsi="Arial"/>
                <w:sz w:val="16"/>
                <w:szCs w:val="16"/>
                <w:color w:val="auto"/>
              </w:rPr>
              <w:t>​​</w:t>
            </w:r>
          </w:p>
        </w:tc>
        <w:tc>
          <w:tcPr>
            <w:tcW w:w="48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spacing w:after="0"/>
              <w:rPr>
                <w:sz w:val="20"/>
                <w:szCs w:val="20"/>
                <w:color w:val="auto"/>
              </w:rPr>
            </w:pPr>
            <w:r>
              <w:rPr>
                <w:rFonts w:ascii="Arial" w:cs="Arial" w:eastAsia="Arial" w:hAnsi="Arial"/>
                <w:sz w:val="16"/>
                <w:szCs w:val="16"/>
                <w:color w:val="auto"/>
              </w:rPr>
              <w:t>1​</w:t>
            </w:r>
          </w:p>
        </w:tc>
        <w:tc>
          <w:tcPr>
            <w:tcW w:w="120" w:type="dxa"/>
            <w:vAlign w:val="bottom"/>
          </w:tcPr>
          <w:p>
            <w:pPr>
              <w:jc w:val="right"/>
              <w:spacing w:after="0" w:line="14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
        </w:trPr>
        <w:tc>
          <w:tcPr>
            <w:tcW w:w="2020" w:type="dxa"/>
            <w:vAlign w:val="bottom"/>
          </w:tcPr>
          <w:p>
            <w:pPr>
              <w:ind w:left="20"/>
              <w:spacing w:after="0" w:line="67" w:lineRule="exact"/>
              <w:rPr>
                <w:sz w:val="20"/>
                <w:szCs w:val="20"/>
                <w:color w:val="auto"/>
              </w:rPr>
            </w:pPr>
            <w:r>
              <w:rPr>
                <w:rFonts w:ascii="Arial" w:cs="Arial" w:eastAsia="Arial" w:hAnsi="Arial"/>
                <w:sz w:val="7"/>
                <w:szCs w:val="7"/>
                <w:color w:val="auto"/>
              </w:rPr>
              <w:t>Liam K. Griffin</w:t>
            </w:r>
          </w:p>
        </w:tc>
        <w:tc>
          <w:tcPr>
            <w:tcW w:w="2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440" w:type="dxa"/>
            <w:vAlign w:val="bottom"/>
            <w:gridSpan w:val="2"/>
          </w:tcPr>
          <w:p>
            <w:pPr>
              <w:ind w:left="120"/>
              <w:spacing w:after="0" w:line="67" w:lineRule="exact"/>
              <w:rPr>
                <w:sz w:val="20"/>
                <w:szCs w:val="20"/>
                <w:color w:val="auto"/>
              </w:rPr>
            </w:pPr>
            <w:r>
              <w:rPr>
                <w:rFonts w:ascii="Arial" w:cs="Arial" w:eastAsia="Arial" w:hAnsi="Arial"/>
                <w:sz w:val="7"/>
                <w:szCs w:val="7"/>
                <w:color w:val="auto"/>
              </w:rPr>
              <w:t>Chairman, CEO and President,</w:t>
            </w: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020" w:type="dxa"/>
            <w:vAlign w:val="bottom"/>
          </w:tcPr>
          <w:p>
            <w:pPr>
              <w:ind w:left="20"/>
              <w:spacing w:after="0"/>
              <w:rPr>
                <w:sz w:val="20"/>
                <w:szCs w:val="20"/>
                <w:color w:val="auto"/>
              </w:rPr>
            </w:pPr>
            <w:r>
              <w:rPr>
                <w:rFonts w:ascii="Arial" w:cs="Arial" w:eastAsia="Arial" w:hAnsi="Arial"/>
                <w:sz w:val="16"/>
                <w:szCs w:val="16"/>
                <w:i w:val="1"/>
                <w:iCs w:val="1"/>
                <w:color w:val="auto"/>
              </w:rPr>
              <w:t>Chairman of the Board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6"/>
                <w:szCs w:val="16"/>
                <w:color w:val="auto"/>
              </w:rPr>
              <w:t>Skyworks Solutions</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2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​73​</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ind w:left="40"/>
              <w:spacing w:after="0"/>
              <w:rPr>
                <w:sz w:val="20"/>
                <w:szCs w:val="20"/>
                <w:color w:val="auto"/>
              </w:rPr>
            </w:pPr>
            <w:r>
              <w:rPr>
                <w:rFonts w:ascii="Arial" w:cs="Arial" w:eastAsia="Arial" w:hAnsi="Arial"/>
                <w:sz w:val="16"/>
                <w:szCs w:val="16"/>
                <w:color w:val="auto"/>
              </w:rPr>
              <w:t>​2014​</w:t>
            </w:r>
          </w:p>
        </w:tc>
        <w:tc>
          <w:tcPr>
            <w:tcW w:w="320" w:type="dxa"/>
            <w:vAlign w:val="bottom"/>
          </w:tcPr>
          <w:p>
            <w:pPr>
              <w:jc w:val="center"/>
              <w:ind w:right="68"/>
              <w:spacing w:after="0"/>
              <w:rPr>
                <w:sz w:val="20"/>
                <w:szCs w:val="20"/>
                <w:color w:val="auto"/>
              </w:rPr>
            </w:pPr>
            <w:r>
              <w:rPr>
                <w:rFonts w:ascii="Arial" w:cs="Arial" w:eastAsia="Arial" w:hAnsi="Arial"/>
                <w:sz w:val="16"/>
                <w:szCs w:val="16"/>
                <w:color w:val="auto"/>
              </w:rPr>
              <w:t>​​​</w:t>
            </w:r>
          </w:p>
        </w:tc>
        <w:tc>
          <w:tcPr>
            <w:tcW w:w="2120" w:type="dxa"/>
            <w:vAlign w:val="bottom"/>
          </w:tcPr>
          <w:p>
            <w:pPr>
              <w:spacing w:after="0"/>
              <w:rPr>
                <w:sz w:val="16"/>
                <w:szCs w:val="16"/>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420" w:type="dxa"/>
            <w:vAlign w:val="bottom"/>
          </w:tcPr>
          <w:p>
            <w:pPr>
              <w:jc w:val="center"/>
              <w:ind w:left="103"/>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center"/>
              <w:ind w:right="18"/>
              <w:spacing w:after="0"/>
              <w:rPr>
                <w:sz w:val="20"/>
                <w:szCs w:val="20"/>
                <w:color w:val="auto"/>
              </w:rPr>
            </w:pPr>
            <w:r>
              <w:rPr>
                <w:rFonts w:ascii="Arial" w:cs="Arial" w:eastAsia="Arial" w:hAnsi="Arial"/>
                <w:sz w:val="16"/>
                <w:szCs w:val="16"/>
                <w:color w:val="auto"/>
              </w:rPr>
              <w:t>AC, CC (C)</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
        </w:trPr>
        <w:tc>
          <w:tcPr>
            <w:tcW w:w="2020" w:type="dxa"/>
            <w:vAlign w:val="bottom"/>
          </w:tcPr>
          <w:p>
            <w:pPr>
              <w:ind w:left="20"/>
              <w:spacing w:after="0" w:line="67" w:lineRule="exact"/>
              <w:rPr>
                <w:sz w:val="20"/>
                <w:szCs w:val="20"/>
                <w:color w:val="auto"/>
              </w:rPr>
            </w:pPr>
            <w:r>
              <w:rPr>
                <w:rFonts w:ascii="Arial" w:cs="Arial" w:eastAsia="Arial" w:hAnsi="Arial"/>
                <w:sz w:val="7"/>
                <w:szCs w:val="7"/>
                <w:color w:val="auto"/>
              </w:rPr>
              <w:t>Christine King</w:t>
            </w:r>
          </w:p>
        </w:tc>
        <w:tc>
          <w:tcPr>
            <w:tcW w:w="2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440" w:type="dxa"/>
            <w:vAlign w:val="bottom"/>
            <w:gridSpan w:val="2"/>
          </w:tcPr>
          <w:p>
            <w:pPr>
              <w:ind w:left="120"/>
              <w:spacing w:after="0" w:line="67" w:lineRule="exact"/>
              <w:rPr>
                <w:sz w:val="20"/>
                <w:szCs w:val="20"/>
                <w:color w:val="auto"/>
              </w:rPr>
            </w:pPr>
            <w:r>
              <w:rPr>
                <w:rFonts w:ascii="Arial" w:cs="Arial" w:eastAsia="Arial" w:hAnsi="Arial"/>
                <w:sz w:val="7"/>
                <w:szCs w:val="7"/>
                <w:color w:val="auto"/>
              </w:rPr>
              <w:t>Retired Executive Chairman,</w:t>
            </w:r>
          </w:p>
        </w:tc>
        <w:tc>
          <w:tcPr>
            <w:tcW w:w="3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020" w:type="dxa"/>
            <w:vAlign w:val="bottom"/>
          </w:tcPr>
          <w:p>
            <w:pPr>
              <w:ind w:left="20"/>
              <w:spacing w:after="0"/>
              <w:rPr>
                <w:sz w:val="20"/>
                <w:szCs w:val="20"/>
                <w:color w:val="auto"/>
              </w:rPr>
            </w:pPr>
            <w:r>
              <w:rPr>
                <w:rFonts w:ascii="Arial" w:cs="Arial" w:eastAsia="Arial" w:hAnsi="Arial"/>
                <w:sz w:val="16"/>
                <w:szCs w:val="16"/>
                <w:i w:val="1"/>
                <w:iCs w:val="1"/>
                <w:color w:val="auto"/>
              </w:rPr>
              <w:t>Lead Independent Director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6"/>
                <w:szCs w:val="16"/>
                <w:color w:val="auto"/>
              </w:rPr>
              <w:t>QLogic</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2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​60​</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ind w:left="40"/>
              <w:spacing w:after="0"/>
              <w:rPr>
                <w:sz w:val="20"/>
                <w:szCs w:val="20"/>
                <w:color w:val="auto"/>
              </w:rPr>
            </w:pPr>
            <w:r>
              <w:rPr>
                <w:rFonts w:ascii="Arial" w:cs="Arial" w:eastAsia="Arial" w:hAnsi="Arial"/>
                <w:sz w:val="16"/>
                <w:szCs w:val="16"/>
                <w:color w:val="auto"/>
              </w:rPr>
              <w:t>​2019​</w:t>
            </w:r>
          </w:p>
        </w:tc>
        <w:tc>
          <w:tcPr>
            <w:tcW w:w="320" w:type="dxa"/>
            <w:vAlign w:val="bottom"/>
          </w:tcPr>
          <w:p>
            <w:pPr>
              <w:jc w:val="center"/>
              <w:ind w:right="68"/>
              <w:spacing w:after="0"/>
              <w:rPr>
                <w:sz w:val="20"/>
                <w:szCs w:val="20"/>
                <w:color w:val="auto"/>
              </w:rPr>
            </w:pPr>
            <w:r>
              <w:rPr>
                <w:rFonts w:ascii="Arial" w:cs="Arial" w:eastAsia="Arial" w:hAnsi="Arial"/>
                <w:sz w:val="16"/>
                <w:szCs w:val="16"/>
                <w:color w:val="auto"/>
              </w:rPr>
              <w:t>​​​</w:t>
            </w:r>
          </w:p>
        </w:tc>
        <w:tc>
          <w:tcPr>
            <w:tcW w:w="2120" w:type="dxa"/>
            <w:vAlign w:val="bottom"/>
          </w:tcPr>
          <w:p>
            <w:pPr>
              <w:spacing w:after="0"/>
              <w:rPr>
                <w:sz w:val="16"/>
                <w:szCs w:val="16"/>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420" w:type="dxa"/>
            <w:vAlign w:val="bottom"/>
          </w:tcPr>
          <w:p>
            <w:pPr>
              <w:jc w:val="center"/>
              <w:ind w:left="103"/>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rPr>
              <w:t>CC</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2020" w:type="dxa"/>
            <w:vAlign w:val="bottom"/>
          </w:tcPr>
          <w:p>
            <w:pPr>
              <w:ind w:left="20"/>
              <w:spacing w:after="0" w:line="83" w:lineRule="exact"/>
              <w:rPr>
                <w:sz w:val="20"/>
                <w:szCs w:val="20"/>
                <w:color w:val="auto"/>
              </w:rPr>
            </w:pPr>
            <w:r>
              <w:rPr>
                <w:rFonts w:ascii="Arial" w:cs="Arial" w:eastAsia="Arial" w:hAnsi="Arial"/>
                <w:sz w:val="9"/>
                <w:szCs w:val="9"/>
                <w:color w:val="auto"/>
              </w:rPr>
              <w:t>Alan S. Batey</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440" w:type="dxa"/>
            <w:vAlign w:val="bottom"/>
            <w:gridSpan w:val="2"/>
          </w:tcPr>
          <w:p>
            <w:pPr>
              <w:ind w:left="120"/>
              <w:spacing w:after="0" w:line="83" w:lineRule="exact"/>
              <w:rPr>
                <w:sz w:val="20"/>
                <w:szCs w:val="20"/>
                <w:color w:val="auto"/>
              </w:rPr>
            </w:pPr>
            <w:r>
              <w:rPr>
                <w:rFonts w:ascii="Arial" w:cs="Arial" w:eastAsia="Arial" w:hAnsi="Arial"/>
                <w:sz w:val="9"/>
                <w:szCs w:val="9"/>
                <w:color w:val="auto"/>
              </w:rPr>
              <w:t>Retired EVP and President of</w:t>
            </w:r>
          </w:p>
        </w:tc>
        <w:tc>
          <w:tcPr>
            <w:tcW w:w="3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40" w:type="dxa"/>
            <w:vAlign w:val="bottom"/>
            <w:gridSpan w:val="2"/>
          </w:tcPr>
          <w:p>
            <w:pPr>
              <w:ind w:left="120"/>
              <w:spacing w:after="0"/>
              <w:rPr>
                <w:sz w:val="20"/>
                <w:szCs w:val="20"/>
                <w:color w:val="auto"/>
              </w:rPr>
            </w:pPr>
            <w:r>
              <w:rPr>
                <w:rFonts w:ascii="Arial" w:cs="Arial" w:eastAsia="Arial" w:hAnsi="Arial"/>
                <w:sz w:val="16"/>
                <w:szCs w:val="16"/>
                <w:color w:val="auto"/>
              </w:rPr>
              <w:t>North America, General Motors</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20" w:type="dxa"/>
            <w:vAlign w:val="bottom"/>
          </w:tcPr>
          <w:p>
            <w:pPr>
              <w:ind w:left="20"/>
              <w:spacing w:after="0" w:line="181" w:lineRule="exact"/>
              <w:rPr>
                <w:sz w:val="20"/>
                <w:szCs w:val="20"/>
                <w:color w:val="auto"/>
              </w:rPr>
            </w:pPr>
            <w:r>
              <w:rPr>
                <w:rFonts w:ascii="Arial" w:cs="Arial" w:eastAsia="Arial" w:hAnsi="Arial"/>
                <w:sz w:val="16"/>
                <w:szCs w:val="16"/>
                <w:color w:val="auto"/>
              </w:rPr>
              <w:t>​</w:t>
            </w:r>
          </w:p>
        </w:tc>
        <w:tc>
          <w:tcPr>
            <w:tcW w:w="460" w:type="dxa"/>
            <w:vAlign w:val="bottom"/>
            <w:gridSpan w:val="2"/>
          </w:tcPr>
          <w:p>
            <w:pPr>
              <w:ind w:left="100"/>
              <w:spacing w:after="0" w:line="181" w:lineRule="exact"/>
              <w:rPr>
                <w:sz w:val="20"/>
                <w:szCs w:val="20"/>
                <w:color w:val="auto"/>
              </w:rPr>
            </w:pPr>
            <w:r>
              <w:rPr>
                <w:rFonts w:ascii="Arial" w:cs="Arial" w:eastAsia="Arial" w:hAnsi="Arial"/>
                <w:sz w:val="16"/>
                <w:szCs w:val="16"/>
                <w:color w:val="auto"/>
              </w:rPr>
              <w:t>​​ ​</w:t>
            </w:r>
          </w:p>
        </w:tc>
        <w:tc>
          <w:tcPr>
            <w:tcW w:w="240" w:type="dxa"/>
            <w:vAlign w:val="bottom"/>
          </w:tcPr>
          <w:p>
            <w:pPr>
              <w:ind w:left="20"/>
              <w:spacing w:after="0" w:line="181" w:lineRule="exact"/>
              <w:rPr>
                <w:sz w:val="20"/>
                <w:szCs w:val="20"/>
                <w:color w:val="auto"/>
              </w:rPr>
            </w:pPr>
            <w:r>
              <w:rPr>
                <w:rFonts w:ascii="Arial" w:cs="Arial" w:eastAsia="Arial" w:hAnsi="Arial"/>
                <w:sz w:val="16"/>
                <w:szCs w:val="16"/>
                <w:color w:val="auto"/>
              </w:rPr>
              <w:t>​​​</w:t>
            </w:r>
          </w:p>
        </w:tc>
        <w:tc>
          <w:tcPr>
            <w:tcW w:w="540" w:type="dxa"/>
            <w:vAlign w:val="bottom"/>
          </w:tcPr>
          <w:p>
            <w:pPr>
              <w:ind w:left="40"/>
              <w:spacing w:after="0" w:line="181" w:lineRule="exact"/>
              <w:rPr>
                <w:sz w:val="20"/>
                <w:szCs w:val="20"/>
                <w:color w:val="auto"/>
              </w:rPr>
            </w:pPr>
            <w:r>
              <w:rPr>
                <w:rFonts w:ascii="Arial" w:cs="Arial" w:eastAsia="Arial" w:hAnsi="Arial"/>
                <w:sz w:val="16"/>
                <w:szCs w:val="16"/>
                <w:color w:val="auto"/>
              </w:rPr>
              <w:t>​</w:t>
            </w:r>
          </w:p>
        </w:tc>
        <w:tc>
          <w:tcPr>
            <w:tcW w:w="320" w:type="dxa"/>
            <w:vAlign w:val="bottom"/>
          </w:tcPr>
          <w:p>
            <w:pPr>
              <w:jc w:val="center"/>
              <w:ind w:right="68"/>
              <w:spacing w:after="0" w:line="181" w:lineRule="exact"/>
              <w:rPr>
                <w:sz w:val="20"/>
                <w:szCs w:val="20"/>
                <w:color w:val="auto"/>
              </w:rPr>
            </w:pPr>
            <w:r>
              <w:rPr>
                <w:rFonts w:ascii="Arial" w:cs="Arial" w:eastAsia="Arial" w:hAnsi="Arial"/>
                <w:sz w:val="16"/>
                <w:szCs w:val="16"/>
                <w:color w:val="auto"/>
              </w:rPr>
              <w:t>​​​</w:t>
            </w:r>
          </w:p>
        </w:tc>
        <w:tc>
          <w:tcPr>
            <w:tcW w:w="2120" w:type="dxa"/>
            <w:vAlign w:val="bottom"/>
          </w:tcPr>
          <w:p>
            <w:pPr>
              <w:spacing w:after="0"/>
              <w:rPr>
                <w:sz w:val="15"/>
                <w:szCs w:val="15"/>
                <w:color w:val="auto"/>
              </w:rPr>
            </w:pPr>
          </w:p>
        </w:tc>
        <w:tc>
          <w:tcPr>
            <w:tcW w:w="380" w:type="dxa"/>
            <w:vAlign w:val="bottom"/>
          </w:tcPr>
          <w:p>
            <w:pPr>
              <w:ind w:left="60"/>
              <w:spacing w:after="0" w:line="181" w:lineRule="exact"/>
              <w:rPr>
                <w:sz w:val="20"/>
                <w:szCs w:val="20"/>
                <w:color w:val="auto"/>
              </w:rPr>
            </w:pPr>
            <w:r>
              <w:rPr>
                <w:rFonts w:ascii="Arial" w:cs="Arial" w:eastAsia="Arial" w:hAnsi="Arial"/>
                <w:sz w:val="16"/>
                <w:szCs w:val="16"/>
                <w:color w:val="auto"/>
              </w:rPr>
              <w:t>​​</w:t>
            </w:r>
          </w:p>
        </w:tc>
        <w:tc>
          <w:tcPr>
            <w:tcW w:w="600" w:type="dxa"/>
            <w:vAlign w:val="bottom"/>
          </w:tcPr>
          <w:p>
            <w:pPr>
              <w:ind w:left="240"/>
              <w:spacing w:after="0" w:line="181" w:lineRule="exact"/>
              <w:rPr>
                <w:sz w:val="20"/>
                <w:szCs w:val="20"/>
                <w:color w:val="auto"/>
              </w:rPr>
            </w:pPr>
            <w:r>
              <w:rPr>
                <w:rFonts w:ascii="Arial" w:cs="Arial" w:eastAsia="Arial" w:hAnsi="Arial"/>
                <w:sz w:val="16"/>
                <w:szCs w:val="16"/>
                <w:color w:val="auto"/>
              </w:rPr>
              <w:t>​</w:t>
            </w:r>
          </w:p>
        </w:tc>
        <w:tc>
          <w:tcPr>
            <w:tcW w:w="420" w:type="dxa"/>
            <w:vAlign w:val="bottom"/>
          </w:tcPr>
          <w:p>
            <w:pPr>
              <w:jc w:val="center"/>
              <w:ind w:left="103"/>
              <w:spacing w:after="0" w:line="181" w:lineRule="exact"/>
              <w:rPr>
                <w:sz w:val="20"/>
                <w:szCs w:val="20"/>
                <w:color w:val="auto"/>
              </w:rPr>
            </w:pPr>
            <w:r>
              <w:rPr>
                <w:rFonts w:ascii="Arial" w:cs="Arial" w:eastAsia="Arial" w:hAnsi="Arial"/>
                <w:sz w:val="16"/>
                <w:szCs w:val="16"/>
                <w:color w:val="auto"/>
              </w:rPr>
              <w:t>​​​</w:t>
            </w:r>
          </w:p>
        </w:tc>
        <w:tc>
          <w:tcPr>
            <w:tcW w:w="1040" w:type="dxa"/>
            <w:vAlign w:val="bottom"/>
            <w:vMerge w:val="restart"/>
          </w:tcPr>
          <w:p>
            <w:pPr>
              <w:jc w:val="center"/>
              <w:ind w:right="18"/>
              <w:spacing w:after="0"/>
              <w:rPr>
                <w:sz w:val="20"/>
                <w:szCs w:val="20"/>
                <w:color w:val="auto"/>
              </w:rPr>
            </w:pPr>
            <w:r>
              <w:rPr>
                <w:rFonts w:ascii="Arial" w:cs="Arial" w:eastAsia="Arial" w:hAnsi="Arial"/>
                <w:sz w:val="16"/>
                <w:szCs w:val="16"/>
                <w:color w:val="auto"/>
              </w:rPr>
              <w:t>NCGC (C)</w:t>
            </w:r>
          </w:p>
        </w:tc>
        <w:tc>
          <w:tcPr>
            <w:tcW w:w="160" w:type="dxa"/>
            <w:vAlign w:val="bottom"/>
          </w:tcPr>
          <w:p>
            <w:pPr>
              <w:ind w:left="40"/>
              <w:spacing w:after="0" w:line="181" w:lineRule="exact"/>
              <w:rPr>
                <w:sz w:val="20"/>
                <w:szCs w:val="20"/>
                <w:color w:val="auto"/>
              </w:rPr>
            </w:pPr>
            <w:r>
              <w:rPr>
                <w:rFonts w:ascii="Arial" w:cs="Arial" w:eastAsia="Arial" w:hAnsi="Arial"/>
                <w:sz w:val="16"/>
                <w:szCs w:val="16"/>
                <w:color w:val="auto"/>
              </w:rPr>
              <w:t>​​</w:t>
            </w:r>
          </w:p>
        </w:tc>
        <w:tc>
          <w:tcPr>
            <w:tcW w:w="480" w:type="dxa"/>
            <w:vAlign w:val="bottom"/>
          </w:tcPr>
          <w:p>
            <w:pPr>
              <w:ind w:left="420"/>
              <w:spacing w:after="0" w:line="181"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5"/>
                <w:szCs w:val="15"/>
                <w:color w:val="auto"/>
              </w:rPr>
            </w:pP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7"/>
        </w:trPr>
        <w:tc>
          <w:tcPr>
            <w:tcW w:w="2020" w:type="dxa"/>
            <w:vAlign w:val="bottom"/>
          </w:tcPr>
          <w:p>
            <w:pPr>
              <w:ind w:left="20"/>
              <w:spacing w:after="0" w:line="137" w:lineRule="exact"/>
              <w:rPr>
                <w:sz w:val="20"/>
                <w:szCs w:val="20"/>
                <w:color w:val="auto"/>
              </w:rPr>
            </w:pPr>
            <w:r>
              <w:rPr>
                <w:rFonts w:ascii="Arial" w:cs="Arial" w:eastAsia="Arial" w:hAnsi="Arial"/>
                <w:sz w:val="15"/>
                <w:szCs w:val="15"/>
                <w:color w:val="auto"/>
              </w:rPr>
              <w:t>Kevin L. Beebe</w:t>
            </w:r>
          </w:p>
        </w:tc>
        <w:tc>
          <w:tcPr>
            <w:tcW w:w="200" w:type="dxa"/>
            <w:vAlign w:val="bottom"/>
          </w:tcPr>
          <w:p>
            <w:pPr>
              <w:spacing w:after="0"/>
              <w:rPr>
                <w:sz w:val="11"/>
                <w:szCs w:val="11"/>
                <w:color w:val="auto"/>
              </w:rPr>
            </w:pPr>
          </w:p>
        </w:tc>
        <w:tc>
          <w:tcPr>
            <w:tcW w:w="260" w:type="dxa"/>
            <w:vAlign w:val="bottom"/>
          </w:tcPr>
          <w:p>
            <w:pPr>
              <w:ind w:left="20"/>
              <w:spacing w:after="0" w:line="137" w:lineRule="exact"/>
              <w:rPr>
                <w:sz w:val="20"/>
                <w:szCs w:val="20"/>
                <w:color w:val="auto"/>
              </w:rPr>
            </w:pPr>
            <w:r>
              <w:rPr>
                <w:rFonts w:ascii="Arial" w:cs="Arial" w:eastAsia="Arial" w:hAnsi="Arial"/>
                <w:sz w:val="15"/>
                <w:szCs w:val="15"/>
                <w:color w:val="auto"/>
              </w:rPr>
              <w:t>​64​</w:t>
            </w:r>
          </w:p>
        </w:tc>
        <w:tc>
          <w:tcPr>
            <w:tcW w:w="240" w:type="dxa"/>
            <w:vAlign w:val="bottom"/>
          </w:tcPr>
          <w:p>
            <w:pPr>
              <w:spacing w:after="0"/>
              <w:rPr>
                <w:sz w:val="11"/>
                <w:szCs w:val="11"/>
                <w:color w:val="auto"/>
              </w:rPr>
            </w:pPr>
          </w:p>
        </w:tc>
        <w:tc>
          <w:tcPr>
            <w:tcW w:w="540" w:type="dxa"/>
            <w:vAlign w:val="bottom"/>
          </w:tcPr>
          <w:p>
            <w:pPr>
              <w:ind w:left="40"/>
              <w:spacing w:after="0" w:line="137" w:lineRule="exact"/>
              <w:rPr>
                <w:sz w:val="20"/>
                <w:szCs w:val="20"/>
                <w:color w:val="auto"/>
              </w:rPr>
            </w:pPr>
            <w:r>
              <w:rPr>
                <w:rFonts w:ascii="Arial" w:cs="Arial" w:eastAsia="Arial" w:hAnsi="Arial"/>
                <w:sz w:val="15"/>
                <w:szCs w:val="15"/>
                <w:color w:val="auto"/>
              </w:rPr>
              <w:t>​2004​</w:t>
            </w:r>
          </w:p>
        </w:tc>
        <w:tc>
          <w:tcPr>
            <w:tcW w:w="2440" w:type="dxa"/>
            <w:vAlign w:val="bottom"/>
            <w:gridSpan w:val="2"/>
          </w:tcPr>
          <w:p>
            <w:pPr>
              <w:ind w:left="120"/>
              <w:spacing w:after="0" w:line="137" w:lineRule="exact"/>
              <w:rPr>
                <w:sz w:val="20"/>
                <w:szCs w:val="20"/>
                <w:color w:val="auto"/>
              </w:rPr>
            </w:pPr>
            <w:r>
              <w:rPr>
                <w:rFonts w:ascii="Arial" w:cs="Arial" w:eastAsia="Arial" w:hAnsi="Arial"/>
                <w:sz w:val="15"/>
                <w:szCs w:val="15"/>
                <w:color w:val="auto"/>
              </w:rPr>
              <w:t>President and CEO, 2BPartners</w:t>
            </w:r>
          </w:p>
        </w:tc>
        <w:tc>
          <w:tcPr>
            <w:tcW w:w="380" w:type="dxa"/>
            <w:vAlign w:val="bottom"/>
          </w:tcPr>
          <w:p>
            <w:pPr>
              <w:spacing w:after="0"/>
              <w:rPr>
                <w:sz w:val="11"/>
                <w:szCs w:val="11"/>
                <w:color w:val="auto"/>
              </w:rPr>
            </w:pPr>
          </w:p>
        </w:tc>
        <w:tc>
          <w:tcPr>
            <w:tcW w:w="600" w:type="dxa"/>
            <w:vAlign w:val="bottom"/>
          </w:tcPr>
          <w:p>
            <w:pPr>
              <w:ind w:left="240"/>
              <w:spacing w:after="0" w:line="137"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420"/>
              <w:spacing w:after="0" w:line="137" w:lineRule="exact"/>
              <w:rPr>
                <w:sz w:val="20"/>
                <w:szCs w:val="20"/>
                <w:color w:val="auto"/>
              </w:rPr>
            </w:pPr>
            <w:r>
              <w:rPr>
                <w:rFonts w:ascii="Arial" w:cs="Arial" w:eastAsia="Arial" w:hAnsi="Arial"/>
                <w:sz w:val="15"/>
                <w:szCs w:val="15"/>
                <w:color w:val="auto"/>
              </w:rPr>
              <w:t>​ 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20" w:type="dxa"/>
            <w:vAlign w:val="bottom"/>
          </w:tcPr>
          <w:p>
            <w:pPr>
              <w:ind w:left="20"/>
              <w:spacing w:after="0" w:line="147" w:lineRule="exact"/>
              <w:rPr>
                <w:sz w:val="20"/>
                <w:szCs w:val="20"/>
                <w:color w:val="auto"/>
              </w:rPr>
            </w:pPr>
            <w:r>
              <w:rPr>
                <w:rFonts w:ascii="Arial" w:cs="Arial" w:eastAsia="Arial" w:hAnsi="Arial"/>
                <w:sz w:val="16"/>
                <w:szCs w:val="16"/>
                <w:color w:val="auto"/>
              </w:rPr>
              <w:t>​</w:t>
            </w:r>
          </w:p>
        </w:tc>
        <w:tc>
          <w:tcPr>
            <w:tcW w:w="460" w:type="dxa"/>
            <w:vAlign w:val="bottom"/>
            <w:gridSpan w:val="2"/>
          </w:tcPr>
          <w:p>
            <w:pPr>
              <w:ind w:left="100"/>
              <w:spacing w:after="0" w:line="147" w:lineRule="exact"/>
              <w:rPr>
                <w:sz w:val="20"/>
                <w:szCs w:val="20"/>
                <w:color w:val="auto"/>
              </w:rPr>
            </w:pPr>
            <w:r>
              <w:rPr>
                <w:rFonts w:ascii="Arial" w:cs="Arial" w:eastAsia="Arial" w:hAnsi="Arial"/>
                <w:sz w:val="16"/>
                <w:szCs w:val="16"/>
                <w:color w:val="auto"/>
              </w:rPr>
              <w:t>​​ ​</w:t>
            </w:r>
          </w:p>
        </w:tc>
        <w:tc>
          <w:tcPr>
            <w:tcW w:w="240" w:type="dxa"/>
            <w:vAlign w:val="bottom"/>
          </w:tcPr>
          <w:p>
            <w:pPr>
              <w:ind w:left="20"/>
              <w:spacing w:after="0" w:line="147" w:lineRule="exact"/>
              <w:rPr>
                <w:sz w:val="20"/>
                <w:szCs w:val="20"/>
                <w:color w:val="auto"/>
              </w:rPr>
            </w:pPr>
            <w:r>
              <w:rPr>
                <w:rFonts w:ascii="Arial" w:cs="Arial" w:eastAsia="Arial" w:hAnsi="Arial"/>
                <w:sz w:val="16"/>
                <w:szCs w:val="16"/>
                <w:color w:val="auto"/>
              </w:rPr>
              <w:t>​​​</w:t>
            </w:r>
          </w:p>
        </w:tc>
        <w:tc>
          <w:tcPr>
            <w:tcW w:w="540" w:type="dxa"/>
            <w:vAlign w:val="bottom"/>
          </w:tcPr>
          <w:p>
            <w:pPr>
              <w:ind w:left="40"/>
              <w:spacing w:after="0" w:line="147" w:lineRule="exact"/>
              <w:rPr>
                <w:sz w:val="20"/>
                <w:szCs w:val="20"/>
                <w:color w:val="auto"/>
              </w:rPr>
            </w:pPr>
            <w:r>
              <w:rPr>
                <w:rFonts w:ascii="Arial" w:cs="Arial" w:eastAsia="Arial" w:hAnsi="Arial"/>
                <w:sz w:val="16"/>
                <w:szCs w:val="16"/>
                <w:color w:val="auto"/>
              </w:rPr>
              <w:t>​</w:t>
            </w:r>
          </w:p>
        </w:tc>
        <w:tc>
          <w:tcPr>
            <w:tcW w:w="320" w:type="dxa"/>
            <w:vAlign w:val="bottom"/>
          </w:tcPr>
          <w:p>
            <w:pPr>
              <w:jc w:val="center"/>
              <w:ind w:right="68"/>
              <w:spacing w:after="0" w:line="147" w:lineRule="exact"/>
              <w:rPr>
                <w:sz w:val="20"/>
                <w:szCs w:val="20"/>
                <w:color w:val="auto"/>
              </w:rPr>
            </w:pPr>
            <w:r>
              <w:rPr>
                <w:rFonts w:ascii="Arial" w:cs="Arial" w:eastAsia="Arial" w:hAnsi="Arial"/>
                <w:sz w:val="16"/>
                <w:szCs w:val="16"/>
                <w:color w:val="auto"/>
              </w:rPr>
              <w:t>​​​</w:t>
            </w:r>
          </w:p>
        </w:tc>
        <w:tc>
          <w:tcPr>
            <w:tcW w:w="2120" w:type="dxa"/>
            <w:vAlign w:val="bottom"/>
          </w:tcPr>
          <w:p>
            <w:pPr>
              <w:spacing w:after="0"/>
              <w:rPr>
                <w:sz w:val="12"/>
                <w:szCs w:val="12"/>
                <w:color w:val="auto"/>
              </w:rPr>
            </w:pPr>
          </w:p>
        </w:tc>
        <w:tc>
          <w:tcPr>
            <w:tcW w:w="380" w:type="dxa"/>
            <w:vAlign w:val="bottom"/>
          </w:tcPr>
          <w:p>
            <w:pPr>
              <w:ind w:left="60"/>
              <w:spacing w:after="0" w:line="147" w:lineRule="exact"/>
              <w:rPr>
                <w:sz w:val="20"/>
                <w:szCs w:val="20"/>
                <w:color w:val="auto"/>
              </w:rPr>
            </w:pPr>
            <w:r>
              <w:rPr>
                <w:rFonts w:ascii="Arial" w:cs="Arial" w:eastAsia="Arial" w:hAnsi="Arial"/>
                <w:sz w:val="16"/>
                <w:szCs w:val="16"/>
                <w:color w:val="auto"/>
              </w:rPr>
              <w:t>​​</w:t>
            </w:r>
          </w:p>
        </w:tc>
        <w:tc>
          <w:tcPr>
            <w:tcW w:w="600" w:type="dxa"/>
            <w:vAlign w:val="bottom"/>
          </w:tcPr>
          <w:p>
            <w:pPr>
              <w:ind w:left="240"/>
              <w:spacing w:after="0" w:line="147" w:lineRule="exact"/>
              <w:rPr>
                <w:sz w:val="20"/>
                <w:szCs w:val="20"/>
                <w:color w:val="auto"/>
              </w:rPr>
            </w:pPr>
            <w:r>
              <w:rPr>
                <w:rFonts w:ascii="Arial" w:cs="Arial" w:eastAsia="Arial" w:hAnsi="Arial"/>
                <w:sz w:val="16"/>
                <w:szCs w:val="16"/>
                <w:color w:val="auto"/>
              </w:rPr>
              <w:t>​</w:t>
            </w:r>
          </w:p>
        </w:tc>
        <w:tc>
          <w:tcPr>
            <w:tcW w:w="420" w:type="dxa"/>
            <w:vAlign w:val="bottom"/>
          </w:tcPr>
          <w:p>
            <w:pPr>
              <w:jc w:val="center"/>
              <w:ind w:left="103"/>
              <w:spacing w:after="0" w:line="147" w:lineRule="exact"/>
              <w:rPr>
                <w:sz w:val="20"/>
                <w:szCs w:val="20"/>
                <w:color w:val="auto"/>
              </w:rPr>
            </w:pPr>
            <w:r>
              <w:rPr>
                <w:rFonts w:ascii="Arial" w:cs="Arial" w:eastAsia="Arial" w:hAnsi="Arial"/>
                <w:sz w:val="16"/>
                <w:szCs w:val="16"/>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rPr>
              <w:t>NCGC</w:t>
            </w:r>
          </w:p>
        </w:tc>
        <w:tc>
          <w:tcPr>
            <w:tcW w:w="160" w:type="dxa"/>
            <w:vAlign w:val="bottom"/>
          </w:tcPr>
          <w:p>
            <w:pPr>
              <w:ind w:left="40"/>
              <w:spacing w:after="0" w:line="147" w:lineRule="exact"/>
              <w:rPr>
                <w:sz w:val="20"/>
                <w:szCs w:val="20"/>
                <w:color w:val="auto"/>
              </w:rPr>
            </w:pPr>
            <w:r>
              <w:rPr>
                <w:rFonts w:ascii="Arial" w:cs="Arial" w:eastAsia="Arial" w:hAnsi="Arial"/>
                <w:sz w:val="16"/>
                <w:szCs w:val="16"/>
                <w:color w:val="auto"/>
              </w:rPr>
              <w:t>​​</w:t>
            </w:r>
          </w:p>
        </w:tc>
        <w:tc>
          <w:tcPr>
            <w:tcW w:w="480" w:type="dxa"/>
            <w:vAlign w:val="bottom"/>
          </w:tcPr>
          <w:p>
            <w:pPr>
              <w:ind w:left="420"/>
              <w:spacing w:after="0" w:line="147"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2"/>
                <w:szCs w:val="12"/>
                <w:color w:val="auto"/>
              </w:rPr>
            </w:pPr>
          </w:p>
        </w:tc>
        <w:tc>
          <w:tcPr>
            <w:tcW w:w="120" w:type="dxa"/>
            <w:vAlign w:val="bottom"/>
          </w:tcPr>
          <w:p>
            <w:pPr>
              <w:jc w:val="right"/>
              <w:spacing w:after="0" w:line="147"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7"/>
        </w:trPr>
        <w:tc>
          <w:tcPr>
            <w:tcW w:w="2020" w:type="dxa"/>
            <w:vAlign w:val="bottom"/>
          </w:tcPr>
          <w:p>
            <w:pPr>
              <w:ind w:left="20"/>
              <w:spacing w:after="0" w:line="137" w:lineRule="exact"/>
              <w:rPr>
                <w:sz w:val="20"/>
                <w:szCs w:val="20"/>
                <w:color w:val="auto"/>
              </w:rPr>
            </w:pPr>
            <w:r>
              <w:rPr>
                <w:rFonts w:ascii="Arial" w:cs="Arial" w:eastAsia="Arial" w:hAnsi="Arial"/>
                <w:sz w:val="15"/>
                <w:szCs w:val="15"/>
                <w:color w:val="auto"/>
              </w:rPr>
              <w:t>Eric J. Guerin</w:t>
            </w:r>
          </w:p>
        </w:tc>
        <w:tc>
          <w:tcPr>
            <w:tcW w:w="200" w:type="dxa"/>
            <w:vAlign w:val="bottom"/>
          </w:tcPr>
          <w:p>
            <w:pPr>
              <w:spacing w:after="0"/>
              <w:rPr>
                <w:sz w:val="11"/>
                <w:szCs w:val="11"/>
                <w:color w:val="auto"/>
              </w:rPr>
            </w:pPr>
          </w:p>
        </w:tc>
        <w:tc>
          <w:tcPr>
            <w:tcW w:w="260" w:type="dxa"/>
            <w:vAlign w:val="bottom"/>
          </w:tcPr>
          <w:p>
            <w:pPr>
              <w:ind w:left="20"/>
              <w:spacing w:after="0" w:line="137" w:lineRule="exact"/>
              <w:rPr>
                <w:sz w:val="20"/>
                <w:szCs w:val="20"/>
                <w:color w:val="auto"/>
              </w:rPr>
            </w:pPr>
            <w:r>
              <w:rPr>
                <w:rFonts w:ascii="Arial" w:cs="Arial" w:eastAsia="Arial" w:hAnsi="Arial"/>
                <w:sz w:val="15"/>
                <w:szCs w:val="15"/>
                <w:color w:val="auto"/>
              </w:rPr>
              <w:t>​51​</w:t>
            </w:r>
          </w:p>
        </w:tc>
        <w:tc>
          <w:tcPr>
            <w:tcW w:w="240" w:type="dxa"/>
            <w:vAlign w:val="bottom"/>
          </w:tcPr>
          <w:p>
            <w:pPr>
              <w:spacing w:after="0"/>
              <w:rPr>
                <w:sz w:val="11"/>
                <w:szCs w:val="11"/>
                <w:color w:val="auto"/>
              </w:rPr>
            </w:pPr>
          </w:p>
        </w:tc>
        <w:tc>
          <w:tcPr>
            <w:tcW w:w="540" w:type="dxa"/>
            <w:vAlign w:val="bottom"/>
          </w:tcPr>
          <w:p>
            <w:pPr>
              <w:ind w:left="40"/>
              <w:spacing w:after="0" w:line="137" w:lineRule="exact"/>
              <w:rPr>
                <w:sz w:val="20"/>
                <w:szCs w:val="20"/>
                <w:color w:val="auto"/>
              </w:rPr>
            </w:pPr>
            <w:r>
              <w:rPr>
                <w:rFonts w:ascii="Arial" w:cs="Arial" w:eastAsia="Arial" w:hAnsi="Arial"/>
                <w:sz w:val="15"/>
                <w:szCs w:val="15"/>
                <w:color w:val="auto"/>
              </w:rPr>
              <w:t>​2022​</w:t>
            </w:r>
          </w:p>
        </w:tc>
        <w:tc>
          <w:tcPr>
            <w:tcW w:w="2440" w:type="dxa"/>
            <w:vAlign w:val="bottom"/>
            <w:gridSpan w:val="2"/>
          </w:tcPr>
          <w:p>
            <w:pPr>
              <w:ind w:left="120"/>
              <w:spacing w:after="0" w:line="137" w:lineRule="exact"/>
              <w:rPr>
                <w:sz w:val="20"/>
                <w:szCs w:val="20"/>
                <w:color w:val="auto"/>
              </w:rPr>
            </w:pPr>
            <w:r>
              <w:rPr>
                <w:rFonts w:ascii="Arial" w:cs="Arial" w:eastAsia="Arial" w:hAnsi="Arial"/>
                <w:sz w:val="15"/>
                <w:szCs w:val="15"/>
                <w:color w:val="auto"/>
              </w:rPr>
              <w:t>CFO, Veritiv Corporation</w:t>
            </w:r>
          </w:p>
        </w:tc>
        <w:tc>
          <w:tcPr>
            <w:tcW w:w="380" w:type="dxa"/>
            <w:vAlign w:val="bottom"/>
          </w:tcPr>
          <w:p>
            <w:pPr>
              <w:spacing w:after="0"/>
              <w:rPr>
                <w:sz w:val="11"/>
                <w:szCs w:val="11"/>
                <w:color w:val="auto"/>
              </w:rPr>
            </w:pPr>
          </w:p>
        </w:tc>
        <w:tc>
          <w:tcPr>
            <w:tcW w:w="600" w:type="dxa"/>
            <w:vAlign w:val="bottom"/>
          </w:tcPr>
          <w:p>
            <w:pPr>
              <w:ind w:left="240"/>
              <w:spacing w:after="0" w:line="137"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420"/>
              <w:spacing w:after="0" w:line="137"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20" w:type="dxa"/>
            <w:vAlign w:val="bottom"/>
          </w:tcPr>
          <w:p>
            <w:pPr>
              <w:ind w:left="20"/>
              <w:spacing w:after="0" w:line="147" w:lineRule="exact"/>
              <w:rPr>
                <w:sz w:val="20"/>
                <w:szCs w:val="20"/>
                <w:color w:val="auto"/>
              </w:rPr>
            </w:pPr>
            <w:r>
              <w:rPr>
                <w:rFonts w:ascii="Arial" w:cs="Arial" w:eastAsia="Arial" w:hAnsi="Arial"/>
                <w:sz w:val="16"/>
                <w:szCs w:val="16"/>
                <w:color w:val="auto"/>
              </w:rPr>
              <w:t>​</w:t>
            </w:r>
          </w:p>
        </w:tc>
        <w:tc>
          <w:tcPr>
            <w:tcW w:w="460" w:type="dxa"/>
            <w:vAlign w:val="bottom"/>
            <w:gridSpan w:val="2"/>
          </w:tcPr>
          <w:p>
            <w:pPr>
              <w:ind w:left="100"/>
              <w:spacing w:after="0" w:line="147" w:lineRule="exact"/>
              <w:rPr>
                <w:sz w:val="20"/>
                <w:szCs w:val="20"/>
                <w:color w:val="auto"/>
              </w:rPr>
            </w:pPr>
            <w:r>
              <w:rPr>
                <w:rFonts w:ascii="Arial" w:cs="Arial" w:eastAsia="Arial" w:hAnsi="Arial"/>
                <w:sz w:val="16"/>
                <w:szCs w:val="16"/>
                <w:color w:val="auto"/>
              </w:rPr>
              <w:t>​​ ​</w:t>
            </w:r>
          </w:p>
        </w:tc>
        <w:tc>
          <w:tcPr>
            <w:tcW w:w="240" w:type="dxa"/>
            <w:vAlign w:val="bottom"/>
          </w:tcPr>
          <w:p>
            <w:pPr>
              <w:ind w:left="20"/>
              <w:spacing w:after="0" w:line="147" w:lineRule="exact"/>
              <w:rPr>
                <w:sz w:val="20"/>
                <w:szCs w:val="20"/>
                <w:color w:val="auto"/>
              </w:rPr>
            </w:pPr>
            <w:r>
              <w:rPr>
                <w:rFonts w:ascii="Arial" w:cs="Arial" w:eastAsia="Arial" w:hAnsi="Arial"/>
                <w:sz w:val="16"/>
                <w:szCs w:val="16"/>
                <w:color w:val="auto"/>
              </w:rPr>
              <w:t>​​​</w:t>
            </w:r>
          </w:p>
        </w:tc>
        <w:tc>
          <w:tcPr>
            <w:tcW w:w="540" w:type="dxa"/>
            <w:vAlign w:val="bottom"/>
          </w:tcPr>
          <w:p>
            <w:pPr>
              <w:ind w:left="40"/>
              <w:spacing w:after="0" w:line="147" w:lineRule="exact"/>
              <w:rPr>
                <w:sz w:val="20"/>
                <w:szCs w:val="20"/>
                <w:color w:val="auto"/>
              </w:rPr>
            </w:pPr>
            <w:r>
              <w:rPr>
                <w:rFonts w:ascii="Arial" w:cs="Arial" w:eastAsia="Arial" w:hAnsi="Arial"/>
                <w:sz w:val="16"/>
                <w:szCs w:val="16"/>
                <w:color w:val="auto"/>
              </w:rPr>
              <w:t>​</w:t>
            </w:r>
          </w:p>
        </w:tc>
        <w:tc>
          <w:tcPr>
            <w:tcW w:w="320" w:type="dxa"/>
            <w:vAlign w:val="bottom"/>
          </w:tcPr>
          <w:p>
            <w:pPr>
              <w:jc w:val="center"/>
              <w:ind w:right="68"/>
              <w:spacing w:after="0" w:line="147" w:lineRule="exact"/>
              <w:rPr>
                <w:sz w:val="20"/>
                <w:szCs w:val="20"/>
                <w:color w:val="auto"/>
              </w:rPr>
            </w:pPr>
            <w:r>
              <w:rPr>
                <w:rFonts w:ascii="Arial" w:cs="Arial" w:eastAsia="Arial" w:hAnsi="Arial"/>
                <w:sz w:val="16"/>
                <w:szCs w:val="16"/>
                <w:color w:val="auto"/>
              </w:rPr>
              <w:t>​​​</w:t>
            </w:r>
          </w:p>
        </w:tc>
        <w:tc>
          <w:tcPr>
            <w:tcW w:w="2120" w:type="dxa"/>
            <w:vAlign w:val="bottom"/>
          </w:tcPr>
          <w:p>
            <w:pPr>
              <w:spacing w:after="0"/>
              <w:rPr>
                <w:sz w:val="12"/>
                <w:szCs w:val="12"/>
                <w:color w:val="auto"/>
              </w:rPr>
            </w:pPr>
          </w:p>
        </w:tc>
        <w:tc>
          <w:tcPr>
            <w:tcW w:w="380" w:type="dxa"/>
            <w:vAlign w:val="bottom"/>
          </w:tcPr>
          <w:p>
            <w:pPr>
              <w:ind w:left="60"/>
              <w:spacing w:after="0" w:line="147" w:lineRule="exact"/>
              <w:rPr>
                <w:sz w:val="20"/>
                <w:szCs w:val="20"/>
                <w:color w:val="auto"/>
              </w:rPr>
            </w:pPr>
            <w:r>
              <w:rPr>
                <w:rFonts w:ascii="Arial" w:cs="Arial" w:eastAsia="Arial" w:hAnsi="Arial"/>
                <w:sz w:val="16"/>
                <w:szCs w:val="16"/>
                <w:color w:val="auto"/>
              </w:rPr>
              <w:t>​​</w:t>
            </w:r>
          </w:p>
        </w:tc>
        <w:tc>
          <w:tcPr>
            <w:tcW w:w="600" w:type="dxa"/>
            <w:vAlign w:val="bottom"/>
          </w:tcPr>
          <w:p>
            <w:pPr>
              <w:ind w:left="240"/>
              <w:spacing w:after="0" w:line="147" w:lineRule="exact"/>
              <w:rPr>
                <w:sz w:val="20"/>
                <w:szCs w:val="20"/>
                <w:color w:val="auto"/>
              </w:rPr>
            </w:pPr>
            <w:r>
              <w:rPr>
                <w:rFonts w:ascii="Arial" w:cs="Arial" w:eastAsia="Arial" w:hAnsi="Arial"/>
                <w:sz w:val="16"/>
                <w:szCs w:val="16"/>
                <w:color w:val="auto"/>
              </w:rPr>
              <w:t>​</w:t>
            </w:r>
          </w:p>
        </w:tc>
        <w:tc>
          <w:tcPr>
            <w:tcW w:w="420" w:type="dxa"/>
            <w:vAlign w:val="bottom"/>
          </w:tcPr>
          <w:p>
            <w:pPr>
              <w:jc w:val="center"/>
              <w:ind w:left="103"/>
              <w:spacing w:after="0" w:line="147" w:lineRule="exact"/>
              <w:rPr>
                <w:sz w:val="20"/>
                <w:szCs w:val="20"/>
                <w:color w:val="auto"/>
              </w:rPr>
            </w:pPr>
            <w:r>
              <w:rPr>
                <w:rFonts w:ascii="Arial" w:cs="Arial" w:eastAsia="Arial" w:hAnsi="Arial"/>
                <w:sz w:val="16"/>
                <w:szCs w:val="16"/>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rPr>
              <w:t>NCGC</w:t>
            </w:r>
          </w:p>
        </w:tc>
        <w:tc>
          <w:tcPr>
            <w:tcW w:w="160" w:type="dxa"/>
            <w:vAlign w:val="bottom"/>
          </w:tcPr>
          <w:p>
            <w:pPr>
              <w:ind w:left="40"/>
              <w:spacing w:after="0" w:line="147" w:lineRule="exact"/>
              <w:rPr>
                <w:sz w:val="20"/>
                <w:szCs w:val="20"/>
                <w:color w:val="auto"/>
              </w:rPr>
            </w:pPr>
            <w:r>
              <w:rPr>
                <w:rFonts w:ascii="Arial" w:cs="Arial" w:eastAsia="Arial" w:hAnsi="Arial"/>
                <w:sz w:val="16"/>
                <w:szCs w:val="16"/>
                <w:color w:val="auto"/>
              </w:rPr>
              <w:t>​​</w:t>
            </w:r>
          </w:p>
        </w:tc>
        <w:tc>
          <w:tcPr>
            <w:tcW w:w="480" w:type="dxa"/>
            <w:vAlign w:val="bottom"/>
          </w:tcPr>
          <w:p>
            <w:pPr>
              <w:ind w:left="420"/>
              <w:spacing w:after="0" w:line="147"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2"/>
                <w:szCs w:val="12"/>
                <w:color w:val="auto"/>
              </w:rPr>
            </w:pPr>
          </w:p>
        </w:tc>
        <w:tc>
          <w:tcPr>
            <w:tcW w:w="120" w:type="dxa"/>
            <w:vAlign w:val="bottom"/>
          </w:tcPr>
          <w:p>
            <w:pPr>
              <w:jc w:val="right"/>
              <w:spacing w:after="0" w:line="147"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2020" w:type="dxa"/>
            <w:vAlign w:val="bottom"/>
          </w:tcPr>
          <w:p>
            <w:pPr>
              <w:ind w:left="20"/>
              <w:spacing w:after="0" w:line="148" w:lineRule="exact"/>
              <w:rPr>
                <w:sz w:val="20"/>
                <w:szCs w:val="20"/>
                <w:color w:val="auto"/>
              </w:rPr>
            </w:pPr>
            <w:r>
              <w:rPr>
                <w:rFonts w:ascii="Arial" w:cs="Arial" w:eastAsia="Arial" w:hAnsi="Arial"/>
                <w:sz w:val="16"/>
                <w:szCs w:val="16"/>
                <w:color w:val="auto"/>
              </w:rPr>
              <w:t>Suzanne E. McBride</w:t>
            </w:r>
          </w:p>
        </w:tc>
        <w:tc>
          <w:tcPr>
            <w:tcW w:w="200" w:type="dxa"/>
            <w:vAlign w:val="bottom"/>
          </w:tcPr>
          <w:p>
            <w:pPr>
              <w:spacing w:after="0"/>
              <w:rPr>
                <w:sz w:val="12"/>
                <w:szCs w:val="12"/>
                <w:color w:val="auto"/>
              </w:rPr>
            </w:pPr>
          </w:p>
        </w:tc>
        <w:tc>
          <w:tcPr>
            <w:tcW w:w="260" w:type="dxa"/>
            <w:vAlign w:val="bottom"/>
          </w:tcPr>
          <w:p>
            <w:pPr>
              <w:ind w:left="20"/>
              <w:spacing w:after="0" w:line="148" w:lineRule="exact"/>
              <w:rPr>
                <w:sz w:val="20"/>
                <w:szCs w:val="20"/>
                <w:color w:val="auto"/>
              </w:rPr>
            </w:pPr>
            <w:r>
              <w:rPr>
                <w:rFonts w:ascii="Arial" w:cs="Arial" w:eastAsia="Arial" w:hAnsi="Arial"/>
                <w:sz w:val="16"/>
                <w:szCs w:val="16"/>
                <w:color w:val="auto"/>
              </w:rPr>
              <w:t>​54​</w:t>
            </w:r>
          </w:p>
        </w:tc>
        <w:tc>
          <w:tcPr>
            <w:tcW w:w="240" w:type="dxa"/>
            <w:vAlign w:val="bottom"/>
          </w:tcPr>
          <w:p>
            <w:pPr>
              <w:spacing w:after="0"/>
              <w:rPr>
                <w:sz w:val="12"/>
                <w:szCs w:val="12"/>
                <w:color w:val="auto"/>
              </w:rPr>
            </w:pPr>
          </w:p>
        </w:tc>
        <w:tc>
          <w:tcPr>
            <w:tcW w:w="540" w:type="dxa"/>
            <w:vAlign w:val="bottom"/>
          </w:tcPr>
          <w:p>
            <w:pPr>
              <w:ind w:left="40"/>
              <w:spacing w:after="0" w:line="148" w:lineRule="exact"/>
              <w:rPr>
                <w:sz w:val="20"/>
                <w:szCs w:val="20"/>
                <w:color w:val="auto"/>
              </w:rPr>
            </w:pPr>
            <w:r>
              <w:rPr>
                <w:rFonts w:ascii="Arial" w:cs="Arial" w:eastAsia="Arial" w:hAnsi="Arial"/>
                <w:sz w:val="16"/>
                <w:szCs w:val="16"/>
                <w:color w:val="auto"/>
              </w:rPr>
              <w:t>​2022​</w:t>
            </w:r>
          </w:p>
        </w:tc>
        <w:tc>
          <w:tcPr>
            <w:tcW w:w="2440" w:type="dxa"/>
            <w:vAlign w:val="bottom"/>
            <w:gridSpan w:val="2"/>
          </w:tcPr>
          <w:p>
            <w:pPr>
              <w:ind w:left="120"/>
              <w:spacing w:after="0" w:line="148" w:lineRule="exact"/>
              <w:rPr>
                <w:sz w:val="20"/>
                <w:szCs w:val="20"/>
                <w:color w:val="auto"/>
              </w:rPr>
            </w:pPr>
            <w:r>
              <w:rPr>
                <w:rFonts w:ascii="Arial" w:cs="Arial" w:eastAsia="Arial" w:hAnsi="Arial"/>
                <w:sz w:val="16"/>
                <w:szCs w:val="16"/>
                <w:color w:val="auto"/>
              </w:rPr>
              <w:t>COO, Iridium Communications</w:t>
            </w:r>
          </w:p>
        </w:tc>
        <w:tc>
          <w:tcPr>
            <w:tcW w:w="380" w:type="dxa"/>
            <w:vAlign w:val="bottom"/>
          </w:tcPr>
          <w:p>
            <w:pPr>
              <w:spacing w:after="0"/>
              <w:rPr>
                <w:sz w:val="12"/>
                <w:szCs w:val="12"/>
                <w:color w:val="auto"/>
              </w:rPr>
            </w:pPr>
          </w:p>
        </w:tc>
        <w:tc>
          <w:tcPr>
            <w:tcW w:w="600" w:type="dxa"/>
            <w:vAlign w:val="bottom"/>
          </w:tcPr>
          <w:p>
            <w:pPr>
              <w:ind w:left="240"/>
              <w:spacing w:after="0" w:line="148"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420"/>
              <w:spacing w:after="0" w:line="148" w:lineRule="exact"/>
              <w:rPr>
                <w:sz w:val="20"/>
                <w:szCs w:val="20"/>
                <w:color w:val="auto"/>
              </w:rPr>
            </w:pPr>
            <w:r>
              <w:rPr>
                <w:rFonts w:ascii="Arial" w:cs="Arial" w:eastAsia="Arial" w:hAnsi="Arial"/>
                <w:sz w:val="16"/>
                <w:szCs w:val="16"/>
                <w:color w:val="auto"/>
              </w:rPr>
              <w:t>​ 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c>
          <w:tcPr>
            <w:tcW w:w="200" w:type="dxa"/>
            <w:vAlign w:val="bottom"/>
          </w:tcPr>
          <w:p>
            <w:pPr>
              <w:ind w:left="100"/>
              <w:spacing w:after="0" w:line="148" w:lineRule="exact"/>
              <w:rPr>
                <w:sz w:val="20"/>
                <w:szCs w:val="20"/>
                <w:color w:val="auto"/>
              </w:rPr>
            </w:pPr>
            <w:r>
              <w:rPr>
                <w:rFonts w:ascii="Arial" w:cs="Arial" w:eastAsia="Arial" w:hAnsi="Arial"/>
                <w:sz w:val="16"/>
                <w:szCs w:val="16"/>
                <w:color w:val="auto"/>
              </w:rPr>
              <w:t>​​</w:t>
            </w: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​62​</w:t>
            </w:r>
          </w:p>
        </w:tc>
        <w:tc>
          <w:tcPr>
            <w:tcW w:w="240" w:type="dxa"/>
            <w:vAlign w:val="bottom"/>
          </w:tcPr>
          <w:p>
            <w:pPr>
              <w:ind w:left="20"/>
              <w:spacing w:after="0" w:line="148" w:lineRule="exact"/>
              <w:rPr>
                <w:sz w:val="20"/>
                <w:szCs w:val="20"/>
                <w:color w:val="auto"/>
              </w:rPr>
            </w:pPr>
            <w:r>
              <w:rPr>
                <w:rFonts w:ascii="Arial" w:cs="Arial" w:eastAsia="Arial" w:hAnsi="Arial"/>
                <w:sz w:val="16"/>
                <w:szCs w:val="16"/>
                <w:color w:val="auto"/>
              </w:rPr>
              <w:t>​​​</w:t>
            </w:r>
          </w:p>
        </w:tc>
        <w:tc>
          <w:tcPr>
            <w:tcW w:w="540" w:type="dxa"/>
            <w:vAlign w:val="bottom"/>
            <w:vMerge w:val="restart"/>
          </w:tcPr>
          <w:p>
            <w:pPr>
              <w:ind w:left="40"/>
              <w:spacing w:after="0"/>
              <w:rPr>
                <w:sz w:val="20"/>
                <w:szCs w:val="20"/>
                <w:color w:val="auto"/>
              </w:rPr>
            </w:pPr>
            <w:r>
              <w:rPr>
                <w:rFonts w:ascii="Arial" w:cs="Arial" w:eastAsia="Arial" w:hAnsi="Arial"/>
                <w:sz w:val="16"/>
                <w:szCs w:val="16"/>
                <w:color w:val="auto"/>
              </w:rPr>
              <w:t>​2005​</w:t>
            </w:r>
          </w:p>
        </w:tc>
        <w:tc>
          <w:tcPr>
            <w:tcW w:w="320" w:type="dxa"/>
            <w:vAlign w:val="bottom"/>
          </w:tcPr>
          <w:p>
            <w:pPr>
              <w:jc w:val="center"/>
              <w:ind w:right="68"/>
              <w:spacing w:after="0" w:line="148" w:lineRule="exact"/>
              <w:rPr>
                <w:sz w:val="20"/>
                <w:szCs w:val="20"/>
                <w:color w:val="auto"/>
              </w:rPr>
            </w:pPr>
            <w:r>
              <w:rPr>
                <w:rFonts w:ascii="Arial" w:cs="Arial" w:eastAsia="Arial" w:hAnsi="Arial"/>
                <w:sz w:val="16"/>
                <w:szCs w:val="16"/>
                <w:color w:val="auto"/>
              </w:rPr>
              <w:t>​​​</w:t>
            </w:r>
          </w:p>
        </w:tc>
        <w:tc>
          <w:tcPr>
            <w:tcW w:w="2120" w:type="dxa"/>
            <w:vAlign w:val="bottom"/>
          </w:tcPr>
          <w:p>
            <w:pPr>
              <w:spacing w:after="0"/>
              <w:rPr>
                <w:sz w:val="12"/>
                <w:szCs w:val="12"/>
                <w:color w:val="auto"/>
              </w:rPr>
            </w:pPr>
          </w:p>
        </w:tc>
        <w:tc>
          <w:tcPr>
            <w:tcW w:w="380" w:type="dxa"/>
            <w:vAlign w:val="bottom"/>
          </w:tcPr>
          <w:p>
            <w:pPr>
              <w:ind w:left="60"/>
              <w:spacing w:after="0" w:line="148" w:lineRule="exact"/>
              <w:rPr>
                <w:sz w:val="20"/>
                <w:szCs w:val="20"/>
                <w:color w:val="auto"/>
              </w:rPr>
            </w:pPr>
            <w:r>
              <w:rPr>
                <w:rFonts w:ascii="Arial" w:cs="Arial" w:eastAsia="Arial" w:hAnsi="Arial"/>
                <w:sz w:val="16"/>
                <w:szCs w:val="16"/>
                <w:color w:val="auto"/>
              </w:rPr>
              <w:t>​​</w:t>
            </w:r>
          </w:p>
        </w:tc>
        <w:tc>
          <w:tcPr>
            <w:tcW w:w="60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420" w:type="dxa"/>
            <w:vAlign w:val="bottom"/>
          </w:tcPr>
          <w:p>
            <w:pPr>
              <w:jc w:val="center"/>
              <w:ind w:left="103"/>
              <w:spacing w:after="0" w:line="148" w:lineRule="exact"/>
              <w:rPr>
                <w:sz w:val="20"/>
                <w:szCs w:val="20"/>
                <w:color w:val="auto"/>
              </w:rPr>
            </w:pPr>
            <w:r>
              <w:rPr>
                <w:rFonts w:ascii="Arial" w:cs="Arial" w:eastAsia="Arial" w:hAnsi="Arial"/>
                <w:sz w:val="16"/>
                <w:szCs w:val="16"/>
                <w:color w:val="auto"/>
              </w:rPr>
              <w:t>​​​</w:t>
            </w:r>
          </w:p>
        </w:tc>
        <w:tc>
          <w:tcPr>
            <w:tcW w:w="1040" w:type="dxa"/>
            <w:vAlign w:val="bottom"/>
          </w:tcPr>
          <w:p>
            <w:pPr>
              <w:spacing w:after="0"/>
              <w:rPr>
                <w:sz w:val="12"/>
                <w:szCs w:val="12"/>
                <w:color w:val="auto"/>
              </w:rPr>
            </w:pPr>
          </w:p>
        </w:tc>
        <w:tc>
          <w:tcPr>
            <w:tcW w:w="160" w:type="dxa"/>
            <w:vAlign w:val="bottom"/>
          </w:tcPr>
          <w:p>
            <w:pPr>
              <w:ind w:left="40"/>
              <w:spacing w:after="0" w:line="148" w:lineRule="exact"/>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line="14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2020" w:type="dxa"/>
            <w:vAlign w:val="bottom"/>
          </w:tcPr>
          <w:p>
            <w:pPr>
              <w:ind w:left="20"/>
              <w:spacing w:after="0" w:line="83" w:lineRule="exact"/>
              <w:rPr>
                <w:sz w:val="20"/>
                <w:szCs w:val="20"/>
                <w:color w:val="auto"/>
              </w:rPr>
            </w:pPr>
            <w:r>
              <w:rPr>
                <w:rFonts w:ascii="Arial" w:cs="Arial" w:eastAsia="Arial" w:hAnsi="Arial"/>
                <w:sz w:val="9"/>
                <w:szCs w:val="9"/>
                <w:color w:val="auto"/>
              </w:rPr>
              <w:t>David P. McGlade</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440" w:type="dxa"/>
            <w:vAlign w:val="bottom"/>
            <w:gridSpan w:val="2"/>
          </w:tcPr>
          <w:p>
            <w:pPr>
              <w:ind w:left="120"/>
              <w:spacing w:after="0" w:line="83" w:lineRule="exact"/>
              <w:rPr>
                <w:sz w:val="20"/>
                <w:szCs w:val="20"/>
                <w:color w:val="auto"/>
              </w:rPr>
            </w:pPr>
            <w:r>
              <w:rPr>
                <w:rFonts w:ascii="Arial" w:cs="Arial" w:eastAsia="Arial" w:hAnsi="Arial"/>
                <w:sz w:val="9"/>
                <w:szCs w:val="9"/>
                <w:color w:val="auto"/>
              </w:rPr>
              <w:t>Retired Executive Chairman,</w:t>
            </w:r>
          </w:p>
        </w:tc>
        <w:tc>
          <w:tcPr>
            <w:tcW w:w="3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60" w:type="dxa"/>
            <w:vAlign w:val="bottom"/>
            <w:gridSpan w:val="2"/>
          </w:tcPr>
          <w:p>
            <w:pPr>
              <w:jc w:val="center"/>
              <w:ind w:left="243"/>
              <w:spacing w:after="0" w:line="83" w:lineRule="exact"/>
              <w:rPr>
                <w:sz w:val="20"/>
                <w:szCs w:val="20"/>
                <w:color w:val="auto"/>
              </w:rPr>
            </w:pPr>
            <w:r>
              <w:rPr>
                <w:rFonts w:ascii="Arial" w:cs="Arial" w:eastAsia="Arial" w:hAnsi="Arial"/>
                <w:sz w:val="9"/>
                <w:szCs w:val="9"/>
                <w:color w:val="auto"/>
              </w:rPr>
              <w:t>AC (C), NCGC</w:t>
            </w:r>
          </w:p>
        </w:tc>
        <w:tc>
          <w:tcPr>
            <w:tcW w:w="1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40" w:type="dxa"/>
            <w:vAlign w:val="bottom"/>
            <w:gridSpan w:val="2"/>
          </w:tcPr>
          <w:p>
            <w:pPr>
              <w:ind w:left="120"/>
              <w:spacing w:after="0"/>
              <w:rPr>
                <w:sz w:val="20"/>
                <w:szCs w:val="20"/>
                <w:color w:val="auto"/>
              </w:rPr>
            </w:pPr>
            <w:r>
              <w:rPr>
                <w:rFonts w:ascii="Arial" w:cs="Arial" w:eastAsia="Arial" w:hAnsi="Arial"/>
                <w:sz w:val="16"/>
                <w:szCs w:val="16"/>
                <w:color w:val="auto"/>
              </w:rPr>
              <w:t>Intelsat</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2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100"/>
              <w:spacing w:after="0"/>
              <w:rPr>
                <w:sz w:val="20"/>
                <w:szCs w:val="20"/>
                <w:color w:val="auto"/>
              </w:rPr>
            </w:pPr>
            <w:r>
              <w:rPr>
                <w:rFonts w:ascii="Arial" w:cs="Arial" w:eastAsia="Arial" w:hAnsi="Arial"/>
                <w:sz w:val="16"/>
                <w:szCs w:val="16"/>
                <w:color w:val="auto"/>
              </w:rPr>
              <w:t>​​ ​</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tcPr>
          <w:p>
            <w:pPr>
              <w:ind w:left="40"/>
              <w:spacing w:after="0"/>
              <w:rPr>
                <w:sz w:val="20"/>
                <w:szCs w:val="20"/>
                <w:color w:val="auto"/>
              </w:rPr>
            </w:pPr>
            <w:r>
              <w:rPr>
                <w:rFonts w:ascii="Arial" w:cs="Arial" w:eastAsia="Arial" w:hAnsi="Arial"/>
                <w:sz w:val="16"/>
                <w:szCs w:val="16"/>
                <w:color w:val="auto"/>
              </w:rPr>
              <w:t>​</w:t>
            </w:r>
          </w:p>
        </w:tc>
        <w:tc>
          <w:tcPr>
            <w:tcW w:w="320" w:type="dxa"/>
            <w:vAlign w:val="bottom"/>
          </w:tcPr>
          <w:p>
            <w:pPr>
              <w:jc w:val="center"/>
              <w:ind w:right="68"/>
              <w:spacing w:after="0"/>
              <w:rPr>
                <w:sz w:val="20"/>
                <w:szCs w:val="20"/>
                <w:color w:val="auto"/>
              </w:rPr>
            </w:pPr>
            <w:r>
              <w:rPr>
                <w:rFonts w:ascii="Arial" w:cs="Arial" w:eastAsia="Arial" w:hAnsi="Arial"/>
                <w:sz w:val="16"/>
                <w:szCs w:val="16"/>
                <w:color w:val="auto"/>
              </w:rPr>
              <w:t>​​​</w:t>
            </w:r>
          </w:p>
        </w:tc>
        <w:tc>
          <w:tcPr>
            <w:tcW w:w="2120" w:type="dxa"/>
            <w:vAlign w:val="bottom"/>
          </w:tcPr>
          <w:p>
            <w:pPr>
              <w:spacing w:after="0"/>
              <w:rPr>
                <w:sz w:val="16"/>
                <w:szCs w:val="16"/>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600" w:type="dxa"/>
            <w:vAlign w:val="bottom"/>
          </w:tcPr>
          <w:p>
            <w:pPr>
              <w:ind w:left="240"/>
              <w:spacing w:after="0"/>
              <w:rPr>
                <w:sz w:val="20"/>
                <w:szCs w:val="20"/>
                <w:color w:val="auto"/>
              </w:rPr>
            </w:pPr>
            <w:r>
              <w:rPr>
                <w:rFonts w:ascii="Arial" w:cs="Arial" w:eastAsia="Arial" w:hAnsi="Arial"/>
                <w:sz w:val="16"/>
                <w:szCs w:val="16"/>
                <w:color w:val="auto"/>
              </w:rPr>
              <w:t>​</w:t>
            </w:r>
          </w:p>
        </w:tc>
        <w:tc>
          <w:tcPr>
            <w:tcW w:w="420" w:type="dxa"/>
            <w:vAlign w:val="bottom"/>
          </w:tcPr>
          <w:p>
            <w:pPr>
              <w:jc w:val="center"/>
              <w:ind w:left="103"/>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center"/>
              <w:ind w:right="18"/>
              <w:spacing w:after="0"/>
              <w:rPr>
                <w:sz w:val="20"/>
                <w:szCs w:val="20"/>
                <w:color w:val="auto"/>
              </w:rPr>
            </w:pPr>
            <w:r>
              <w:rPr>
                <w:rFonts w:ascii="Arial" w:cs="Arial" w:eastAsia="Arial" w:hAnsi="Arial"/>
                <w:sz w:val="16"/>
                <w:szCs w:val="16"/>
                <w:color w:val="auto"/>
                <w:w w:val="99"/>
              </w:rPr>
              <w:t>AC, CC</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480" w:type="dxa"/>
            <w:vAlign w:val="bottom"/>
          </w:tcPr>
          <w:p>
            <w:pPr>
              <w:ind w:left="4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2020" w:type="dxa"/>
            <w:vAlign w:val="bottom"/>
          </w:tcPr>
          <w:p>
            <w:pPr>
              <w:ind w:left="20"/>
              <w:spacing w:after="0" w:line="164" w:lineRule="exact"/>
              <w:rPr>
                <w:sz w:val="20"/>
                <w:szCs w:val="20"/>
                <w:color w:val="auto"/>
              </w:rPr>
            </w:pPr>
            <w:r>
              <w:rPr>
                <w:rFonts w:ascii="Arial" w:cs="Arial" w:eastAsia="Arial" w:hAnsi="Arial"/>
                <w:sz w:val="16"/>
                <w:szCs w:val="16"/>
                <w:color w:val="auto"/>
              </w:rPr>
              <w:t>Robert A. Schriesheim</w:t>
            </w:r>
          </w:p>
        </w:tc>
        <w:tc>
          <w:tcPr>
            <w:tcW w:w="200" w:type="dxa"/>
            <w:vAlign w:val="bottom"/>
          </w:tcPr>
          <w:p>
            <w:pPr>
              <w:spacing w:after="0"/>
              <w:rPr>
                <w:sz w:val="14"/>
                <w:szCs w:val="14"/>
                <w:color w:val="auto"/>
              </w:rPr>
            </w:pPr>
          </w:p>
        </w:tc>
        <w:tc>
          <w:tcPr>
            <w:tcW w:w="260" w:type="dxa"/>
            <w:vAlign w:val="bottom"/>
          </w:tcPr>
          <w:p>
            <w:pPr>
              <w:ind w:left="20"/>
              <w:spacing w:after="0" w:line="164" w:lineRule="exact"/>
              <w:rPr>
                <w:sz w:val="20"/>
                <w:szCs w:val="20"/>
                <w:color w:val="auto"/>
              </w:rPr>
            </w:pPr>
            <w:r>
              <w:rPr>
                <w:rFonts w:ascii="Arial" w:cs="Arial" w:eastAsia="Arial" w:hAnsi="Arial"/>
                <w:sz w:val="16"/>
                <w:szCs w:val="16"/>
                <w:color w:val="auto"/>
              </w:rPr>
              <w:t>​62​</w:t>
            </w:r>
          </w:p>
        </w:tc>
        <w:tc>
          <w:tcPr>
            <w:tcW w:w="240" w:type="dxa"/>
            <w:vAlign w:val="bottom"/>
          </w:tcPr>
          <w:p>
            <w:pPr>
              <w:spacing w:after="0"/>
              <w:rPr>
                <w:sz w:val="14"/>
                <w:szCs w:val="14"/>
                <w:color w:val="auto"/>
              </w:rPr>
            </w:pPr>
          </w:p>
        </w:tc>
        <w:tc>
          <w:tcPr>
            <w:tcW w:w="540" w:type="dxa"/>
            <w:vAlign w:val="bottom"/>
          </w:tcPr>
          <w:p>
            <w:pPr>
              <w:ind w:left="40"/>
              <w:spacing w:after="0" w:line="164" w:lineRule="exact"/>
              <w:rPr>
                <w:sz w:val="20"/>
                <w:szCs w:val="20"/>
                <w:color w:val="auto"/>
              </w:rPr>
            </w:pPr>
            <w:r>
              <w:rPr>
                <w:rFonts w:ascii="Arial" w:cs="Arial" w:eastAsia="Arial" w:hAnsi="Arial"/>
                <w:sz w:val="16"/>
                <w:szCs w:val="16"/>
                <w:color w:val="auto"/>
              </w:rPr>
              <w:t>​2006​</w:t>
            </w:r>
          </w:p>
        </w:tc>
        <w:tc>
          <w:tcPr>
            <w:tcW w:w="2440" w:type="dxa"/>
            <w:vAlign w:val="bottom"/>
            <w:gridSpan w:val="2"/>
          </w:tcPr>
          <w:p>
            <w:pPr>
              <w:ind w:left="120"/>
              <w:spacing w:after="0" w:line="164" w:lineRule="exact"/>
              <w:rPr>
                <w:sz w:val="20"/>
                <w:szCs w:val="20"/>
                <w:color w:val="auto"/>
              </w:rPr>
            </w:pPr>
            <w:r>
              <w:rPr>
                <w:rFonts w:ascii="Arial" w:cs="Arial" w:eastAsia="Arial" w:hAnsi="Arial"/>
                <w:sz w:val="16"/>
                <w:szCs w:val="16"/>
                <w:color w:val="auto"/>
              </w:rPr>
              <w:t>Chairman, Truax Partners</w:t>
            </w:r>
          </w:p>
        </w:tc>
        <w:tc>
          <w:tcPr>
            <w:tcW w:w="380" w:type="dxa"/>
            <w:vAlign w:val="bottom"/>
          </w:tcPr>
          <w:p>
            <w:pPr>
              <w:spacing w:after="0"/>
              <w:rPr>
                <w:sz w:val="14"/>
                <w:szCs w:val="14"/>
                <w:color w:val="auto"/>
              </w:rPr>
            </w:pPr>
          </w:p>
        </w:tc>
        <w:tc>
          <w:tcPr>
            <w:tcW w:w="600" w:type="dxa"/>
            <w:vAlign w:val="bottom"/>
          </w:tcPr>
          <w:p>
            <w:pPr>
              <w:ind w:left="240"/>
              <w:spacing w:after="0" w:line="164"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420"/>
              <w:spacing w:after="0" w:line="164" w:lineRule="exact"/>
              <w:rPr>
                <w:sz w:val="20"/>
                <w:szCs w:val="20"/>
                <w:color w:val="auto"/>
              </w:rPr>
            </w:pPr>
            <w:r>
              <w:rPr>
                <w:rFonts w:ascii="Arial" w:cs="Arial" w:eastAsia="Arial" w:hAnsi="Arial"/>
                <w:sz w:val="16"/>
                <w:szCs w:val="16"/>
                <w:color w:val="auto"/>
              </w:rPr>
              <w:t>​ 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20" w:type="dxa"/>
            <w:vAlign w:val="bottom"/>
          </w:tcPr>
          <w:p>
            <w:pPr>
              <w:ind w:left="20"/>
              <w:spacing w:after="0" w:line="147" w:lineRule="exact"/>
              <w:rPr>
                <w:sz w:val="20"/>
                <w:szCs w:val="20"/>
                <w:color w:val="auto"/>
              </w:rPr>
            </w:pPr>
            <w:r>
              <w:rPr>
                <w:rFonts w:ascii="Arial" w:cs="Arial" w:eastAsia="Arial" w:hAnsi="Arial"/>
                <w:sz w:val="16"/>
                <w:szCs w:val="16"/>
                <w:color w:val="auto"/>
              </w:rPr>
              <w:t>​</w:t>
            </w:r>
          </w:p>
        </w:tc>
        <w:tc>
          <w:tcPr>
            <w:tcW w:w="200" w:type="dxa"/>
            <w:vAlign w:val="bottom"/>
          </w:tcPr>
          <w:p>
            <w:pPr>
              <w:ind w:left="100"/>
              <w:spacing w:after="0" w:line="147" w:lineRule="exact"/>
              <w:rPr>
                <w:sz w:val="20"/>
                <w:szCs w:val="20"/>
                <w:color w:val="auto"/>
              </w:rPr>
            </w:pPr>
            <w:r>
              <w:rPr>
                <w:rFonts w:ascii="Arial" w:cs="Arial" w:eastAsia="Arial" w:hAnsi="Arial"/>
                <w:sz w:val="16"/>
                <w:szCs w:val="16"/>
                <w:color w:val="auto"/>
              </w:rPr>
              <w:t>​​</w:t>
            </w: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​57​</w:t>
            </w:r>
          </w:p>
        </w:tc>
        <w:tc>
          <w:tcPr>
            <w:tcW w:w="240" w:type="dxa"/>
            <w:vAlign w:val="bottom"/>
          </w:tcPr>
          <w:p>
            <w:pPr>
              <w:ind w:left="20"/>
              <w:spacing w:after="0" w:line="147" w:lineRule="exact"/>
              <w:rPr>
                <w:sz w:val="20"/>
                <w:szCs w:val="20"/>
                <w:color w:val="auto"/>
              </w:rPr>
            </w:pPr>
            <w:r>
              <w:rPr>
                <w:rFonts w:ascii="Arial" w:cs="Arial" w:eastAsia="Arial" w:hAnsi="Arial"/>
                <w:sz w:val="16"/>
                <w:szCs w:val="16"/>
                <w:color w:val="auto"/>
              </w:rPr>
              <w:t>​​​</w:t>
            </w:r>
          </w:p>
        </w:tc>
        <w:tc>
          <w:tcPr>
            <w:tcW w:w="540" w:type="dxa"/>
            <w:vAlign w:val="bottom"/>
            <w:vMerge w:val="restart"/>
          </w:tcPr>
          <w:p>
            <w:pPr>
              <w:ind w:left="40"/>
              <w:spacing w:after="0"/>
              <w:rPr>
                <w:sz w:val="20"/>
                <w:szCs w:val="20"/>
                <w:color w:val="auto"/>
              </w:rPr>
            </w:pPr>
            <w:r>
              <w:rPr>
                <w:rFonts w:ascii="Arial" w:cs="Arial" w:eastAsia="Arial" w:hAnsi="Arial"/>
                <w:sz w:val="16"/>
                <w:szCs w:val="16"/>
                <w:color w:val="auto"/>
              </w:rPr>
              <w:t>​2023​</w:t>
            </w:r>
          </w:p>
        </w:tc>
        <w:tc>
          <w:tcPr>
            <w:tcW w:w="320" w:type="dxa"/>
            <w:vAlign w:val="bottom"/>
          </w:tcPr>
          <w:p>
            <w:pPr>
              <w:jc w:val="center"/>
              <w:ind w:right="68"/>
              <w:spacing w:after="0" w:line="147" w:lineRule="exact"/>
              <w:rPr>
                <w:sz w:val="20"/>
                <w:szCs w:val="20"/>
                <w:color w:val="auto"/>
              </w:rPr>
            </w:pPr>
            <w:r>
              <w:rPr>
                <w:rFonts w:ascii="Arial" w:cs="Arial" w:eastAsia="Arial" w:hAnsi="Arial"/>
                <w:sz w:val="16"/>
                <w:szCs w:val="16"/>
                <w:color w:val="auto"/>
              </w:rPr>
              <w:t>​​​</w:t>
            </w:r>
          </w:p>
        </w:tc>
        <w:tc>
          <w:tcPr>
            <w:tcW w:w="2120" w:type="dxa"/>
            <w:vAlign w:val="bottom"/>
          </w:tcPr>
          <w:p>
            <w:pPr>
              <w:spacing w:after="0"/>
              <w:rPr>
                <w:sz w:val="12"/>
                <w:szCs w:val="12"/>
                <w:color w:val="auto"/>
              </w:rPr>
            </w:pPr>
          </w:p>
        </w:tc>
        <w:tc>
          <w:tcPr>
            <w:tcW w:w="380" w:type="dxa"/>
            <w:vAlign w:val="bottom"/>
          </w:tcPr>
          <w:p>
            <w:pPr>
              <w:ind w:left="60"/>
              <w:spacing w:after="0" w:line="147" w:lineRule="exact"/>
              <w:rPr>
                <w:sz w:val="20"/>
                <w:szCs w:val="20"/>
                <w:color w:val="auto"/>
              </w:rPr>
            </w:pPr>
            <w:r>
              <w:rPr>
                <w:rFonts w:ascii="Arial" w:cs="Arial" w:eastAsia="Arial" w:hAnsi="Arial"/>
                <w:sz w:val="16"/>
                <w:szCs w:val="16"/>
                <w:color w:val="auto"/>
              </w:rPr>
              <w:t>​​</w:t>
            </w:r>
          </w:p>
        </w:tc>
        <w:tc>
          <w:tcPr>
            <w:tcW w:w="60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420" w:type="dxa"/>
            <w:vAlign w:val="bottom"/>
          </w:tcPr>
          <w:p>
            <w:pPr>
              <w:jc w:val="center"/>
              <w:ind w:left="103"/>
              <w:spacing w:after="0" w:line="147" w:lineRule="exact"/>
              <w:rPr>
                <w:sz w:val="20"/>
                <w:szCs w:val="20"/>
                <w:color w:val="auto"/>
              </w:rPr>
            </w:pPr>
            <w:r>
              <w:rPr>
                <w:rFonts w:ascii="Arial" w:cs="Arial" w:eastAsia="Arial" w:hAnsi="Arial"/>
                <w:sz w:val="16"/>
                <w:szCs w:val="16"/>
                <w:color w:val="auto"/>
              </w:rPr>
              <w:t>​​​</w:t>
            </w:r>
          </w:p>
        </w:tc>
        <w:tc>
          <w:tcPr>
            <w:tcW w:w="1040" w:type="dxa"/>
            <w:vAlign w:val="bottom"/>
          </w:tcPr>
          <w:p>
            <w:pPr>
              <w:jc w:val="center"/>
              <w:spacing w:after="0" w:line="147" w:lineRule="exact"/>
              <w:rPr>
                <w:sz w:val="20"/>
                <w:szCs w:val="20"/>
                <w:color w:val="auto"/>
              </w:rPr>
            </w:pPr>
            <w:r>
              <w:rPr>
                <w:rFonts w:ascii="Arial" w:cs="Arial" w:eastAsia="Arial" w:hAnsi="Arial"/>
                <w:sz w:val="16"/>
                <w:szCs w:val="16"/>
                <w:color w:val="auto"/>
              </w:rPr>
              <w:t>​</w:t>
            </w:r>
          </w:p>
        </w:tc>
        <w:tc>
          <w:tcPr>
            <w:tcW w:w="160" w:type="dxa"/>
            <w:vAlign w:val="bottom"/>
          </w:tcPr>
          <w:p>
            <w:pPr>
              <w:ind w:left="40"/>
              <w:spacing w:after="0" w:line="147" w:lineRule="exact"/>
              <w:rPr>
                <w:sz w:val="20"/>
                <w:szCs w:val="20"/>
                <w:color w:val="auto"/>
              </w:rPr>
            </w:pPr>
            <w:r>
              <w:rPr>
                <w:rFonts w:ascii="Arial" w:cs="Arial" w:eastAsia="Arial" w:hAnsi="Arial"/>
                <w:sz w:val="16"/>
                <w:szCs w:val="16"/>
                <w:color w:val="auto"/>
              </w:rPr>
              <w:t>​​</w:t>
            </w:r>
          </w:p>
        </w:tc>
        <w:tc>
          <w:tcPr>
            <w:tcW w:w="48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spacing w:after="0"/>
              <w:rPr>
                <w:sz w:val="20"/>
                <w:szCs w:val="20"/>
                <w:color w:val="auto"/>
              </w:rPr>
            </w:pPr>
            <w:r>
              <w:rPr>
                <w:rFonts w:ascii="Arial" w:cs="Arial" w:eastAsia="Arial" w:hAnsi="Arial"/>
                <w:sz w:val="16"/>
                <w:szCs w:val="16"/>
                <w:color w:val="auto"/>
              </w:rPr>
              <w:t>2​</w:t>
            </w:r>
          </w:p>
        </w:tc>
        <w:tc>
          <w:tcPr>
            <w:tcW w:w="120" w:type="dxa"/>
            <w:vAlign w:val="bottom"/>
          </w:tcPr>
          <w:p>
            <w:pPr>
              <w:jc w:val="right"/>
              <w:spacing w:after="0" w:line="147"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2020" w:type="dxa"/>
            <w:vAlign w:val="bottom"/>
          </w:tcPr>
          <w:p>
            <w:pPr>
              <w:ind w:left="20"/>
              <w:spacing w:after="0" w:line="83" w:lineRule="exact"/>
              <w:rPr>
                <w:sz w:val="20"/>
                <w:szCs w:val="20"/>
                <w:color w:val="auto"/>
              </w:rPr>
            </w:pPr>
            <w:r>
              <w:rPr>
                <w:rFonts w:ascii="Arial" w:cs="Arial" w:eastAsia="Arial" w:hAnsi="Arial"/>
                <w:sz w:val="9"/>
                <w:szCs w:val="9"/>
                <w:color w:val="auto"/>
              </w:rPr>
              <w:t>Maryann Turcke</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440" w:type="dxa"/>
            <w:vAlign w:val="bottom"/>
            <w:gridSpan w:val="2"/>
          </w:tcPr>
          <w:p>
            <w:pPr>
              <w:ind w:left="120"/>
              <w:spacing w:after="0" w:line="83" w:lineRule="exact"/>
              <w:rPr>
                <w:sz w:val="20"/>
                <w:szCs w:val="20"/>
                <w:color w:val="auto"/>
              </w:rPr>
            </w:pPr>
            <w:r>
              <w:rPr>
                <w:rFonts w:ascii="Arial" w:cs="Arial" w:eastAsia="Arial" w:hAnsi="Arial"/>
                <w:sz w:val="9"/>
                <w:szCs w:val="9"/>
                <w:color w:val="auto"/>
              </w:rPr>
              <w:t>Former Chief Operating Officer,</w:t>
            </w:r>
          </w:p>
        </w:tc>
        <w:tc>
          <w:tcPr>
            <w:tcW w:w="3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-2083435</wp:posOffset>
            </wp:positionV>
            <wp:extent cx="5974715"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74715" cy="3003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-1483360</wp:posOffset>
            </wp:positionV>
            <wp:extent cx="5974715" cy="30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74715" cy="3003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-1003300</wp:posOffset>
            </wp:positionV>
            <wp:extent cx="5974715"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74715"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-643255</wp:posOffset>
            </wp:positionV>
            <wp:extent cx="5974715"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74715" cy="30861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-146050</wp:posOffset>
            </wp:positionV>
            <wp:extent cx="5974715" cy="325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74715" cy="325755"/>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16"/>
          <w:szCs w:val="16"/>
          <w:color w:val="auto"/>
        </w:rPr>
        <w:t>National Football League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62230</wp:posOffset>
            </wp:positionV>
            <wp:extent cx="59747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185" w:lineRule="exact"/>
        <w:rPr>
          <w:sz w:val="20"/>
          <w:szCs w:val="20"/>
          <w:color w:val="auto"/>
        </w:rPr>
      </w:pPr>
    </w:p>
    <w:p>
      <w:pPr>
        <w:ind w:left="720" w:right="780"/>
        <w:spacing w:after="0" w:line="281" w:lineRule="auto"/>
        <w:rPr>
          <w:sz w:val="20"/>
          <w:szCs w:val="20"/>
          <w:color w:val="auto"/>
        </w:rPr>
      </w:pPr>
      <w:r>
        <w:rPr>
          <w:rFonts w:ascii="Arial" w:cs="Arial" w:eastAsia="Arial" w:hAnsi="Arial"/>
          <w:sz w:val="16"/>
          <w:szCs w:val="16"/>
          <w:i w:val="1"/>
          <w:iCs w:val="1"/>
          <w:color w:val="auto"/>
        </w:rPr>
        <w:t>“AC” indicates Audit Committee, “CC” indicates Compensation Committee, “NCGC” indicates Nominating and Corporate Governance Committee, and “(C)” indicates Committee Chair</w:t>
      </w:r>
    </w:p>
    <w:p>
      <w:pPr>
        <w:spacing w:after="0" w:line="201" w:lineRule="exact"/>
        <w:rPr>
          <w:sz w:val="20"/>
          <w:szCs w:val="20"/>
          <w:color w:val="auto"/>
        </w:rPr>
      </w:pPr>
    </w:p>
    <w:p>
      <w:pPr>
        <w:ind w:left="660" w:right="40"/>
        <w:spacing w:after="0" w:line="257" w:lineRule="auto"/>
        <w:rPr>
          <w:sz w:val="20"/>
          <w:szCs w:val="20"/>
          <w:color w:val="auto"/>
        </w:rPr>
      </w:pPr>
      <w:r>
        <w:rPr>
          <w:rFonts w:ascii="Arial" w:cs="Arial" w:eastAsia="Arial" w:hAnsi="Arial"/>
          <w:sz w:val="20"/>
          <w:szCs w:val="20"/>
          <w:color w:val="auto"/>
        </w:rPr>
        <w:t>The nine director nominees standing for reelection to the Board have diverse backgrounds, skills, and experiences. We believe their varied backgrounds contribute to an effective and well-balanced Board that is able to provide valuable insight to, and effective oversight of, our senior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150495</wp:posOffset>
            </wp:positionV>
            <wp:extent cx="5212080" cy="1671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60" w:right="700"/>
        <w:spacing w:after="0" w:line="261" w:lineRule="auto"/>
        <w:rPr>
          <w:sz w:val="20"/>
          <w:szCs w:val="20"/>
          <w:color w:val="auto"/>
        </w:rPr>
      </w:pPr>
      <w:r>
        <w:rPr>
          <w:rFonts w:ascii="Arial" w:cs="Arial" w:eastAsia="Arial" w:hAnsi="Arial"/>
          <w:sz w:val="20"/>
          <w:szCs w:val="20"/>
          <w:color w:val="auto"/>
        </w:rPr>
        <w:t>The Company has a proven track record of sound and effective corporate governance practices and policies, including those highlighted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87630</wp:posOffset>
            </wp:positionV>
            <wp:extent cx="5974715" cy="4718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74715" cy="47180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sect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FFFFFF"/>
        </w:rPr>
        <w:t>​ Corporate Governance Best Practices</w:t>
      </w: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2520" w:type="dxa"/>
            <w:vAlign w:val="bottom"/>
          </w:tcPr>
          <w:p>
            <w:pP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b w:val="1"/>
                <w:bCs w:val="1"/>
                <w:color w:val="0075A8"/>
              </w:rPr>
              <w:t>Annually Elected Directors</w:t>
            </w:r>
          </w:p>
        </w:tc>
        <w:tc>
          <w:tcPr>
            <w:tcW w:w="6500" w:type="dxa"/>
            <w:vAlign w:val="bottom"/>
          </w:tcPr>
          <w:p>
            <w:pPr>
              <w:ind w:left="380"/>
              <w:spacing w:after="0"/>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16"/>
                <w:szCs w:val="16"/>
                <w:color w:val="auto"/>
              </w:rPr>
              <w:t>All of our directors are elected annually</w:t>
            </w:r>
          </w:p>
        </w:tc>
      </w:tr>
      <w:tr>
        <w:trPr>
          <w:trHeight w:val="365"/>
        </w:trPr>
        <w:tc>
          <w:tcPr>
            <w:tcW w:w="2520" w:type="dxa"/>
            <w:vAlign w:val="bottom"/>
          </w:tcPr>
          <w:p>
            <w:pP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b w:val="1"/>
                <w:bCs w:val="1"/>
                <w:color w:val="0075A8"/>
              </w:rPr>
              <w:t>Majority Vote Standard</w:t>
            </w:r>
          </w:p>
        </w:tc>
        <w:tc>
          <w:tcPr>
            <w:tcW w:w="6500" w:type="dxa"/>
            <w:vAlign w:val="bottom"/>
          </w:tcPr>
          <w:p>
            <w:pPr>
              <w:ind w:left="380"/>
              <w:spacing w:after="0"/>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16"/>
                <w:szCs w:val="16"/>
                <w:color w:val="auto"/>
              </w:rPr>
              <w:t>In uncontested elections, directors are elected by a majority of votes cast</w:t>
            </w:r>
          </w:p>
        </w:tc>
      </w:tr>
      <w:tr>
        <w:trPr>
          <w:trHeight w:val="343"/>
        </w:trPr>
        <w:tc>
          <w:tcPr>
            <w:tcW w:w="2520" w:type="dxa"/>
            <w:vAlign w:val="bottom"/>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0075A8"/>
              </w:rPr>
              <w:t>Lead Independent Director</w:t>
            </w:r>
          </w:p>
        </w:tc>
        <w:tc>
          <w:tcPr>
            <w:tcW w:w="6500" w:type="dxa"/>
            <w:vAlign w:val="bottom"/>
          </w:tcPr>
          <w:p>
            <w:pPr>
              <w:ind w:left="380"/>
              <w:spacing w:after="0" w:line="344"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6"/>
                <w:szCs w:val="16"/>
                <w:color w:val="auto"/>
              </w:rPr>
              <w:t xml:space="preserve"> Initially established in 2014, the Lead Independent Director role has a robust set of</w:t>
            </w:r>
          </w:p>
        </w:tc>
      </w:tr>
      <w:tr>
        <w:trPr>
          <w:trHeight w:val="195"/>
        </w:trPr>
        <w:tc>
          <w:tcPr>
            <w:tcW w:w="2520" w:type="dxa"/>
            <w:vAlign w:val="bottom"/>
          </w:tcPr>
          <w:p>
            <w:pPr>
              <w:spacing w:after="0"/>
              <w:rPr>
                <w:sz w:val="16"/>
                <w:szCs w:val="16"/>
                <w:color w:val="auto"/>
              </w:rPr>
            </w:pPr>
          </w:p>
        </w:tc>
        <w:tc>
          <w:tcPr>
            <w:tcW w:w="6500" w:type="dxa"/>
            <w:vAlign w:val="bottom"/>
          </w:tcPr>
          <w:p>
            <w:pPr>
              <w:ind w:left="600"/>
              <w:spacing w:after="0"/>
              <w:rPr>
                <w:sz w:val="20"/>
                <w:szCs w:val="20"/>
                <w:color w:val="auto"/>
              </w:rPr>
            </w:pPr>
            <w:r>
              <w:rPr>
                <w:rFonts w:ascii="Arial" w:cs="Arial" w:eastAsia="Arial" w:hAnsi="Arial"/>
                <w:sz w:val="16"/>
                <w:szCs w:val="16"/>
                <w:color w:val="auto"/>
              </w:rPr>
              <w:t>duties set forth in our corporate governance guidelines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-294640</wp:posOffset>
            </wp:positionV>
            <wp:extent cx="5974715" cy="291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FFFFFF"/>
        </w:rPr>
        <w: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94" w:lineRule="exact"/>
        <w:rPr>
          <w:sz w:val="20"/>
          <w:szCs w:val="20"/>
          <w:color w:val="auto"/>
        </w:rPr>
      </w:pPr>
    </w:p>
    <w:p>
      <w:pPr>
        <w:sectPr>
          <w:pgSz w:w="11900" w:h="16838" w:orient="portrait"/>
          <w:cols w:equalWidth="0" w:num="2">
            <w:col w:w="9680" w:space="280"/>
            <w:col w:w="140"/>
          </w:cols>
          <w:pgMar w:left="580" w:top="131" w:right="1219" w:bottom="1440" w:gutter="0" w:footer="0" w:header="0"/>
          <w:type w:val="continuous"/>
        </w:sectPr>
      </w:pPr>
    </w:p>
    <w:p>
      <w:pPr>
        <w:spacing w:after="0" w:line="61" w:lineRule="exact"/>
        <w:rPr>
          <w:sz w:val="20"/>
          <w:szCs w:val="20"/>
          <w:color w:val="auto"/>
        </w:rPr>
      </w:pPr>
    </w:p>
    <w:p>
      <w:pPr>
        <w:ind w:left="740" w:hanging="86"/>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0075A8"/>
        </w:rPr>
        <w:t>Executive Sessions</w:t>
      </w:r>
    </w:p>
    <w:p>
      <w:pPr>
        <w:spacing w:after="0" w:line="248" w:lineRule="exact"/>
        <w:rPr>
          <w:rFonts w:ascii="Arial" w:cs="Arial" w:eastAsia="Arial" w:hAnsi="Arial"/>
          <w:sz w:val="16"/>
          <w:szCs w:val="16"/>
          <w:color w:val="auto"/>
        </w:rPr>
      </w:pPr>
    </w:p>
    <w:p>
      <w:pPr>
        <w:ind w:left="740" w:hanging="86"/>
        <w:spacing w:after="0"/>
        <w:tabs>
          <w:tab w:leader="none" w:pos="74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0075A8"/>
        </w:rPr>
        <w:t>Independent Board Committees</w:t>
      </w:r>
    </w:p>
    <w:p>
      <w:pPr>
        <w:spacing w:after="0" w:line="207" w:lineRule="exact"/>
        <w:rPr>
          <w:rFonts w:ascii="Arial" w:cs="Arial" w:eastAsia="Arial" w:hAnsi="Arial"/>
          <w:sz w:val="16"/>
          <w:szCs w:val="16"/>
          <w:b w:val="1"/>
          <w:bCs w:val="1"/>
          <w:color w:val="auto"/>
        </w:rPr>
      </w:pPr>
    </w:p>
    <w:p>
      <w:pPr>
        <w:ind w:left="740" w:hanging="86"/>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0075A8"/>
        </w:rPr>
        <w:t>Board Refreshment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6200" w:type="dxa"/>
            <w:vAlign w:val="bottom"/>
          </w:tcPr>
          <w:p>
            <w:pPr>
              <w:ind w:left="40"/>
              <w:spacing w:after="0"/>
              <w:rPr>
                <w:sz w:val="20"/>
                <w:szCs w:val="20"/>
                <w:color w:val="auto"/>
              </w:rPr>
            </w:pPr>
            <w:r>
              <w:rPr>
                <w:rFonts w:ascii="Arial" w:cs="Arial" w:eastAsia="Arial" w:hAnsi="Arial"/>
                <w:sz w:val="16"/>
                <w:szCs w:val="16"/>
                <w:color w:val="auto"/>
              </w:rPr>
              <w:t>Our independent directors regularly meet in executive sessions without management,</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195"/>
        </w:trPr>
        <w:tc>
          <w:tcPr>
            <w:tcW w:w="180" w:type="dxa"/>
            <w:vAlign w:val="bottom"/>
          </w:tcPr>
          <w:p>
            <w:pPr>
              <w:spacing w:after="0"/>
              <w:rPr>
                <w:sz w:val="16"/>
                <w:szCs w:val="16"/>
                <w:color w:val="auto"/>
              </w:rPr>
            </w:pPr>
          </w:p>
        </w:tc>
        <w:tc>
          <w:tcPr>
            <w:tcW w:w="6200" w:type="dxa"/>
            <w:vAlign w:val="bottom"/>
          </w:tcPr>
          <w:p>
            <w:pPr>
              <w:ind w:left="40"/>
              <w:spacing w:after="0"/>
              <w:rPr>
                <w:sz w:val="20"/>
                <w:szCs w:val="20"/>
                <w:color w:val="auto"/>
              </w:rPr>
            </w:pPr>
            <w:r>
              <w:rPr>
                <w:rFonts w:ascii="Arial" w:cs="Arial" w:eastAsia="Arial" w:hAnsi="Arial"/>
                <w:sz w:val="16"/>
                <w:szCs w:val="16"/>
                <w:color w:val="auto"/>
              </w:rPr>
              <w:t>with the Lead Independent Director presiding</w:t>
            </w:r>
          </w:p>
        </w:tc>
        <w:tc>
          <w:tcPr>
            <w:tcW w:w="60" w:type="dxa"/>
            <w:vAlign w:val="bottom"/>
          </w:tcPr>
          <w:p>
            <w:pPr>
              <w:spacing w:after="0"/>
              <w:rPr>
                <w:sz w:val="16"/>
                <w:szCs w:val="16"/>
                <w:color w:val="auto"/>
              </w:rPr>
            </w:pPr>
          </w:p>
        </w:tc>
      </w:tr>
      <w:tr>
        <w:trPr>
          <w:trHeight w:val="310"/>
        </w:trPr>
        <w:tc>
          <w:tcPr>
            <w:tcW w:w="180" w:type="dxa"/>
            <w:vAlign w:val="bottom"/>
          </w:tcPr>
          <w:p>
            <w:pPr>
              <w:spacing w:after="0"/>
              <w:rPr>
                <w:sz w:val="20"/>
                <w:szCs w:val="20"/>
                <w:color w:val="auto"/>
              </w:rPr>
            </w:pPr>
            <w:r>
              <w:rPr>
                <w:rFonts w:ascii="Arial" w:cs="Arial" w:eastAsia="Arial" w:hAnsi="Arial"/>
                <w:sz w:val="16"/>
                <w:szCs w:val="16"/>
                <w:b w:val="1"/>
                <w:bCs w:val="1"/>
                <w:color w:val="auto"/>
              </w:rPr>
              <w:t>​ ​</w:t>
            </w:r>
          </w:p>
        </w:tc>
        <w:tc>
          <w:tcPr>
            <w:tcW w:w="6200" w:type="dxa"/>
            <w:vAlign w:val="bottom"/>
          </w:tcPr>
          <w:p>
            <w:pPr>
              <w:ind w:left="40"/>
              <w:spacing w:after="0"/>
              <w:rPr>
                <w:sz w:val="20"/>
                <w:szCs w:val="20"/>
                <w:color w:val="auto"/>
              </w:rPr>
            </w:pPr>
            <w:r>
              <w:rPr>
                <w:rFonts w:ascii="Arial" w:cs="Arial" w:eastAsia="Arial" w:hAnsi="Arial"/>
                <w:sz w:val="16"/>
                <w:szCs w:val="16"/>
                <w:color w:val="auto"/>
              </w:rPr>
              <w:t>All members of the Board’s three standing committees are independent directors</w:t>
            </w:r>
          </w:p>
        </w:tc>
        <w:tc>
          <w:tcPr>
            <w:tcW w:w="60" w:type="dxa"/>
            <w:vAlign w:val="bottom"/>
          </w:tcPr>
          <w:p>
            <w:pPr>
              <w:ind w:left="20"/>
              <w:spacing w:after="0"/>
              <w:rPr>
                <w:sz w:val="20"/>
                <w:szCs w:val="20"/>
                <w:color w:val="auto"/>
              </w:rPr>
            </w:pPr>
            <w:r>
              <w:rPr>
                <w:rFonts w:ascii="Arial" w:cs="Arial" w:eastAsia="Arial" w:hAnsi="Arial"/>
                <w:sz w:val="16"/>
                <w:szCs w:val="16"/>
                <w:b w:val="1"/>
                <w:bCs w:val="1"/>
                <w:color w:val="auto"/>
              </w:rPr>
              <w:t>​</w:t>
            </w:r>
          </w:p>
        </w:tc>
      </w:tr>
      <w:tr>
        <w:trPr>
          <w:trHeight w:val="318"/>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6200" w:type="dxa"/>
            <w:vAlign w:val="bottom"/>
          </w:tcPr>
          <w:p>
            <w:pPr>
              <w:ind w:left="40"/>
              <w:spacing w:after="0"/>
              <w:rPr>
                <w:sz w:val="20"/>
                <w:szCs w:val="20"/>
                <w:color w:val="auto"/>
              </w:rPr>
            </w:pPr>
            <w:r>
              <w:rPr>
                <w:rFonts w:ascii="Arial" w:cs="Arial" w:eastAsia="Arial" w:hAnsi="Arial"/>
                <w:sz w:val="16"/>
                <w:szCs w:val="16"/>
                <w:color w:val="auto"/>
              </w:rPr>
              <w:t>Our Board regularly takes steps to refresh its membership, including adding three new</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195"/>
        </w:trPr>
        <w:tc>
          <w:tcPr>
            <w:tcW w:w="180" w:type="dxa"/>
            <w:vAlign w:val="bottom"/>
          </w:tcPr>
          <w:p>
            <w:pPr>
              <w:spacing w:after="0"/>
              <w:rPr>
                <w:sz w:val="16"/>
                <w:szCs w:val="16"/>
                <w:color w:val="auto"/>
              </w:rPr>
            </w:pPr>
          </w:p>
        </w:tc>
        <w:tc>
          <w:tcPr>
            <w:tcW w:w="6200" w:type="dxa"/>
            <w:vAlign w:val="bottom"/>
          </w:tcPr>
          <w:p>
            <w:pPr>
              <w:ind w:left="40"/>
              <w:spacing w:after="0"/>
              <w:rPr>
                <w:sz w:val="20"/>
                <w:szCs w:val="20"/>
                <w:color w:val="auto"/>
              </w:rPr>
            </w:pPr>
            <w:r>
              <w:rPr>
                <w:rFonts w:ascii="Arial" w:cs="Arial" w:eastAsia="Arial" w:hAnsi="Arial"/>
                <w:sz w:val="16"/>
                <w:szCs w:val="16"/>
                <w:color w:val="auto"/>
              </w:rPr>
              <w:t>directors since 2022</w:t>
            </w: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-509905</wp:posOffset>
            </wp:positionV>
            <wp:extent cx="5974715" cy="231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74715" cy="231140"/>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12065</wp:posOffset>
            </wp:positionV>
            <wp:extent cx="5974715" cy="291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3180" w:space="380"/>
            <w:col w:w="6540"/>
          </w:cols>
          <w:pgMar w:left="580" w:top="131" w:right="1219" w:bottom="1440" w:gutter="0" w:footer="0" w:header="0"/>
          <w:type w:val="continuous"/>
        </w:sectPr>
      </w:pPr>
    </w:p>
    <w:p>
      <w:pPr>
        <w:spacing w:after="0" w:line="61" w:lineRule="exact"/>
        <w:rPr>
          <w:sz w:val="20"/>
          <w:szCs w:val="20"/>
          <w:color w:val="auto"/>
        </w:rPr>
      </w:pPr>
    </w:p>
    <w:p>
      <w:pPr>
        <w:ind w:left="740" w:hanging="86"/>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0075A8"/>
        </w:rPr>
        <w:t>Risk Assessment</w:t>
      </w:r>
    </w:p>
    <w:p>
      <w:pPr>
        <w:spacing w:after="0" w:line="369" w:lineRule="exact"/>
        <w:rPr>
          <w:rFonts w:ascii="Arial" w:cs="Arial" w:eastAsia="Arial" w:hAnsi="Arial"/>
          <w:sz w:val="16"/>
          <w:szCs w:val="16"/>
          <w:color w:val="auto"/>
        </w:rPr>
      </w:pPr>
    </w:p>
    <w:p>
      <w:pPr>
        <w:ind w:left="740" w:hanging="86"/>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0075A8"/>
        </w:rPr>
        <w:t>Annual Board Assessment</w:t>
      </w:r>
    </w:p>
    <w:p>
      <w:pPr>
        <w:spacing w:after="0" w:line="369" w:lineRule="exact"/>
        <w:rPr>
          <w:rFonts w:ascii="Arial" w:cs="Arial" w:eastAsia="Arial" w:hAnsi="Arial"/>
          <w:sz w:val="16"/>
          <w:szCs w:val="16"/>
          <w:color w:val="auto"/>
        </w:rPr>
      </w:pPr>
    </w:p>
    <w:p>
      <w:pPr>
        <w:ind w:left="740" w:hanging="86"/>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0075A8"/>
        </w:rPr>
        <w:t>Executive Succession Plan</w:t>
      </w:r>
    </w:p>
    <w:p>
      <w:pPr>
        <w:spacing w:after="0" w:line="248" w:lineRule="exact"/>
        <w:rPr>
          <w:rFonts w:ascii="Arial" w:cs="Arial" w:eastAsia="Arial" w:hAnsi="Arial"/>
          <w:sz w:val="16"/>
          <w:szCs w:val="16"/>
          <w:color w:val="auto"/>
        </w:rPr>
      </w:pPr>
    </w:p>
    <w:p>
      <w:pPr>
        <w:ind w:left="740" w:hanging="86"/>
        <w:spacing w:after="0"/>
        <w:tabs>
          <w:tab w:leader="none" w:pos="74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0075A8"/>
        </w:rPr>
        <w:t>No “Poison Pill”</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w:t>
      </w:r>
    </w:p>
    <w:p>
      <w:pPr>
        <w:spacing w:after="0" w:line="20" w:lineRule="exact"/>
        <w:rPr>
          <w:sz w:val="20"/>
          <w:szCs w:val="20"/>
          <w:color w:val="auto"/>
        </w:rPr>
      </w:pPr>
      <w:r>
        <w:rPr>
          <w:sz w:val="20"/>
          <w:szCs w:val="20"/>
          <w:color w:val="auto"/>
        </w:rPr>
        <w:br w:type="column"/>
      </w:r>
    </w:p>
    <w:p>
      <w:pPr>
        <w:ind w:right="640"/>
        <w:spacing w:after="0" w:line="278" w:lineRule="auto"/>
        <w:rPr>
          <w:sz w:val="20"/>
          <w:szCs w:val="20"/>
          <w:color w:val="auto"/>
        </w:rPr>
      </w:pPr>
      <w:r>
        <w:rPr>
          <w:rFonts w:ascii="Arial" w:cs="Arial" w:eastAsia="Arial" w:hAnsi="Arial"/>
          <w:sz w:val="16"/>
          <w:szCs w:val="16"/>
          <w:color w:val="auto"/>
        </w:rPr>
        <w:t>Our Board and its committees regularly review management’s processes for identifying, assessing, and managing risks</w:t>
      </w:r>
    </w:p>
    <w:p>
      <w:pPr>
        <w:spacing w:after="0" w:line="12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Nominating and Corporate Governance Committee oversees an annual evaluation of the effectiveness of the Board, each committee, and individual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53975</wp:posOffset>
            </wp:positionV>
            <wp:extent cx="5974715" cy="291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107" w:lineRule="exact"/>
        <w:rPr>
          <w:sz w:val="20"/>
          <w:szCs w:val="20"/>
          <w:color w:val="auto"/>
        </w:rPr>
      </w:pPr>
    </w:p>
    <w:p>
      <w:pPr>
        <w:ind w:right="420"/>
        <w:spacing w:after="0" w:line="278" w:lineRule="auto"/>
        <w:rPr>
          <w:sz w:val="20"/>
          <w:szCs w:val="20"/>
          <w:color w:val="auto"/>
        </w:rPr>
      </w:pPr>
      <w:r>
        <w:rPr>
          <w:rFonts w:ascii="Arial" w:cs="Arial" w:eastAsia="Arial" w:hAnsi="Arial"/>
          <w:sz w:val="16"/>
          <w:szCs w:val="16"/>
          <w:color w:val="auto"/>
        </w:rPr>
        <w:t>The Board periodically reviews and approves the executive succession plan in consultation with the Compensation Committee and the Chief Executive Officer</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Board has not adopted a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53340</wp:posOffset>
            </wp:positionV>
            <wp:extent cx="5974715" cy="282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74715"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t>
      </w:r>
    </w:p>
    <w:p>
      <w:pPr>
        <w:spacing w:after="0" w:line="37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t>
      </w:r>
    </w:p>
    <w:p>
      <w:pPr>
        <w:spacing w:after="0" w:line="37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t>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w:t>
      </w:r>
    </w:p>
    <w:p>
      <w:pPr>
        <w:spacing w:after="0" w:line="221" w:lineRule="exact"/>
        <w:rPr>
          <w:sz w:val="20"/>
          <w:szCs w:val="20"/>
          <w:color w:val="auto"/>
        </w:rPr>
      </w:pPr>
    </w:p>
    <w:p>
      <w:pPr>
        <w:sectPr>
          <w:pgSz w:w="11900" w:h="16838" w:orient="portrait"/>
          <w:cols w:equalWidth="0" w:num="4">
            <w:col w:w="2840" w:space="720"/>
            <w:col w:w="160" w:space="60"/>
            <w:col w:w="6080" w:space="100"/>
            <w:col w:w="140"/>
          </w:cols>
          <w:pgMar w:left="580" w:top="131" w:right="1219" w:bottom="1440" w:gutter="0" w:footer="0" w:header="0"/>
          <w:type w:val="continuous"/>
        </w:sectPr>
      </w:pPr>
    </w:p>
    <w:p>
      <w:pPr>
        <w:ind w:left="660"/>
        <w:spacing w:after="0"/>
        <w:tabs>
          <w:tab w:leader="none" w:pos="354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0075A8"/>
        </w:rPr>
        <w:t>Stock Ownership Requirements</w:t>
      </w:r>
      <w:r>
        <w:rPr>
          <w:sz w:val="20"/>
          <w:szCs w:val="20"/>
          <w:color w:val="auto"/>
        </w:rPr>
        <w:tab/>
      </w:r>
      <w:r>
        <w:rPr>
          <w:rFonts w:ascii="Arial" w:cs="Arial" w:eastAsia="Arial" w:hAnsi="Arial"/>
          <w:sz w:val="16"/>
          <w:szCs w:val="16"/>
          <w:color w:val="auto"/>
        </w:rPr>
        <w:t>​ ​ All directors and executive officers are subject to robust stock ownership requirements ​</w:t>
      </w:r>
    </w:p>
    <w:p>
      <w:pPr>
        <w:sectPr>
          <w:pgSz w:w="11900" w:h="16838" w:orient="portrait"/>
          <w:cols w:equalWidth="0" w:num="1">
            <w:col w:w="10100"/>
          </w:cols>
          <w:pgMar w:left="580" w:top="131" w:right="1219" w:bottom="1440" w:gutter="0" w:footer="0" w:header="0"/>
          <w:type w:val="continuous"/>
        </w:sectPr>
      </w:pPr>
    </w:p>
    <w:p>
      <w:pPr>
        <w:spacing w:after="0" w:line="235" w:lineRule="exact"/>
        <w:rPr>
          <w:sz w:val="20"/>
          <w:szCs w:val="20"/>
          <w:color w:val="auto"/>
        </w:rPr>
      </w:pPr>
    </w:p>
    <w:p>
      <w:pPr>
        <w:ind w:left="740" w:hanging="86"/>
        <w:spacing w:after="0"/>
        <w:tabs>
          <w:tab w:leader="none" w:pos="74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0075A8"/>
        </w:rPr>
        <w:t>Prohibition on Pledging</w:t>
      </w:r>
    </w:p>
    <w:p>
      <w:pPr>
        <w:spacing w:after="0" w:line="207" w:lineRule="exact"/>
        <w:rPr>
          <w:rFonts w:ascii="Arial" w:cs="Arial" w:eastAsia="Arial" w:hAnsi="Arial"/>
          <w:sz w:val="16"/>
          <w:szCs w:val="16"/>
          <w:b w:val="1"/>
          <w:bCs w:val="1"/>
          <w:color w:val="auto"/>
        </w:rPr>
      </w:pPr>
    </w:p>
    <w:p>
      <w:pPr>
        <w:ind w:left="740" w:hanging="86"/>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0075A8"/>
        </w:rPr>
        <w:t>Special Meeting Right</w:t>
      </w:r>
    </w:p>
    <w:p>
      <w:pPr>
        <w:spacing w:after="0" w:line="275" w:lineRule="exact"/>
        <w:rPr>
          <w:rFonts w:ascii="Arial" w:cs="Arial" w:eastAsia="Arial" w:hAnsi="Arial"/>
          <w:sz w:val="16"/>
          <w:szCs w:val="16"/>
          <w:color w:val="auto"/>
        </w:rPr>
      </w:pPr>
    </w:p>
    <w:p>
      <w:pPr>
        <w:ind w:left="740" w:hanging="86"/>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0075A8"/>
        </w:rPr>
        <w:t>Proxy Access</w:t>
      </w:r>
    </w:p>
    <w:p>
      <w:pPr>
        <w:spacing w:after="0" w:line="288" w:lineRule="exact"/>
        <w:rPr>
          <w:rFonts w:ascii="Arial" w:cs="Arial" w:eastAsia="Arial" w:hAnsi="Arial"/>
          <w:sz w:val="16"/>
          <w:szCs w:val="16"/>
          <w:color w:val="auto"/>
        </w:rPr>
      </w:pPr>
    </w:p>
    <w:p>
      <w:pPr>
        <w:ind w:left="740" w:hanging="86"/>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0075A8"/>
        </w:rPr>
        <w:t>Regular Stockholder Engagement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prohibit our directors and employees from pledging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53340</wp:posOffset>
            </wp:positionV>
            <wp:extent cx="5974715"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107" w:lineRule="exact"/>
        <w:rPr>
          <w:sz w:val="20"/>
          <w:szCs w:val="20"/>
          <w:color w:val="auto"/>
        </w:rPr>
      </w:pPr>
    </w:p>
    <w:p>
      <w:pPr>
        <w:ind w:right="740"/>
        <w:spacing w:after="0" w:line="278" w:lineRule="auto"/>
        <w:rPr>
          <w:sz w:val="20"/>
          <w:szCs w:val="20"/>
          <w:color w:val="auto"/>
        </w:rPr>
      </w:pPr>
      <w:r>
        <w:rPr>
          <w:rFonts w:ascii="Arial" w:cs="Arial" w:eastAsia="Arial" w:hAnsi="Arial"/>
          <w:sz w:val="16"/>
          <w:szCs w:val="16"/>
          <w:color w:val="auto"/>
        </w:rPr>
        <w:t>Our stockholders have the right to call a special meeting of the Company’s stockholders</w:t>
      </w:r>
    </w:p>
    <w:p>
      <w:pPr>
        <w:spacing w:after="0" w:line="3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Eligible stockholders may nominate their own director nominees to be included in the Company’s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-5715</wp:posOffset>
            </wp:positionV>
            <wp:extent cx="5974715"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74715" cy="300355"/>
                    </a:xfrm>
                    <a:prstGeom prst="rect">
                      <a:avLst/>
                    </a:prstGeom>
                    <a:noFill/>
                  </pic:spPr>
                </pic:pic>
              </a:graphicData>
            </a:graphic>
          </wp:anchor>
        </w:drawing>
      </w:r>
    </w:p>
    <w:p>
      <w:pPr>
        <w:spacing w:after="0" w:line="13"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We regularly conduct outreach to our stockholders to understand their perspectives on governance matters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w:t>
      </w: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t>
      </w:r>
    </w:p>
    <w:p>
      <w:pPr>
        <w:spacing w:after="0" w:line="27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t>
      </w: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t>
      </w:r>
    </w:p>
    <w:p>
      <w:pPr>
        <w:spacing w:after="0" w:line="347" w:lineRule="exact"/>
        <w:rPr>
          <w:sz w:val="20"/>
          <w:szCs w:val="20"/>
          <w:color w:val="auto"/>
        </w:rPr>
      </w:pPr>
    </w:p>
    <w:p>
      <w:pPr>
        <w:sectPr>
          <w:pgSz w:w="11900" w:h="16838" w:orient="portrait"/>
          <w:cols w:equalWidth="0" w:num="4">
            <w:col w:w="3360" w:space="200"/>
            <w:col w:w="160" w:space="60"/>
            <w:col w:w="6060" w:space="120"/>
            <w:col w:w="140"/>
          </w:cols>
          <w:pgMar w:left="580" w:top="131"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tabs>
          <w:tab w:leader="none" w:pos="2160" w:val="left"/>
          <w:tab w:leader="none" w:pos="2400" w:val="left"/>
          <w:tab w:leader="none" w:pos="8480" w:val="left"/>
          <w:tab w:leader="none" w:pos="994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60" w:right="80"/>
        <w:spacing w:after="0" w:line="271" w:lineRule="auto"/>
        <w:rPr>
          <w:sz w:val="20"/>
          <w:szCs w:val="20"/>
          <w:color w:val="auto"/>
        </w:rPr>
      </w:pPr>
      <w:r>
        <w:rPr>
          <w:rFonts w:ascii="Arial" w:cs="Arial" w:eastAsia="Arial" w:hAnsi="Arial"/>
          <w:sz w:val="19"/>
          <w:szCs w:val="19"/>
          <w:color w:val="auto"/>
        </w:rPr>
        <w:t>Under our pay-for-performance philosophy, we believe that executive compensation should be strongly aligned with the interests of our long-term stockholders. As a result, a substantial portion of each Named Executive Officer’s annual compensation is tied to Company performance and stock price performance. The charts below show the target total direct compensation mix for fiscal year 2022 for our Chief Executive Officer and the average for the other Named Executive Officers, in each case reflecting actual salary, target short-term incentive award, and the grant date fair value of long-term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151130</wp:posOffset>
            </wp:positionV>
            <wp:extent cx="5426075" cy="26060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2607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60" w:right="220"/>
        <w:spacing w:after="0" w:line="254" w:lineRule="auto"/>
        <w:rPr>
          <w:sz w:val="20"/>
          <w:szCs w:val="20"/>
          <w:color w:val="auto"/>
        </w:rPr>
      </w:pPr>
      <w:r>
        <w:rPr>
          <w:rFonts w:ascii="Arial" w:cs="Arial" w:eastAsia="Arial" w:hAnsi="Arial"/>
          <w:sz w:val="20"/>
          <w:szCs w:val="20"/>
          <w:color w:val="auto"/>
        </w:rPr>
        <w:t>Engagement with the Company’s stockholders is a critical part of our commitment to good corporate governance, and we regularly conduct outreach to our stockholders to understand their perspectives on governance matters. Most recently, we engaged in formal stockholder outreach following the 2022 Annual Meeting. We solicited feedback from approximately twenty of our largest institutional stockholders representing approximately 41% of the Company’s shares outstanding. Stockholders representing approximately 29% of the Company’s shares outstanding responded to the outreach, and we held engagement meetings with those stockholders who wanted to meet.</w:t>
      </w:r>
    </w:p>
    <w:p>
      <w:pPr>
        <w:spacing w:after="0" w:line="213" w:lineRule="exact"/>
        <w:rPr>
          <w:sz w:val="20"/>
          <w:szCs w:val="20"/>
          <w:color w:val="auto"/>
        </w:rPr>
      </w:pPr>
    </w:p>
    <w:p>
      <w:pPr>
        <w:ind w:left="660" w:right="400"/>
        <w:spacing w:after="0" w:line="257" w:lineRule="auto"/>
        <w:rPr>
          <w:sz w:val="20"/>
          <w:szCs w:val="20"/>
          <w:color w:val="auto"/>
        </w:rPr>
      </w:pPr>
      <w:r>
        <w:rPr>
          <w:rFonts w:ascii="Arial" w:cs="Arial" w:eastAsia="Arial" w:hAnsi="Arial"/>
          <w:sz w:val="20"/>
          <w:szCs w:val="20"/>
          <w:color w:val="auto"/>
        </w:rPr>
        <w:t>Topics of conversation in the engagement meetings included the Company’s executive compensation program, Board refreshment, Board diversity, and sustainability disclosures, with stockholders generally expressing support for the Company’s actions on those topics.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tabs>
          <w:tab w:leader="none" w:pos="2160" w:val="left"/>
          <w:tab w:leader="none" w:pos="2400" w:val="left"/>
          <w:tab w:leader="none" w:pos="8480" w:val="left"/>
          <w:tab w:leader="none" w:pos="994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bookmarkStart w:id="12" w:name="page13"/>
    <w:bookmarkEnd w:id="12"/>
    <w:p>
      <w:pPr>
        <w:ind w:left="100"/>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480810" cy="403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80810" cy="403225"/>
                    </a:xfrm>
                    <a:prstGeom prst="rect">
                      <a:avLst/>
                    </a:prstGeom>
                    <a:noFill/>
                  </pic:spPr>
                </pic:pic>
              </a:graphicData>
            </a:graphic>
          </wp:anchor>
        </w:drawing>
      </w:r>
    </w:p>
    <w:p>
      <w:pPr>
        <w:spacing w:after="0" w:line="25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1:</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0075A8"/>
        </w:rPr>
        <w:t>ELECTION OF DIRECTORS</w:t>
      </w:r>
    </w:p>
    <w:p>
      <w:pPr>
        <w:sectPr>
          <w:pgSz w:w="11900" w:h="16838" w:orient="portrait"/>
          <w:cols w:equalWidth="0" w:num="1">
            <w:col w:w="10200"/>
          </w:cols>
          <w:pgMar w:left="480" w:top="132" w:right="1219" w:bottom="1440" w:gutter="0" w:footer="0" w:header="0"/>
        </w:sectPr>
      </w:pPr>
    </w:p>
    <w:p>
      <w:pPr>
        <w:spacing w:after="0" w:line="299" w:lineRule="exact"/>
        <w:rPr>
          <w:sz w:val="20"/>
          <w:szCs w:val="20"/>
          <w:color w:val="auto"/>
        </w:rPr>
      </w:pPr>
    </w:p>
    <w:p>
      <w:pPr>
        <w:ind w:left="760"/>
        <w:spacing w:after="0" w:line="254" w:lineRule="auto"/>
        <w:rPr>
          <w:sz w:val="20"/>
          <w:szCs w:val="20"/>
          <w:color w:val="auto"/>
        </w:rPr>
      </w:pPr>
      <w:r>
        <w:rPr>
          <w:rFonts w:ascii="Arial" w:cs="Arial" w:eastAsia="Arial" w:hAnsi="Arial"/>
          <w:sz w:val="20"/>
          <w:szCs w:val="20"/>
          <w:color w:val="auto"/>
        </w:rPr>
        <w:t>Under this Proposal 1, you are being asked to consider nine nominees for election to our Board of Directors to serve until the 2024 Annual Meeting of Stockholders and until their successors are elected and qualified or until their earlier resignation or removal. Each nominee for election has agreed to serve if elected, and the Board knows of no reason why any nominee should be unable or unwilling to serve. If a nominee is unable or unwilling to serve, the attorneys-in-fact named in this Proxy Statement will vote any shares represented at the meeting by proxy for the election of another individual nominated by the Board, if any. No nominee or executive officer is related by blood, marriage, or adoption to any other director, nominee, or executive officer. No arrangements or understandings exist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152400</wp:posOffset>
            </wp:positionV>
            <wp:extent cx="34290" cy="3689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68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color w:val="auto"/>
        </w:rPr>
        <w:t>any director or person nominated for election as a director and any other person pursuant to which such person is to be selected as a director or nominee for election as a director.</w:t>
      </w:r>
    </w:p>
    <w:p>
      <w:pPr>
        <w:spacing w:after="0" w:line="207"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Proxies cannot be voted for a greater number of individuals than the number of nominees named in this Proxy Statement.</w:t>
      </w:r>
    </w:p>
    <w:p>
      <w:pPr>
        <w:spacing w:after="0" w:line="206"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The following table lists the nine nominees for election as directors, the year such nominees were first elected as directors of the Company, and their Board committee memberships as of March 1, 2023. The table also lists the number of meetings held by each committee during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485140</wp:posOffset>
            </wp:positionV>
            <wp:extent cx="2957195"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57195" cy="180340"/>
                    </a:xfrm>
                    <a:prstGeom prst="rect">
                      <a:avLst/>
                    </a:prstGeom>
                    <a:noFill/>
                  </pic:spPr>
                </pic:pic>
              </a:graphicData>
            </a:graphic>
          </wp:anchor>
        </w:drawing>
      </w:r>
    </w:p>
    <w:p>
      <w:pPr>
        <w:spacing w:after="0" w:line="724" w:lineRule="exact"/>
        <w:rPr>
          <w:sz w:val="20"/>
          <w:szCs w:val="20"/>
          <w:color w:val="auto"/>
        </w:rPr>
      </w:pPr>
    </w:p>
    <w:p>
      <w:pPr>
        <w:sectPr>
          <w:pgSz w:w="11900" w:h="16838" w:orient="portrait"/>
          <w:cols w:equalWidth="0" w:num="2">
            <w:col w:w="5240" w:space="440"/>
            <w:col w:w="4520"/>
          </w:cols>
          <w:pgMar w:left="480" w:top="132" w:right="1219" w:bottom="1440" w:gutter="0" w:footer="0" w:header="0"/>
          <w:type w:val="continuous"/>
        </w:sectPr>
      </w:pPr>
    </w:p>
    <w:p>
      <w:pPr>
        <w:spacing w:after="0" w:line="40" w:lineRule="exact"/>
        <w:rPr>
          <w:sz w:val="20"/>
          <w:szCs w:val="20"/>
          <w:color w:val="auto"/>
        </w:rPr>
      </w:pPr>
    </w:p>
    <w:tbl>
      <w:tblPr>
        <w:tblLayout w:type="fixed"/>
        <w:tblInd w:w="760" w:type="dxa"/>
        <w:tblCellMar>
          <w:top w:w="0" w:type="dxa"/>
          <w:left w:w="0" w:type="dxa"/>
          <w:bottom w:w="0" w:type="dxa"/>
          <w:right w:w="0" w:type="dxa"/>
        </w:tblCellMar>
      </w:tblPr>
      <w:tr>
        <w:trPr>
          <w:trHeight w:val="284"/>
        </w:trPr>
        <w:tc>
          <w:tcPr>
            <w:tcW w:w="3320" w:type="dxa"/>
            <w:vAlign w:val="bottom"/>
            <w:shd w:val="clear" w:color="auto" w:fill="0075A8"/>
          </w:tcPr>
          <w:p>
            <w:pPr>
              <w:ind w:left="20"/>
              <w:spacing w:after="0"/>
              <w:rPr>
                <w:sz w:val="20"/>
                <w:szCs w:val="20"/>
                <w:color w:val="auto"/>
              </w:rPr>
            </w:pPr>
            <w:r>
              <w:rPr>
                <w:rFonts w:ascii="Arial" w:cs="Arial" w:eastAsia="Arial" w:hAnsi="Arial"/>
                <w:sz w:val="18"/>
                <w:szCs w:val="18"/>
                <w:color w:val="FFFFFF"/>
              </w:rPr>
              <w:t>​​</w:t>
            </w:r>
          </w:p>
        </w:tc>
        <w:tc>
          <w:tcPr>
            <w:tcW w:w="240" w:type="dxa"/>
            <w:vAlign w:val="bottom"/>
            <w:shd w:val="clear" w:color="auto" w:fill="0075A8"/>
          </w:tcPr>
          <w:p>
            <w:pPr>
              <w:ind w:left="120"/>
              <w:spacing w:after="0"/>
              <w:rPr>
                <w:sz w:val="20"/>
                <w:szCs w:val="20"/>
                <w:color w:val="auto"/>
              </w:rPr>
            </w:pPr>
            <w:r>
              <w:rPr>
                <w:rFonts w:ascii="Arial" w:cs="Arial" w:eastAsia="Arial" w:hAnsi="Arial"/>
                <w:sz w:val="18"/>
                <w:szCs w:val="18"/>
                <w:color w:val="FFFFFF"/>
              </w:rPr>
              <w:t>​</w:t>
            </w:r>
          </w:p>
        </w:tc>
        <w:tc>
          <w:tcPr>
            <w:tcW w:w="240" w:type="dxa"/>
            <w:vAlign w:val="bottom"/>
            <w:shd w:val="clear" w:color="auto" w:fill="0075A8"/>
          </w:tcPr>
          <w:p>
            <w:pPr>
              <w:spacing w:after="0"/>
              <w:rPr>
                <w:sz w:val="24"/>
                <w:szCs w:val="24"/>
                <w:color w:val="auto"/>
              </w:rPr>
            </w:pPr>
          </w:p>
        </w:tc>
        <w:tc>
          <w:tcPr>
            <w:tcW w:w="740" w:type="dxa"/>
            <w:vAlign w:val="bottom"/>
            <w:vMerge w:val="restart"/>
            <w:shd w:val="clear" w:color="auto" w:fill="0075A8"/>
          </w:tcPr>
          <w:p>
            <w:pPr>
              <w:jc w:val="center"/>
              <w:spacing w:after="0"/>
              <w:rPr>
                <w:sz w:val="20"/>
                <w:szCs w:val="20"/>
                <w:color w:val="auto"/>
              </w:rPr>
            </w:pPr>
            <w:r>
              <w:rPr>
                <w:rFonts w:ascii="Arial" w:cs="Arial" w:eastAsia="Arial" w:hAnsi="Arial"/>
                <w:sz w:val="18"/>
                <w:szCs w:val="18"/>
                <w:color w:val="FFFFFF"/>
              </w:rPr>
              <w:t>Director</w:t>
            </w:r>
          </w:p>
        </w:tc>
        <w:tc>
          <w:tcPr>
            <w:tcW w:w="200" w:type="dxa"/>
            <w:vAlign w:val="bottom"/>
            <w:shd w:val="clear" w:color="auto" w:fill="0075A8"/>
          </w:tcPr>
          <w:p>
            <w:pPr>
              <w:spacing w:after="0"/>
              <w:rPr>
                <w:sz w:val="24"/>
                <w:szCs w:val="24"/>
                <w:color w:val="auto"/>
              </w:rPr>
            </w:pPr>
          </w:p>
        </w:tc>
        <w:tc>
          <w:tcPr>
            <w:tcW w:w="260" w:type="dxa"/>
            <w:vAlign w:val="bottom"/>
            <w:shd w:val="clear" w:color="auto" w:fill="0075A8"/>
          </w:tcPr>
          <w:p>
            <w:pPr>
              <w:ind w:left="140"/>
              <w:spacing w:after="0"/>
              <w:rPr>
                <w:sz w:val="20"/>
                <w:szCs w:val="20"/>
                <w:color w:val="auto"/>
              </w:rPr>
            </w:pPr>
            <w:r>
              <w:rPr>
                <w:rFonts w:ascii="Arial" w:cs="Arial" w:eastAsia="Arial" w:hAnsi="Arial"/>
                <w:sz w:val="18"/>
                <w:szCs w:val="18"/>
                <w:color w:val="FFFFFF"/>
              </w:rPr>
              <w:t>​</w:t>
            </w:r>
          </w:p>
        </w:tc>
        <w:tc>
          <w:tcPr>
            <w:tcW w:w="1080" w:type="dxa"/>
            <w:vAlign w:val="bottom"/>
          </w:tcPr>
          <w:p>
            <w:pPr>
              <w:jc w:val="right"/>
              <w:ind w:right="398"/>
              <w:spacing w:after="0"/>
              <w:rPr>
                <w:sz w:val="20"/>
                <w:szCs w:val="20"/>
                <w:color w:val="auto"/>
              </w:rPr>
            </w:pPr>
            <w:r>
              <w:rPr>
                <w:rFonts w:ascii="Arial" w:cs="Arial" w:eastAsia="Arial" w:hAnsi="Arial"/>
                <w:sz w:val="18"/>
                <w:szCs w:val="18"/>
                <w:color w:val="FFFFFF"/>
              </w:rPr>
              <w:t>​</w:t>
            </w:r>
          </w:p>
        </w:tc>
        <w:tc>
          <w:tcPr>
            <w:tcW w:w="260" w:type="dxa"/>
            <w:vAlign w:val="bottom"/>
          </w:tcPr>
          <w:p>
            <w:pPr>
              <w:ind w:left="140"/>
              <w:spacing w:after="0"/>
              <w:rPr>
                <w:sz w:val="20"/>
                <w:szCs w:val="20"/>
                <w:color w:val="auto"/>
              </w:rPr>
            </w:pPr>
            <w:r>
              <w:rPr>
                <w:rFonts w:ascii="Arial" w:cs="Arial" w:eastAsia="Arial" w:hAnsi="Arial"/>
                <w:sz w:val="18"/>
                <w:szCs w:val="18"/>
                <w:color w:val="FFFFFF"/>
              </w:rPr>
              <w:t>​</w:t>
            </w:r>
          </w:p>
        </w:tc>
        <w:tc>
          <w:tcPr>
            <w:tcW w:w="280" w:type="dxa"/>
            <w:vAlign w:val="bottom"/>
          </w:tcPr>
          <w:p>
            <w:pPr>
              <w:ind w:left="120"/>
              <w:spacing w:after="0"/>
              <w:rPr>
                <w:sz w:val="20"/>
                <w:szCs w:val="20"/>
                <w:color w:val="auto"/>
              </w:rPr>
            </w:pPr>
            <w:r>
              <w:rPr>
                <w:rFonts w:ascii="Arial" w:cs="Arial" w:eastAsia="Arial" w:hAnsi="Arial"/>
                <w:sz w:val="18"/>
                <w:szCs w:val="18"/>
                <w:color w:val="FFFFFF"/>
              </w:rPr>
              <w:t>​</w:t>
            </w:r>
          </w:p>
        </w:tc>
        <w:tc>
          <w:tcPr>
            <w:tcW w:w="340" w:type="dxa"/>
            <w:vAlign w:val="bottom"/>
          </w:tcPr>
          <w:p>
            <w:pPr>
              <w:spacing w:after="0"/>
              <w:rPr>
                <w:sz w:val="24"/>
                <w:szCs w:val="24"/>
                <w:color w:val="auto"/>
              </w:rPr>
            </w:pPr>
          </w:p>
        </w:tc>
        <w:tc>
          <w:tcPr>
            <w:tcW w:w="2020" w:type="dxa"/>
            <w:vAlign w:val="bottom"/>
            <w:gridSpan w:val="5"/>
          </w:tcPr>
          <w:p>
            <w:pPr>
              <w:spacing w:after="0"/>
              <w:rPr>
                <w:sz w:val="20"/>
                <w:szCs w:val="20"/>
                <w:color w:val="auto"/>
              </w:rPr>
            </w:pPr>
            <w:r>
              <w:rPr>
                <w:rFonts w:ascii="Arial" w:cs="Arial" w:eastAsia="Arial" w:hAnsi="Arial"/>
                <w:sz w:val="18"/>
                <w:szCs w:val="18"/>
                <w:color w:val="FFFFFF"/>
                <w:w w:val="99"/>
              </w:rPr>
              <w:t>Committee Memberships</w:t>
            </w:r>
          </w:p>
        </w:tc>
        <w:tc>
          <w:tcPr>
            <w:tcW w:w="260" w:type="dxa"/>
            <w:vAlign w:val="bottom"/>
          </w:tcPr>
          <w:p>
            <w:pPr>
              <w:spacing w:after="0"/>
              <w:rPr>
                <w:sz w:val="24"/>
                <w:szCs w:val="24"/>
                <w:color w:val="auto"/>
              </w:rPr>
            </w:pPr>
          </w:p>
        </w:tc>
        <w:tc>
          <w:tcPr>
            <w:tcW w:w="180" w:type="dxa"/>
            <w:vAlign w:val="bottom"/>
            <w:gridSpan w:val="2"/>
          </w:tcPr>
          <w:p>
            <w:pPr>
              <w:ind w:left="14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47"/>
        </w:trPr>
        <w:tc>
          <w:tcPr>
            <w:tcW w:w="3320" w:type="dxa"/>
            <w:vAlign w:val="bottom"/>
          </w:tcPr>
          <w:p>
            <w:pPr>
              <w:spacing w:after="0"/>
              <w:rPr>
                <w:sz w:val="4"/>
                <w:szCs w:val="4"/>
                <w:color w:val="auto"/>
              </w:rPr>
            </w:pPr>
          </w:p>
        </w:tc>
        <w:tc>
          <w:tcPr>
            <w:tcW w:w="240" w:type="dxa"/>
            <w:vAlign w:val="bottom"/>
            <w:tcBorders>
              <w:top w:val="single" w:sz="8" w:color="0075A8"/>
            </w:tcBorders>
          </w:tcPr>
          <w:p>
            <w:pPr>
              <w:spacing w:after="0"/>
              <w:rPr>
                <w:sz w:val="4"/>
                <w:szCs w:val="4"/>
                <w:color w:val="auto"/>
              </w:rPr>
            </w:pPr>
          </w:p>
        </w:tc>
        <w:tc>
          <w:tcPr>
            <w:tcW w:w="240" w:type="dxa"/>
            <w:vAlign w:val="bottom"/>
            <w:tcBorders>
              <w:top w:val="single" w:sz="8" w:color="0075A8"/>
            </w:tcBorders>
            <w:shd w:val="clear" w:color="auto" w:fill="0075A8"/>
          </w:tcPr>
          <w:p>
            <w:pPr>
              <w:spacing w:after="0"/>
              <w:rPr>
                <w:sz w:val="4"/>
                <w:szCs w:val="4"/>
                <w:color w:val="auto"/>
              </w:rPr>
            </w:pPr>
          </w:p>
        </w:tc>
        <w:tc>
          <w:tcPr>
            <w:tcW w:w="740" w:type="dxa"/>
            <w:vAlign w:val="bottom"/>
            <w:tcBorders>
              <w:top w:val="single" w:sz="8" w:color="0075A8"/>
            </w:tcBorders>
            <w:vMerge w:val="continue"/>
            <w:shd w:val="clear" w:color="auto" w:fill="0075A8"/>
          </w:tcPr>
          <w:p>
            <w:pPr>
              <w:spacing w:after="0"/>
              <w:rPr>
                <w:sz w:val="4"/>
                <w:szCs w:val="4"/>
                <w:color w:val="auto"/>
              </w:rPr>
            </w:pPr>
          </w:p>
        </w:tc>
        <w:tc>
          <w:tcPr>
            <w:tcW w:w="200" w:type="dxa"/>
            <w:vAlign w:val="bottom"/>
            <w:tcBorders>
              <w:top w:val="single" w:sz="8" w:color="0075A8"/>
            </w:tcBorders>
            <w:shd w:val="clear" w:color="auto" w:fill="0075A8"/>
          </w:tcPr>
          <w:p>
            <w:pPr>
              <w:spacing w:after="0"/>
              <w:rPr>
                <w:sz w:val="4"/>
                <w:szCs w:val="4"/>
                <w:color w:val="auto"/>
              </w:rPr>
            </w:pPr>
          </w:p>
        </w:tc>
        <w:tc>
          <w:tcPr>
            <w:tcW w:w="260" w:type="dxa"/>
            <w:vAlign w:val="bottom"/>
            <w:tcBorders>
              <w:top w:val="single" w:sz="8" w:color="0075A8"/>
            </w:tcBorders>
            <w:shd w:val="clear" w:color="auto" w:fill="0075A8"/>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Borders>
              <w:top w:val="single" w:sz="8" w:color="0075A8"/>
            </w:tcBorders>
          </w:tcPr>
          <w:p>
            <w:pPr>
              <w:spacing w:after="0"/>
              <w:rPr>
                <w:sz w:val="4"/>
                <w:szCs w:val="4"/>
                <w:color w:val="auto"/>
              </w:rPr>
            </w:pPr>
          </w:p>
        </w:tc>
        <w:tc>
          <w:tcPr>
            <w:tcW w:w="280" w:type="dxa"/>
            <w:vAlign w:val="bottom"/>
            <w:tcBorders>
              <w:top w:val="single" w:sz="8" w:color="FEFEFE"/>
            </w:tcBorders>
          </w:tcPr>
          <w:p>
            <w:pPr>
              <w:spacing w:after="0"/>
              <w:rPr>
                <w:sz w:val="4"/>
                <w:szCs w:val="4"/>
                <w:color w:val="auto"/>
              </w:rPr>
            </w:pPr>
          </w:p>
        </w:tc>
        <w:tc>
          <w:tcPr>
            <w:tcW w:w="340" w:type="dxa"/>
            <w:vAlign w:val="bottom"/>
            <w:tcBorders>
              <w:top w:val="single" w:sz="8" w:color="FEFEFE"/>
            </w:tcBorders>
          </w:tcPr>
          <w:p>
            <w:pPr>
              <w:spacing w:after="0"/>
              <w:rPr>
                <w:sz w:val="4"/>
                <w:szCs w:val="4"/>
                <w:color w:val="auto"/>
              </w:rPr>
            </w:pPr>
          </w:p>
        </w:tc>
        <w:tc>
          <w:tcPr>
            <w:tcW w:w="400" w:type="dxa"/>
            <w:vAlign w:val="bottom"/>
            <w:tcBorders>
              <w:top w:val="single" w:sz="8" w:color="FEFEFE"/>
            </w:tcBorders>
          </w:tcPr>
          <w:p>
            <w:pPr>
              <w:spacing w:after="0"/>
              <w:rPr>
                <w:sz w:val="4"/>
                <w:szCs w:val="4"/>
                <w:color w:val="auto"/>
              </w:rPr>
            </w:pPr>
          </w:p>
        </w:tc>
        <w:tc>
          <w:tcPr>
            <w:tcW w:w="300" w:type="dxa"/>
            <w:vAlign w:val="bottom"/>
            <w:tcBorders>
              <w:top w:val="single" w:sz="8" w:color="FEFEFE"/>
            </w:tcBorders>
          </w:tcPr>
          <w:p>
            <w:pPr>
              <w:spacing w:after="0"/>
              <w:rPr>
                <w:sz w:val="4"/>
                <w:szCs w:val="4"/>
                <w:color w:val="auto"/>
              </w:rPr>
            </w:pPr>
          </w:p>
        </w:tc>
        <w:tc>
          <w:tcPr>
            <w:tcW w:w="560" w:type="dxa"/>
            <w:vAlign w:val="bottom"/>
            <w:tcBorders>
              <w:top w:val="single" w:sz="8" w:color="FEFEFE"/>
            </w:tcBorders>
          </w:tcPr>
          <w:p>
            <w:pPr>
              <w:spacing w:after="0"/>
              <w:rPr>
                <w:sz w:val="4"/>
                <w:szCs w:val="4"/>
                <w:color w:val="auto"/>
              </w:rPr>
            </w:pPr>
          </w:p>
        </w:tc>
        <w:tc>
          <w:tcPr>
            <w:tcW w:w="300" w:type="dxa"/>
            <w:vAlign w:val="bottom"/>
            <w:tcBorders>
              <w:top w:val="single" w:sz="8" w:color="FEFEFE"/>
            </w:tcBorders>
          </w:tcPr>
          <w:p>
            <w:pPr>
              <w:spacing w:after="0"/>
              <w:rPr>
                <w:sz w:val="4"/>
                <w:szCs w:val="4"/>
                <w:color w:val="auto"/>
              </w:rPr>
            </w:pPr>
          </w:p>
        </w:tc>
        <w:tc>
          <w:tcPr>
            <w:tcW w:w="460" w:type="dxa"/>
            <w:vAlign w:val="bottom"/>
            <w:tcBorders>
              <w:top w:val="single" w:sz="8" w:color="FEFEFE"/>
            </w:tcBorders>
          </w:tcPr>
          <w:p>
            <w:pPr>
              <w:spacing w:after="0"/>
              <w:rPr>
                <w:sz w:val="4"/>
                <w:szCs w:val="4"/>
                <w:color w:val="auto"/>
              </w:rPr>
            </w:pPr>
          </w:p>
        </w:tc>
        <w:tc>
          <w:tcPr>
            <w:tcW w:w="260" w:type="dxa"/>
            <w:vAlign w:val="bottom"/>
            <w:tcBorders>
              <w:top w:val="single" w:sz="8" w:color="FEFEFE"/>
            </w:tcBorders>
          </w:tcPr>
          <w:p>
            <w:pPr>
              <w:spacing w:after="0"/>
              <w:rPr>
                <w:sz w:val="4"/>
                <w:szCs w:val="4"/>
                <w:color w:val="auto"/>
              </w:rPr>
            </w:pPr>
          </w:p>
        </w:tc>
        <w:tc>
          <w:tcPr>
            <w:tcW w:w="160" w:type="dxa"/>
            <w:vAlign w:val="bottom"/>
            <w:tcBorders>
              <w:top w:val="single" w:sz="8" w:color="FEFEF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FFFFFF"/>
              </w:rPr>
              <w:t>​Name</w:t>
            </w:r>
          </w:p>
        </w:tc>
        <w:tc>
          <w:tcPr>
            <w:tcW w:w="240" w:type="dxa"/>
            <w:vAlign w:val="bottom"/>
          </w:tcPr>
          <w:p>
            <w:pPr>
              <w:ind w:left="120"/>
              <w:spacing w:after="0"/>
              <w:rPr>
                <w:sz w:val="20"/>
                <w:szCs w:val="20"/>
                <w:color w:val="auto"/>
              </w:rPr>
            </w:pPr>
            <w:r>
              <w:rPr>
                <w:rFonts w:ascii="Arial" w:cs="Arial" w:eastAsia="Arial" w:hAnsi="Arial"/>
                <w:sz w:val="18"/>
                <w:szCs w:val="18"/>
                <w:color w:val="FFFFFF"/>
              </w:rPr>
              <w:t>​</w:t>
            </w:r>
          </w:p>
        </w:tc>
        <w:tc>
          <w:tcPr>
            <w:tcW w:w="240" w:type="dxa"/>
            <w:vAlign w:val="bottom"/>
            <w:shd w:val="clear" w:color="auto" w:fill="0075A8"/>
          </w:tcPr>
          <w:p>
            <w:pPr>
              <w:ind w:left="140"/>
              <w:spacing w:after="0"/>
              <w:rPr>
                <w:sz w:val="20"/>
                <w:szCs w:val="20"/>
                <w:color w:val="auto"/>
              </w:rPr>
            </w:pPr>
            <w:r>
              <w:rPr>
                <w:rFonts w:ascii="Arial" w:cs="Arial" w:eastAsia="Arial" w:hAnsi="Arial"/>
                <w:sz w:val="18"/>
                <w:szCs w:val="18"/>
                <w:color w:val="FFFFFF"/>
              </w:rPr>
              <w:t>​</w:t>
            </w:r>
          </w:p>
        </w:tc>
        <w:tc>
          <w:tcPr>
            <w:tcW w:w="740" w:type="dxa"/>
            <w:vAlign w:val="bottom"/>
            <w:shd w:val="clear" w:color="auto" w:fill="0075A8"/>
          </w:tcPr>
          <w:p>
            <w:pPr>
              <w:jc w:val="center"/>
              <w:spacing w:after="0"/>
              <w:rPr>
                <w:sz w:val="20"/>
                <w:szCs w:val="20"/>
                <w:color w:val="auto"/>
              </w:rPr>
            </w:pPr>
            <w:r>
              <w:rPr>
                <w:rFonts w:ascii="Arial" w:cs="Arial" w:eastAsia="Arial" w:hAnsi="Arial"/>
                <w:sz w:val="18"/>
                <w:szCs w:val="18"/>
                <w:color w:val="FFFFFF"/>
                <w:w w:val="97"/>
              </w:rPr>
              <w:t>Since</w:t>
            </w:r>
          </w:p>
        </w:tc>
        <w:tc>
          <w:tcPr>
            <w:tcW w:w="200" w:type="dxa"/>
            <w:vAlign w:val="bottom"/>
            <w:shd w:val="clear" w:color="auto" w:fill="0075A8"/>
          </w:tcPr>
          <w:p>
            <w:pPr>
              <w:ind w:left="80"/>
              <w:spacing w:after="0"/>
              <w:rPr>
                <w:sz w:val="20"/>
                <w:szCs w:val="20"/>
                <w:color w:val="auto"/>
              </w:rPr>
            </w:pPr>
            <w:r>
              <w:rPr>
                <w:rFonts w:ascii="Arial" w:cs="Arial" w:eastAsia="Arial" w:hAnsi="Arial"/>
                <w:sz w:val="18"/>
                <w:szCs w:val="18"/>
                <w:color w:val="FFFFFF"/>
              </w:rPr>
              <w:t>​</w:t>
            </w:r>
          </w:p>
        </w:tc>
        <w:tc>
          <w:tcPr>
            <w:tcW w:w="260" w:type="dxa"/>
            <w:vAlign w:val="bottom"/>
            <w:shd w:val="clear" w:color="auto" w:fill="0075A8"/>
          </w:tcPr>
          <w:p>
            <w:pPr>
              <w:ind w:left="140"/>
              <w:spacing w:after="0"/>
              <w:rPr>
                <w:sz w:val="20"/>
                <w:szCs w:val="20"/>
                <w:color w:val="auto"/>
              </w:rPr>
            </w:pPr>
            <w:r>
              <w:rPr>
                <w:rFonts w:ascii="Arial" w:cs="Arial" w:eastAsia="Arial" w:hAnsi="Arial"/>
                <w:sz w:val="18"/>
                <w:szCs w:val="18"/>
                <w:color w:val="FFFFFF"/>
              </w:rPr>
              <w:t>​</w:t>
            </w:r>
          </w:p>
        </w:tc>
        <w:tc>
          <w:tcPr>
            <w:tcW w:w="1080" w:type="dxa"/>
            <w:vAlign w:val="bottom"/>
          </w:tcPr>
          <w:p>
            <w:pPr>
              <w:jc w:val="right"/>
              <w:spacing w:after="0"/>
              <w:rPr>
                <w:sz w:val="20"/>
                <w:szCs w:val="20"/>
                <w:color w:val="auto"/>
              </w:rPr>
            </w:pPr>
            <w:r>
              <w:rPr>
                <w:rFonts w:ascii="Arial" w:cs="Arial" w:eastAsia="Arial" w:hAnsi="Arial"/>
                <w:sz w:val="18"/>
                <w:szCs w:val="18"/>
                <w:color w:val="FFFFFF"/>
                <w:shd w:val="clear" w:color="auto" w:fill="0075A8"/>
              </w:rPr>
              <w:t>Independent</w:t>
            </w:r>
          </w:p>
        </w:tc>
        <w:tc>
          <w:tcPr>
            <w:tcW w:w="260" w:type="dxa"/>
            <w:vAlign w:val="bottom"/>
          </w:tcPr>
          <w:p>
            <w:pPr>
              <w:ind w:left="140"/>
              <w:spacing w:after="0"/>
              <w:rPr>
                <w:sz w:val="20"/>
                <w:szCs w:val="20"/>
                <w:color w:val="auto"/>
              </w:rPr>
            </w:pPr>
            <w:r>
              <w:rPr>
                <w:rFonts w:ascii="Arial" w:cs="Arial" w:eastAsia="Arial" w:hAnsi="Arial"/>
                <w:sz w:val="18"/>
                <w:szCs w:val="18"/>
                <w:color w:val="FFFFFF"/>
                <w:shd w:val="clear" w:color="auto" w:fill="0075A8"/>
              </w:rPr>
              <w:t>​</w:t>
            </w:r>
          </w:p>
        </w:tc>
        <w:tc>
          <w:tcPr>
            <w:tcW w:w="280" w:type="dxa"/>
            <w:vAlign w:val="bottom"/>
          </w:tcPr>
          <w:p>
            <w:pPr>
              <w:ind w:left="120"/>
              <w:spacing w:after="0"/>
              <w:rPr>
                <w:sz w:val="20"/>
                <w:szCs w:val="20"/>
                <w:color w:val="auto"/>
              </w:rPr>
            </w:pPr>
            <w:r>
              <w:rPr>
                <w:rFonts w:ascii="Arial" w:cs="Arial" w:eastAsia="Arial" w:hAnsi="Arial"/>
                <w:sz w:val="18"/>
                <w:szCs w:val="18"/>
                <w:color w:val="FFFFFF"/>
                <w:shd w:val="clear" w:color="auto" w:fill="0075A8"/>
              </w:rPr>
              <w:t>​</w:t>
            </w:r>
          </w:p>
        </w:tc>
        <w:tc>
          <w:tcPr>
            <w:tcW w:w="340" w:type="dxa"/>
            <w:vAlign w:val="bottom"/>
          </w:tcPr>
          <w:p>
            <w:pPr>
              <w:jc w:val="center"/>
              <w:ind w:left="18"/>
              <w:spacing w:after="0"/>
              <w:rPr>
                <w:sz w:val="20"/>
                <w:szCs w:val="20"/>
                <w:color w:val="auto"/>
              </w:rPr>
            </w:pPr>
            <w:r>
              <w:rPr>
                <w:rFonts w:ascii="Arial" w:cs="Arial" w:eastAsia="Arial" w:hAnsi="Arial"/>
                <w:sz w:val="18"/>
                <w:szCs w:val="18"/>
                <w:color w:val="FFFFFF"/>
                <w:w w:val="95"/>
                <w:shd w:val="clear" w:color="auto" w:fill="0075A8"/>
              </w:rPr>
              <w:t>AC</w:t>
            </w:r>
          </w:p>
        </w:tc>
        <w:tc>
          <w:tcPr>
            <w:tcW w:w="400" w:type="dxa"/>
            <w:vAlign w:val="bottom"/>
          </w:tcPr>
          <w:p>
            <w:pPr>
              <w:ind w:left="260"/>
              <w:spacing w:after="0"/>
              <w:rPr>
                <w:sz w:val="20"/>
                <w:szCs w:val="20"/>
                <w:color w:val="auto"/>
              </w:rPr>
            </w:pPr>
            <w:r>
              <w:rPr>
                <w:rFonts w:ascii="Arial" w:cs="Arial" w:eastAsia="Arial" w:hAnsi="Arial"/>
                <w:sz w:val="18"/>
                <w:szCs w:val="18"/>
                <w:color w:val="FFFFFF"/>
                <w:shd w:val="clear" w:color="auto" w:fill="0075A8"/>
              </w:rPr>
              <w:t>​</w:t>
            </w:r>
          </w:p>
        </w:tc>
        <w:tc>
          <w:tcPr>
            <w:tcW w:w="300" w:type="dxa"/>
            <w:vAlign w:val="bottom"/>
          </w:tcPr>
          <w:p>
            <w:pPr>
              <w:ind w:left="100"/>
              <w:spacing w:after="0"/>
              <w:rPr>
                <w:sz w:val="20"/>
                <w:szCs w:val="20"/>
                <w:color w:val="auto"/>
              </w:rPr>
            </w:pPr>
            <w:r>
              <w:rPr>
                <w:rFonts w:ascii="Arial" w:cs="Arial" w:eastAsia="Arial" w:hAnsi="Arial"/>
                <w:sz w:val="18"/>
                <w:szCs w:val="18"/>
                <w:color w:val="FFFFFF"/>
                <w:shd w:val="clear" w:color="auto" w:fill="0075A8"/>
              </w:rPr>
              <w:t>​</w:t>
            </w:r>
          </w:p>
        </w:tc>
        <w:tc>
          <w:tcPr>
            <w:tcW w:w="560" w:type="dxa"/>
            <w:vAlign w:val="bottom"/>
          </w:tcPr>
          <w:p>
            <w:pPr>
              <w:jc w:val="center"/>
              <w:spacing w:after="0"/>
              <w:rPr>
                <w:sz w:val="20"/>
                <w:szCs w:val="20"/>
                <w:color w:val="auto"/>
              </w:rPr>
            </w:pPr>
            <w:r>
              <w:rPr>
                <w:rFonts w:ascii="Arial" w:cs="Arial" w:eastAsia="Arial" w:hAnsi="Arial"/>
                <w:sz w:val="18"/>
                <w:szCs w:val="18"/>
                <w:color w:val="FFFFFF"/>
                <w:w w:val="99"/>
                <w:shd w:val="clear" w:color="auto" w:fill="0075A8"/>
              </w:rPr>
              <w:t>CC</w:t>
            </w:r>
          </w:p>
        </w:tc>
        <w:tc>
          <w:tcPr>
            <w:tcW w:w="300" w:type="dxa"/>
            <w:vAlign w:val="bottom"/>
          </w:tcPr>
          <w:p>
            <w:pPr>
              <w:ind w:left="160"/>
              <w:spacing w:after="0"/>
              <w:rPr>
                <w:sz w:val="20"/>
                <w:szCs w:val="20"/>
                <w:color w:val="auto"/>
              </w:rPr>
            </w:pPr>
            <w:r>
              <w:rPr>
                <w:rFonts w:ascii="Arial" w:cs="Arial" w:eastAsia="Arial" w:hAnsi="Arial"/>
                <w:sz w:val="18"/>
                <w:szCs w:val="18"/>
                <w:color w:val="FFFFFF"/>
                <w:shd w:val="clear" w:color="auto" w:fill="0075A8"/>
              </w:rPr>
              <w:t>​</w:t>
            </w:r>
          </w:p>
        </w:tc>
        <w:tc>
          <w:tcPr>
            <w:tcW w:w="900" w:type="dxa"/>
            <w:vAlign w:val="bottom"/>
            <w:gridSpan w:val="4"/>
          </w:tcPr>
          <w:p>
            <w:pPr>
              <w:ind w:left="120"/>
              <w:spacing w:after="0"/>
              <w:rPr>
                <w:sz w:val="20"/>
                <w:szCs w:val="20"/>
                <w:color w:val="auto"/>
              </w:rPr>
            </w:pPr>
            <w:r>
              <w:rPr>
                <w:rFonts w:ascii="Arial" w:cs="Arial" w:eastAsia="Arial" w:hAnsi="Arial"/>
                <w:sz w:val="18"/>
                <w:szCs w:val="18"/>
                <w:color w:val="FFFFFF"/>
                <w:shd w:val="clear" w:color="auto" w:fill="0075A8"/>
              </w:rPr>
              <w:t>​ NCGC ​</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6"/>
                <w:szCs w:val="16"/>
                <w:color w:val="auto"/>
              </w:rPr>
              <w:t>​Liam K. Griffin, Chairman of the Board</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2016</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4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320" w:type="dxa"/>
            <w:vAlign w:val="bottom"/>
          </w:tcPr>
          <w:p>
            <w:pPr>
              <w:ind w:left="20"/>
              <w:spacing w:after="0"/>
              <w:rPr>
                <w:sz w:val="20"/>
                <w:szCs w:val="20"/>
                <w:color w:val="auto"/>
              </w:rPr>
            </w:pPr>
            <w:r>
              <w:rPr>
                <w:rFonts w:ascii="Arial" w:cs="Arial" w:eastAsia="Arial" w:hAnsi="Arial"/>
                <w:sz w:val="16"/>
                <w:szCs w:val="16"/>
                <w:color w:val="auto"/>
              </w:rPr>
              <w:t>​Christine King, Lead Independent Director</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2014</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center"/>
              <w:ind w:left="18"/>
              <w:spacing w:after="0"/>
              <w:rPr>
                <w:sz w:val="20"/>
                <w:szCs w:val="20"/>
                <w:color w:val="auto"/>
              </w:rPr>
            </w:pPr>
            <w:r>
              <w:rPr>
                <w:rFonts w:ascii="Arial" w:cs="Arial" w:eastAsia="Arial" w:hAnsi="Arial"/>
                <w:sz w:val="16"/>
                <w:szCs w:val="16"/>
                <w:color w:val="auto"/>
                <w:w w:val="70"/>
              </w:rPr>
              <w:t>•</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rPr>
              <w:t>C</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4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6"/>
                <w:szCs w:val="16"/>
                <w:color w:val="auto"/>
              </w:rPr>
              <w:t>​Alan S. Batey</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2019</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70"/>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4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320" w:type="dxa"/>
            <w:vAlign w:val="bottom"/>
          </w:tcPr>
          <w:p>
            <w:pPr>
              <w:ind w:left="20"/>
              <w:spacing w:after="0"/>
              <w:rPr>
                <w:sz w:val="20"/>
                <w:szCs w:val="20"/>
                <w:color w:val="auto"/>
              </w:rPr>
            </w:pPr>
            <w:r>
              <w:rPr>
                <w:rFonts w:ascii="Arial" w:cs="Arial" w:eastAsia="Arial" w:hAnsi="Arial"/>
                <w:sz w:val="16"/>
                <w:szCs w:val="16"/>
                <w:color w:val="auto"/>
              </w:rPr>
              <w:t>​Kevin L. Beebe</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2004</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4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C</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6"/>
                <w:szCs w:val="16"/>
                <w:color w:val="auto"/>
              </w:rPr>
              <w:t>​Eric J. Guerin</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2022</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4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320" w:type="dxa"/>
            <w:vAlign w:val="bottom"/>
          </w:tcPr>
          <w:p>
            <w:pPr>
              <w:ind w:left="20"/>
              <w:spacing w:after="0"/>
              <w:rPr>
                <w:sz w:val="20"/>
                <w:szCs w:val="20"/>
                <w:color w:val="auto"/>
              </w:rPr>
            </w:pPr>
            <w:r>
              <w:rPr>
                <w:rFonts w:ascii="Arial" w:cs="Arial" w:eastAsia="Arial" w:hAnsi="Arial"/>
                <w:sz w:val="16"/>
                <w:szCs w:val="16"/>
                <w:color w:val="auto"/>
              </w:rPr>
              <w:t>​Suzanne E. McBride</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2022</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4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6"/>
                <w:szCs w:val="16"/>
                <w:color w:val="auto"/>
              </w:rPr>
              <w:t>​David P. McGlade</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2005</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center"/>
              <w:ind w:left="18"/>
              <w:spacing w:after="0"/>
              <w:rPr>
                <w:sz w:val="20"/>
                <w:szCs w:val="20"/>
                <w:color w:val="auto"/>
              </w:rPr>
            </w:pPr>
            <w:r>
              <w:rPr>
                <w:rFonts w:ascii="Arial" w:cs="Arial" w:eastAsia="Arial" w:hAnsi="Arial"/>
                <w:sz w:val="16"/>
                <w:szCs w:val="16"/>
                <w:color w:val="auto"/>
              </w:rPr>
              <w:t>C</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4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320" w:type="dxa"/>
            <w:vAlign w:val="bottom"/>
          </w:tcPr>
          <w:p>
            <w:pPr>
              <w:ind w:left="20"/>
              <w:spacing w:after="0"/>
              <w:rPr>
                <w:sz w:val="20"/>
                <w:szCs w:val="20"/>
                <w:color w:val="auto"/>
              </w:rPr>
            </w:pPr>
            <w:r>
              <w:rPr>
                <w:rFonts w:ascii="Arial" w:cs="Arial" w:eastAsia="Arial" w:hAnsi="Arial"/>
                <w:sz w:val="16"/>
                <w:szCs w:val="16"/>
                <w:color w:val="auto"/>
              </w:rPr>
              <w:t>​Robert A. Schriesheim</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2006</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center"/>
              <w:ind w:left="18"/>
              <w:spacing w:after="0"/>
              <w:rPr>
                <w:sz w:val="20"/>
                <w:szCs w:val="20"/>
                <w:color w:val="auto"/>
              </w:rPr>
            </w:pPr>
            <w:r>
              <w:rPr>
                <w:rFonts w:ascii="Arial" w:cs="Arial" w:eastAsia="Arial" w:hAnsi="Arial"/>
                <w:sz w:val="16"/>
                <w:szCs w:val="16"/>
                <w:color w:val="auto"/>
                <w:w w:val="70"/>
              </w:rPr>
              <w:t>•</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70"/>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4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3320" w:type="dxa"/>
            <w:vAlign w:val="bottom"/>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Maryann Turcke</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2023</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8"/>
              <w:spacing w:after="0"/>
              <w:rPr>
                <w:sz w:val="20"/>
                <w:szCs w:val="20"/>
                <w:color w:val="auto"/>
              </w:rPr>
            </w:pPr>
            <w:r>
              <w:rPr>
                <w:rFonts w:ascii="Arial" w:cs="Arial" w:eastAsia="Arial" w:hAnsi="Arial"/>
                <w:sz w:val="16"/>
                <w:szCs w:val="16"/>
                <w:color w:val="auto"/>
              </w:rPr>
              <w: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460" w:type="dxa"/>
            <w:vAlign w:val="bottom"/>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32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74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108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280" w:type="dxa"/>
            <w:vAlign w:val="bottom"/>
            <w:shd w:val="clear" w:color="auto" w:fill="BFBFBF"/>
          </w:tcPr>
          <w:p>
            <w:pPr>
              <w:spacing w:after="0" w:line="20" w:lineRule="exact"/>
              <w:rPr>
                <w:sz w:val="1"/>
                <w:szCs w:val="1"/>
                <w:color w:val="auto"/>
              </w:rPr>
            </w:pPr>
          </w:p>
        </w:tc>
        <w:tc>
          <w:tcPr>
            <w:tcW w:w="340" w:type="dxa"/>
            <w:vAlign w:val="bottom"/>
            <w:shd w:val="clear" w:color="auto" w:fill="BFBFBF"/>
          </w:tcPr>
          <w:p>
            <w:pPr>
              <w:spacing w:after="0" w:line="20" w:lineRule="exact"/>
              <w:rPr>
                <w:sz w:val="1"/>
                <w:szCs w:val="1"/>
                <w:color w:val="auto"/>
              </w:rPr>
            </w:pPr>
          </w:p>
        </w:tc>
        <w:tc>
          <w:tcPr>
            <w:tcW w:w="400" w:type="dxa"/>
            <w:vAlign w:val="bottom"/>
            <w:shd w:val="clear" w:color="auto" w:fill="BFBFBF"/>
          </w:tcPr>
          <w:p>
            <w:pPr>
              <w:spacing w:after="0" w:line="20" w:lineRule="exact"/>
              <w:rPr>
                <w:sz w:val="1"/>
                <w:szCs w:val="1"/>
                <w:color w:val="auto"/>
              </w:rPr>
            </w:pPr>
          </w:p>
        </w:tc>
        <w:tc>
          <w:tcPr>
            <w:tcW w:w="300" w:type="dxa"/>
            <w:vAlign w:val="bottom"/>
            <w:shd w:val="clear" w:color="auto" w:fill="BFBFBF"/>
          </w:tcPr>
          <w:p>
            <w:pPr>
              <w:spacing w:after="0" w:line="20" w:lineRule="exact"/>
              <w:rPr>
                <w:sz w:val="1"/>
                <w:szCs w:val="1"/>
                <w:color w:val="auto"/>
              </w:rPr>
            </w:pPr>
          </w:p>
        </w:tc>
        <w:tc>
          <w:tcPr>
            <w:tcW w:w="560" w:type="dxa"/>
            <w:vAlign w:val="bottom"/>
            <w:shd w:val="clear" w:color="auto" w:fill="BFBFBF"/>
          </w:tcPr>
          <w:p>
            <w:pPr>
              <w:spacing w:after="0" w:line="20" w:lineRule="exact"/>
              <w:rPr>
                <w:sz w:val="1"/>
                <w:szCs w:val="1"/>
                <w:color w:val="auto"/>
              </w:rPr>
            </w:pPr>
          </w:p>
        </w:tc>
        <w:tc>
          <w:tcPr>
            <w:tcW w:w="30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320" w:type="dxa"/>
            <w:vAlign w:val="bottom"/>
            <w:tcBorders>
              <w:bottom w:val="single" w:sz="8" w:color="0075A8"/>
            </w:tcBorders>
          </w:tcPr>
          <w:p>
            <w:pPr>
              <w:ind w:left="20"/>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Number of Meetings in FY2022</w:t>
            </w:r>
          </w:p>
        </w:tc>
        <w:tc>
          <w:tcPr>
            <w:tcW w:w="240" w:type="dxa"/>
            <w:vAlign w:val="bottom"/>
            <w:tcBorders>
              <w:bottom w:val="single" w:sz="8" w:color="0075A8"/>
            </w:tcBorders>
          </w:tcPr>
          <w:p>
            <w:pPr>
              <w:ind w:left="1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0075A8"/>
            </w:tcBorders>
          </w:tcPr>
          <w:p>
            <w:pPr>
              <w:ind w:left="14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0075A8"/>
            </w:tcBorders>
          </w:tcPr>
          <w:p>
            <w:pPr>
              <w:jc w:val="center"/>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0075A8"/>
            </w:tcBorders>
          </w:tcPr>
          <w:p>
            <w:pPr>
              <w:ind w:left="8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0075A8"/>
            </w:tcBorders>
          </w:tcPr>
          <w:p>
            <w:pPr>
              <w:ind w:left="14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0075A8"/>
            </w:tcBorders>
          </w:tcPr>
          <w:p>
            <w:pPr>
              <w:jc w:val="right"/>
              <w:ind w:right="418"/>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0075A8"/>
            </w:tcBorders>
          </w:tcPr>
          <w:p>
            <w:pPr>
              <w:ind w:left="1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0075A8"/>
            </w:tcBorders>
          </w:tcPr>
          <w:p>
            <w:pPr>
              <w:ind w:left="1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0075A8"/>
            </w:tcBorders>
          </w:tcPr>
          <w:p>
            <w:pPr>
              <w:jc w:val="right"/>
              <w:spacing w:after="0"/>
              <w:rPr>
                <w:sz w:val="20"/>
                <w:szCs w:val="20"/>
                <w:color w:val="auto"/>
              </w:rPr>
            </w:pPr>
            <w:r>
              <w:rPr>
                <w:rFonts w:ascii="Arial" w:cs="Arial" w:eastAsia="Arial" w:hAnsi="Arial"/>
                <w:sz w:val="16"/>
                <w:szCs w:val="16"/>
                <w:b w:val="1"/>
                <w:bCs w:val="1"/>
                <w:color w:val="auto"/>
              </w:rPr>
              <w:t>8</w:t>
            </w:r>
          </w:p>
        </w:tc>
        <w:tc>
          <w:tcPr>
            <w:tcW w:w="400" w:type="dxa"/>
            <w:vAlign w:val="bottom"/>
            <w:tcBorders>
              <w:bottom w:val="single" w:sz="8" w:color="0075A8"/>
            </w:tcBorders>
          </w:tcPr>
          <w:p>
            <w:pPr>
              <w:ind w:left="26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0075A8"/>
            </w:tcBorders>
          </w:tcPr>
          <w:p>
            <w:pPr>
              <w:ind w:left="100"/>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0075A8"/>
            </w:tcBorders>
          </w:tcPr>
          <w:p>
            <w:pPr>
              <w:jc w:val="right"/>
              <w:ind w:right="178"/>
              <w:spacing w:after="0"/>
              <w:rPr>
                <w:sz w:val="20"/>
                <w:szCs w:val="20"/>
                <w:color w:val="auto"/>
              </w:rPr>
            </w:pPr>
            <w:r>
              <w:rPr>
                <w:rFonts w:ascii="Arial" w:cs="Arial" w:eastAsia="Arial" w:hAnsi="Arial"/>
                <w:sz w:val="16"/>
                <w:szCs w:val="16"/>
                <w:b w:val="1"/>
                <w:bCs w:val="1"/>
                <w:color w:val="auto"/>
              </w:rPr>
              <w:t>5</w:t>
            </w:r>
          </w:p>
        </w:tc>
        <w:tc>
          <w:tcPr>
            <w:tcW w:w="300" w:type="dxa"/>
            <w:vAlign w:val="bottom"/>
            <w:tcBorders>
              <w:bottom w:val="single" w:sz="8" w:color="0075A8"/>
            </w:tcBorders>
          </w:tcPr>
          <w:p>
            <w:pPr>
              <w:ind w:left="160"/>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0075A8"/>
            </w:tcBorders>
          </w:tcPr>
          <w:p>
            <w:pPr>
              <w:ind w:left="12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0075A8"/>
            </w:tcBorders>
          </w:tcPr>
          <w:p>
            <w:pPr>
              <w:jc w:val="right"/>
              <w:ind w:right="59"/>
              <w:spacing w:after="0"/>
              <w:rPr>
                <w:sz w:val="20"/>
                <w:szCs w:val="20"/>
                <w:color w:val="auto"/>
              </w:rPr>
            </w:pPr>
            <w:r>
              <w:rPr>
                <w:rFonts w:ascii="Arial" w:cs="Arial" w:eastAsia="Arial" w:hAnsi="Arial"/>
                <w:sz w:val="16"/>
                <w:szCs w:val="16"/>
                <w:b w:val="1"/>
                <w:bCs w:val="1"/>
                <w:color w:val="auto"/>
              </w:rPr>
              <w:t>3</w:t>
            </w:r>
          </w:p>
        </w:tc>
        <w:tc>
          <w:tcPr>
            <w:tcW w:w="180" w:type="dxa"/>
            <w:vAlign w:val="bottom"/>
            <w:tcBorders>
              <w:bottom w:val="single" w:sz="8" w:color="0075A8"/>
            </w:tcBorders>
            <w:gridSpan w:val="2"/>
          </w:tcPr>
          <w:p>
            <w:pPr>
              <w:ind w:lef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-1868170</wp:posOffset>
            </wp:positionV>
            <wp:extent cx="5974715" cy="3517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74715" cy="35179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-1353820</wp:posOffset>
            </wp:positionV>
            <wp:extent cx="597471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-1028065</wp:posOffset>
            </wp:positionV>
            <wp:extent cx="597471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-702310</wp:posOffset>
            </wp:positionV>
            <wp:extent cx="597471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-376555</wp:posOffset>
            </wp:positionV>
            <wp:extent cx="5974715"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74715" cy="180340"/>
                    </a:xfrm>
                    <a:prstGeom prst="rect">
                      <a:avLst/>
                    </a:prstGeom>
                    <a:noFill/>
                  </pic:spPr>
                </pic:pic>
              </a:graphicData>
            </a:graphic>
          </wp:anchor>
        </w:drawing>
      </w:r>
    </w:p>
    <w:p>
      <w:pPr>
        <w:spacing w:after="0" w:line="87" w:lineRule="exact"/>
        <w:rPr>
          <w:sz w:val="20"/>
          <w:szCs w:val="20"/>
          <w:color w:val="auto"/>
        </w:rPr>
      </w:pPr>
    </w:p>
    <w:p>
      <w:pPr>
        <w:ind w:left="820" w:right="780"/>
        <w:spacing w:after="0" w:line="281" w:lineRule="auto"/>
        <w:rPr>
          <w:sz w:val="20"/>
          <w:szCs w:val="20"/>
          <w:color w:val="auto"/>
        </w:rPr>
      </w:pPr>
      <w:r>
        <w:rPr>
          <w:rFonts w:ascii="Arial" w:cs="Arial" w:eastAsia="Arial" w:hAnsi="Arial"/>
          <w:sz w:val="16"/>
          <w:szCs w:val="16"/>
          <w:i w:val="1"/>
          <w:iCs w:val="1"/>
          <w:color w:val="auto"/>
        </w:rPr>
        <w:t>“AC” indicates Audit Committee, “CC” indicates Compensation Committee, “NCGC” indicates Nominating and Corporate Governance Committee, and “C” indicates Committee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60"/>
        <w:spacing w:after="0"/>
        <w:tabs>
          <w:tab w:leader="none" w:pos="2240" w:val="left"/>
          <w:tab w:leader="none" w:pos="2480" w:val="left"/>
          <w:tab w:leader="none" w:pos="8580" w:val="left"/>
          <w:tab w:leader="none" w:pos="8940" w:val="left"/>
        </w:tabs>
        <w:rPr>
          <w:sz w:val="20"/>
          <w:szCs w:val="20"/>
          <w:color w:val="auto"/>
        </w:rPr>
      </w:pPr>
      <w:r>
        <w:rPr>
          <w:rFonts w:ascii="Arial" w:cs="Arial" w:eastAsia="Arial" w:hAnsi="Arial"/>
          <w:sz w:val="16"/>
          <w:szCs w:val="16"/>
          <w:color w:val="auto"/>
        </w:rPr>
        <w:t>​8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116205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132" w:right="12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1" w:lineRule="exact"/>
        <w:rPr>
          <w:sz w:val="20"/>
          <w:szCs w:val="20"/>
          <w:color w:val="auto"/>
        </w:rPr>
      </w:pPr>
    </w:p>
    <w:p>
      <w:pPr>
        <w:ind w:left="660"/>
        <w:spacing w:after="0" w:line="245" w:lineRule="auto"/>
        <w:rPr>
          <w:sz w:val="20"/>
          <w:szCs w:val="20"/>
          <w:color w:val="auto"/>
        </w:rPr>
      </w:pPr>
      <w:r>
        <w:rPr>
          <w:rFonts w:ascii="Arial" w:cs="Arial" w:eastAsia="Arial" w:hAnsi="Arial"/>
          <w:sz w:val="20"/>
          <w:szCs w:val="20"/>
          <w:color w:val="auto"/>
        </w:rPr>
        <w:t>Immediately below this proposal is biographical information about each of the director nominees, including information regarding each nominee’s business experience for the past five years, and the names of other public companies for which each nominee has served as a director during the past five years. In addition to the information presented below regarding each nominee’s specific experience, qualifications, attributes, and skills that led our Nominating and Corporate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Governance Committee and our Board to conclude that he or she should serve as a director, we also believe that each of our directors has a reputation for integrity, honesty, and adherence to high ethical standards. They have each demonstrated business acumen, an ability to exercise sound judgment, knowledge of our business and industry, and the willingness to devote the time needed to be an effective director.</w:t>
      </w:r>
    </w:p>
    <w:p>
      <w:pPr>
        <w:spacing w:after="0" w:line="266" w:lineRule="exact"/>
        <w:rPr>
          <w:sz w:val="20"/>
          <w:szCs w:val="20"/>
          <w:color w:val="auto"/>
        </w:rPr>
      </w:pPr>
    </w:p>
    <w:p>
      <w:pPr>
        <w:sectPr>
          <w:pgSz w:w="11900" w:h="16838" w:orient="portrait"/>
          <w:cols w:equalWidth="0" w:num="2">
            <w:col w:w="5000" w:space="580"/>
            <w:col w:w="4520"/>
          </w:cols>
          <w:pgMar w:left="580" w:top="132" w:right="1219" w:bottom="1440" w:gutter="0" w:footer="0" w:header="0"/>
        </w:sectPr>
      </w:pPr>
    </w:p>
    <w:p>
      <w:pPr>
        <w:spacing w:after="0" w:line="8"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Majority Vote Standard for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p>
      <w:pPr>
        <w:spacing w:after="0" w:line="255" w:lineRule="exact"/>
        <w:rPr>
          <w:sz w:val="20"/>
          <w:szCs w:val="20"/>
          <w:color w:val="auto"/>
        </w:rPr>
      </w:pPr>
    </w:p>
    <w:p>
      <w:pPr>
        <w:ind w:left="660"/>
        <w:spacing w:after="0" w:line="253" w:lineRule="auto"/>
        <w:rPr>
          <w:sz w:val="20"/>
          <w:szCs w:val="20"/>
          <w:color w:val="auto"/>
        </w:rPr>
      </w:pPr>
      <w:r>
        <w:rPr>
          <w:rFonts w:ascii="Arial" w:cs="Arial" w:eastAsia="Arial" w:hAnsi="Arial"/>
          <w:sz w:val="20"/>
          <w:szCs w:val="20"/>
          <w:color w:val="auto"/>
        </w:rPr>
        <w:t>A nominee for election as a director in an uncontested election (an election where the number of nominees for election as directors is equal to or less than the number of directors to be elected) will be elected if the number of votes cast “</w:t>
      </w:r>
      <w:r>
        <w:rPr>
          <w:rFonts w:ascii="Arial" w:cs="Arial" w:eastAsia="Arial" w:hAnsi="Arial"/>
          <w:sz w:val="20"/>
          <w:szCs w:val="20"/>
          <w:b w:val="1"/>
          <w:bCs w:val="1"/>
          <w:color w:val="auto"/>
        </w:rPr>
        <w:t>FOR</w:t>
      </w:r>
      <w:r>
        <w:rPr>
          <w:rFonts w:ascii="Arial" w:cs="Arial" w:eastAsia="Arial" w:hAnsi="Arial"/>
          <w:sz w:val="20"/>
          <w:szCs w:val="20"/>
          <w:color w:val="auto"/>
        </w:rPr>
        <w:t>” such nominee’s election exceeds the number of votes cast “</w:t>
      </w:r>
      <w:r>
        <w:rPr>
          <w:rFonts w:ascii="Arial" w:cs="Arial" w:eastAsia="Arial" w:hAnsi="Arial"/>
          <w:sz w:val="20"/>
          <w:szCs w:val="20"/>
          <w:b w:val="1"/>
          <w:bCs w:val="1"/>
          <w:color w:val="auto"/>
        </w:rPr>
        <w:t>AGAINST</w:t>
      </w:r>
      <w:r>
        <w:rPr>
          <w:rFonts w:ascii="Arial" w:cs="Arial" w:eastAsia="Arial" w:hAnsi="Arial"/>
          <w:sz w:val="20"/>
          <w:szCs w:val="20"/>
          <w:color w:val="auto"/>
        </w:rPr>
        <w:t>” the nominee’s election. In a contested election (in which the number of nominees for election as directors exceeds the number of directors to be elected at such meeting), directors are elected by a plurality of all votes cast in such election. The election of directors at this Annual Meeting is uncontested. As a result, each nominee for election as a director at the Annual Meeting will only be elected if the votes cast “</w:t>
      </w:r>
      <w:r>
        <w:rPr>
          <w:rFonts w:ascii="Arial" w:cs="Arial" w:eastAsia="Arial" w:hAnsi="Arial"/>
          <w:sz w:val="20"/>
          <w:szCs w:val="20"/>
          <w:b w:val="1"/>
          <w:bCs w:val="1"/>
          <w:color w:val="auto"/>
        </w:rPr>
        <w:t>FOR</w:t>
      </w:r>
      <w:r>
        <w:rPr>
          <w:rFonts w:ascii="Arial" w:cs="Arial" w:eastAsia="Arial" w:hAnsi="Arial"/>
          <w:sz w:val="20"/>
          <w:szCs w:val="20"/>
          <w:color w:val="auto"/>
        </w:rPr>
        <w:t>” such nominee exceed the number of votes cast “</w:t>
      </w:r>
      <w:r>
        <w:rPr>
          <w:rFonts w:ascii="Arial" w:cs="Arial" w:eastAsia="Arial" w:hAnsi="Arial"/>
          <w:sz w:val="20"/>
          <w:szCs w:val="20"/>
          <w:b w:val="1"/>
          <w:bCs w:val="1"/>
          <w:color w:val="auto"/>
        </w:rPr>
        <w:t>AGAINST</w:t>
      </w:r>
      <w:r>
        <w:rPr>
          <w:rFonts w:ascii="Arial" w:cs="Arial" w:eastAsia="Arial" w:hAnsi="Arial"/>
          <w:sz w:val="20"/>
          <w:szCs w:val="20"/>
          <w:color w:val="auto"/>
        </w:rPr>
        <w:t>” such nominee. As required by our corporate governance guidelines, which are available on the Investor Relations portion of the Company’s website at www.skyworksinc.com, each incumbent director who is a nominee for election as a director at the Annual Meeting submitted to the Board an irrevocable resignation that would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become effective if the votes cast “</w:t>
      </w:r>
      <w:r>
        <w:rPr>
          <w:rFonts w:ascii="Arial" w:cs="Arial" w:eastAsia="Arial" w:hAnsi="Arial"/>
          <w:sz w:val="20"/>
          <w:szCs w:val="20"/>
          <w:b w:val="1"/>
          <w:bCs w:val="1"/>
          <w:color w:val="auto"/>
        </w:rPr>
        <w:t>FOR</w:t>
      </w:r>
      <w:r>
        <w:rPr>
          <w:rFonts w:ascii="Arial" w:cs="Arial" w:eastAsia="Arial" w:hAnsi="Arial"/>
          <w:sz w:val="20"/>
          <w:szCs w:val="20"/>
          <w:color w:val="auto"/>
        </w:rPr>
        <w:t>” such nominee’s election do not exceed the votes cast “</w:t>
      </w:r>
      <w:r>
        <w:rPr>
          <w:rFonts w:ascii="Arial" w:cs="Arial" w:eastAsia="Arial" w:hAnsi="Arial"/>
          <w:sz w:val="20"/>
          <w:szCs w:val="20"/>
          <w:b w:val="1"/>
          <w:bCs w:val="1"/>
          <w:color w:val="auto"/>
        </w:rPr>
        <w:t>AGAINST</w:t>
      </w:r>
      <w:r>
        <w:rPr>
          <w:rFonts w:ascii="Arial" w:cs="Arial" w:eastAsia="Arial" w:hAnsi="Arial"/>
          <w:sz w:val="20"/>
          <w:szCs w:val="20"/>
          <w:color w:val="auto"/>
        </w:rPr>
        <w:t>” such nominee’s election and our Board determines to accept his or her resignation. Upon such resignation by a nominee and pursuant to the procedures set forth in the corporate governance guidelines, the Nominating and Corporate Governance Committee will evaluate the best interests of our Company and stockholders and will recommend to our Board the action to be taken with respect to the resignation. The Board will then decide whether to accept, reject, or modify the Nominating and Corporate Governance Committee’s recommendation, and the Company will publicly disclose such decision by the Board with respect to the director nominee.</w:t>
      </w:r>
    </w:p>
    <w:p>
      <w:pPr>
        <w:spacing w:after="0" w:line="218"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Shares represented by all proxies received by the Board that are properly completed, but do not specify a choice as to the election of directors, will be voted “</w:t>
      </w:r>
      <w:r>
        <w:rPr>
          <w:rFonts w:ascii="Arial" w:cs="Arial" w:eastAsia="Arial" w:hAnsi="Arial"/>
          <w:sz w:val="20"/>
          <w:szCs w:val="20"/>
          <w:b w:val="1"/>
          <w:bCs w:val="1"/>
          <w:color w:val="auto"/>
        </w:rPr>
        <w:t>FOR</w:t>
      </w:r>
      <w:r>
        <w:rPr>
          <w:rFonts w:ascii="Arial" w:cs="Arial" w:eastAsia="Arial" w:hAnsi="Arial"/>
          <w:sz w:val="20"/>
          <w:szCs w:val="20"/>
          <w:color w:val="auto"/>
        </w:rPr>
        <w:t>” the election of all nine of the nominees.</w:t>
      </w:r>
    </w:p>
    <w:p>
      <w:pPr>
        <w:spacing w:after="0" w:line="692" w:lineRule="exact"/>
        <w:rPr>
          <w:sz w:val="20"/>
          <w:szCs w:val="20"/>
          <w:color w:val="auto"/>
        </w:rPr>
      </w:pPr>
    </w:p>
    <w:p>
      <w:pPr>
        <w:sectPr>
          <w:pgSz w:w="11900" w:h="16838" w:orient="portrait"/>
          <w:cols w:equalWidth="0" w:num="2">
            <w:col w:w="5100" w:space="480"/>
            <w:col w:w="4520"/>
          </w:cols>
          <w:pgMar w:left="580" w:top="132" w:right="1219" w:bottom="1440" w:gutter="0" w:footer="0" w:header="0"/>
          <w:type w:val="continuous"/>
        </w:sectPr>
      </w:pPr>
    </w:p>
    <w:p>
      <w:pPr>
        <w:spacing w:after="0" w:line="40" w:lineRule="exact"/>
        <w:rPr>
          <w:sz w:val="20"/>
          <w:szCs w:val="20"/>
          <w:color w:val="auto"/>
        </w:rPr>
      </w:pPr>
    </w:p>
    <w:tbl>
      <w:tblPr>
        <w:tblLayout w:type="fixed"/>
        <w:tblInd w:w="1570" w:type="dxa"/>
        <w:tblCellMar>
          <w:top w:w="0" w:type="dxa"/>
          <w:left w:w="0" w:type="dxa"/>
          <w:bottom w:w="0" w:type="dxa"/>
          <w:right w:w="0" w:type="dxa"/>
        </w:tblCellMar>
      </w:tblPr>
      <w:tr>
        <w:trPr>
          <w:trHeight w:val="386"/>
        </w:trPr>
        <w:tc>
          <w:tcPr>
            <w:tcW w:w="560" w:type="dxa"/>
            <w:vAlign w:val="bottom"/>
            <w:tcBorders>
              <w:top w:val="single" w:sz="8" w:color="0075A8"/>
              <w:left w:val="single" w:sz="8" w:color="0075A8"/>
            </w:tcBorders>
          </w:tcPr>
          <w:p>
            <w:pPr>
              <w:spacing w:after="0"/>
              <w:rPr>
                <w:sz w:val="24"/>
                <w:szCs w:val="24"/>
                <w:color w:val="auto"/>
              </w:rPr>
            </w:pPr>
          </w:p>
        </w:tc>
        <w:tc>
          <w:tcPr>
            <w:tcW w:w="720" w:type="dxa"/>
            <w:vAlign w:val="bottom"/>
            <w:tcBorders>
              <w:top w:val="single" w:sz="8" w:color="0075A8"/>
            </w:tcBorders>
          </w:tcPr>
          <w:p>
            <w:pPr>
              <w:spacing w:after="0"/>
              <w:rPr>
                <w:sz w:val="24"/>
                <w:szCs w:val="24"/>
                <w:color w:val="auto"/>
              </w:rPr>
            </w:pPr>
          </w:p>
        </w:tc>
        <w:tc>
          <w:tcPr>
            <w:tcW w:w="6100" w:type="dxa"/>
            <w:vAlign w:val="bottom"/>
            <w:tcBorders>
              <w:top w:val="single" w:sz="8" w:color="0075A8"/>
            </w:tcBorders>
          </w:tcPr>
          <w:p>
            <w:pPr>
              <w:jc w:val="center"/>
              <w:spacing w:after="0"/>
              <w:rPr>
                <w:sz w:val="20"/>
                <w:szCs w:val="20"/>
                <w:color w:val="auto"/>
              </w:rPr>
            </w:pPr>
            <w:r>
              <w:rPr>
                <w:rFonts w:ascii="Arial" w:cs="Arial" w:eastAsia="Arial" w:hAnsi="Arial"/>
                <w:sz w:val="18"/>
                <w:szCs w:val="18"/>
                <w:i w:val="1"/>
                <w:iCs w:val="1"/>
                <w:color w:val="0075A8"/>
                <w:w w:val="99"/>
              </w:rPr>
              <w:t>THE BOARD OF DIRECTORS UNANIMOUSLY RECOMMENDS A VOTE</w:t>
            </w:r>
          </w:p>
        </w:tc>
        <w:tc>
          <w:tcPr>
            <w:tcW w:w="240" w:type="dxa"/>
            <w:vAlign w:val="bottom"/>
            <w:tcBorders>
              <w:top w:val="single" w:sz="8" w:color="0075A8"/>
              <w:right w:val="single" w:sz="8" w:color="0075A8"/>
            </w:tcBorders>
          </w:tcPr>
          <w:p>
            <w:pPr>
              <w:spacing w:after="0"/>
              <w:rPr>
                <w:sz w:val="24"/>
                <w:szCs w:val="24"/>
                <w:color w:val="auto"/>
              </w:rPr>
            </w:pPr>
          </w:p>
        </w:tc>
      </w:tr>
      <w:tr>
        <w:trPr>
          <w:trHeight w:val="230"/>
        </w:trPr>
        <w:tc>
          <w:tcPr>
            <w:tcW w:w="560" w:type="dxa"/>
            <w:vAlign w:val="bottom"/>
            <w:tcBorders>
              <w:left w:val="single" w:sz="8" w:color="0075A8"/>
            </w:tcBorders>
          </w:tcPr>
          <w:p>
            <w:pPr>
              <w:ind w:left="20"/>
              <w:spacing w:after="0"/>
              <w:rPr>
                <w:sz w:val="20"/>
                <w:szCs w:val="20"/>
                <w:color w:val="auto"/>
              </w:rPr>
            </w:pPr>
            <w:r>
              <w:rPr>
                <w:rFonts w:ascii="Arial" w:cs="Arial" w:eastAsia="Arial" w:hAnsi="Arial"/>
                <w:sz w:val="18"/>
                <w:szCs w:val="18"/>
                <w:i w:val="1"/>
                <w:iCs w:val="1"/>
                <w:color w:val="0075A8"/>
              </w:rPr>
              <w:t>​</w:t>
            </w:r>
          </w:p>
        </w:tc>
        <w:tc>
          <w:tcPr>
            <w:tcW w:w="720" w:type="dxa"/>
            <w:vAlign w:val="bottom"/>
          </w:tcPr>
          <w:p>
            <w:pPr>
              <w:ind w:left="500"/>
              <w:spacing w:after="0"/>
              <w:rPr>
                <w:sz w:val="20"/>
                <w:szCs w:val="20"/>
                <w:color w:val="auto"/>
              </w:rPr>
            </w:pPr>
            <w:r>
              <w:rPr>
                <w:rFonts w:ascii="Arial" w:cs="Arial" w:eastAsia="Arial" w:hAnsi="Arial"/>
                <w:sz w:val="18"/>
                <w:szCs w:val="18"/>
                <w:i w:val="1"/>
                <w:iCs w:val="1"/>
                <w:color w:val="0075A8"/>
              </w:rPr>
              <w:t>​​</w:t>
            </w:r>
          </w:p>
        </w:tc>
        <w:tc>
          <w:tcPr>
            <w:tcW w:w="6100" w:type="dxa"/>
            <w:vAlign w:val="bottom"/>
          </w:tcPr>
          <w:p>
            <w:pPr>
              <w:jc w:val="center"/>
              <w:spacing w:after="0"/>
              <w:rPr>
                <w:sz w:val="20"/>
                <w:szCs w:val="20"/>
                <w:color w:val="auto"/>
              </w:rPr>
            </w:pPr>
            <w:r>
              <w:rPr>
                <w:rFonts w:ascii="Arial" w:cs="Arial" w:eastAsia="Arial" w:hAnsi="Arial"/>
                <w:sz w:val="18"/>
                <w:szCs w:val="18"/>
                <w:i w:val="1"/>
                <w:iCs w:val="1"/>
                <w:color w:val="0075A8"/>
                <w:w w:val="99"/>
              </w:rPr>
              <w:t>“FOR” THE ELECTION OF EACH OF THE NINE NOMINEES IN</w:t>
            </w:r>
          </w:p>
        </w:tc>
        <w:tc>
          <w:tcPr>
            <w:tcW w:w="240" w:type="dxa"/>
            <w:vAlign w:val="bottom"/>
            <w:tcBorders>
              <w:right w:val="single" w:sz="8" w:color="0075A8"/>
            </w:tcBorders>
          </w:tcPr>
          <w:p>
            <w:pPr>
              <w:ind w:left="100"/>
              <w:spacing w:after="0"/>
              <w:rPr>
                <w:sz w:val="20"/>
                <w:szCs w:val="20"/>
                <w:color w:val="auto"/>
              </w:rPr>
            </w:pPr>
            <w:r>
              <w:rPr>
                <w:rFonts w:ascii="Arial" w:cs="Arial" w:eastAsia="Arial" w:hAnsi="Arial"/>
                <w:sz w:val="18"/>
                <w:szCs w:val="18"/>
                <w:i w:val="1"/>
                <w:iCs w:val="1"/>
                <w:color w:val="0075A8"/>
              </w:rPr>
              <w:t>​</w:t>
            </w:r>
          </w:p>
        </w:tc>
      </w:tr>
      <w:tr>
        <w:trPr>
          <w:trHeight w:val="235"/>
        </w:trPr>
        <w:tc>
          <w:tcPr>
            <w:tcW w:w="560" w:type="dxa"/>
            <w:vAlign w:val="bottom"/>
            <w:tcBorders>
              <w:left w:val="single" w:sz="8" w:color="0075A8"/>
            </w:tcBorders>
          </w:tcPr>
          <w:p>
            <w:pPr>
              <w:spacing w:after="0"/>
              <w:rPr>
                <w:sz w:val="20"/>
                <w:szCs w:val="20"/>
                <w:color w:val="auto"/>
              </w:rPr>
            </w:pPr>
          </w:p>
        </w:tc>
        <w:tc>
          <w:tcPr>
            <w:tcW w:w="720" w:type="dxa"/>
            <w:vAlign w:val="bottom"/>
          </w:tcPr>
          <w:p>
            <w:pPr>
              <w:spacing w:after="0"/>
              <w:rPr>
                <w:sz w:val="20"/>
                <w:szCs w:val="20"/>
                <w:color w:val="auto"/>
              </w:rPr>
            </w:pPr>
          </w:p>
        </w:tc>
        <w:tc>
          <w:tcPr>
            <w:tcW w:w="6100" w:type="dxa"/>
            <w:vAlign w:val="bottom"/>
          </w:tcPr>
          <w:p>
            <w:pPr>
              <w:jc w:val="center"/>
              <w:spacing w:after="0"/>
              <w:rPr>
                <w:sz w:val="20"/>
                <w:szCs w:val="20"/>
                <w:color w:val="auto"/>
              </w:rPr>
            </w:pPr>
            <w:r>
              <w:rPr>
                <w:rFonts w:ascii="Arial" w:cs="Arial" w:eastAsia="Arial" w:hAnsi="Arial"/>
                <w:sz w:val="18"/>
                <w:szCs w:val="18"/>
                <w:i w:val="1"/>
                <w:iCs w:val="1"/>
                <w:color w:val="0075A8"/>
                <w:w w:val="98"/>
              </w:rPr>
              <w:t>PROPOSAL 1</w:t>
            </w:r>
          </w:p>
        </w:tc>
        <w:tc>
          <w:tcPr>
            <w:tcW w:w="240" w:type="dxa"/>
            <w:vAlign w:val="bottom"/>
            <w:tcBorders>
              <w:right w:val="single" w:sz="8" w:color="0075A8"/>
            </w:tcBorders>
          </w:tcPr>
          <w:p>
            <w:pPr>
              <w:spacing w:after="0"/>
              <w:rPr>
                <w:sz w:val="20"/>
                <w:szCs w:val="20"/>
                <w:color w:val="auto"/>
              </w:rPr>
            </w:pPr>
          </w:p>
        </w:tc>
      </w:tr>
      <w:tr>
        <w:trPr>
          <w:trHeight w:val="162"/>
        </w:trPr>
        <w:tc>
          <w:tcPr>
            <w:tcW w:w="560" w:type="dxa"/>
            <w:vAlign w:val="bottom"/>
            <w:tcBorders>
              <w:left w:val="single" w:sz="8" w:color="0075A8"/>
              <w:bottom w:val="single" w:sz="8" w:color="0075A8"/>
            </w:tcBorders>
          </w:tcPr>
          <w:p>
            <w:pPr>
              <w:spacing w:after="0"/>
              <w:rPr>
                <w:sz w:val="14"/>
                <w:szCs w:val="14"/>
                <w:color w:val="auto"/>
              </w:rPr>
            </w:pPr>
          </w:p>
        </w:tc>
        <w:tc>
          <w:tcPr>
            <w:tcW w:w="720" w:type="dxa"/>
            <w:vAlign w:val="bottom"/>
            <w:tcBorders>
              <w:bottom w:val="single" w:sz="8" w:color="0075A8"/>
            </w:tcBorders>
          </w:tcPr>
          <w:p>
            <w:pPr>
              <w:spacing w:after="0"/>
              <w:rPr>
                <w:sz w:val="14"/>
                <w:szCs w:val="14"/>
                <w:color w:val="auto"/>
              </w:rPr>
            </w:pPr>
          </w:p>
        </w:tc>
        <w:tc>
          <w:tcPr>
            <w:tcW w:w="6100" w:type="dxa"/>
            <w:vAlign w:val="bottom"/>
            <w:tcBorders>
              <w:bottom w:val="single" w:sz="8" w:color="0075A8"/>
            </w:tcBorders>
          </w:tcPr>
          <w:p>
            <w:pPr>
              <w:spacing w:after="0"/>
              <w:rPr>
                <w:sz w:val="14"/>
                <w:szCs w:val="14"/>
                <w:color w:val="auto"/>
              </w:rPr>
            </w:pPr>
          </w:p>
        </w:tc>
        <w:tc>
          <w:tcPr>
            <w:tcW w:w="240" w:type="dxa"/>
            <w:vAlign w:val="bottom"/>
            <w:tcBorders>
              <w:bottom w:val="single" w:sz="8" w:color="0075A8"/>
              <w:right w:val="single" w:sz="8" w:color="0075A8"/>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-574040</wp:posOffset>
            </wp:positionV>
            <wp:extent cx="514350" cy="4883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spacing w:after="0"/>
        <w:tabs>
          <w:tab w:leader="none" w:pos="2160" w:val="left"/>
          <w:tab w:leader="none" w:pos="2400" w:val="left"/>
          <w:tab w:leader="none" w:pos="8480" w:val="left"/>
          <w:tab w:leader="none" w:pos="994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342"/>
        </w:trPr>
        <w:tc>
          <w:tcPr>
            <w:tcW w:w="908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 xml:space="preserve">Liam K. Griffin, </w:t>
            </w:r>
            <w:r>
              <w:rPr>
                <w:rFonts w:ascii="Arial" w:cs="Arial" w:eastAsia="Arial" w:hAnsi="Arial"/>
                <w:sz w:val="20"/>
                <w:szCs w:val="20"/>
                <w:i w:val="1"/>
                <w:iCs w:val="1"/>
                <w:color w:val="FFFFFF"/>
              </w:rPr>
              <w:t>Chairman, Chief Executive Officer and President</w:t>
            </w:r>
            <w:r>
              <w:rPr>
                <w:rFonts w:ascii="Arial" w:cs="Arial" w:eastAsia="Arial" w:hAnsi="Arial"/>
                <w:sz w:val="20"/>
                <w:szCs w:val="20"/>
                <w:b w:val="1"/>
                <w:bCs w:val="1"/>
                <w:color w:val="FFFFFF"/>
              </w:rPr>
              <w:t xml:space="preserve">  </w:t>
            </w:r>
            <w:r>
              <w:rPr>
                <w:rFonts w:ascii="Arial" w:cs="Arial" w:eastAsia="Arial" w:hAnsi="Arial"/>
                <w:sz w:val="17"/>
                <w:szCs w:val="17"/>
                <w:color w:val="FFFFFF"/>
              </w:rPr>
              <w:t>​ ​ Director since: 2016  •  Age: 56</w:t>
            </w:r>
          </w:p>
        </w:tc>
        <w:tc>
          <w:tcPr>
            <w:tcW w:w="320" w:type="dxa"/>
            <w:vAlign w:val="bottom"/>
            <w:shd w:val="clear" w:color="auto" w:fill="0075A8"/>
          </w:tcPr>
          <w:p>
            <w:pPr>
              <w:ind w:left="220"/>
              <w:spacing w:after="0"/>
              <w:rPr>
                <w:sz w:val="20"/>
                <w:szCs w:val="20"/>
                <w:color w:val="auto"/>
              </w:rPr>
            </w:pPr>
            <w:r>
              <w:rPr>
                <w:rFonts w:ascii="Arial" w:cs="Arial" w:eastAsia="Arial" w:hAnsi="Arial"/>
                <w:sz w:val="18"/>
                <w:szCs w:val="18"/>
                <w:color w:val="FFFFFF"/>
              </w:rPr>
              <w:t>​</w:t>
            </w:r>
          </w:p>
        </w:tc>
      </w:tr>
      <w:tr>
        <w:trPr>
          <w:trHeight w:val="90"/>
        </w:trPr>
        <w:tc>
          <w:tcPr>
            <w:tcW w:w="9080" w:type="dxa"/>
            <w:vAlign w:val="bottom"/>
            <w:shd w:val="clear" w:color="auto" w:fill="0075A8"/>
          </w:tcPr>
          <w:p>
            <w:pPr>
              <w:spacing w:after="0"/>
              <w:rPr>
                <w:sz w:val="7"/>
                <w:szCs w:val="7"/>
                <w:color w:val="auto"/>
              </w:rPr>
            </w:pPr>
          </w:p>
        </w:tc>
        <w:tc>
          <w:tcPr>
            <w:tcW w:w="320" w:type="dxa"/>
            <w:vAlign w:val="bottom"/>
            <w:shd w:val="clear" w:color="auto" w:fill="0075A8"/>
          </w:tcPr>
          <w:p>
            <w:pPr>
              <w:spacing w:after="0"/>
              <w:rPr>
                <w:sz w:val="7"/>
                <w:szCs w:val="7"/>
                <w:color w:val="auto"/>
              </w:rPr>
            </w:pPr>
          </w:p>
        </w:tc>
      </w:tr>
      <w:tr>
        <w:trPr>
          <w:trHeight w:val="247"/>
        </w:trPr>
        <w:tc>
          <w:tcPr>
            <w:tcW w:w="9080" w:type="dxa"/>
            <w:vAlign w:val="bottom"/>
          </w:tcPr>
          <w:p>
            <w:pPr>
              <w:ind w:left="6000"/>
              <w:spacing w:after="0"/>
              <w:rPr>
                <w:sz w:val="20"/>
                <w:szCs w:val="20"/>
                <w:color w:val="auto"/>
              </w:rPr>
            </w:pPr>
            <w:r>
              <w:rPr>
                <w:rFonts w:ascii="Arial" w:cs="Arial" w:eastAsia="Arial" w:hAnsi="Arial"/>
                <w:sz w:val="20"/>
                <w:szCs w:val="20"/>
                <w:color w:val="auto"/>
              </w:rPr>
              <w:t>​ ​</w:t>
            </w:r>
          </w:p>
        </w:tc>
        <w:tc>
          <w:tcPr>
            <w:tcW w:w="320" w:type="dxa"/>
            <w:vAlign w:val="bottom"/>
          </w:tcPr>
          <w:p>
            <w:pPr>
              <w:ind w:left="22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132" w:right="1219" w:bottom="1440" w:gutter="0" w:footer="0" w:header="0"/>
        </w:sectPr>
      </w:pPr>
    </w:p>
    <w:p>
      <w:pPr>
        <w:spacing w:after="0" w:line="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Prior to his appointment as Chairman of the Board in May 2021,</w:t>
      </w:r>
    </w:p>
    <w:p>
      <w:pPr>
        <w:spacing w:after="0" w:line="13"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auto"/>
        </w:rPr>
        <w:t>Mr. Griffin had served as Chief Executive Officer and a director since May 2016 and as President since May 2014. He served as Executive Vice President and Corporate General Manager from November 2012 to May 2014, Executive Vice President and General Manager, High Performance Analog from May 2011 to November 2012, and Senior Vice President, Sales and Marketing from August 2001 to May 2011. Previously, Mr. Griffin was employed by Vectron International, a division of Dover Corp., as Vice President of Worldwide Sales from 1997 to 2001 and as Vice President of North American Sales from 1995 to 1997.</w:t>
      </w:r>
    </w:p>
    <w:p>
      <w:pPr>
        <w:spacing w:after="0" w:line="138" w:lineRule="exact"/>
        <w:rPr>
          <w:sz w:val="20"/>
          <w:szCs w:val="20"/>
          <w:color w:val="auto"/>
        </w:rPr>
      </w:pPr>
    </w:p>
    <w:p>
      <w:pPr>
        <w:ind w:left="660" w:right="20"/>
        <w:spacing w:after="0" w:line="262"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We believe that Mr. Griffin’s qualifications to serve</w:t>
      </w:r>
      <w:r>
        <w:rPr>
          <w:rFonts w:ascii="Arial" w:cs="Arial" w:eastAsia="Arial" w:hAnsi="Arial"/>
          <w:sz w:val="20"/>
          <w:szCs w:val="20"/>
          <w:b w:val="1"/>
          <w:bCs w:val="1"/>
          <w:color w:val="0075A8"/>
        </w:rPr>
        <w:t xml:space="preserve"> </w:t>
      </w:r>
      <w:r>
        <w:rPr>
          <w:rFonts w:ascii="Arial" w:cs="Arial" w:eastAsia="Arial" w:hAnsi="Arial"/>
          <w:sz w:val="20"/>
          <w:szCs w:val="20"/>
          <w:color w:val="0075A8"/>
        </w:rPr>
        <w:t>as a director include his strong relationships with Skyworks’ key customers, investors, employees, and other stakeholders, as well as his deep understanding of the semiconductor industry and its competitive landscape gained through serving in several different executive positions at Skyworks over the past two decades.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0075A8"/>
        </w:rPr>
        <w:t>Other Public Company Boards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 National Instruments Corporation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 Vicor Corporation (until 2019)</w:t>
      </w:r>
    </w:p>
    <w:p>
      <w:pPr>
        <w:spacing w:after="0" w:line="2707" w:lineRule="exact"/>
        <w:rPr>
          <w:sz w:val="20"/>
          <w:szCs w:val="20"/>
          <w:color w:val="auto"/>
        </w:rPr>
      </w:pPr>
    </w:p>
    <w:p>
      <w:pPr>
        <w:sectPr>
          <w:pgSz w:w="11900" w:h="16838" w:orient="portrait"/>
          <w:cols w:equalWidth="0" w:num="2">
            <w:col w:w="6660" w:space="280"/>
            <w:col w:w="3160"/>
          </w:cols>
          <w:pgMar w:left="580" w:top="132" w:right="1219" w:bottom="1440" w:gutter="0" w:footer="0" w:header="0"/>
          <w:type w:val="continuous"/>
        </w:sectPr>
      </w:pP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341"/>
        </w:trPr>
        <w:tc>
          <w:tcPr>
            <w:tcW w:w="494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 xml:space="preserve">Christine King, </w:t>
            </w:r>
            <w:r>
              <w:rPr>
                <w:rFonts w:ascii="Arial" w:cs="Arial" w:eastAsia="Arial" w:hAnsi="Arial"/>
                <w:sz w:val="20"/>
                <w:szCs w:val="20"/>
                <w:i w:val="1"/>
                <w:iCs w:val="1"/>
                <w:color w:val="FFFFFF"/>
              </w:rPr>
              <w:t>Lead Independent Director</w:t>
            </w:r>
          </w:p>
        </w:tc>
        <w:tc>
          <w:tcPr>
            <w:tcW w:w="4120" w:type="dxa"/>
            <w:vAlign w:val="bottom"/>
            <w:shd w:val="clear" w:color="auto" w:fill="0075A8"/>
          </w:tcPr>
          <w:p>
            <w:pPr>
              <w:ind w:left="1040"/>
              <w:spacing w:after="0"/>
              <w:rPr>
                <w:sz w:val="20"/>
                <w:szCs w:val="20"/>
                <w:color w:val="auto"/>
              </w:rPr>
            </w:pPr>
            <w:r>
              <w:rPr>
                <w:rFonts w:ascii="Arial" w:cs="Arial" w:eastAsia="Arial" w:hAnsi="Arial"/>
                <w:sz w:val="18"/>
                <w:szCs w:val="18"/>
                <w:color w:val="FFFFFF"/>
              </w:rPr>
              <w:t>​ ​ Director since: 2014  •  Age: 73</w:t>
            </w:r>
          </w:p>
        </w:tc>
        <w:tc>
          <w:tcPr>
            <w:tcW w:w="340" w:type="dxa"/>
            <w:vAlign w:val="bottom"/>
            <w:shd w:val="clear" w:color="auto" w:fill="0075A8"/>
          </w:tcPr>
          <w:p>
            <w:pPr>
              <w:ind w:left="240"/>
              <w:spacing w:after="0"/>
              <w:rPr>
                <w:sz w:val="20"/>
                <w:szCs w:val="20"/>
                <w:color w:val="auto"/>
              </w:rPr>
            </w:pPr>
            <w:r>
              <w:rPr>
                <w:rFonts w:ascii="Arial" w:cs="Arial" w:eastAsia="Arial" w:hAnsi="Arial"/>
                <w:sz w:val="18"/>
                <w:szCs w:val="18"/>
                <w:color w:val="FFFFFF"/>
              </w:rPr>
              <w:t>​</w:t>
            </w:r>
          </w:p>
        </w:tc>
      </w:tr>
      <w:tr>
        <w:trPr>
          <w:trHeight w:val="90"/>
        </w:trPr>
        <w:tc>
          <w:tcPr>
            <w:tcW w:w="4940" w:type="dxa"/>
            <w:vAlign w:val="bottom"/>
            <w:shd w:val="clear" w:color="auto" w:fill="0075A8"/>
          </w:tcPr>
          <w:p>
            <w:pPr>
              <w:spacing w:after="0"/>
              <w:rPr>
                <w:sz w:val="7"/>
                <w:szCs w:val="7"/>
                <w:color w:val="auto"/>
              </w:rPr>
            </w:pPr>
          </w:p>
        </w:tc>
        <w:tc>
          <w:tcPr>
            <w:tcW w:w="4120" w:type="dxa"/>
            <w:vAlign w:val="bottom"/>
            <w:shd w:val="clear" w:color="auto" w:fill="0075A8"/>
          </w:tcPr>
          <w:p>
            <w:pPr>
              <w:spacing w:after="0"/>
              <w:rPr>
                <w:sz w:val="7"/>
                <w:szCs w:val="7"/>
                <w:color w:val="auto"/>
              </w:rPr>
            </w:pPr>
          </w:p>
        </w:tc>
        <w:tc>
          <w:tcPr>
            <w:tcW w:w="340" w:type="dxa"/>
            <w:vAlign w:val="bottom"/>
            <w:shd w:val="clear" w:color="auto" w:fill="0075A8"/>
          </w:tcPr>
          <w:p>
            <w:pPr>
              <w:spacing w:after="0"/>
              <w:rPr>
                <w:sz w:val="7"/>
                <w:szCs w:val="7"/>
                <w:color w:val="auto"/>
              </w:rPr>
            </w:pPr>
          </w:p>
        </w:tc>
      </w:tr>
      <w:tr>
        <w:trPr>
          <w:trHeight w:val="224"/>
        </w:trPr>
        <w:tc>
          <w:tcPr>
            <w:tcW w:w="4940" w:type="dxa"/>
            <w:vAlign w:val="bottom"/>
          </w:tcPr>
          <w:p>
            <w:pPr>
              <w:spacing w:after="0"/>
              <w:rPr>
                <w:sz w:val="19"/>
                <w:szCs w:val="19"/>
                <w:color w:val="auto"/>
              </w:rPr>
            </w:pPr>
          </w:p>
        </w:tc>
        <w:tc>
          <w:tcPr>
            <w:tcW w:w="4120" w:type="dxa"/>
            <w:vAlign w:val="bottom"/>
          </w:tcPr>
          <w:p>
            <w:pPr>
              <w:ind w:left="1040"/>
              <w:spacing w:after="0"/>
              <w:rPr>
                <w:sz w:val="20"/>
                <w:szCs w:val="20"/>
                <w:color w:val="auto"/>
              </w:rPr>
            </w:pPr>
            <w:r>
              <w:rPr>
                <w:rFonts w:ascii="Arial" w:cs="Arial" w:eastAsia="Arial" w:hAnsi="Arial"/>
                <w:sz w:val="16"/>
                <w:szCs w:val="16"/>
                <w:color w:val="auto"/>
              </w:rPr>
              <w:t>​ ​</w:t>
            </w:r>
          </w:p>
        </w:tc>
        <w:tc>
          <w:tcPr>
            <w:tcW w:w="340" w:type="dxa"/>
            <w:vAlign w:val="bottom"/>
          </w:tcPr>
          <w:p>
            <w:pPr>
              <w:ind w:left="240"/>
              <w:spacing w:after="0"/>
              <w:rPr>
                <w:sz w:val="20"/>
                <w:szCs w:val="20"/>
                <w:color w:val="auto"/>
              </w:rPr>
            </w:pPr>
            <w:r>
              <w:rPr>
                <w:rFonts w:ascii="Arial" w:cs="Arial" w:eastAsia="Arial" w:hAnsi="Arial"/>
                <w:sz w:val="16"/>
                <w:szCs w:val="16"/>
                <w:color w:val="auto"/>
              </w:rPr>
              <w:t>​</w:t>
            </w:r>
          </w:p>
        </w:tc>
      </w:tr>
    </w:tbl>
    <w:p>
      <w:pPr>
        <w:spacing w:after="0" w:line="24" w:lineRule="exact"/>
        <w:rPr>
          <w:sz w:val="20"/>
          <w:szCs w:val="20"/>
          <w:color w:val="auto"/>
        </w:rPr>
      </w:pPr>
    </w:p>
    <w:p>
      <w:pPr>
        <w:sectPr>
          <w:pgSz w:w="11900" w:h="16838" w:orient="portrait"/>
          <w:cols w:equalWidth="0" w:num="1">
            <w:col w:w="10100"/>
          </w:cols>
          <w:pgMar w:left="580" w:top="132" w:right="1219" w:bottom="1440" w:gutter="0" w:footer="0" w:header="0"/>
          <w:type w:val="continuous"/>
        </w:sectPr>
      </w:pPr>
    </w:p>
    <w:p>
      <w:pPr>
        <w:spacing w:after="0" w:line="32" w:lineRule="exact"/>
        <w:rPr>
          <w:sz w:val="20"/>
          <w:szCs w:val="20"/>
          <w:color w:val="auto"/>
        </w:rPr>
      </w:pPr>
    </w:p>
    <w:p>
      <w:pPr>
        <w:ind w:left="660" w:right="340"/>
        <w:spacing w:after="0" w:line="266" w:lineRule="auto"/>
        <w:rPr>
          <w:sz w:val="20"/>
          <w:szCs w:val="20"/>
          <w:color w:val="auto"/>
        </w:rPr>
      </w:pPr>
      <w:r>
        <w:rPr>
          <w:rFonts w:ascii="Arial" w:cs="Arial" w:eastAsia="Arial" w:hAnsi="Arial"/>
          <w:sz w:val="19"/>
          <w:szCs w:val="19"/>
          <w:color w:val="auto"/>
        </w:rPr>
        <w:t>Ms. King has been Lead Independent Director since 2019. She served as Executive Chairman of QLogic Corporation (a publicly traded developer of high-performance server and storage networking connectivity products) from August 2015 until</w:t>
      </w:r>
    </w:p>
    <w:p>
      <w:pPr>
        <w:spacing w:after="0" w:line="3" w:lineRule="exact"/>
        <w:rPr>
          <w:sz w:val="20"/>
          <w:szCs w:val="20"/>
          <w:color w:val="auto"/>
        </w:rPr>
      </w:pPr>
    </w:p>
    <w:p>
      <w:pPr>
        <w:ind w:left="660" w:right="60"/>
        <w:spacing w:after="0" w:line="271" w:lineRule="auto"/>
        <w:rPr>
          <w:sz w:val="20"/>
          <w:szCs w:val="20"/>
          <w:color w:val="auto"/>
        </w:rPr>
      </w:pPr>
      <w:r>
        <w:rPr>
          <w:rFonts w:ascii="Arial" w:cs="Arial" w:eastAsia="Arial" w:hAnsi="Arial"/>
          <w:sz w:val="19"/>
          <w:szCs w:val="19"/>
          <w:color w:val="auto"/>
        </w:rPr>
        <w:t>August 2016, when it was acquired by Cavium, Inc. Previously, she served as Chief Executive Officer of Standard Microsystems Corporation (a publicly traded developer of silicon-based integrated circuits utilizing analog and mixed-signal technologies) from 2008 until the company’s acquisition in 2012 by Microchip Technology, Inc. Prior to Standard Microsystems, Ms. King was Chief Executive Officer of AMI Semiconductor, Inc., a publicly traded company, from 2001 until it was acquired by ON Semiconductor Corp. in 2008.</w:t>
      </w:r>
    </w:p>
    <w:p>
      <w:pPr>
        <w:spacing w:after="0" w:line="122" w:lineRule="exact"/>
        <w:rPr>
          <w:sz w:val="20"/>
          <w:szCs w:val="20"/>
          <w:color w:val="auto"/>
        </w:rPr>
      </w:pPr>
    </w:p>
    <w:p>
      <w:pPr>
        <w:ind w:left="660"/>
        <w:spacing w:after="0" w:line="269"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We believe that Ms. King’s qualifications to serve as</w:t>
      </w:r>
      <w:r>
        <w:rPr>
          <w:rFonts w:ascii="Arial" w:cs="Arial" w:eastAsia="Arial" w:hAnsi="Arial"/>
          <w:sz w:val="20"/>
          <w:szCs w:val="20"/>
          <w:b w:val="1"/>
          <w:bCs w:val="1"/>
          <w:color w:val="0075A8"/>
        </w:rPr>
        <w:t xml:space="preserve"> </w:t>
      </w:r>
      <w:r>
        <w:rPr>
          <w:rFonts w:ascii="Arial" w:cs="Arial" w:eastAsia="Arial" w:hAnsi="Arial"/>
          <w:sz w:val="20"/>
          <w:szCs w:val="20"/>
          <w:color w:val="0075A8"/>
        </w:rPr>
        <w:t>a director include her extensive management and operational experience in the high-tech and semiconductor industries as well as her significant strategic and financial expertise.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r>
        <w:rPr>
          <w:rFonts w:ascii="Arial" w:cs="Arial" w:eastAsia="Arial" w:hAnsi="Arial"/>
          <w:sz w:val="16"/>
          <w:szCs w:val="16"/>
          <w:color w:val="000000"/>
        </w:rPr>
        <w:t>​</w:t>
      </w:r>
    </w:p>
    <w:p>
      <w:pPr>
        <w:spacing w:after="0" w:line="74" w:lineRule="exact"/>
        <w:rPr>
          <w:sz w:val="20"/>
          <w:szCs w:val="20"/>
          <w:color w:val="auto"/>
        </w:rPr>
      </w:pPr>
    </w:p>
    <w:p>
      <w:pPr>
        <w:ind w:left="160" w:hanging="155"/>
        <w:spacing w:after="0"/>
        <w:tabs>
          <w:tab w:leader="none" w:pos="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Audit</w:t>
      </w:r>
    </w:p>
    <w:p>
      <w:pPr>
        <w:spacing w:after="0" w:line="32" w:lineRule="exact"/>
        <w:rPr>
          <w:rFonts w:ascii="Arial" w:cs="Arial" w:eastAsia="Arial" w:hAnsi="Arial"/>
          <w:sz w:val="16"/>
          <w:szCs w:val="16"/>
          <w:color w:val="auto"/>
        </w:rPr>
      </w:pPr>
    </w:p>
    <w:p>
      <w:pPr>
        <w:ind w:left="160" w:hanging="155"/>
        <w:spacing w:after="0"/>
        <w:tabs>
          <w:tab w:leader="none" w:pos="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Compensation (Chair)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39" w:lineRule="exact"/>
        <w:rPr>
          <w:sz w:val="20"/>
          <w:szCs w:val="20"/>
          <w:color w:val="auto"/>
        </w:rPr>
      </w:pPr>
    </w:p>
    <w:p>
      <w:pPr>
        <w:ind w:left="160" w:hanging="155"/>
        <w:spacing w:after="0"/>
        <w:tabs>
          <w:tab w:leader="none" w:pos="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Allegro MicroSystems, Inc. (until 2021)</w:t>
      </w:r>
    </w:p>
    <w:p>
      <w:pPr>
        <w:spacing w:after="0" w:line="32" w:lineRule="exact"/>
        <w:rPr>
          <w:rFonts w:ascii="Arial" w:cs="Arial" w:eastAsia="Arial" w:hAnsi="Arial"/>
          <w:sz w:val="16"/>
          <w:szCs w:val="16"/>
          <w:color w:val="auto"/>
        </w:rPr>
      </w:pPr>
    </w:p>
    <w:p>
      <w:pPr>
        <w:ind w:left="160" w:hanging="155"/>
        <w:spacing w:after="0"/>
        <w:tabs>
          <w:tab w:leader="none" w:pos="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IDACORP, Inc. (until 2021)</w:t>
      </w:r>
    </w:p>
    <w:p>
      <w:pPr>
        <w:spacing w:after="0" w:line="18" w:lineRule="exact"/>
        <w:rPr>
          <w:rFonts w:ascii="Arial" w:cs="Arial" w:eastAsia="Arial" w:hAnsi="Arial"/>
          <w:sz w:val="16"/>
          <w:szCs w:val="16"/>
          <w:color w:val="auto"/>
        </w:rPr>
      </w:pPr>
    </w:p>
    <w:p>
      <w:pPr>
        <w:ind w:left="160" w:hanging="155"/>
        <w:spacing w:after="0"/>
        <w:tabs>
          <w:tab w:leader="none" w:pos="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Cirrus Logic, Inc. (until 2018)</w:t>
      </w:r>
    </w:p>
    <w:p>
      <w:pPr>
        <w:spacing w:after="0" w:line="1854" w:lineRule="exact"/>
        <w:rPr>
          <w:sz w:val="20"/>
          <w:szCs w:val="20"/>
          <w:color w:val="auto"/>
        </w:rPr>
      </w:pPr>
    </w:p>
    <w:p>
      <w:pPr>
        <w:sectPr>
          <w:pgSz w:w="11900" w:h="16838" w:orient="portrait"/>
          <w:cols w:equalWidth="0" w:num="2">
            <w:col w:w="6620" w:space="280"/>
            <w:col w:w="3200"/>
          </w:cols>
          <w:pgMar w:left="580" w:top="132" w:right="1219" w:bottom="1440" w:gutter="0" w:footer="0" w:header="0"/>
          <w:type w:val="continuous"/>
        </w:sectPr>
      </w:pPr>
    </w:p>
    <w:p>
      <w:pPr>
        <w:spacing w:after="0" w:line="275"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391795</wp:posOffset>
            </wp:positionV>
            <wp:extent cx="5974715"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0"/>
        <w:spacing w:after="0"/>
        <w:rPr>
          <w:sz w:val="20"/>
          <w:szCs w:val="20"/>
          <w:color w:val="auto"/>
        </w:rPr>
      </w:pPr>
      <w:r>
        <w:rPr>
          <w:rFonts w:ascii="Arial" w:cs="Arial" w:eastAsia="Arial" w:hAnsi="Arial"/>
          <w:sz w:val="20"/>
          <w:szCs w:val="20"/>
          <w:b w:val="1"/>
          <w:bCs w:val="1"/>
          <w:color w:val="FFFFFF"/>
        </w:rPr>
        <w:t>Alan S. Batey</w:t>
      </w:r>
    </w:p>
    <w:p>
      <w:pPr>
        <w:spacing w:after="0" w:line="200" w:lineRule="exact"/>
        <w:rPr>
          <w:sz w:val="20"/>
          <w:szCs w:val="20"/>
          <w:color w:val="auto"/>
        </w:rPr>
      </w:pPr>
    </w:p>
    <w:p>
      <w:pPr>
        <w:spacing w:after="0" w:line="202"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Mr. Batey served as Executive Vice President and President of North America for General Motors Company (a publicly traded automotive manufacturer), as well as the Global Brand Chief for Chevrolet, a division of General Motors Company, from 2014 until 2019. His career spans more than 39 years with General Motors where he held various senior management positions in operations, marketing, and sales around the world.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2000" w:val="left"/>
          <w:tab w:leader="none" w:pos="3300" w:val="left"/>
        </w:tabs>
        <w:rPr>
          <w:sz w:val="20"/>
          <w:szCs w:val="20"/>
          <w:color w:val="auto"/>
        </w:rPr>
      </w:pPr>
      <w:r>
        <w:rPr>
          <w:rFonts w:ascii="Arial" w:cs="Arial" w:eastAsia="Arial" w:hAnsi="Arial"/>
          <w:sz w:val="18"/>
          <w:szCs w:val="18"/>
          <w:color w:val="FFFFFF"/>
        </w:rPr>
        <w:t>​ ​ Director since: 2019</w:t>
        <w:tab/>
        <w:t>•  Age: 60</w:t>
      </w:r>
      <w:r>
        <w:rPr>
          <w:sz w:val="20"/>
          <w:szCs w:val="20"/>
          <w:color w:val="auto"/>
        </w:rPr>
        <w:tab/>
      </w:r>
      <w:r>
        <w:rPr>
          <w:rFonts w:ascii="Arial" w:cs="Arial" w:eastAsia="Arial" w:hAnsi="Arial"/>
          <w:sz w:val="18"/>
          <w:szCs w:val="18"/>
          <w:color w:val="FFFFFF"/>
        </w:rPr>
        <w:t>​</w:t>
      </w:r>
    </w:p>
    <w:p>
      <w:pPr>
        <w:spacing w:after="0" w:line="141" w:lineRule="exact"/>
        <w:rPr>
          <w:sz w:val="20"/>
          <w:szCs w:val="20"/>
          <w:color w:val="auto"/>
        </w:rPr>
      </w:pPr>
    </w:p>
    <w:p>
      <w:pPr>
        <w:spacing w:after="0"/>
        <w:tabs>
          <w:tab w:leader="none" w:pos="3300" w:val="left"/>
        </w:tabs>
        <w:rPr>
          <w:sz w:val="20"/>
          <w:szCs w:val="20"/>
          <w:color w:val="auto"/>
        </w:rPr>
      </w:pPr>
      <w:r>
        <w:rPr>
          <w:rFonts w:ascii="Arial" w:cs="Arial" w:eastAsia="Arial" w:hAnsi="Arial"/>
          <w:sz w:val="20"/>
          <w:szCs w:val="20"/>
          <w:color w:val="auto"/>
        </w:rPr>
        <w:t>​ ​</w:t>
      </w:r>
      <w:r>
        <w:rPr>
          <w:sz w:val="20"/>
          <w:szCs w:val="20"/>
          <w:color w:val="auto"/>
        </w:rPr>
        <w:tab/>
      </w:r>
      <w:r>
        <w:rPr>
          <w:rFonts w:ascii="Arial" w:cs="Arial" w:eastAsia="Arial" w:hAnsi="Arial"/>
          <w:sz w:val="20"/>
          <w:szCs w:val="20"/>
          <w:color w:val="auto"/>
        </w:rPr>
        <w:t>​</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75A8"/>
        </w:rPr>
        <w:t>Committee(s)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Compensation</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75A8"/>
        </w:rPr>
        <w:t>Other Public Company Boards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Current</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None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Past 5 Years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None</w:t>
      </w:r>
    </w:p>
    <w:p>
      <w:pPr>
        <w:spacing w:after="0" w:line="43" w:lineRule="exact"/>
        <w:rPr>
          <w:sz w:val="20"/>
          <w:szCs w:val="20"/>
          <w:color w:val="auto"/>
        </w:rPr>
      </w:pPr>
    </w:p>
    <w:p>
      <w:pPr>
        <w:sectPr>
          <w:pgSz w:w="11900" w:h="16838" w:orient="portrait"/>
          <w:cols w:equalWidth="0" w:num="2">
            <w:col w:w="6480" w:space="160"/>
            <w:col w:w="3460"/>
          </w:cols>
          <w:pgMar w:left="580" w:top="132" w:right="1219" w:bottom="1440" w:gutter="0" w:footer="0" w:header="0"/>
          <w:type w:val="continuous"/>
        </w:sectPr>
      </w:pPr>
    </w:p>
    <w:p>
      <w:pPr>
        <w:jc w:val="both"/>
        <w:ind w:left="660" w:right="3580"/>
        <w:spacing w:after="0" w:line="260"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We believe that Mr. Batey’s qualifications to serve</w:t>
      </w:r>
      <w:r>
        <w:rPr>
          <w:rFonts w:ascii="Arial" w:cs="Arial" w:eastAsia="Arial" w:hAnsi="Arial"/>
          <w:sz w:val="20"/>
          <w:szCs w:val="20"/>
          <w:b w:val="1"/>
          <w:bCs w:val="1"/>
          <w:color w:val="0075A8"/>
        </w:rPr>
        <w:t xml:space="preserve"> </w:t>
      </w:r>
      <w:r>
        <w:rPr>
          <w:rFonts w:ascii="Arial" w:cs="Arial" w:eastAsia="Arial" w:hAnsi="Arial"/>
          <w:sz w:val="20"/>
          <w:szCs w:val="20"/>
          <w:color w:val="0075A8"/>
        </w:rPr>
        <w:t>as a director include his extensive senior management experience at General Motors, where he developed expertise on a broad set of complex strategic, operational, and technological matters involving the automotive industry, an industry that is expected to be a growth market for the Company.</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342"/>
        </w:trPr>
        <w:tc>
          <w:tcPr>
            <w:tcW w:w="376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Kevin L. Beebe</w:t>
            </w:r>
          </w:p>
        </w:tc>
        <w:tc>
          <w:tcPr>
            <w:tcW w:w="5300" w:type="dxa"/>
            <w:vAlign w:val="bottom"/>
            <w:shd w:val="clear" w:color="auto" w:fill="0075A8"/>
          </w:tcPr>
          <w:p>
            <w:pPr>
              <w:ind w:left="2220"/>
              <w:spacing w:after="0"/>
              <w:rPr>
                <w:sz w:val="20"/>
                <w:szCs w:val="20"/>
                <w:color w:val="auto"/>
              </w:rPr>
            </w:pPr>
            <w:r>
              <w:rPr>
                <w:rFonts w:ascii="Arial" w:cs="Arial" w:eastAsia="Arial" w:hAnsi="Arial"/>
                <w:sz w:val="18"/>
                <w:szCs w:val="18"/>
                <w:color w:val="FFFFFF"/>
              </w:rPr>
              <w:t>​ ​ Director since: 2004  •  Age: 64</w:t>
            </w:r>
          </w:p>
        </w:tc>
        <w:tc>
          <w:tcPr>
            <w:tcW w:w="340" w:type="dxa"/>
            <w:vAlign w:val="bottom"/>
            <w:shd w:val="clear" w:color="auto" w:fill="0075A8"/>
          </w:tcPr>
          <w:p>
            <w:pPr>
              <w:ind w:left="240"/>
              <w:spacing w:after="0"/>
              <w:rPr>
                <w:sz w:val="20"/>
                <w:szCs w:val="20"/>
                <w:color w:val="auto"/>
              </w:rPr>
            </w:pPr>
            <w:r>
              <w:rPr>
                <w:rFonts w:ascii="Arial" w:cs="Arial" w:eastAsia="Arial" w:hAnsi="Arial"/>
                <w:sz w:val="18"/>
                <w:szCs w:val="18"/>
                <w:color w:val="FFFFFF"/>
              </w:rPr>
              <w:t>​</w:t>
            </w:r>
          </w:p>
        </w:tc>
      </w:tr>
      <w:tr>
        <w:trPr>
          <w:trHeight w:val="90"/>
        </w:trPr>
        <w:tc>
          <w:tcPr>
            <w:tcW w:w="3760" w:type="dxa"/>
            <w:vAlign w:val="bottom"/>
            <w:shd w:val="clear" w:color="auto" w:fill="0075A8"/>
          </w:tcPr>
          <w:p>
            <w:pPr>
              <w:spacing w:after="0"/>
              <w:rPr>
                <w:sz w:val="7"/>
                <w:szCs w:val="7"/>
                <w:color w:val="auto"/>
              </w:rPr>
            </w:pPr>
          </w:p>
        </w:tc>
        <w:tc>
          <w:tcPr>
            <w:tcW w:w="5300" w:type="dxa"/>
            <w:vAlign w:val="bottom"/>
            <w:shd w:val="clear" w:color="auto" w:fill="0075A8"/>
          </w:tcPr>
          <w:p>
            <w:pPr>
              <w:spacing w:after="0"/>
              <w:rPr>
                <w:sz w:val="7"/>
                <w:szCs w:val="7"/>
                <w:color w:val="auto"/>
              </w:rPr>
            </w:pPr>
          </w:p>
        </w:tc>
        <w:tc>
          <w:tcPr>
            <w:tcW w:w="340" w:type="dxa"/>
            <w:vAlign w:val="bottom"/>
            <w:shd w:val="clear" w:color="auto" w:fill="0075A8"/>
          </w:tcPr>
          <w:p>
            <w:pPr>
              <w:spacing w:after="0"/>
              <w:rPr>
                <w:sz w:val="7"/>
                <w:szCs w:val="7"/>
                <w:color w:val="auto"/>
              </w:rPr>
            </w:pPr>
          </w:p>
        </w:tc>
      </w:tr>
      <w:tr>
        <w:trPr>
          <w:trHeight w:val="224"/>
        </w:trPr>
        <w:tc>
          <w:tcPr>
            <w:tcW w:w="3760" w:type="dxa"/>
            <w:vAlign w:val="bottom"/>
          </w:tcPr>
          <w:p>
            <w:pPr>
              <w:spacing w:after="0"/>
              <w:rPr>
                <w:sz w:val="19"/>
                <w:szCs w:val="19"/>
                <w:color w:val="auto"/>
              </w:rPr>
            </w:pPr>
          </w:p>
        </w:tc>
        <w:tc>
          <w:tcPr>
            <w:tcW w:w="5300" w:type="dxa"/>
            <w:vAlign w:val="bottom"/>
          </w:tcPr>
          <w:p>
            <w:pPr>
              <w:ind w:left="2220"/>
              <w:spacing w:after="0"/>
              <w:rPr>
                <w:sz w:val="20"/>
                <w:szCs w:val="20"/>
                <w:color w:val="auto"/>
              </w:rPr>
            </w:pPr>
            <w:r>
              <w:rPr>
                <w:rFonts w:ascii="Arial" w:cs="Arial" w:eastAsia="Arial" w:hAnsi="Arial"/>
                <w:sz w:val="16"/>
                <w:szCs w:val="16"/>
                <w:color w:val="auto"/>
              </w:rPr>
              <w:t>​ ​</w:t>
            </w:r>
          </w:p>
        </w:tc>
        <w:tc>
          <w:tcPr>
            <w:tcW w:w="340" w:type="dxa"/>
            <w:vAlign w:val="bottom"/>
          </w:tcPr>
          <w:p>
            <w:pPr>
              <w:ind w:left="240"/>
              <w:spacing w:after="0"/>
              <w:rPr>
                <w:sz w:val="20"/>
                <w:szCs w:val="20"/>
                <w:color w:val="auto"/>
              </w:rPr>
            </w:pPr>
            <w:r>
              <w:rPr>
                <w:rFonts w:ascii="Arial" w:cs="Arial" w:eastAsia="Arial" w:hAnsi="Arial"/>
                <w:sz w:val="16"/>
                <w:szCs w:val="16"/>
                <w:color w:val="auto"/>
              </w:rPr>
              <w:t>​</w:t>
            </w:r>
          </w:p>
        </w:tc>
      </w:tr>
    </w:tbl>
    <w:p>
      <w:pPr>
        <w:spacing w:after="0" w:line="24" w:lineRule="exact"/>
        <w:rPr>
          <w:sz w:val="20"/>
          <w:szCs w:val="20"/>
          <w:color w:val="auto"/>
        </w:rPr>
      </w:pPr>
    </w:p>
    <w:p>
      <w:pPr>
        <w:sectPr>
          <w:pgSz w:w="11900" w:h="16838" w:orient="portrait"/>
          <w:cols w:equalWidth="0" w:num="1">
            <w:col w:w="10100"/>
          </w:cols>
          <w:pgMar w:left="580" w:top="132" w:right="1219" w:bottom="1440" w:gutter="0" w:footer="0" w:header="0"/>
          <w:type w:val="continuous"/>
        </w:sectPr>
      </w:pPr>
    </w:p>
    <w:p>
      <w:pPr>
        <w:spacing w:after="0" w:line="32" w:lineRule="exact"/>
        <w:rPr>
          <w:sz w:val="20"/>
          <w:szCs w:val="20"/>
          <w:color w:val="auto"/>
        </w:rPr>
      </w:pPr>
    </w:p>
    <w:p>
      <w:pPr>
        <w:ind w:left="660"/>
        <w:spacing w:after="0" w:line="256" w:lineRule="auto"/>
        <w:rPr>
          <w:sz w:val="20"/>
          <w:szCs w:val="20"/>
          <w:color w:val="auto"/>
        </w:rPr>
      </w:pPr>
      <w:r>
        <w:rPr>
          <w:rFonts w:ascii="Arial" w:cs="Arial" w:eastAsia="Arial" w:hAnsi="Arial"/>
          <w:sz w:val="20"/>
          <w:szCs w:val="20"/>
          <w:color w:val="auto"/>
        </w:rPr>
        <w:t>Mr. Beebe has been President and Chief Executive Officer of 2BPartners, LLC (a partnership that provides strategic, financial, and operational advice to private equity investors and management) since 2007. In 2014, Mr. Beebe became a founding partner of Astra Capital Management (a private equity firm based in Washington, D.C.). Previously, beginning in 1998, he was Group President of Operations at ALLTEL Corporation (a telecommunications services company).</w:t>
      </w:r>
    </w:p>
    <w:p>
      <w:pPr>
        <w:spacing w:after="0" w:line="133"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We believe that Mr. Beebe’s qualifications to serve</w:t>
      </w:r>
      <w:r>
        <w:rPr>
          <w:rFonts w:ascii="Arial" w:cs="Arial" w:eastAsia="Arial" w:hAnsi="Arial"/>
          <w:sz w:val="20"/>
          <w:szCs w:val="20"/>
          <w:b w:val="1"/>
          <w:bCs w:val="1"/>
          <w:color w:val="0075A8"/>
        </w:rPr>
        <w:t xml:space="preserve"> </w:t>
      </w:r>
      <w:r>
        <w:rPr>
          <w:rFonts w:ascii="Arial" w:cs="Arial" w:eastAsia="Arial" w:hAnsi="Arial"/>
          <w:sz w:val="20"/>
          <w:szCs w:val="20"/>
          <w:color w:val="0075A8"/>
        </w:rPr>
        <w:t>as a director include his two decades of experience as an operating executive in the wireless telecommunications industry as well as his experience and relationships gained from advising leading private equity firms that are transacting business in the global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88" w:lineRule="exact"/>
        <w:rPr>
          <w:sz w:val="20"/>
          <w:szCs w:val="20"/>
          <w:color w:val="auto"/>
        </w:rPr>
      </w:pPr>
    </w:p>
    <w:p>
      <w:pPr>
        <w:ind w:left="160" w:right="200" w:hanging="155"/>
        <w:spacing w:after="0" w:line="278" w:lineRule="auto"/>
        <w:tabs>
          <w:tab w:leader="none" w:pos="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Nominating and Corporate Governance (Chair)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39" w:lineRule="exact"/>
        <w:rPr>
          <w:sz w:val="20"/>
          <w:szCs w:val="20"/>
          <w:color w:val="auto"/>
        </w:rPr>
      </w:pPr>
    </w:p>
    <w:p>
      <w:pPr>
        <w:ind w:left="160" w:hanging="155"/>
        <w:spacing w:after="0"/>
        <w:tabs>
          <w:tab w:leader="none" w:pos="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SBA Communications Corporation</w:t>
      </w:r>
    </w:p>
    <w:p>
      <w:pPr>
        <w:spacing w:after="0" w:line="45" w:lineRule="exact"/>
        <w:rPr>
          <w:rFonts w:ascii="Arial" w:cs="Arial" w:eastAsia="Arial" w:hAnsi="Arial"/>
          <w:sz w:val="16"/>
          <w:szCs w:val="16"/>
          <w:color w:val="auto"/>
        </w:rPr>
      </w:pPr>
    </w:p>
    <w:p>
      <w:pPr>
        <w:ind w:left="160" w:right="360" w:hanging="155"/>
        <w:spacing w:after="0" w:line="279" w:lineRule="auto"/>
        <w:tabs>
          <w:tab w:leader="none" w:pos="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Frontier Communications Parent, Inc. (formerly Frontier Communications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52" w:lineRule="exact"/>
        <w:rPr>
          <w:sz w:val="20"/>
          <w:szCs w:val="20"/>
          <w:color w:val="auto"/>
        </w:rPr>
      </w:pPr>
    </w:p>
    <w:p>
      <w:pPr>
        <w:ind w:left="160" w:right="420" w:hanging="155"/>
        <w:spacing w:after="0" w:line="295" w:lineRule="auto"/>
        <w:tabs>
          <w:tab w:leader="none" w:pos="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Altimar Acquisition Corporation (until 2021)</w:t>
      </w:r>
    </w:p>
    <w:p>
      <w:pPr>
        <w:spacing w:after="0" w:line="6" w:lineRule="exact"/>
        <w:rPr>
          <w:rFonts w:ascii="Arial" w:cs="Arial" w:eastAsia="Arial" w:hAnsi="Arial"/>
          <w:sz w:val="16"/>
          <w:szCs w:val="16"/>
          <w:color w:val="auto"/>
        </w:rPr>
      </w:pPr>
    </w:p>
    <w:p>
      <w:pPr>
        <w:ind w:left="160" w:hanging="155"/>
        <w:spacing w:after="0"/>
        <w:tabs>
          <w:tab w:leader="none" w:pos="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Altimar Acquisition Corp. II (until 2021)</w:t>
      </w:r>
    </w:p>
    <w:p>
      <w:pPr>
        <w:spacing w:after="0" w:line="18" w:lineRule="exact"/>
        <w:rPr>
          <w:rFonts w:ascii="Arial" w:cs="Arial" w:eastAsia="Arial" w:hAnsi="Arial"/>
          <w:sz w:val="16"/>
          <w:szCs w:val="16"/>
          <w:color w:val="auto"/>
        </w:rPr>
      </w:pPr>
    </w:p>
    <w:p>
      <w:pPr>
        <w:ind w:left="160" w:hanging="155"/>
        <w:spacing w:after="0"/>
        <w:tabs>
          <w:tab w:leader="none" w:pos="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NII Holdings, Inc. (until 2019)</w:t>
      </w:r>
    </w:p>
    <w:p>
      <w:pPr>
        <w:spacing w:after="0" w:line="374" w:lineRule="exact"/>
        <w:rPr>
          <w:sz w:val="20"/>
          <w:szCs w:val="20"/>
          <w:color w:val="auto"/>
        </w:rPr>
      </w:pPr>
    </w:p>
    <w:p>
      <w:pPr>
        <w:sectPr>
          <w:pgSz w:w="11900" w:h="16838" w:orient="portrait"/>
          <w:cols w:equalWidth="0" w:num="2">
            <w:col w:w="6600" w:space="300"/>
            <w:col w:w="3200"/>
          </w:cols>
          <w:pgMar w:left="580" w:top="132"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342"/>
        </w:trPr>
        <w:tc>
          <w:tcPr>
            <w:tcW w:w="368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Eric J. Guerin</w:t>
            </w:r>
          </w:p>
        </w:tc>
        <w:tc>
          <w:tcPr>
            <w:tcW w:w="5380" w:type="dxa"/>
            <w:vAlign w:val="bottom"/>
            <w:shd w:val="clear" w:color="auto" w:fill="0075A8"/>
          </w:tcPr>
          <w:p>
            <w:pPr>
              <w:ind w:left="2300"/>
              <w:spacing w:after="0"/>
              <w:rPr>
                <w:sz w:val="20"/>
                <w:szCs w:val="20"/>
                <w:color w:val="auto"/>
              </w:rPr>
            </w:pPr>
            <w:r>
              <w:rPr>
                <w:rFonts w:ascii="Arial" w:cs="Arial" w:eastAsia="Arial" w:hAnsi="Arial"/>
                <w:sz w:val="18"/>
                <w:szCs w:val="18"/>
                <w:color w:val="FFFFFF"/>
              </w:rPr>
              <w:t>​ ​ Director since: 2022  •  Age: 51</w:t>
            </w:r>
          </w:p>
        </w:tc>
        <w:tc>
          <w:tcPr>
            <w:tcW w:w="340" w:type="dxa"/>
            <w:vAlign w:val="bottom"/>
            <w:shd w:val="clear" w:color="auto" w:fill="0075A8"/>
          </w:tcPr>
          <w:p>
            <w:pPr>
              <w:ind w:left="240"/>
              <w:spacing w:after="0"/>
              <w:rPr>
                <w:sz w:val="20"/>
                <w:szCs w:val="20"/>
                <w:color w:val="auto"/>
              </w:rPr>
            </w:pPr>
            <w:r>
              <w:rPr>
                <w:rFonts w:ascii="Arial" w:cs="Arial" w:eastAsia="Arial" w:hAnsi="Arial"/>
                <w:sz w:val="18"/>
                <w:szCs w:val="18"/>
                <w:color w:val="FFFFFF"/>
              </w:rPr>
              <w:t>​</w:t>
            </w:r>
          </w:p>
        </w:tc>
      </w:tr>
      <w:tr>
        <w:trPr>
          <w:trHeight w:val="90"/>
        </w:trPr>
        <w:tc>
          <w:tcPr>
            <w:tcW w:w="3680" w:type="dxa"/>
            <w:vAlign w:val="bottom"/>
            <w:shd w:val="clear" w:color="auto" w:fill="0075A8"/>
          </w:tcPr>
          <w:p>
            <w:pPr>
              <w:spacing w:after="0"/>
              <w:rPr>
                <w:sz w:val="7"/>
                <w:szCs w:val="7"/>
                <w:color w:val="auto"/>
              </w:rPr>
            </w:pPr>
          </w:p>
        </w:tc>
        <w:tc>
          <w:tcPr>
            <w:tcW w:w="5380" w:type="dxa"/>
            <w:vAlign w:val="bottom"/>
            <w:shd w:val="clear" w:color="auto" w:fill="0075A8"/>
          </w:tcPr>
          <w:p>
            <w:pPr>
              <w:spacing w:after="0"/>
              <w:rPr>
                <w:sz w:val="7"/>
                <w:szCs w:val="7"/>
                <w:color w:val="auto"/>
              </w:rPr>
            </w:pPr>
          </w:p>
        </w:tc>
        <w:tc>
          <w:tcPr>
            <w:tcW w:w="340" w:type="dxa"/>
            <w:vAlign w:val="bottom"/>
            <w:shd w:val="clear" w:color="auto" w:fill="0075A8"/>
          </w:tcPr>
          <w:p>
            <w:pPr>
              <w:spacing w:after="0"/>
              <w:rPr>
                <w:sz w:val="7"/>
                <w:szCs w:val="7"/>
                <w:color w:val="auto"/>
              </w:rPr>
            </w:pPr>
          </w:p>
        </w:tc>
      </w:tr>
      <w:tr>
        <w:trPr>
          <w:trHeight w:val="247"/>
        </w:trPr>
        <w:tc>
          <w:tcPr>
            <w:tcW w:w="3680" w:type="dxa"/>
            <w:vAlign w:val="bottom"/>
          </w:tcPr>
          <w:p>
            <w:pPr>
              <w:spacing w:after="0"/>
              <w:rPr>
                <w:sz w:val="21"/>
                <w:szCs w:val="21"/>
                <w:color w:val="auto"/>
              </w:rPr>
            </w:pPr>
          </w:p>
        </w:tc>
        <w:tc>
          <w:tcPr>
            <w:tcW w:w="5380" w:type="dxa"/>
            <w:vAlign w:val="bottom"/>
          </w:tcPr>
          <w:p>
            <w:pPr>
              <w:ind w:left="2300"/>
              <w:spacing w:after="0"/>
              <w:rPr>
                <w:sz w:val="20"/>
                <w:szCs w:val="20"/>
                <w:color w:val="auto"/>
              </w:rPr>
            </w:pPr>
            <w:r>
              <w:rPr>
                <w:rFonts w:ascii="Arial" w:cs="Arial" w:eastAsia="Arial" w:hAnsi="Arial"/>
                <w:sz w:val="20"/>
                <w:szCs w:val="20"/>
                <w:color w:val="auto"/>
              </w:rPr>
              <w:t>​ ​</w:t>
            </w:r>
          </w:p>
        </w:tc>
        <w:tc>
          <w:tcPr>
            <w:tcW w:w="340" w:type="dxa"/>
            <w:vAlign w:val="bottom"/>
          </w:tcPr>
          <w:p>
            <w:pPr>
              <w:ind w:left="24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132" w:right="1219" w:bottom="1440" w:gutter="0" w:footer="0" w:header="0"/>
        </w:sectPr>
      </w:pPr>
    </w:p>
    <w:p>
      <w:pPr>
        <w:spacing w:after="0" w:line="32" w:lineRule="exact"/>
        <w:rPr>
          <w:sz w:val="20"/>
          <w:szCs w:val="20"/>
          <w:color w:val="auto"/>
        </w:rPr>
      </w:pPr>
    </w:p>
    <w:p>
      <w:pPr>
        <w:ind w:left="660" w:right="80"/>
        <w:spacing w:after="0" w:line="255" w:lineRule="auto"/>
        <w:rPr>
          <w:sz w:val="20"/>
          <w:szCs w:val="20"/>
          <w:color w:val="auto"/>
        </w:rPr>
      </w:pPr>
      <w:r>
        <w:rPr>
          <w:rFonts w:ascii="Arial" w:cs="Arial" w:eastAsia="Arial" w:hAnsi="Arial"/>
          <w:sz w:val="20"/>
          <w:szCs w:val="20"/>
          <w:color w:val="auto"/>
        </w:rPr>
        <w:t>Mr. Guerin serves as Senior Vice President and Chief Financial Officer of Veritiv Corporation (a publicly traded provider of packaging and hygiene products), a position he has held since March 2023, and prior to that, as its Senior Vice President-Finance from January 2023 to March 2023. Previously, he served as Executive Vice President and Chief Financial Officer of CDK Global (a formerly publicly traded provider of integrated technology solutions to the automotive industry) from 2021 to 2022. From 2016 to 2021, he served as Division Vice President and sector Chief Financial Officer at Corning Glass Technologies, a division of Corning Inc. (a publicly traded innovator in materials science). Previously, he served in financial leadership roles at Flowserve Corporation, Novartis Corporation, Johnson &amp; Johnson Services Inc., and AstraZeneca PLC, each a publicly traded company or subsidiary thereof.</w:t>
      </w:r>
    </w:p>
    <w:p>
      <w:pPr>
        <w:spacing w:after="0" w:line="145" w:lineRule="exact"/>
        <w:rPr>
          <w:sz w:val="20"/>
          <w:szCs w:val="20"/>
          <w:color w:val="auto"/>
        </w:rPr>
      </w:pPr>
    </w:p>
    <w:p>
      <w:pPr>
        <w:ind w:left="660"/>
        <w:spacing w:after="0" w:line="290" w:lineRule="auto"/>
        <w:rPr>
          <w:sz w:val="20"/>
          <w:szCs w:val="20"/>
          <w:color w:val="auto"/>
        </w:rPr>
      </w:pPr>
      <w:r>
        <w:rPr>
          <w:rFonts w:ascii="Arial" w:cs="Arial" w:eastAsia="Arial" w:hAnsi="Arial"/>
          <w:sz w:val="19"/>
          <w:szCs w:val="19"/>
          <w:b w:val="1"/>
          <w:bCs w:val="1"/>
          <w:color w:val="0075A8"/>
        </w:rPr>
        <w:t xml:space="preserve">Qualifications: </w:t>
      </w:r>
      <w:r>
        <w:rPr>
          <w:rFonts w:ascii="Arial" w:cs="Arial" w:eastAsia="Arial" w:hAnsi="Arial"/>
          <w:sz w:val="19"/>
          <w:szCs w:val="19"/>
          <w:color w:val="0075A8"/>
        </w:rPr>
        <w:t>We believe that Mr. Guerin’s qualifications to serve</w:t>
      </w:r>
      <w:r>
        <w:rPr>
          <w:rFonts w:ascii="Arial" w:cs="Arial" w:eastAsia="Arial" w:hAnsi="Arial"/>
          <w:sz w:val="19"/>
          <w:szCs w:val="19"/>
          <w:b w:val="1"/>
          <w:bCs w:val="1"/>
          <w:color w:val="0075A8"/>
        </w:rPr>
        <w:t xml:space="preserve"> </w:t>
      </w:r>
      <w:r>
        <w:rPr>
          <w:rFonts w:ascii="Arial" w:cs="Arial" w:eastAsia="Arial" w:hAnsi="Arial"/>
          <w:sz w:val="19"/>
          <w:szCs w:val="19"/>
          <w:color w:val="0075A8"/>
        </w:rPr>
        <w:t>as a director include his financial and operational expertise, together with his extensive engagements within Asia-Pacific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 Nominating and Corporate Governance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 Natus Medical Incorporated (until 2022)</w:t>
      </w:r>
    </w:p>
    <w:p>
      <w:pPr>
        <w:spacing w:after="0" w:line="2925" w:lineRule="exact"/>
        <w:rPr>
          <w:sz w:val="20"/>
          <w:szCs w:val="20"/>
          <w:color w:val="auto"/>
        </w:rPr>
      </w:pPr>
    </w:p>
    <w:p>
      <w:pPr>
        <w:sectPr>
          <w:pgSz w:w="11900" w:h="16838" w:orient="portrait"/>
          <w:cols w:equalWidth="0" w:num="2">
            <w:col w:w="6620" w:space="280"/>
            <w:col w:w="3200"/>
          </w:cols>
          <w:pgMar w:left="580" w:top="132" w:right="1219" w:bottom="1440" w:gutter="0" w:footer="0" w:header="0"/>
          <w:type w:val="continuous"/>
        </w:sectPr>
      </w:pP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341"/>
        </w:trPr>
        <w:tc>
          <w:tcPr>
            <w:tcW w:w="400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Suzanne E. McBride</w:t>
            </w:r>
          </w:p>
        </w:tc>
        <w:tc>
          <w:tcPr>
            <w:tcW w:w="5060" w:type="dxa"/>
            <w:vAlign w:val="bottom"/>
            <w:shd w:val="clear" w:color="auto" w:fill="0075A8"/>
          </w:tcPr>
          <w:p>
            <w:pPr>
              <w:ind w:left="1980"/>
              <w:spacing w:after="0"/>
              <w:rPr>
                <w:sz w:val="20"/>
                <w:szCs w:val="20"/>
                <w:color w:val="auto"/>
              </w:rPr>
            </w:pPr>
            <w:r>
              <w:rPr>
                <w:rFonts w:ascii="Arial" w:cs="Arial" w:eastAsia="Arial" w:hAnsi="Arial"/>
                <w:sz w:val="18"/>
                <w:szCs w:val="18"/>
                <w:color w:val="FFFFFF"/>
              </w:rPr>
              <w:t>​ ​ Director since: 2022  •  Age: 54</w:t>
            </w:r>
          </w:p>
        </w:tc>
        <w:tc>
          <w:tcPr>
            <w:tcW w:w="340" w:type="dxa"/>
            <w:vAlign w:val="bottom"/>
            <w:shd w:val="clear" w:color="auto" w:fill="0075A8"/>
          </w:tcPr>
          <w:p>
            <w:pPr>
              <w:ind w:left="240"/>
              <w:spacing w:after="0"/>
              <w:rPr>
                <w:sz w:val="20"/>
                <w:szCs w:val="20"/>
                <w:color w:val="auto"/>
              </w:rPr>
            </w:pPr>
            <w:r>
              <w:rPr>
                <w:rFonts w:ascii="Arial" w:cs="Arial" w:eastAsia="Arial" w:hAnsi="Arial"/>
                <w:sz w:val="18"/>
                <w:szCs w:val="18"/>
                <w:color w:val="FFFFFF"/>
              </w:rPr>
              <w:t>​</w:t>
            </w:r>
          </w:p>
        </w:tc>
      </w:tr>
      <w:tr>
        <w:trPr>
          <w:trHeight w:val="90"/>
        </w:trPr>
        <w:tc>
          <w:tcPr>
            <w:tcW w:w="4000" w:type="dxa"/>
            <w:vAlign w:val="bottom"/>
            <w:shd w:val="clear" w:color="auto" w:fill="0075A8"/>
          </w:tcPr>
          <w:p>
            <w:pPr>
              <w:spacing w:after="0"/>
              <w:rPr>
                <w:sz w:val="7"/>
                <w:szCs w:val="7"/>
                <w:color w:val="auto"/>
              </w:rPr>
            </w:pPr>
          </w:p>
        </w:tc>
        <w:tc>
          <w:tcPr>
            <w:tcW w:w="5060" w:type="dxa"/>
            <w:vAlign w:val="bottom"/>
            <w:shd w:val="clear" w:color="auto" w:fill="0075A8"/>
          </w:tcPr>
          <w:p>
            <w:pPr>
              <w:spacing w:after="0"/>
              <w:rPr>
                <w:sz w:val="7"/>
                <w:szCs w:val="7"/>
                <w:color w:val="auto"/>
              </w:rPr>
            </w:pPr>
          </w:p>
        </w:tc>
        <w:tc>
          <w:tcPr>
            <w:tcW w:w="340" w:type="dxa"/>
            <w:vAlign w:val="bottom"/>
            <w:shd w:val="clear" w:color="auto" w:fill="0075A8"/>
          </w:tcPr>
          <w:p>
            <w:pPr>
              <w:spacing w:after="0"/>
              <w:rPr>
                <w:sz w:val="7"/>
                <w:szCs w:val="7"/>
                <w:color w:val="auto"/>
              </w:rPr>
            </w:pPr>
          </w:p>
        </w:tc>
      </w:tr>
      <w:tr>
        <w:trPr>
          <w:trHeight w:val="247"/>
        </w:trPr>
        <w:tc>
          <w:tcPr>
            <w:tcW w:w="4000" w:type="dxa"/>
            <w:vAlign w:val="bottom"/>
          </w:tcPr>
          <w:p>
            <w:pPr>
              <w:spacing w:after="0"/>
              <w:rPr>
                <w:sz w:val="21"/>
                <w:szCs w:val="21"/>
                <w:color w:val="auto"/>
              </w:rPr>
            </w:pPr>
          </w:p>
        </w:tc>
        <w:tc>
          <w:tcPr>
            <w:tcW w:w="5060" w:type="dxa"/>
            <w:vAlign w:val="bottom"/>
          </w:tcPr>
          <w:p>
            <w:pPr>
              <w:ind w:left="1980"/>
              <w:spacing w:after="0"/>
              <w:rPr>
                <w:sz w:val="20"/>
                <w:szCs w:val="20"/>
                <w:color w:val="auto"/>
              </w:rPr>
            </w:pPr>
            <w:r>
              <w:rPr>
                <w:rFonts w:ascii="Arial" w:cs="Arial" w:eastAsia="Arial" w:hAnsi="Arial"/>
                <w:sz w:val="20"/>
                <w:szCs w:val="20"/>
                <w:color w:val="auto"/>
              </w:rPr>
              <w:t>​ ​</w:t>
            </w:r>
          </w:p>
        </w:tc>
        <w:tc>
          <w:tcPr>
            <w:tcW w:w="340" w:type="dxa"/>
            <w:vAlign w:val="bottom"/>
          </w:tcPr>
          <w:p>
            <w:pPr>
              <w:ind w:left="24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132" w:right="1219" w:bottom="1440" w:gutter="0" w:footer="0" w:header="0"/>
          <w:type w:val="continuous"/>
        </w:sectPr>
      </w:pPr>
    </w:p>
    <w:p>
      <w:pPr>
        <w:spacing w:after="0" w:line="32"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Ms. McBride serves as Chief Operations Officer for Iridium Communications, Inc. (a publicly traded operator of a satellite-based global communications network). Prior to rejoining Iridium in February 2019, where she had previously served from 2007 to 2016 in various leadership roles, Ms. McBride served from June 2016 to January 2019 as Senior Vice President and Chief Operations Officer for OneWeb (a privately held company building a space-based global communications network that filed a voluntary petition for Chapter 11 bankruptcy protection on March 27, 2020). Earlier in her career, she held a series of increasingly senior positions in technology and operations with Motorola Solutions, Inc. (a publicly traded telecommunications company), and General Dynamics Corporation (a publicly traded aerospace and defense company).</w:t>
      </w:r>
    </w:p>
    <w:p>
      <w:pPr>
        <w:spacing w:after="0" w:line="127" w:lineRule="exact"/>
        <w:rPr>
          <w:sz w:val="20"/>
          <w:szCs w:val="20"/>
          <w:color w:val="auto"/>
        </w:rPr>
      </w:pPr>
    </w:p>
    <w:p>
      <w:pPr>
        <w:ind w:left="660" w:right="140"/>
        <w:spacing w:after="0" w:line="269"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We believe that Ms. McBride’s qualifications to</w:t>
      </w:r>
      <w:r>
        <w:rPr>
          <w:rFonts w:ascii="Arial" w:cs="Arial" w:eastAsia="Arial" w:hAnsi="Arial"/>
          <w:sz w:val="20"/>
          <w:szCs w:val="20"/>
          <w:b w:val="1"/>
          <w:bCs w:val="1"/>
          <w:color w:val="0075A8"/>
        </w:rPr>
        <w:t xml:space="preserve"> </w:t>
      </w:r>
      <w:r>
        <w:rPr>
          <w:rFonts w:ascii="Arial" w:cs="Arial" w:eastAsia="Arial" w:hAnsi="Arial"/>
          <w:sz w:val="20"/>
          <w:szCs w:val="20"/>
          <w:color w:val="0075A8"/>
        </w:rPr>
        <w:t>serve as a director include her extensive strategy and operations expertise developed through twenty-five years of experience within the wireless technology industry.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 Nominating and Corporate Governance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 Iridium Communications, Inc.</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2678" w:lineRule="exact"/>
        <w:rPr>
          <w:sz w:val="20"/>
          <w:szCs w:val="20"/>
          <w:color w:val="auto"/>
        </w:rPr>
      </w:pPr>
    </w:p>
    <w:p>
      <w:pPr>
        <w:sectPr>
          <w:pgSz w:w="11900" w:h="16838" w:orient="portrait"/>
          <w:cols w:equalWidth="0" w:num="2">
            <w:col w:w="6640" w:space="260"/>
            <w:col w:w="3200"/>
          </w:cols>
          <w:pgMar w:left="580" w:top="132" w:right="1219" w:bottom="1440" w:gutter="0" w:footer="0" w:header="0"/>
          <w:type w:val="continuous"/>
        </w:sectPr>
      </w:pPr>
    </w:p>
    <w:p>
      <w:pPr>
        <w:spacing w:after="0" w:line="356"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342"/>
        </w:trPr>
        <w:tc>
          <w:tcPr>
            <w:tcW w:w="386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David P. McGlade</w:t>
            </w:r>
          </w:p>
        </w:tc>
        <w:tc>
          <w:tcPr>
            <w:tcW w:w="5200" w:type="dxa"/>
            <w:vAlign w:val="bottom"/>
            <w:shd w:val="clear" w:color="auto" w:fill="0075A8"/>
          </w:tcPr>
          <w:p>
            <w:pPr>
              <w:ind w:left="2120"/>
              <w:spacing w:after="0"/>
              <w:rPr>
                <w:sz w:val="20"/>
                <w:szCs w:val="20"/>
                <w:color w:val="auto"/>
              </w:rPr>
            </w:pPr>
            <w:r>
              <w:rPr>
                <w:rFonts w:ascii="Arial" w:cs="Arial" w:eastAsia="Arial" w:hAnsi="Arial"/>
                <w:sz w:val="18"/>
                <w:szCs w:val="18"/>
                <w:color w:val="FFFFFF"/>
              </w:rPr>
              <w:t>​ ​ Director since: 2005  •  Age: 62</w:t>
            </w:r>
          </w:p>
        </w:tc>
        <w:tc>
          <w:tcPr>
            <w:tcW w:w="340" w:type="dxa"/>
            <w:vAlign w:val="bottom"/>
            <w:shd w:val="clear" w:color="auto" w:fill="0075A8"/>
          </w:tcPr>
          <w:p>
            <w:pPr>
              <w:ind w:left="240"/>
              <w:spacing w:after="0"/>
              <w:rPr>
                <w:sz w:val="20"/>
                <w:szCs w:val="20"/>
                <w:color w:val="auto"/>
              </w:rPr>
            </w:pPr>
            <w:r>
              <w:rPr>
                <w:rFonts w:ascii="Arial" w:cs="Arial" w:eastAsia="Arial" w:hAnsi="Arial"/>
                <w:sz w:val="18"/>
                <w:szCs w:val="18"/>
                <w:color w:val="FFFFFF"/>
              </w:rPr>
              <w:t>​</w:t>
            </w:r>
          </w:p>
        </w:tc>
      </w:tr>
      <w:tr>
        <w:trPr>
          <w:trHeight w:val="90"/>
        </w:trPr>
        <w:tc>
          <w:tcPr>
            <w:tcW w:w="3860" w:type="dxa"/>
            <w:vAlign w:val="bottom"/>
            <w:shd w:val="clear" w:color="auto" w:fill="0075A8"/>
          </w:tcPr>
          <w:p>
            <w:pPr>
              <w:spacing w:after="0"/>
              <w:rPr>
                <w:sz w:val="7"/>
                <w:szCs w:val="7"/>
                <w:color w:val="auto"/>
              </w:rPr>
            </w:pPr>
          </w:p>
        </w:tc>
        <w:tc>
          <w:tcPr>
            <w:tcW w:w="5200" w:type="dxa"/>
            <w:vAlign w:val="bottom"/>
            <w:shd w:val="clear" w:color="auto" w:fill="0075A8"/>
          </w:tcPr>
          <w:p>
            <w:pPr>
              <w:spacing w:after="0"/>
              <w:rPr>
                <w:sz w:val="7"/>
                <w:szCs w:val="7"/>
                <w:color w:val="auto"/>
              </w:rPr>
            </w:pPr>
          </w:p>
        </w:tc>
        <w:tc>
          <w:tcPr>
            <w:tcW w:w="340" w:type="dxa"/>
            <w:vAlign w:val="bottom"/>
            <w:shd w:val="clear" w:color="auto" w:fill="0075A8"/>
          </w:tcPr>
          <w:p>
            <w:pPr>
              <w:spacing w:after="0"/>
              <w:rPr>
                <w:sz w:val="7"/>
                <w:szCs w:val="7"/>
                <w:color w:val="auto"/>
              </w:rPr>
            </w:pPr>
          </w:p>
        </w:tc>
      </w:tr>
      <w:tr>
        <w:trPr>
          <w:trHeight w:val="247"/>
        </w:trPr>
        <w:tc>
          <w:tcPr>
            <w:tcW w:w="3860" w:type="dxa"/>
            <w:vAlign w:val="bottom"/>
          </w:tcPr>
          <w:p>
            <w:pPr>
              <w:spacing w:after="0"/>
              <w:rPr>
                <w:sz w:val="21"/>
                <w:szCs w:val="21"/>
                <w:color w:val="auto"/>
              </w:rPr>
            </w:pPr>
          </w:p>
        </w:tc>
        <w:tc>
          <w:tcPr>
            <w:tcW w:w="5200" w:type="dxa"/>
            <w:vAlign w:val="bottom"/>
          </w:tcPr>
          <w:p>
            <w:pPr>
              <w:ind w:left="2120"/>
              <w:spacing w:after="0"/>
              <w:rPr>
                <w:sz w:val="20"/>
                <w:szCs w:val="20"/>
                <w:color w:val="auto"/>
              </w:rPr>
            </w:pPr>
            <w:r>
              <w:rPr>
                <w:rFonts w:ascii="Arial" w:cs="Arial" w:eastAsia="Arial" w:hAnsi="Arial"/>
                <w:sz w:val="20"/>
                <w:szCs w:val="20"/>
                <w:color w:val="auto"/>
              </w:rPr>
              <w:t>​ ​</w:t>
            </w:r>
          </w:p>
        </w:tc>
        <w:tc>
          <w:tcPr>
            <w:tcW w:w="340" w:type="dxa"/>
            <w:vAlign w:val="bottom"/>
          </w:tcPr>
          <w:p>
            <w:pPr>
              <w:ind w:left="240"/>
              <w:spacing w:after="0"/>
              <w:rPr>
                <w:sz w:val="20"/>
                <w:szCs w:val="20"/>
                <w:color w:val="auto"/>
              </w:rPr>
            </w:pPr>
            <w:r>
              <w:rPr>
                <w:rFonts w:ascii="Arial" w:cs="Arial" w:eastAsia="Arial" w:hAnsi="Arial"/>
                <w:sz w:val="20"/>
                <w:szCs w:val="20"/>
                <w:color w:val="auto"/>
              </w:rPr>
              <w:t>​</w:t>
            </w:r>
          </w:p>
        </w:tc>
      </w:tr>
    </w:tbl>
    <w:p>
      <w:pPr>
        <w:spacing w:after="0" w:line="1" w:lineRule="exact"/>
        <w:rPr>
          <w:sz w:val="20"/>
          <w:szCs w:val="20"/>
          <w:color w:val="auto"/>
        </w:rPr>
      </w:pPr>
    </w:p>
    <w:p>
      <w:pPr>
        <w:sectPr>
          <w:pgSz w:w="11900" w:h="16838" w:orient="portrait"/>
          <w:cols w:equalWidth="0" w:num="1">
            <w:col w:w="10100"/>
          </w:cols>
          <w:pgMar w:left="580" w:top="132" w:right="1219" w:bottom="1440" w:gutter="0" w:footer="0" w:header="0"/>
        </w:sectPr>
      </w:pPr>
    </w:p>
    <w:p>
      <w:pPr>
        <w:spacing w:after="0" w:line="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Mr. McGlade served as Chairman of the Board of Intelsat S.A. (a</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publicly traded worldwide provider of satellite communication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services) from April 2013 to February 2022. He served as Executive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Chairman of Intelsat from April 2015 to March 2018, prior to which</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he served as Chairman and Chief Executive Officer. Previously,</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Mr. McGlade served as an Executive Director of mmO2 PLC and as</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Chief Executive Officer of O2 UK (a subsidiary of mmO2), a</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position he held from October 2000 until March 2005.</w:t>
      </w:r>
    </w:p>
    <w:p>
      <w:pPr>
        <w:spacing w:after="0" w:line="151" w:lineRule="exact"/>
        <w:rPr>
          <w:sz w:val="20"/>
          <w:szCs w:val="20"/>
          <w:color w:val="auto"/>
        </w:rPr>
      </w:pPr>
    </w:p>
    <w:p>
      <w:pPr>
        <w:ind w:left="660" w:right="60"/>
        <w:spacing w:after="0" w:line="261"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We believe that Mr. McGlade’s qualifications to</w:t>
      </w:r>
      <w:r>
        <w:rPr>
          <w:rFonts w:ascii="Arial" w:cs="Arial" w:eastAsia="Arial" w:hAnsi="Arial"/>
          <w:sz w:val="20"/>
          <w:szCs w:val="20"/>
          <w:b w:val="1"/>
          <w:bCs w:val="1"/>
          <w:color w:val="0075A8"/>
        </w:rPr>
        <w:t xml:space="preserve"> </w:t>
      </w:r>
      <w:r>
        <w:rPr>
          <w:rFonts w:ascii="Arial" w:cs="Arial" w:eastAsia="Arial" w:hAnsi="Arial"/>
          <w:sz w:val="20"/>
          <w:szCs w:val="20"/>
          <w:color w:val="0075A8"/>
        </w:rPr>
        <w:t>serve as a director include his significant operational, strategic, and financial acumen, as well as his knowledge about global capital markets, developed over nearly four decades of experience in the telecommunications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74" w:lineRule="exact"/>
        <w:rPr>
          <w:sz w:val="20"/>
          <w:szCs w:val="20"/>
          <w:color w:val="auto"/>
        </w:rPr>
      </w:pPr>
    </w:p>
    <w:p>
      <w:pPr>
        <w:ind w:left="160" w:hanging="155"/>
        <w:spacing w:after="0"/>
        <w:tabs>
          <w:tab w:leader="none" w:pos="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32" w:lineRule="exact"/>
        <w:rPr>
          <w:rFonts w:ascii="Arial" w:cs="Arial" w:eastAsia="Arial" w:hAnsi="Arial"/>
          <w:sz w:val="16"/>
          <w:szCs w:val="16"/>
          <w:color w:val="auto"/>
        </w:rPr>
      </w:pPr>
    </w:p>
    <w:p>
      <w:pPr>
        <w:ind w:left="160" w:hanging="155"/>
        <w:spacing w:after="0"/>
        <w:tabs>
          <w:tab w:leader="none" w:pos="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Nominating and Corporate Governance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 Intelsat S.A. (until 2022)</w:t>
      </w:r>
    </w:p>
    <w:p>
      <w:pPr>
        <w:spacing w:after="0" w:line="1426" w:lineRule="exact"/>
        <w:rPr>
          <w:sz w:val="20"/>
          <w:szCs w:val="20"/>
          <w:color w:val="auto"/>
        </w:rPr>
      </w:pPr>
    </w:p>
    <w:p>
      <w:pPr>
        <w:sectPr>
          <w:pgSz w:w="11900" w:h="16838" w:orient="portrait"/>
          <w:cols w:equalWidth="0" w:num="2">
            <w:col w:w="6600" w:space="300"/>
            <w:col w:w="3200"/>
          </w:cols>
          <w:pgMar w:left="580" w:top="132" w:right="1219" w:bottom="1440" w:gutter="0" w:footer="0" w:header="0"/>
          <w:type w:val="continuous"/>
        </w:sectPr>
      </w:pP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342"/>
        </w:trPr>
        <w:tc>
          <w:tcPr>
            <w:tcW w:w="4100" w:type="dxa"/>
            <w:vAlign w:val="bottom"/>
            <w:shd w:val="clear" w:color="auto" w:fill="0075A8"/>
          </w:tcPr>
          <w:p>
            <w:pPr>
              <w:ind w:left="120"/>
              <w:spacing w:after="0"/>
              <w:rPr>
                <w:sz w:val="20"/>
                <w:szCs w:val="20"/>
                <w:color w:val="auto"/>
              </w:rPr>
            </w:pPr>
            <w:r>
              <w:rPr>
                <w:rFonts w:ascii="Arial" w:cs="Arial" w:eastAsia="Arial" w:hAnsi="Arial"/>
                <w:sz w:val="20"/>
                <w:szCs w:val="20"/>
                <w:b w:val="1"/>
                <w:bCs w:val="1"/>
                <w:color w:val="FFFFFF"/>
              </w:rPr>
              <w:t>Robert A. Schriesheim</w:t>
            </w:r>
          </w:p>
        </w:tc>
        <w:tc>
          <w:tcPr>
            <w:tcW w:w="4960" w:type="dxa"/>
            <w:vAlign w:val="bottom"/>
            <w:shd w:val="clear" w:color="auto" w:fill="0075A8"/>
          </w:tcPr>
          <w:p>
            <w:pPr>
              <w:ind w:left="1880"/>
              <w:spacing w:after="0"/>
              <w:rPr>
                <w:sz w:val="20"/>
                <w:szCs w:val="20"/>
                <w:color w:val="auto"/>
              </w:rPr>
            </w:pPr>
            <w:r>
              <w:rPr>
                <w:rFonts w:ascii="Arial" w:cs="Arial" w:eastAsia="Arial" w:hAnsi="Arial"/>
                <w:sz w:val="18"/>
                <w:szCs w:val="18"/>
                <w:color w:val="FFFFFF"/>
              </w:rPr>
              <w:t>​ ​ Director since: 2006  •  Age: 62</w:t>
            </w:r>
          </w:p>
        </w:tc>
        <w:tc>
          <w:tcPr>
            <w:tcW w:w="340" w:type="dxa"/>
            <w:vAlign w:val="bottom"/>
            <w:shd w:val="clear" w:color="auto" w:fill="0075A8"/>
          </w:tcPr>
          <w:p>
            <w:pPr>
              <w:ind w:left="240"/>
              <w:spacing w:after="0"/>
              <w:rPr>
                <w:sz w:val="20"/>
                <w:szCs w:val="20"/>
                <w:color w:val="auto"/>
              </w:rPr>
            </w:pPr>
            <w:r>
              <w:rPr>
                <w:rFonts w:ascii="Arial" w:cs="Arial" w:eastAsia="Arial" w:hAnsi="Arial"/>
                <w:sz w:val="18"/>
                <w:szCs w:val="18"/>
                <w:color w:val="FFFFFF"/>
              </w:rPr>
              <w:t>​</w:t>
            </w:r>
          </w:p>
        </w:tc>
      </w:tr>
      <w:tr>
        <w:trPr>
          <w:trHeight w:val="90"/>
        </w:trPr>
        <w:tc>
          <w:tcPr>
            <w:tcW w:w="4100" w:type="dxa"/>
            <w:vAlign w:val="bottom"/>
            <w:shd w:val="clear" w:color="auto" w:fill="0075A8"/>
          </w:tcPr>
          <w:p>
            <w:pPr>
              <w:spacing w:after="0"/>
              <w:rPr>
                <w:sz w:val="7"/>
                <w:szCs w:val="7"/>
                <w:color w:val="auto"/>
              </w:rPr>
            </w:pPr>
          </w:p>
        </w:tc>
        <w:tc>
          <w:tcPr>
            <w:tcW w:w="4960" w:type="dxa"/>
            <w:vAlign w:val="bottom"/>
            <w:shd w:val="clear" w:color="auto" w:fill="0075A8"/>
          </w:tcPr>
          <w:p>
            <w:pPr>
              <w:spacing w:after="0"/>
              <w:rPr>
                <w:sz w:val="7"/>
                <w:szCs w:val="7"/>
                <w:color w:val="auto"/>
              </w:rPr>
            </w:pPr>
          </w:p>
        </w:tc>
        <w:tc>
          <w:tcPr>
            <w:tcW w:w="340" w:type="dxa"/>
            <w:vAlign w:val="bottom"/>
            <w:shd w:val="clear" w:color="auto" w:fill="0075A8"/>
          </w:tcPr>
          <w:p>
            <w:pPr>
              <w:spacing w:after="0"/>
              <w:rPr>
                <w:sz w:val="7"/>
                <w:szCs w:val="7"/>
                <w:color w:val="auto"/>
              </w:rPr>
            </w:pPr>
          </w:p>
        </w:tc>
      </w:tr>
      <w:tr>
        <w:trPr>
          <w:trHeight w:val="224"/>
        </w:trPr>
        <w:tc>
          <w:tcPr>
            <w:tcW w:w="4100" w:type="dxa"/>
            <w:vAlign w:val="bottom"/>
          </w:tcPr>
          <w:p>
            <w:pPr>
              <w:spacing w:after="0"/>
              <w:rPr>
                <w:sz w:val="19"/>
                <w:szCs w:val="19"/>
                <w:color w:val="auto"/>
              </w:rPr>
            </w:pPr>
          </w:p>
        </w:tc>
        <w:tc>
          <w:tcPr>
            <w:tcW w:w="4960" w:type="dxa"/>
            <w:vAlign w:val="bottom"/>
          </w:tcPr>
          <w:p>
            <w:pPr>
              <w:ind w:left="1880"/>
              <w:spacing w:after="0"/>
              <w:rPr>
                <w:sz w:val="20"/>
                <w:szCs w:val="20"/>
                <w:color w:val="auto"/>
              </w:rPr>
            </w:pPr>
            <w:r>
              <w:rPr>
                <w:rFonts w:ascii="Arial" w:cs="Arial" w:eastAsia="Arial" w:hAnsi="Arial"/>
                <w:sz w:val="16"/>
                <w:szCs w:val="16"/>
                <w:color w:val="auto"/>
              </w:rPr>
              <w:t>​ ​</w:t>
            </w:r>
          </w:p>
        </w:tc>
        <w:tc>
          <w:tcPr>
            <w:tcW w:w="340" w:type="dxa"/>
            <w:vAlign w:val="bottom"/>
          </w:tcPr>
          <w:p>
            <w:pPr>
              <w:ind w:left="240"/>
              <w:spacing w:after="0"/>
              <w:rPr>
                <w:sz w:val="20"/>
                <w:szCs w:val="20"/>
                <w:color w:val="auto"/>
              </w:rPr>
            </w:pPr>
            <w:r>
              <w:rPr>
                <w:rFonts w:ascii="Arial" w:cs="Arial" w:eastAsia="Arial" w:hAnsi="Arial"/>
                <w:sz w:val="16"/>
                <w:szCs w:val="16"/>
                <w:color w:val="auto"/>
              </w:rPr>
              <w:t>​</w:t>
            </w:r>
          </w:p>
        </w:tc>
      </w:tr>
    </w:tbl>
    <w:p>
      <w:pPr>
        <w:spacing w:after="0" w:line="24" w:lineRule="exact"/>
        <w:rPr>
          <w:sz w:val="20"/>
          <w:szCs w:val="20"/>
          <w:color w:val="auto"/>
        </w:rPr>
      </w:pPr>
    </w:p>
    <w:p>
      <w:pPr>
        <w:sectPr>
          <w:pgSz w:w="11900" w:h="16838" w:orient="portrait"/>
          <w:cols w:equalWidth="0" w:num="1">
            <w:col w:w="10100"/>
          </w:cols>
          <w:pgMar w:left="580" w:top="132" w:right="1219" w:bottom="1440" w:gutter="0" w:footer="0" w:header="0"/>
          <w:type w:val="continuous"/>
        </w:sectPr>
      </w:pPr>
    </w:p>
    <w:p>
      <w:pPr>
        <w:spacing w:after="0" w:line="32"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auto"/>
        </w:rPr>
        <w:t>Mr. Schriesheim has been Chairman of Truax Partners LLC (a consulting firm) since 2018. He served as Executive Vice President and Chief Financial Officer of Sears Holdings Corporation (a publicly traded nationwide retailer) from August 2011 to October 2016. From January 2010 to October 2010, Mr. Schriesheim was Chief Financial Officer of Hewitt Associates, Inc. (a global human resources consulting and outsourcing company that was acquired by Aon Corporation). From October 2006 until December 2009, he was the Executive Vice President and Chief Financial Officer of Lawson Software, Inc. (a publicly traded ERP software provider).</w:t>
      </w:r>
    </w:p>
    <w:p>
      <w:pPr>
        <w:spacing w:after="0" w:line="138" w:lineRule="exact"/>
        <w:rPr>
          <w:sz w:val="20"/>
          <w:szCs w:val="20"/>
          <w:color w:val="auto"/>
        </w:rPr>
      </w:pPr>
    </w:p>
    <w:p>
      <w:pPr>
        <w:ind w:left="660" w:right="160"/>
        <w:spacing w:after="0" w:line="261" w:lineRule="auto"/>
        <w:rPr>
          <w:sz w:val="20"/>
          <w:szCs w:val="20"/>
          <w:color w:val="auto"/>
        </w:rPr>
      </w:pPr>
      <w:r>
        <w:rPr>
          <w:rFonts w:ascii="Arial" w:cs="Arial" w:eastAsia="Arial" w:hAnsi="Arial"/>
          <w:sz w:val="20"/>
          <w:szCs w:val="20"/>
          <w:b w:val="1"/>
          <w:bCs w:val="1"/>
          <w:color w:val="0075A8"/>
        </w:rPr>
        <w:t xml:space="preserve">Qualifications: </w:t>
      </w:r>
      <w:r>
        <w:rPr>
          <w:rFonts w:ascii="Arial" w:cs="Arial" w:eastAsia="Arial" w:hAnsi="Arial"/>
          <w:sz w:val="20"/>
          <w:szCs w:val="20"/>
          <w:color w:val="0075A8"/>
        </w:rPr>
        <w:t>We believe that Mr. Schriesheim’s qualifications to</w:t>
      </w:r>
      <w:r>
        <w:rPr>
          <w:rFonts w:ascii="Arial" w:cs="Arial" w:eastAsia="Arial" w:hAnsi="Arial"/>
          <w:sz w:val="20"/>
          <w:szCs w:val="20"/>
          <w:b w:val="1"/>
          <w:bCs w:val="1"/>
          <w:color w:val="0075A8"/>
        </w:rPr>
        <w:t xml:space="preserve"> </w:t>
      </w:r>
      <w:r>
        <w:rPr>
          <w:rFonts w:ascii="Arial" w:cs="Arial" w:eastAsia="Arial" w:hAnsi="Arial"/>
          <w:sz w:val="20"/>
          <w:szCs w:val="20"/>
          <w:color w:val="0075A8"/>
        </w:rPr>
        <w:t>serve as a director include his extensive knowledge of the capital markets and corporate financial capital structures, his expertise evaluating and structuring merger and acquisition transactions within the technology sector, and his experience gained through leading companies through major strategic and financial corporate transformations.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1365885</wp:posOffset>
            </wp:positionV>
            <wp:extent cx="780415" cy="257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8041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177800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74" w:lineRule="exact"/>
        <w:rPr>
          <w:sz w:val="20"/>
          <w:szCs w:val="20"/>
          <w:color w:val="auto"/>
        </w:rPr>
      </w:pPr>
    </w:p>
    <w:p>
      <w:pPr>
        <w:ind w:left="160" w:hanging="155"/>
        <w:spacing w:after="0"/>
        <w:tabs>
          <w:tab w:leader="none" w:pos="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Audit</w:t>
      </w:r>
    </w:p>
    <w:p>
      <w:pPr>
        <w:spacing w:after="0" w:line="18" w:lineRule="exact"/>
        <w:rPr>
          <w:rFonts w:ascii="Arial" w:cs="Arial" w:eastAsia="Arial" w:hAnsi="Arial"/>
          <w:sz w:val="16"/>
          <w:szCs w:val="16"/>
          <w:color w:val="auto"/>
        </w:rPr>
      </w:pPr>
    </w:p>
    <w:p>
      <w:pPr>
        <w:ind w:left="160" w:hanging="155"/>
        <w:spacing w:after="0"/>
        <w:tabs>
          <w:tab w:leader="none" w:pos="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106" w:lineRule="exact"/>
        <w:rPr>
          <w:sz w:val="20"/>
          <w:szCs w:val="20"/>
          <w:color w:val="auto"/>
        </w:rPr>
      </w:pPr>
    </w:p>
    <w:p>
      <w:pPr>
        <w:ind w:left="160" w:right="180" w:hanging="155"/>
        <w:spacing w:after="0" w:line="278" w:lineRule="auto"/>
        <w:tabs>
          <w:tab w:leader="none" w:pos="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Houlihan Lokey, Inc., Lead Independent Director</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66" w:lineRule="exact"/>
        <w:rPr>
          <w:sz w:val="20"/>
          <w:szCs w:val="20"/>
          <w:color w:val="auto"/>
        </w:rPr>
      </w:pPr>
    </w:p>
    <w:p>
      <w:pPr>
        <w:ind w:left="160" w:right="340" w:hanging="155"/>
        <w:spacing w:after="0" w:line="278" w:lineRule="auto"/>
        <w:tabs>
          <w:tab w:leader="none" w:pos="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Frontier Communications Corporation (until 2021)</w:t>
      </w:r>
    </w:p>
    <w:p>
      <w:pPr>
        <w:spacing w:after="0" w:line="19" w:lineRule="exact"/>
        <w:rPr>
          <w:rFonts w:ascii="Arial" w:cs="Arial" w:eastAsia="Arial" w:hAnsi="Arial"/>
          <w:sz w:val="16"/>
          <w:szCs w:val="16"/>
          <w:color w:val="auto"/>
        </w:rPr>
      </w:pPr>
    </w:p>
    <w:p>
      <w:pPr>
        <w:ind w:left="160" w:hanging="155"/>
        <w:spacing w:after="0"/>
        <w:tabs>
          <w:tab w:leader="none" w:pos="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NII Holdings, Inc. (until 2019)</w:t>
      </w:r>
    </w:p>
    <w:p>
      <w:pPr>
        <w:spacing w:after="0" w:line="32" w:lineRule="exact"/>
        <w:rPr>
          <w:rFonts w:ascii="Arial" w:cs="Arial" w:eastAsia="Arial" w:hAnsi="Arial"/>
          <w:sz w:val="16"/>
          <w:szCs w:val="16"/>
          <w:color w:val="auto"/>
        </w:rPr>
      </w:pPr>
    </w:p>
    <w:p>
      <w:pPr>
        <w:ind w:left="160" w:hanging="155"/>
        <w:spacing w:after="0"/>
        <w:tabs>
          <w:tab w:leader="none" w:pos="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Forest City Realty Trust (until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360"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13​</w:t>
            </w:r>
          </w:p>
        </w:tc>
      </w:tr>
    </w:tbl>
    <w:p>
      <w:pPr>
        <w:sectPr>
          <w:pgSz w:w="11900" w:h="16838" w:orient="portrait"/>
          <w:cols w:equalWidth="0" w:num="2">
            <w:col w:w="6640" w:space="260"/>
            <w:col w:w="3200"/>
          </w:cols>
          <w:pgMar w:left="580" w:top="132" w:right="12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391795</wp:posOffset>
            </wp:positionV>
            <wp:extent cx="5974715"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0"/>
        <w:spacing w:after="0"/>
        <w:tabs>
          <w:tab w:leader="none" w:pos="6620" w:val="left"/>
          <w:tab w:leader="none" w:pos="8640" w:val="left"/>
        </w:tabs>
        <w:rPr>
          <w:sz w:val="20"/>
          <w:szCs w:val="20"/>
          <w:color w:val="auto"/>
        </w:rPr>
      </w:pPr>
      <w:r>
        <w:rPr>
          <w:rFonts w:ascii="Arial" w:cs="Arial" w:eastAsia="Arial" w:hAnsi="Arial"/>
          <w:sz w:val="20"/>
          <w:szCs w:val="20"/>
          <w:b w:val="1"/>
          <w:bCs w:val="1"/>
          <w:color w:val="FFFFFF"/>
        </w:rPr>
        <w:t>Maryann Turcke</w:t>
      </w:r>
      <w:r>
        <w:rPr>
          <w:sz w:val="20"/>
          <w:szCs w:val="20"/>
          <w:color w:val="auto"/>
        </w:rPr>
        <w:tab/>
      </w:r>
      <w:r>
        <w:rPr>
          <w:rFonts w:ascii="Arial" w:cs="Arial" w:eastAsia="Arial" w:hAnsi="Arial"/>
          <w:sz w:val="18"/>
          <w:szCs w:val="18"/>
          <w:color w:val="FFFFFF"/>
        </w:rPr>
        <w:t>​ ​ Director since: 2023</w:t>
        <w:tab/>
        <w:t>•  Age: 57</w:t>
      </w:r>
    </w:p>
    <w:p>
      <w:pPr>
        <w:spacing w:after="0" w:line="132" w:lineRule="exact"/>
        <w:rPr>
          <w:sz w:val="20"/>
          <w:szCs w:val="20"/>
          <w:color w:val="auto"/>
        </w:rPr>
      </w:pPr>
    </w:p>
    <w:p>
      <w:pPr>
        <w:ind w:left="6640"/>
        <w:spacing w:after="0"/>
        <w:rPr>
          <w:sz w:val="20"/>
          <w:szCs w:val="20"/>
          <w:color w:val="auto"/>
        </w:rPr>
      </w:pP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FFFFFF"/>
        </w:rPr>
        <w: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 w:lineRule="exact"/>
        <w:rPr>
          <w:sz w:val="20"/>
          <w:szCs w:val="20"/>
          <w:color w:val="auto"/>
        </w:rPr>
      </w:pPr>
    </w:p>
    <w:p>
      <w:pPr>
        <w:sectPr>
          <w:pgSz w:w="11900" w:h="16838" w:orient="portrait"/>
          <w:cols w:equalWidth="0" w:num="2">
            <w:col w:w="9500" w:space="460"/>
            <w:col w:w="140"/>
          </w:cols>
          <w:pgMar w:left="580" w:top="132" w:right="1219" w:bottom="1440" w:gutter="0" w:footer="0" w:header="0"/>
          <w:type w:val="continuous"/>
        </w:sectPr>
      </w:pPr>
    </w:p>
    <w:p>
      <w:pPr>
        <w:spacing w:after="0" w:line="33"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auto"/>
        </w:rPr>
        <w:t>Ms. Turcke most recently served as a senior advisor at Brookfield Asset Management from September 2020 to September 2022. Previously, Ms. Turcke served as Chief Operating Officer of the National Football League (NFL) from January 2018 to September 2020 and as a Senior Advisor for the NFL from September 2020 to May 2021. She joined the league as President of NFL Network, Digital Media, NFL Films and IT in April 2017. Prior to the NFL, Ms. Turcke served for more than a decade in various leadership roles within BCE Inc. (a publicly traded communications company formerly known as Bell Canada Enterprises), including serving from April 2015 to February 2017 as president of Bell Media, a division of BCE.</w:t>
      </w:r>
    </w:p>
    <w:p>
      <w:pPr>
        <w:spacing w:after="0" w:line="135" w:lineRule="exact"/>
        <w:rPr>
          <w:sz w:val="20"/>
          <w:szCs w:val="20"/>
          <w:color w:val="auto"/>
        </w:rPr>
      </w:pPr>
    </w:p>
    <w:p>
      <w:pPr>
        <w:ind w:left="660" w:right="40"/>
        <w:spacing w:after="0" w:line="290" w:lineRule="auto"/>
        <w:rPr>
          <w:sz w:val="20"/>
          <w:szCs w:val="20"/>
          <w:color w:val="auto"/>
        </w:rPr>
      </w:pPr>
      <w:r>
        <w:rPr>
          <w:rFonts w:ascii="Arial" w:cs="Arial" w:eastAsia="Arial" w:hAnsi="Arial"/>
          <w:sz w:val="19"/>
          <w:szCs w:val="19"/>
          <w:b w:val="1"/>
          <w:bCs w:val="1"/>
          <w:color w:val="0075A8"/>
        </w:rPr>
        <w:t xml:space="preserve">Qualifications: </w:t>
      </w:r>
      <w:r>
        <w:rPr>
          <w:rFonts w:ascii="Arial" w:cs="Arial" w:eastAsia="Arial" w:hAnsi="Arial"/>
          <w:sz w:val="19"/>
          <w:szCs w:val="19"/>
          <w:color w:val="0075A8"/>
        </w:rPr>
        <w:t>We believe that Ms. Turcke’s qualifications to serve</w:t>
      </w:r>
      <w:r>
        <w:rPr>
          <w:rFonts w:ascii="Arial" w:cs="Arial" w:eastAsia="Arial" w:hAnsi="Arial"/>
          <w:sz w:val="19"/>
          <w:szCs w:val="19"/>
          <w:b w:val="1"/>
          <w:bCs w:val="1"/>
          <w:color w:val="0075A8"/>
        </w:rPr>
        <w:t xml:space="preserve"> </w:t>
      </w:r>
      <w:r>
        <w:rPr>
          <w:rFonts w:ascii="Arial" w:cs="Arial" w:eastAsia="Arial" w:hAnsi="Arial"/>
          <w:sz w:val="19"/>
          <w:szCs w:val="19"/>
          <w:color w:val="0075A8"/>
        </w:rPr>
        <w:t>as a director include her significant operational, management and financial experience, including in the telecommunications industry.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5A8"/>
        </w:rPr>
        <w:t>Committee(s)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0075A8"/>
        </w:rPr>
        <w:t>Other Public Company Boards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52" w:lineRule="exact"/>
        <w:rPr>
          <w:sz w:val="20"/>
          <w:szCs w:val="20"/>
          <w:color w:val="auto"/>
        </w:rPr>
      </w:pPr>
    </w:p>
    <w:p>
      <w:pPr>
        <w:ind w:left="160" w:hanging="155"/>
        <w:spacing w:after="0"/>
        <w:tabs>
          <w:tab w:leader="none" w:pos="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Frontier Communications Parent, Inc.</w:t>
      </w:r>
    </w:p>
    <w:p>
      <w:pPr>
        <w:spacing w:after="0" w:line="18" w:lineRule="exact"/>
        <w:rPr>
          <w:rFonts w:ascii="Arial" w:cs="Arial" w:eastAsia="Arial" w:hAnsi="Arial"/>
          <w:sz w:val="16"/>
          <w:szCs w:val="16"/>
          <w:color w:val="auto"/>
        </w:rPr>
      </w:pPr>
    </w:p>
    <w:p>
      <w:pPr>
        <w:ind w:left="160" w:hanging="155"/>
        <w:spacing w:after="0"/>
        <w:tabs>
          <w:tab w:leader="none" w:pos="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Royal Bank of Canada</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66" w:lineRule="exact"/>
        <w:rPr>
          <w:sz w:val="20"/>
          <w:szCs w:val="20"/>
          <w:color w:val="auto"/>
        </w:rPr>
      </w:pPr>
    </w:p>
    <w:p>
      <w:pPr>
        <w:ind w:left="160" w:right="260" w:hanging="155"/>
        <w:spacing w:after="0" w:line="278" w:lineRule="auto"/>
        <w:tabs>
          <w:tab w:leader="none" w:pos="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Northern Star Investment Corp. II (until 2023)</w:t>
      </w:r>
    </w:p>
    <w:p>
      <w:pPr>
        <w:spacing w:after="0" w:line="1778" w:lineRule="exact"/>
        <w:rPr>
          <w:sz w:val="20"/>
          <w:szCs w:val="20"/>
          <w:color w:val="auto"/>
        </w:rPr>
      </w:pPr>
    </w:p>
    <w:p>
      <w:pPr>
        <w:sectPr>
          <w:pgSz w:w="11900" w:h="16838" w:orient="portrait"/>
          <w:cols w:equalWidth="0" w:num="2">
            <w:col w:w="6600" w:space="300"/>
            <w:col w:w="3200"/>
          </w:cols>
          <w:pgMar w:left="580" w:top="132"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spacing w:after="0" w:line="273" w:lineRule="auto"/>
        <w:rPr>
          <w:sz w:val="20"/>
          <w:szCs w:val="20"/>
          <w:color w:val="auto"/>
        </w:rPr>
      </w:pPr>
      <w:r>
        <w:rPr>
          <w:rFonts w:ascii="Arial" w:cs="Arial" w:eastAsia="Arial" w:hAnsi="Arial"/>
          <w:sz w:val="19"/>
          <w:szCs w:val="19"/>
          <w:color w:val="auto"/>
        </w:rPr>
        <w:t>The table below summarizes the key qualifications and attributes relied upon by the Board in nominating nine of our current directors for election. Marks indicate specific areas of focus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80"/>
        <w:spacing w:after="0" w:line="256" w:lineRule="auto"/>
        <w:rPr>
          <w:sz w:val="20"/>
          <w:szCs w:val="20"/>
          <w:color w:val="auto"/>
        </w:rPr>
      </w:pPr>
      <w:r>
        <w:rPr>
          <w:rFonts w:ascii="Arial" w:cs="Arial" w:eastAsia="Arial" w:hAnsi="Arial"/>
          <w:sz w:val="20"/>
          <w:szCs w:val="20"/>
          <w:color w:val="auto"/>
        </w:rPr>
        <w:t>expertise relied on by the Board. The lack of a mark in a particular area does not necessarily signify a director’s lack of qualification or experience in such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150495</wp:posOffset>
            </wp:positionV>
            <wp:extent cx="5709285" cy="44062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09285" cy="440626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5060" w:space="520"/>
            <w:col w:w="4520"/>
          </w:cols>
          <w:pgMar w:left="580" w:top="131"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matrix includes all directors serving as of 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76" w:lineRule="exact"/>
        <w:rPr>
          <w:sz w:val="20"/>
          <w:szCs w:val="20"/>
          <w:color w:val="auto"/>
        </w:rPr>
      </w:pPr>
    </w:p>
    <w:p>
      <w:pPr>
        <w:jc w:val="right"/>
        <w:ind w:right="6320"/>
        <w:spacing w:after="0"/>
        <w:rPr>
          <w:sz w:val="20"/>
          <w:szCs w:val="20"/>
          <w:color w:val="auto"/>
        </w:rPr>
      </w:pPr>
      <w:r>
        <w:rPr>
          <w:rFonts w:ascii="Arial" w:cs="Arial" w:eastAsia="Arial" w:hAnsi="Arial"/>
          <w:sz w:val="29"/>
          <w:szCs w:val="29"/>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Stockholder Engagement</w:t>
      </w:r>
    </w:p>
    <w:p>
      <w:pPr>
        <w:spacing w:after="0" w:line="134" w:lineRule="exact"/>
        <w:rPr>
          <w:sz w:val="20"/>
          <w:szCs w:val="20"/>
          <w:color w:val="auto"/>
        </w:rPr>
      </w:pPr>
    </w:p>
    <w:p>
      <w:pPr>
        <w:ind w:left="660" w:right="60"/>
        <w:spacing w:after="0" w:line="254" w:lineRule="auto"/>
        <w:rPr>
          <w:sz w:val="20"/>
          <w:szCs w:val="20"/>
          <w:color w:val="auto"/>
        </w:rPr>
      </w:pPr>
      <w:r>
        <w:rPr>
          <w:rFonts w:ascii="Arial" w:cs="Arial" w:eastAsia="Arial" w:hAnsi="Arial"/>
          <w:sz w:val="20"/>
          <w:szCs w:val="20"/>
          <w:color w:val="auto"/>
        </w:rPr>
        <w:t>Engagement with the Company’s stockholders is a critical part of our commitment to good corporate governance, and we regularly conduct outreach to our stockholders to better understand their perspectives on governance matters. Most recently, we engaged in formal stockholder outreach following the 2022 Annual Meeting. We solicited feedback from approximately twenty of our largest institutional stockholders representing approximately 41% of the Company’s shares outstanding. Stockholders representing approximately 29% of the Company’s shares outstanding responded to the outreach, and we held engagement meetings with those stockholders who wanted to meet.</w:t>
      </w:r>
    </w:p>
    <w:p>
      <w:pPr>
        <w:spacing w:after="0" w:line="210" w:lineRule="exact"/>
        <w:rPr>
          <w:sz w:val="20"/>
          <w:szCs w:val="20"/>
          <w:color w:val="auto"/>
        </w:rPr>
      </w:pPr>
    </w:p>
    <w:p>
      <w:pPr>
        <w:ind w:left="660" w:right="320"/>
        <w:spacing w:after="0" w:line="256" w:lineRule="auto"/>
        <w:rPr>
          <w:sz w:val="20"/>
          <w:szCs w:val="20"/>
          <w:color w:val="auto"/>
        </w:rPr>
      </w:pPr>
      <w:r>
        <w:rPr>
          <w:rFonts w:ascii="Arial" w:cs="Arial" w:eastAsia="Arial" w:hAnsi="Arial"/>
          <w:sz w:val="20"/>
          <w:szCs w:val="20"/>
          <w:color w:val="auto"/>
        </w:rPr>
        <w:t>We solicited and received feedback from institutional stockholders on various key governance and disclosure topics, including the following:</w:t>
      </w:r>
    </w:p>
    <w:p>
      <w:pPr>
        <w:spacing w:after="0" w:line="65" w:lineRule="exact"/>
        <w:rPr>
          <w:sz w:val="20"/>
          <w:szCs w:val="20"/>
          <w:color w:val="auto"/>
        </w:rPr>
      </w:pPr>
    </w:p>
    <w:p>
      <w:pPr>
        <w:ind w:left="840" w:hanging="186"/>
        <w:spacing w:after="0"/>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0075A8"/>
        </w:rPr>
        <w:t xml:space="preserve">Executive Compensation:  </w:t>
      </w:r>
      <w:r>
        <w:rPr>
          <w:rFonts w:ascii="Arial" w:cs="Arial" w:eastAsia="Arial" w:hAnsi="Arial"/>
          <w:sz w:val="20"/>
          <w:szCs w:val="20"/>
          <w:color w:val="000000"/>
        </w:rPr>
        <w:t>Overall, our</w:t>
      </w:r>
    </w:p>
    <w:p>
      <w:pPr>
        <w:spacing w:after="0" w:line="46" w:lineRule="exact"/>
        <w:rPr>
          <w:rFonts w:ascii="Arial" w:cs="Arial" w:eastAsia="Arial" w:hAnsi="Arial"/>
          <w:sz w:val="20"/>
          <w:szCs w:val="20"/>
          <w:color w:val="auto"/>
        </w:rPr>
      </w:pPr>
    </w:p>
    <w:p>
      <w:pPr>
        <w:ind w:left="840" w:right="80"/>
        <w:spacing w:after="0" w:line="276" w:lineRule="auto"/>
        <w:rPr>
          <w:rFonts w:ascii="Arial" w:cs="Arial" w:eastAsia="Arial" w:hAnsi="Arial"/>
          <w:sz w:val="20"/>
          <w:szCs w:val="20"/>
          <w:color w:val="auto"/>
        </w:rPr>
      </w:pPr>
      <w:r>
        <w:rPr>
          <w:rFonts w:ascii="Arial" w:cs="Arial" w:eastAsia="Arial" w:hAnsi="Arial"/>
          <w:sz w:val="19"/>
          <w:szCs w:val="19"/>
          <w:color w:val="auto"/>
        </w:rPr>
        <w:t>institutional stockholders expressed approval of the Company’s strategy, performance, and management. In addition, they indicated support</w:t>
      </w:r>
    </w:p>
    <w:p>
      <w:pPr>
        <w:spacing w:after="0" w:line="2" w:lineRule="exact"/>
        <w:rPr>
          <w:rFonts w:ascii="Arial" w:cs="Arial" w:eastAsia="Arial" w:hAnsi="Arial"/>
          <w:sz w:val="20"/>
          <w:szCs w:val="20"/>
          <w:color w:val="auto"/>
        </w:rPr>
      </w:pPr>
    </w:p>
    <w:p>
      <w:pPr>
        <w:ind w:left="840" w:right="320"/>
        <w:spacing w:after="0" w:line="261" w:lineRule="auto"/>
        <w:rPr>
          <w:rFonts w:ascii="Arial" w:cs="Arial" w:eastAsia="Arial" w:hAnsi="Arial"/>
          <w:sz w:val="20"/>
          <w:szCs w:val="20"/>
          <w:color w:val="auto"/>
        </w:rPr>
      </w:pPr>
      <w:r>
        <w:rPr>
          <w:rFonts w:ascii="Arial" w:cs="Arial" w:eastAsia="Arial" w:hAnsi="Arial"/>
          <w:sz w:val="20"/>
          <w:szCs w:val="20"/>
          <w:color w:val="auto"/>
        </w:rPr>
        <w:t>for the Company’s compensation policies and plan designs.</w:t>
      </w:r>
    </w:p>
    <w:p>
      <w:pPr>
        <w:spacing w:after="0" w:line="87" w:lineRule="exact"/>
        <w:rPr>
          <w:rFonts w:ascii="Arial" w:cs="Arial" w:eastAsia="Arial" w:hAnsi="Arial"/>
          <w:sz w:val="20"/>
          <w:szCs w:val="20"/>
          <w:color w:val="auto"/>
        </w:rPr>
      </w:pPr>
    </w:p>
    <w:p>
      <w:pPr>
        <w:ind w:left="840" w:hanging="186"/>
        <w:spacing w:after="0"/>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0075A8"/>
        </w:rPr>
        <w:t xml:space="preserve">Board Refreshment:  </w:t>
      </w:r>
      <w:r>
        <w:rPr>
          <w:rFonts w:ascii="Arial" w:cs="Arial" w:eastAsia="Arial" w:hAnsi="Arial"/>
          <w:sz w:val="20"/>
          <w:szCs w:val="20"/>
          <w:color w:val="000000"/>
        </w:rPr>
        <w:t>Our institutional</w:t>
      </w:r>
    </w:p>
    <w:p>
      <w:pPr>
        <w:spacing w:after="0" w:line="46" w:lineRule="exact"/>
        <w:rPr>
          <w:rFonts w:ascii="Arial" w:cs="Arial" w:eastAsia="Arial" w:hAnsi="Arial"/>
          <w:sz w:val="20"/>
          <w:szCs w:val="20"/>
          <w:color w:val="auto"/>
        </w:rPr>
      </w:pPr>
    </w:p>
    <w:p>
      <w:pPr>
        <w:ind w:left="840" w:right="160"/>
        <w:spacing w:after="0" w:line="276" w:lineRule="auto"/>
        <w:rPr>
          <w:rFonts w:ascii="Arial" w:cs="Arial" w:eastAsia="Arial" w:hAnsi="Arial"/>
          <w:sz w:val="20"/>
          <w:szCs w:val="20"/>
          <w:color w:val="auto"/>
        </w:rPr>
      </w:pPr>
      <w:r>
        <w:rPr>
          <w:rFonts w:ascii="Arial" w:cs="Arial" w:eastAsia="Arial" w:hAnsi="Arial"/>
          <w:sz w:val="19"/>
          <w:szCs w:val="19"/>
          <w:color w:val="auto"/>
        </w:rPr>
        <w:t>stockholders generally agreed with the Company’s approach to Board refreshment, including the phased retirement of long-tenured</w:t>
      </w:r>
    </w:p>
    <w:p>
      <w:pPr>
        <w:spacing w:after="0" w:line="2" w:lineRule="exact"/>
        <w:rPr>
          <w:rFonts w:ascii="Arial" w:cs="Arial" w:eastAsia="Arial" w:hAnsi="Arial"/>
          <w:sz w:val="20"/>
          <w:szCs w:val="20"/>
          <w:color w:val="auto"/>
        </w:rPr>
      </w:pPr>
    </w:p>
    <w:p>
      <w:pPr>
        <w:ind w:left="840" w:right="40"/>
        <w:spacing w:after="0" w:line="276" w:lineRule="auto"/>
        <w:rPr>
          <w:rFonts w:ascii="Arial" w:cs="Arial" w:eastAsia="Arial" w:hAnsi="Arial"/>
          <w:sz w:val="20"/>
          <w:szCs w:val="20"/>
          <w:color w:val="auto"/>
        </w:rPr>
      </w:pPr>
      <w:r>
        <w:rPr>
          <w:rFonts w:ascii="Arial" w:cs="Arial" w:eastAsia="Arial" w:hAnsi="Arial"/>
          <w:sz w:val="19"/>
          <w:szCs w:val="19"/>
          <w:color w:val="auto"/>
        </w:rPr>
        <w:t>directors and appointment of new directors that would add to the diversity of skills and backgrounds on our Board. In addition to the two</w:t>
      </w:r>
    </w:p>
    <w:p>
      <w:pPr>
        <w:spacing w:after="0" w:line="2" w:lineRule="exact"/>
        <w:rPr>
          <w:rFonts w:ascii="Arial" w:cs="Arial" w:eastAsia="Arial" w:hAnsi="Arial"/>
          <w:sz w:val="20"/>
          <w:szCs w:val="20"/>
          <w:color w:val="auto"/>
        </w:rPr>
      </w:pPr>
    </w:p>
    <w:p>
      <w:pPr>
        <w:ind w:left="840" w:right="460"/>
        <w:spacing w:after="0" w:line="284" w:lineRule="auto"/>
        <w:rPr>
          <w:rFonts w:ascii="Arial" w:cs="Arial" w:eastAsia="Arial" w:hAnsi="Arial"/>
          <w:sz w:val="20"/>
          <w:szCs w:val="20"/>
          <w:color w:val="auto"/>
        </w:rPr>
      </w:pPr>
      <w:r>
        <w:rPr>
          <w:rFonts w:ascii="Arial" w:cs="Arial" w:eastAsia="Arial" w:hAnsi="Arial"/>
          <w:sz w:val="19"/>
          <w:szCs w:val="19"/>
          <w:color w:val="auto"/>
        </w:rPr>
        <w:t>new directors who joined the Board in 2022, Mr. Guerin and Ms. McBride, we appointed Ms. Turcke to our Board in 2023.</w:t>
      </w:r>
    </w:p>
    <w:p>
      <w:pPr>
        <w:spacing w:after="0" w:line="68" w:lineRule="exact"/>
        <w:rPr>
          <w:rFonts w:ascii="Arial" w:cs="Arial" w:eastAsia="Arial" w:hAnsi="Arial"/>
          <w:sz w:val="20"/>
          <w:szCs w:val="20"/>
          <w:color w:val="auto"/>
        </w:rPr>
      </w:pPr>
    </w:p>
    <w:p>
      <w:pPr>
        <w:ind w:left="840" w:right="20" w:hanging="186"/>
        <w:spacing w:after="0" w:line="284" w:lineRule="auto"/>
        <w:tabs>
          <w:tab w:leader="none" w:pos="840" w:val="left"/>
        </w:tabs>
        <w:numPr>
          <w:ilvl w:val="0"/>
          <w:numId w:val="26"/>
        </w:numPr>
        <w:rPr>
          <w:rFonts w:ascii="Arial" w:cs="Arial" w:eastAsia="Arial" w:hAnsi="Arial"/>
          <w:sz w:val="19"/>
          <w:szCs w:val="19"/>
          <w:color w:val="auto"/>
        </w:rPr>
      </w:pPr>
      <w:r>
        <w:rPr>
          <w:rFonts w:ascii="Arial" w:cs="Arial" w:eastAsia="Arial" w:hAnsi="Arial"/>
          <w:sz w:val="19"/>
          <w:szCs w:val="19"/>
          <w:i w:val="1"/>
          <w:iCs w:val="1"/>
          <w:color w:val="0075A8"/>
        </w:rPr>
        <w:t xml:space="preserve">Sustainability Disclosure: </w:t>
      </w:r>
      <w:r>
        <w:rPr>
          <w:rFonts w:ascii="Arial" w:cs="Arial" w:eastAsia="Arial" w:hAnsi="Arial"/>
          <w:sz w:val="19"/>
          <w:szCs w:val="19"/>
          <w:color w:val="000000"/>
        </w:rPr>
        <w:t>Our institutional</w:t>
      </w:r>
      <w:r>
        <w:rPr>
          <w:rFonts w:ascii="Arial" w:cs="Arial" w:eastAsia="Arial" w:hAnsi="Arial"/>
          <w:sz w:val="19"/>
          <w:szCs w:val="19"/>
          <w:i w:val="1"/>
          <w:iCs w:val="1"/>
          <w:color w:val="0075A8"/>
        </w:rPr>
        <w:t xml:space="preserve"> </w:t>
      </w:r>
      <w:r>
        <w:rPr>
          <w:rFonts w:ascii="Arial" w:cs="Arial" w:eastAsia="Arial" w:hAnsi="Arial"/>
          <w:sz w:val="19"/>
          <w:szCs w:val="19"/>
          <w:color w:val="000000"/>
        </w:rPr>
        <w:t>stockholders generally appreciated the additional disclosure contained in our sustainability report</w:t>
      </w:r>
    </w:p>
    <w:p>
      <w:pPr>
        <w:ind w:left="840"/>
        <w:spacing w:after="0" w:line="265" w:lineRule="auto"/>
        <w:rPr>
          <w:rFonts w:ascii="Arial" w:cs="Arial" w:eastAsia="Arial" w:hAnsi="Arial"/>
          <w:sz w:val="19"/>
          <w:szCs w:val="19"/>
          <w:color w:val="auto"/>
        </w:rPr>
      </w:pPr>
      <w:r>
        <w:rPr>
          <w:rFonts w:ascii="Arial" w:cs="Arial" w:eastAsia="Arial" w:hAnsi="Arial"/>
          <w:sz w:val="20"/>
          <w:szCs w:val="20"/>
          <w:color w:val="auto"/>
        </w:rPr>
        <w:t>released in 2022, as well as our overall efforts on environmental, social, and governance (“ESG”) matters, such as specific short and long-term environmental targets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right="120"/>
        <w:spacing w:after="0" w:line="261" w:lineRule="auto"/>
        <w:rPr>
          <w:sz w:val="20"/>
          <w:szCs w:val="20"/>
          <w:color w:val="auto"/>
        </w:rPr>
      </w:pPr>
      <w:r>
        <w:rPr>
          <w:rFonts w:ascii="Arial" w:cs="Arial" w:eastAsia="Arial" w:hAnsi="Arial"/>
          <w:sz w:val="20"/>
          <w:szCs w:val="20"/>
          <w:color w:val="auto"/>
        </w:rPr>
        <w:t>and carbon emission and water usage efficiency improvements.</w:t>
      </w:r>
    </w:p>
    <w:p>
      <w:pPr>
        <w:spacing w:after="0" w:line="215" w:lineRule="exact"/>
        <w:rPr>
          <w:sz w:val="20"/>
          <w:szCs w:val="20"/>
          <w:color w:val="auto"/>
        </w:rPr>
      </w:pPr>
    </w:p>
    <w:p>
      <w:pPr>
        <w:ind w:right="260"/>
        <w:spacing w:after="0" w:line="254" w:lineRule="auto"/>
        <w:rPr>
          <w:sz w:val="20"/>
          <w:szCs w:val="20"/>
          <w:color w:val="auto"/>
        </w:rPr>
      </w:pPr>
      <w:r>
        <w:rPr>
          <w:rFonts w:ascii="Arial" w:cs="Arial" w:eastAsia="Arial" w:hAnsi="Arial"/>
          <w:sz w:val="20"/>
          <w:szCs w:val="20"/>
          <w:color w:val="auto"/>
        </w:rPr>
        <w:t>Our Board values the opinions expressed by our stockholders and will continue to consider the voting results from stockholder meetings, as well as feedback obtained through our regular stockholder engagement efforts, when making future decisions regarding corporate governance matters.</w:t>
      </w:r>
    </w:p>
    <w:p>
      <w:pPr>
        <w:spacing w:after="0" w:line="247"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Board of Director Meetings</w:t>
      </w:r>
    </w:p>
    <w:p>
      <w:pPr>
        <w:spacing w:after="0" w:line="174"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The Board met five (5) times during fiscal year 2022. During fiscal year 2022, each director attended at least 75% of the aggregate of the total number of meetings of the Board and the total number of meetings held by all committees of the Board on which he or she served. The Company’s policy with respect to directors’ attendance at the Annual Meeting is included in our corporate governance guidelines, which are available on the Investor Relations portion of the Company’s website at www.skyworksinc.com. At the 2022 Annual Meeting, each director then in office was in attendance.</w:t>
      </w:r>
    </w:p>
    <w:p>
      <w:pPr>
        <w:spacing w:after="0" w:line="245"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Director Independence</w:t>
      </w:r>
    </w:p>
    <w:p>
      <w:pPr>
        <w:spacing w:after="0" w:line="161"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Each year, the Board reviews the relationships that each director has with the Company and with other parties. Only those directors who do not have any of the categorical relationships that preclude them from being independent within the meaning of the applicable Listing Rules of the Nasdaq Stock Market LLC (the “Nasdaq Rules”) and who the Board affirmatively determines have no relationships that would interfere with the exercise of independent judgment in carrying out the responsibilities of a director are considered to be independent directors. The Board has reviewed a number of factors to evaluate the independence of each of its members. These factors include its members’ current and historic relationships with the Company and its</w:t>
      </w:r>
    </w:p>
    <w:p>
      <w:pPr>
        <w:spacing w:after="0" w:line="318" w:lineRule="exact"/>
        <w:rPr>
          <w:sz w:val="20"/>
          <w:szCs w:val="20"/>
          <w:color w:val="auto"/>
        </w:rPr>
      </w:pPr>
    </w:p>
    <w:p>
      <w:pPr>
        <w:sectPr>
          <w:pgSz w:w="11900" w:h="16838" w:orient="portrait"/>
          <w:cols w:equalWidth="0" w:num="2">
            <w:col w:w="5140" w:space="440"/>
            <w:col w:w="4520"/>
          </w:cols>
          <w:pgMar w:left="580" w:top="131" w:right="1219" w:bottom="1440" w:gutter="0" w:footer="0" w:header="0"/>
          <w:type w:val="continuous"/>
        </w:sectPr>
      </w:pPr>
    </w:p>
    <w:p>
      <w:pPr>
        <w:spacing w:after="0" w:line="117"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competitors, suppliers, and customers; their relationships with management and other directors; the relationships their current and former employers have with the Company; and the relationships between the Company and other companies of which a member of the Company’s Board of Directors is a director or executive officer. After evaluating these factors, the Board has determined that eight of the nine members of the Board, namely, Alan S. Batey, Kevin L. Beebe, Eric J. Guerin, Suzanne E. McBride, Christine King, David P. McGlade, Robert A. Schriesheim, and Maryann Turcke, do not have any relationships that would interfere with the exercise of independent judgment in carrying out their responsibilities as directors and that each such director is an independent director of the Company within the meaning of applicable Nasdaq Rules.</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Corporate Governance Guidelines</w:t>
      </w:r>
    </w:p>
    <w:p>
      <w:pPr>
        <w:spacing w:after="0" w:line="174" w:lineRule="exact"/>
        <w:rPr>
          <w:sz w:val="20"/>
          <w:szCs w:val="20"/>
          <w:color w:val="auto"/>
        </w:rPr>
      </w:pPr>
    </w:p>
    <w:p>
      <w:pPr>
        <w:ind w:left="660" w:right="40"/>
        <w:spacing w:after="0" w:line="254" w:lineRule="auto"/>
        <w:rPr>
          <w:sz w:val="20"/>
          <w:szCs w:val="20"/>
          <w:color w:val="auto"/>
        </w:rPr>
      </w:pPr>
      <w:r>
        <w:rPr>
          <w:rFonts w:ascii="Arial" w:cs="Arial" w:eastAsia="Arial" w:hAnsi="Arial"/>
          <w:sz w:val="20"/>
          <w:szCs w:val="20"/>
          <w:color w:val="auto"/>
        </w:rPr>
        <w:t>The Board has adopted corporate governance practices to help fulfill its responsibilities to the stockholders in overseeing the work of management and the Company’s business results. These guidelines are intended to ensure that the Board has the necessary authority and practices in place to review and evaluate the Company’s business operations, as needed, and to make decisions that are independent of the Company’s management. In addition, the guidelines are intended to align the interests of directors and management with those of the Company’s stockholders. A copy of the Company’s corporate governance guidelines is available on the Investor Relations portion of the Company’s website at www.skyworksinc.com.</w:t>
      </w:r>
    </w:p>
    <w:p>
      <w:pPr>
        <w:spacing w:after="0" w:line="210"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auto"/>
        </w:rPr>
        <w:t>In accordance with these corporate governance guidelines, independent members of the Board met in executive session without management present four (4) times during fiscal year 2022. The Lead Independent Director served as presiding director for these meetings.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Code of Ethics</w:t>
      </w:r>
    </w:p>
    <w:p>
      <w:pPr>
        <w:spacing w:after="0" w:line="161" w:lineRule="exact"/>
        <w:rPr>
          <w:sz w:val="20"/>
          <w:szCs w:val="20"/>
          <w:color w:val="auto"/>
        </w:rPr>
      </w:pPr>
    </w:p>
    <w:p>
      <w:pPr>
        <w:ind w:left="660" w:right="340"/>
        <w:spacing w:after="0" w:line="277" w:lineRule="auto"/>
        <w:rPr>
          <w:sz w:val="20"/>
          <w:szCs w:val="20"/>
          <w:color w:val="auto"/>
        </w:rPr>
      </w:pPr>
      <w:r>
        <w:rPr>
          <w:rFonts w:ascii="Arial" w:cs="Arial" w:eastAsia="Arial" w:hAnsi="Arial"/>
          <w:sz w:val="19"/>
          <w:szCs w:val="19"/>
          <w:color w:val="auto"/>
        </w:rPr>
        <w:t>We have adopted a written code of business conduct and ethics that applies to our directors, officers, and employees, including our principal</w:t>
      </w:r>
    </w:p>
    <w:p>
      <w:pPr>
        <w:spacing w:after="0" w:line="200" w:lineRule="exact"/>
        <w:rPr>
          <w:sz w:val="20"/>
          <w:szCs w:val="20"/>
          <w:color w:val="auto"/>
        </w:rPr>
      </w:pPr>
    </w:p>
    <w:p>
      <w:pPr>
        <w:spacing w:after="0" w:line="304"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executive officer, principal financial officer, principal accounting officer or controller, or persons performing similar functions. We make available our code of business conduct and ethics free of charge through our website at www.skyworksinc.com. We intend to disclose any amendments to, or waivers from, our code of business conduct and ethics that are required to be publicly disclosed by posting any such amendment or waivers on our website pursuant to requirements of the Securities and Exchange Commission (the “SEC”) and Nasdaq Rules.</w:t>
      </w:r>
    </w:p>
    <w:p>
      <w:pPr>
        <w:spacing w:after="0" w:line="245" w:lineRule="exact"/>
        <w:rPr>
          <w:sz w:val="20"/>
          <w:szCs w:val="20"/>
          <w:color w:val="auto"/>
        </w:rPr>
      </w:pPr>
    </w:p>
    <w:p>
      <w:pPr>
        <w:ind w:right="480"/>
        <w:spacing w:after="0" w:line="286" w:lineRule="auto"/>
        <w:rPr>
          <w:sz w:val="20"/>
          <w:szCs w:val="20"/>
          <w:color w:val="auto"/>
        </w:rPr>
      </w:pPr>
      <w:r>
        <w:rPr>
          <w:rFonts w:ascii="Arial" w:cs="Arial" w:eastAsia="Arial" w:hAnsi="Arial"/>
          <w:sz w:val="23"/>
          <w:szCs w:val="23"/>
          <w:b w:val="1"/>
          <w:bCs w:val="1"/>
          <w:i w:val="1"/>
          <w:iCs w:val="1"/>
          <w:color w:val="auto"/>
        </w:rPr>
        <w:t>Executive Officer and Director Stock Ownership Requirements</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As described in detail below under “</w:t>
      </w:r>
      <w:r>
        <w:rPr>
          <w:rFonts w:ascii="Arial" w:cs="Arial" w:eastAsia="Arial" w:hAnsi="Arial"/>
          <w:sz w:val="20"/>
          <w:szCs w:val="20"/>
          <w:i w:val="1"/>
          <w:iCs w:val="1"/>
          <w:color w:val="auto"/>
        </w:rPr>
        <w:t>Compensation</w:t>
      </w:r>
      <w:r>
        <w:rPr>
          <w:rFonts w:ascii="Arial" w:cs="Arial" w:eastAsia="Arial" w:hAnsi="Arial"/>
          <w:sz w:val="20"/>
          <w:szCs w:val="20"/>
          <w:color w:val="auto"/>
        </w:rPr>
        <w:t xml:space="preserve"> </w:t>
      </w:r>
      <w:r>
        <w:rPr>
          <w:rFonts w:ascii="Arial" w:cs="Arial" w:eastAsia="Arial" w:hAnsi="Arial"/>
          <w:sz w:val="20"/>
          <w:szCs w:val="20"/>
          <w:i w:val="1"/>
          <w:iCs w:val="1"/>
          <w:color w:val="auto"/>
        </w:rPr>
        <w:t>Discussion and Analysis</w:t>
      </w:r>
      <w:r>
        <w:rPr>
          <w:rFonts w:ascii="Arial" w:cs="Arial" w:eastAsia="Arial" w:hAnsi="Arial"/>
          <w:sz w:val="20"/>
          <w:szCs w:val="20"/>
          <w:color w:val="auto"/>
        </w:rPr>
        <w:t>,” we have adopted</w:t>
      </w:r>
      <w:r>
        <w:rPr>
          <w:rFonts w:ascii="Arial" w:cs="Arial" w:eastAsia="Arial" w:hAnsi="Arial"/>
          <w:sz w:val="20"/>
          <w:szCs w:val="20"/>
          <w:i w:val="1"/>
          <w:iCs w:val="1"/>
          <w:color w:val="auto"/>
        </w:rPr>
        <w:t xml:space="preserve"> </w:t>
      </w:r>
      <w:r>
        <w:rPr>
          <w:rFonts w:ascii="Arial" w:cs="Arial" w:eastAsia="Arial" w:hAnsi="Arial"/>
          <w:sz w:val="20"/>
          <w:szCs w:val="20"/>
          <w:color w:val="auto"/>
        </w:rPr>
        <w:t>Executive Officer and Director Stock Ownership programs that require our executive officers (including those Named Executive Officers who are still currently serving as executive officers) and non-employee directors to hold a significant equity interest in Skyworks with the objective of more closely aligning the interests of our executive officers and directors with those of our stockholders. All of our Named Executive Officers and directors have met the stock ownership guidelines as of the date hereof  (with the exception of Mr. Guerin, Ms. McBride and</w:t>
      </w:r>
    </w:p>
    <w:p>
      <w:pPr>
        <w:spacing w:after="0" w:line="1"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Ms. Turcke, who are not required to comply with the guidelines until the fifth anniversary of their appointments to the Board).</w:t>
      </w:r>
    </w:p>
    <w:p>
      <w:pPr>
        <w:spacing w:after="0" w:line="240"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Board Leadership Structure</w:t>
      </w:r>
    </w:p>
    <w:p>
      <w:pPr>
        <w:spacing w:after="0" w:line="161"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Our Board selects the Company’s Chairman of the Board and Chief Executive Officer in the manner it determines to be in the best interests of the Company at the time. Our former Chairman of the Board, Mr. Aldrich, served as the Chairman of the Board from May 2014 until his retirement in</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May 2021. Our current Chairman and Chief Executive Officer, Mr. Griffin, was appointed by our Board in May 2016 to succeed Mr. Aldrich as Chief Executive Officer and also to serve as a director, and was appointed by our Board in May 2021 to succeed Mr. Aldrich as Chairman of the Board. The Board believes that this leadership structure, coupled with a strong emphasis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231775</wp:posOffset>
            </wp:positionV>
            <wp:extent cx="779780" cy="2571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left="2680"/>
        <w:spacing w:after="0"/>
        <w:tabs>
          <w:tab w:leader="none" w:pos="2900" w:val="left"/>
          <w:tab w:leader="none" w:pos="3260"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177800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40"/>
            <w:col w:w="4520"/>
          </w:cols>
          <w:pgMar w:left="580" w:top="131" w:right="121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right="500"/>
        <w:spacing w:after="0" w:line="255" w:lineRule="auto"/>
        <w:rPr>
          <w:sz w:val="20"/>
          <w:szCs w:val="20"/>
          <w:color w:val="auto"/>
        </w:rPr>
      </w:pPr>
      <w:r>
        <w:rPr>
          <w:rFonts w:ascii="Arial" w:cs="Arial" w:eastAsia="Arial" w:hAnsi="Arial"/>
          <w:sz w:val="20"/>
          <w:szCs w:val="20"/>
          <w:color w:val="auto"/>
        </w:rPr>
        <w:t>Board independence, provides effective independent oversight of management while allowing both the Board and management to benefit from Mr. Griffin’s experience and skills developed over twenty years at the Company serving in executive roles.</w:t>
      </w:r>
    </w:p>
    <w:p>
      <w:pPr>
        <w:spacing w:after="0" w:line="208" w:lineRule="exact"/>
        <w:rPr>
          <w:sz w:val="20"/>
          <w:szCs w:val="20"/>
          <w:color w:val="auto"/>
        </w:rPr>
      </w:pPr>
    </w:p>
    <w:p>
      <w:pPr>
        <w:ind w:left="660" w:right="140"/>
        <w:spacing w:after="0" w:line="266" w:lineRule="auto"/>
        <w:rPr>
          <w:sz w:val="20"/>
          <w:szCs w:val="20"/>
          <w:color w:val="auto"/>
        </w:rPr>
      </w:pPr>
      <w:r>
        <w:rPr>
          <w:rFonts w:ascii="Arial" w:cs="Arial" w:eastAsia="Arial" w:hAnsi="Arial"/>
          <w:sz w:val="19"/>
          <w:szCs w:val="19"/>
          <w:color w:val="auto"/>
        </w:rPr>
        <w:t>Importantly, the Board has a strong and empowered Lead Independent Director who provides an effective independent voice in our leadership structure. In May 2014, at the time of Mr. Aldrich’s appointment as Chairman of the Board, our Board first appointed an independent director within the meaning of applicable Nasdaq Rules (see above under “</w:t>
      </w:r>
      <w:r>
        <w:rPr>
          <w:rFonts w:ascii="Arial" w:cs="Arial" w:eastAsia="Arial" w:hAnsi="Arial"/>
          <w:sz w:val="19"/>
          <w:szCs w:val="19"/>
          <w:i w:val="1"/>
          <w:iCs w:val="1"/>
          <w:color w:val="auto"/>
        </w:rPr>
        <w:t>Director Independence</w:t>
      </w:r>
      <w:r>
        <w:rPr>
          <w:rFonts w:ascii="Arial" w:cs="Arial" w:eastAsia="Arial" w:hAnsi="Arial"/>
          <w:sz w:val="19"/>
          <w:szCs w:val="19"/>
          <w:color w:val="auto"/>
        </w:rPr>
        <w:t>”) to serve as the Lead Independent Director.</w:t>
      </w:r>
    </w:p>
    <w:p>
      <w:pPr>
        <w:spacing w:after="0" w:line="8" w:lineRule="exact"/>
        <w:rPr>
          <w:sz w:val="20"/>
          <w:szCs w:val="20"/>
          <w:color w:val="auto"/>
        </w:rPr>
      </w:pPr>
    </w:p>
    <w:p>
      <w:pPr>
        <w:ind w:left="660" w:right="420"/>
        <w:spacing w:after="0" w:line="261" w:lineRule="auto"/>
        <w:rPr>
          <w:sz w:val="20"/>
          <w:szCs w:val="20"/>
          <w:color w:val="auto"/>
        </w:rPr>
      </w:pPr>
      <w:r>
        <w:rPr>
          <w:rFonts w:ascii="Arial" w:cs="Arial" w:eastAsia="Arial" w:hAnsi="Arial"/>
          <w:sz w:val="20"/>
          <w:szCs w:val="20"/>
          <w:color w:val="auto"/>
        </w:rPr>
        <w:t>Ms. King was appointed in May 2019 to be the current Lead Independent Director.</w:t>
      </w:r>
    </w:p>
    <w:p>
      <w:pPr>
        <w:spacing w:after="0" w:line="202" w:lineRule="exact"/>
        <w:rPr>
          <w:sz w:val="20"/>
          <w:szCs w:val="20"/>
          <w:color w:val="auto"/>
        </w:rPr>
      </w:pPr>
    </w:p>
    <w:p>
      <w:pPr>
        <w:jc w:val="both"/>
        <w:ind w:left="660" w:right="240"/>
        <w:spacing w:after="0" w:line="257" w:lineRule="auto"/>
        <w:rPr>
          <w:sz w:val="20"/>
          <w:szCs w:val="20"/>
          <w:color w:val="auto"/>
        </w:rPr>
      </w:pPr>
      <w:r>
        <w:rPr>
          <w:rFonts w:ascii="Arial" w:cs="Arial" w:eastAsia="Arial" w:hAnsi="Arial"/>
          <w:sz w:val="20"/>
          <w:szCs w:val="20"/>
          <w:color w:val="auto"/>
        </w:rPr>
        <w:t>The duties of the Lead Independent Director, as set forth in our corporate governance guidelines, include the following:</w:t>
      </w:r>
    </w:p>
    <w:p>
      <w:pPr>
        <w:spacing w:after="0" w:line="139" w:lineRule="exact"/>
        <w:rPr>
          <w:sz w:val="20"/>
          <w:szCs w:val="20"/>
          <w:color w:val="auto"/>
        </w:rPr>
      </w:pPr>
    </w:p>
    <w:p>
      <w:pPr>
        <w:ind w:left="840" w:right="260" w:hanging="186"/>
        <w:spacing w:after="0" w:line="281" w:lineRule="auto"/>
        <w:tabs>
          <w:tab w:leader="none" w:pos="8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presiding at all meetings of the Board at which the Chairman of the Board is not present,</w:t>
      </w:r>
    </w:p>
    <w:p>
      <w:pPr>
        <w:spacing w:after="0" w:line="1" w:lineRule="exact"/>
        <w:rPr>
          <w:rFonts w:ascii="Arial" w:cs="Arial" w:eastAsia="Arial" w:hAnsi="Arial"/>
          <w:sz w:val="19"/>
          <w:szCs w:val="19"/>
          <w:color w:val="auto"/>
        </w:rPr>
      </w:pPr>
    </w:p>
    <w:p>
      <w:pPr>
        <w:ind w:left="840" w:right="120"/>
        <w:spacing w:after="0" w:line="260" w:lineRule="auto"/>
        <w:rPr>
          <w:rFonts w:ascii="Arial" w:cs="Arial" w:eastAsia="Arial" w:hAnsi="Arial"/>
          <w:sz w:val="19"/>
          <w:szCs w:val="19"/>
          <w:color w:val="auto"/>
        </w:rPr>
      </w:pPr>
      <w:r>
        <w:rPr>
          <w:rFonts w:ascii="Arial" w:cs="Arial" w:eastAsia="Arial" w:hAnsi="Arial"/>
          <w:sz w:val="20"/>
          <w:szCs w:val="20"/>
          <w:color w:val="auto"/>
        </w:rPr>
        <w:t>including executive sessions of the independent directors;</w:t>
      </w:r>
    </w:p>
    <w:p>
      <w:pPr>
        <w:spacing w:after="0" w:line="1" w:lineRule="exact"/>
        <w:rPr>
          <w:rFonts w:ascii="Arial" w:cs="Arial" w:eastAsia="Arial" w:hAnsi="Arial"/>
          <w:sz w:val="19"/>
          <w:szCs w:val="19"/>
          <w:color w:val="auto"/>
        </w:rPr>
      </w:pPr>
    </w:p>
    <w:p>
      <w:pPr>
        <w:ind w:left="840" w:hanging="186"/>
        <w:spacing w:after="0"/>
        <w:tabs>
          <w:tab w:leader="none" w:pos="8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calling meetings of the independent directors, as</w:t>
      </w:r>
    </w:p>
    <w:p>
      <w:pPr>
        <w:spacing w:after="0" w:line="26" w:lineRule="exact"/>
        <w:rPr>
          <w:rFonts w:ascii="Arial" w:cs="Arial" w:eastAsia="Arial" w:hAnsi="Arial"/>
          <w:sz w:val="20"/>
          <w:szCs w:val="20"/>
          <w:color w:val="auto"/>
        </w:rPr>
      </w:pPr>
    </w:p>
    <w:p>
      <w:pPr>
        <w:ind w:left="840" w:right="80"/>
        <w:spacing w:after="0" w:line="262" w:lineRule="auto"/>
        <w:rPr>
          <w:rFonts w:ascii="Arial" w:cs="Arial" w:eastAsia="Arial" w:hAnsi="Arial"/>
          <w:sz w:val="20"/>
          <w:szCs w:val="20"/>
          <w:color w:val="auto"/>
        </w:rPr>
      </w:pPr>
      <w:r>
        <w:rPr>
          <w:rFonts w:ascii="Arial" w:cs="Arial" w:eastAsia="Arial" w:hAnsi="Arial"/>
          <w:sz w:val="20"/>
          <w:szCs w:val="20"/>
          <w:color w:val="auto"/>
        </w:rPr>
        <w:t>he or she deems appropriate, and assuring that the independent directors meet independently at least twice each year;</w:t>
      </w:r>
    </w:p>
    <w:p>
      <w:pPr>
        <w:spacing w:after="0" w:line="2" w:lineRule="exact"/>
        <w:rPr>
          <w:rFonts w:ascii="Arial" w:cs="Arial" w:eastAsia="Arial" w:hAnsi="Arial"/>
          <w:sz w:val="20"/>
          <w:szCs w:val="20"/>
          <w:color w:val="auto"/>
        </w:rPr>
      </w:pPr>
    </w:p>
    <w:p>
      <w:pPr>
        <w:ind w:left="840" w:hanging="186"/>
        <w:spacing w:after="0" w:line="262" w:lineRule="auto"/>
        <w:tabs>
          <w:tab w:leader="none" w:pos="8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providing leadership to the Board if circumstances arise in which the Chairman of the Board may be, or may be perceived to be, in</w:t>
      </w:r>
    </w:p>
    <w:p>
      <w:pPr>
        <w:spacing w:after="0" w:line="2" w:lineRule="exact"/>
        <w:rPr>
          <w:rFonts w:ascii="Arial" w:cs="Arial" w:eastAsia="Arial" w:hAnsi="Arial"/>
          <w:sz w:val="20"/>
          <w:szCs w:val="20"/>
          <w:color w:val="auto"/>
        </w:rPr>
      </w:pPr>
    </w:p>
    <w:p>
      <w:pPr>
        <w:ind w:left="840" w:right="60"/>
        <w:spacing w:after="0" w:line="274" w:lineRule="auto"/>
        <w:rPr>
          <w:rFonts w:ascii="Arial" w:cs="Arial" w:eastAsia="Arial" w:hAnsi="Arial"/>
          <w:sz w:val="20"/>
          <w:szCs w:val="20"/>
          <w:color w:val="auto"/>
        </w:rPr>
      </w:pPr>
      <w:r>
        <w:rPr>
          <w:rFonts w:ascii="Arial" w:cs="Arial" w:eastAsia="Arial" w:hAnsi="Arial"/>
          <w:sz w:val="19"/>
          <w:szCs w:val="19"/>
          <w:color w:val="auto"/>
        </w:rPr>
        <w:t>conflict with the interests of the Company and its stockholders with regard to a particular matter;</w:t>
      </w:r>
    </w:p>
    <w:p>
      <w:pPr>
        <w:ind w:left="840" w:hanging="186"/>
        <w:spacing w:after="0"/>
        <w:tabs>
          <w:tab w:leader="none" w:pos="8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facilitating communications and serving as a</w:t>
      </w:r>
    </w:p>
    <w:p>
      <w:pPr>
        <w:spacing w:after="0" w:line="26" w:lineRule="exact"/>
        <w:rPr>
          <w:rFonts w:ascii="Arial" w:cs="Arial" w:eastAsia="Arial" w:hAnsi="Arial"/>
          <w:sz w:val="20"/>
          <w:szCs w:val="20"/>
          <w:color w:val="auto"/>
        </w:rPr>
      </w:pPr>
    </w:p>
    <w:p>
      <w:pPr>
        <w:ind w:left="840" w:right="220"/>
        <w:spacing w:after="0" w:line="264" w:lineRule="auto"/>
        <w:rPr>
          <w:rFonts w:ascii="Arial" w:cs="Arial" w:eastAsia="Arial" w:hAnsi="Arial"/>
          <w:sz w:val="20"/>
          <w:szCs w:val="20"/>
          <w:color w:val="auto"/>
        </w:rPr>
      </w:pPr>
      <w:r>
        <w:rPr>
          <w:rFonts w:ascii="Arial" w:cs="Arial" w:eastAsia="Arial" w:hAnsi="Arial"/>
          <w:sz w:val="20"/>
          <w:szCs w:val="20"/>
          <w:color w:val="auto"/>
        </w:rPr>
        <w:t>liaison, when necessary, between the independent directors and the Chairman of the Board and/or the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3" w:hanging="183"/>
        <w:spacing w:after="0"/>
        <w:tabs>
          <w:tab w:leader="none" w:pos="183"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consulting with the Chairman of the Board in the</w:t>
      </w:r>
    </w:p>
    <w:p>
      <w:pPr>
        <w:spacing w:after="0" w:line="26" w:lineRule="exact"/>
        <w:rPr>
          <w:rFonts w:ascii="Arial" w:cs="Arial" w:eastAsia="Arial" w:hAnsi="Arial"/>
          <w:sz w:val="20"/>
          <w:szCs w:val="20"/>
          <w:color w:val="auto"/>
        </w:rPr>
      </w:pPr>
    </w:p>
    <w:p>
      <w:pPr>
        <w:ind w:left="183" w:right="540"/>
        <w:spacing w:after="0" w:line="274" w:lineRule="auto"/>
        <w:rPr>
          <w:rFonts w:ascii="Arial" w:cs="Arial" w:eastAsia="Arial" w:hAnsi="Arial"/>
          <w:sz w:val="20"/>
          <w:szCs w:val="20"/>
          <w:color w:val="auto"/>
        </w:rPr>
      </w:pPr>
      <w:r>
        <w:rPr>
          <w:rFonts w:ascii="Arial" w:cs="Arial" w:eastAsia="Arial" w:hAnsi="Arial"/>
          <w:sz w:val="19"/>
          <w:szCs w:val="19"/>
          <w:color w:val="auto"/>
        </w:rPr>
        <w:t>preparation of the schedules, agendas, and information provided to the Board for each</w:t>
      </w:r>
    </w:p>
    <w:p>
      <w:pPr>
        <w:ind w:left="183" w:right="40"/>
        <w:spacing w:after="0" w:line="262" w:lineRule="auto"/>
        <w:rPr>
          <w:rFonts w:ascii="Arial" w:cs="Arial" w:eastAsia="Arial" w:hAnsi="Arial"/>
          <w:sz w:val="20"/>
          <w:szCs w:val="20"/>
          <w:color w:val="auto"/>
        </w:rPr>
      </w:pPr>
      <w:r>
        <w:rPr>
          <w:rFonts w:ascii="Arial" w:cs="Arial" w:eastAsia="Arial" w:hAnsi="Arial"/>
          <w:sz w:val="20"/>
          <w:szCs w:val="20"/>
          <w:color w:val="auto"/>
        </w:rPr>
        <w:t>meeting, and ensuring that there is sufficient time at each meeting for discussion of all agenda items;</w:t>
      </w:r>
    </w:p>
    <w:p>
      <w:pPr>
        <w:spacing w:after="0" w:line="2" w:lineRule="exact"/>
        <w:rPr>
          <w:rFonts w:ascii="Arial" w:cs="Arial" w:eastAsia="Arial" w:hAnsi="Arial"/>
          <w:sz w:val="20"/>
          <w:szCs w:val="20"/>
          <w:color w:val="auto"/>
        </w:rPr>
      </w:pPr>
    </w:p>
    <w:p>
      <w:pPr>
        <w:ind w:left="183" w:right="120" w:hanging="183"/>
        <w:spacing w:after="0" w:line="276" w:lineRule="auto"/>
        <w:tabs>
          <w:tab w:leader="none" w:pos="183" w:val="left"/>
        </w:tabs>
        <w:numPr>
          <w:ilvl w:val="0"/>
          <w:numId w:val="28"/>
        </w:numPr>
        <w:rPr>
          <w:rFonts w:ascii="Arial" w:cs="Arial" w:eastAsia="Arial" w:hAnsi="Arial"/>
          <w:sz w:val="19"/>
          <w:szCs w:val="19"/>
          <w:color w:val="auto"/>
        </w:rPr>
      </w:pPr>
      <w:r>
        <w:rPr>
          <w:rFonts w:ascii="Arial" w:cs="Arial" w:eastAsia="Arial" w:hAnsi="Arial"/>
          <w:sz w:val="19"/>
          <w:szCs w:val="19"/>
          <w:color w:val="auto"/>
        </w:rPr>
        <w:t>retaining independent advisors on behalf of the Board as the Board or the independent directors may deem necessary or appropriate; and</w:t>
      </w:r>
    </w:p>
    <w:p>
      <w:pPr>
        <w:spacing w:after="0" w:line="2" w:lineRule="exact"/>
        <w:rPr>
          <w:rFonts w:ascii="Arial" w:cs="Arial" w:eastAsia="Arial" w:hAnsi="Arial"/>
          <w:sz w:val="19"/>
          <w:szCs w:val="19"/>
          <w:color w:val="auto"/>
        </w:rPr>
      </w:pPr>
    </w:p>
    <w:p>
      <w:pPr>
        <w:ind w:left="183" w:right="220" w:hanging="183"/>
        <w:spacing w:after="0" w:line="264" w:lineRule="auto"/>
        <w:tabs>
          <w:tab w:leader="none" w:pos="183" w:val="left"/>
        </w:tabs>
        <w:numPr>
          <w:ilvl w:val="0"/>
          <w:numId w:val="28"/>
        </w:numPr>
        <w:rPr>
          <w:rFonts w:ascii="Arial" w:cs="Arial" w:eastAsia="Arial" w:hAnsi="Arial"/>
          <w:sz w:val="20"/>
          <w:szCs w:val="20"/>
          <w:color w:val="auto"/>
        </w:rPr>
      </w:pPr>
      <w:r>
        <w:rPr>
          <w:rFonts w:ascii="Arial" w:cs="Arial" w:eastAsia="Arial" w:hAnsi="Arial"/>
          <w:sz w:val="20"/>
          <w:szCs w:val="20"/>
          <w:color w:val="auto"/>
        </w:rPr>
        <w:t>being available for consultation and direct communication upon the reasonable request of major stockholders.</w:t>
      </w:r>
    </w:p>
    <w:p>
      <w:pPr>
        <w:spacing w:after="0" w:line="213" w:lineRule="exact"/>
        <w:rPr>
          <w:sz w:val="20"/>
          <w:szCs w:val="20"/>
          <w:color w:val="auto"/>
        </w:rPr>
      </w:pPr>
    </w:p>
    <w:p>
      <w:pPr>
        <w:ind w:left="3" w:right="140"/>
        <w:spacing w:after="0" w:line="255" w:lineRule="auto"/>
        <w:rPr>
          <w:sz w:val="20"/>
          <w:szCs w:val="20"/>
          <w:color w:val="auto"/>
        </w:rPr>
      </w:pPr>
      <w:r>
        <w:rPr>
          <w:rFonts w:ascii="Arial" w:cs="Arial" w:eastAsia="Arial" w:hAnsi="Arial"/>
          <w:sz w:val="20"/>
          <w:szCs w:val="20"/>
          <w:color w:val="auto"/>
        </w:rPr>
        <w:t>The Board believes our current leadership structure is appropriate and that the duties of the Lead Independent Director appropriately and effectively complement the duties of the Chairman of the Board.</w:t>
      </w:r>
    </w:p>
    <w:p>
      <w:pPr>
        <w:spacing w:after="0" w:line="243" w:lineRule="exact"/>
        <w:rPr>
          <w:sz w:val="20"/>
          <w:szCs w:val="20"/>
          <w:color w:val="auto"/>
        </w:rPr>
      </w:pPr>
    </w:p>
    <w:p>
      <w:pPr>
        <w:ind w:left="3"/>
        <w:spacing w:after="0"/>
        <w:rPr>
          <w:sz w:val="20"/>
          <w:szCs w:val="20"/>
          <w:color w:val="auto"/>
        </w:rPr>
      </w:pPr>
      <w:r>
        <w:rPr>
          <w:rFonts w:ascii="Arial" w:cs="Arial" w:eastAsia="Arial" w:hAnsi="Arial"/>
          <w:sz w:val="23"/>
          <w:szCs w:val="23"/>
          <w:b w:val="1"/>
          <w:bCs w:val="1"/>
          <w:i w:val="1"/>
          <w:iCs w:val="1"/>
          <w:color w:val="auto"/>
        </w:rPr>
        <w:t>Stockholder Communications</w:t>
      </w:r>
    </w:p>
    <w:p>
      <w:pPr>
        <w:spacing w:after="0" w:line="161" w:lineRule="exact"/>
        <w:rPr>
          <w:sz w:val="20"/>
          <w:szCs w:val="20"/>
          <w:color w:val="auto"/>
        </w:rPr>
      </w:pPr>
    </w:p>
    <w:p>
      <w:pPr>
        <w:ind w:left="3" w:right="260"/>
        <w:spacing w:after="0" w:line="273" w:lineRule="auto"/>
        <w:rPr>
          <w:sz w:val="20"/>
          <w:szCs w:val="20"/>
          <w:color w:val="auto"/>
        </w:rPr>
      </w:pPr>
      <w:r>
        <w:rPr>
          <w:rFonts w:ascii="Arial" w:cs="Arial" w:eastAsia="Arial" w:hAnsi="Arial"/>
          <w:sz w:val="19"/>
          <w:szCs w:val="19"/>
          <w:color w:val="auto"/>
        </w:rPr>
        <w:t>Our stockholders may communicate directly with the Board as a whole or to individual directors by letter addressed directly to such individual or individuals at the following address:</w:t>
      </w:r>
    </w:p>
    <w:p>
      <w:pPr>
        <w:spacing w:after="0" w:line="194" w:lineRule="exact"/>
        <w:rPr>
          <w:sz w:val="20"/>
          <w:szCs w:val="20"/>
          <w:color w:val="auto"/>
        </w:rPr>
      </w:pPr>
    </w:p>
    <w:p>
      <w:pPr>
        <w:ind w:left="3"/>
        <w:spacing w:after="0"/>
        <w:rPr>
          <w:sz w:val="20"/>
          <w:szCs w:val="20"/>
          <w:color w:val="auto"/>
        </w:rPr>
      </w:pPr>
      <w:r>
        <w:rPr>
          <w:rFonts w:ascii="Arial" w:cs="Arial" w:eastAsia="Arial" w:hAnsi="Arial"/>
          <w:sz w:val="20"/>
          <w:szCs w:val="20"/>
          <w:color w:val="auto"/>
        </w:rPr>
        <w:t>c/o Skyworks Solutions, Inc.</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color w:val="auto"/>
        </w:rPr>
        <w:t>5260 California Avenue</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color w:val="auto"/>
        </w:rPr>
        <w:t>Irvine, CA 92617</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color w:val="auto"/>
        </w:rPr>
        <w:t>Attention: Secretary</w:t>
      </w:r>
    </w:p>
    <w:p>
      <w:pPr>
        <w:spacing w:after="0" w:line="229" w:lineRule="exact"/>
        <w:rPr>
          <w:sz w:val="20"/>
          <w:szCs w:val="20"/>
          <w:color w:val="auto"/>
        </w:rPr>
      </w:pPr>
    </w:p>
    <w:p>
      <w:pPr>
        <w:ind w:left="3" w:right="220"/>
        <w:spacing w:after="0" w:line="254" w:lineRule="auto"/>
        <w:rPr>
          <w:sz w:val="20"/>
          <w:szCs w:val="20"/>
          <w:color w:val="auto"/>
        </w:rPr>
      </w:pPr>
      <w:r>
        <w:rPr>
          <w:rFonts w:ascii="Arial" w:cs="Arial" w:eastAsia="Arial" w:hAnsi="Arial"/>
          <w:sz w:val="20"/>
          <w:szCs w:val="20"/>
          <w:color w:val="auto"/>
        </w:rPr>
        <w:t>The Company will forward to each director to whom such communication is addressed, and to the Chairman of the Board in his capacity as representative of the entire Board, any mail received at the Company’s corporate office to the address specified by such director and the Chairman of the Board.</w:t>
      </w:r>
    </w:p>
    <w:p>
      <w:pPr>
        <w:spacing w:after="0" w:line="726" w:lineRule="exact"/>
        <w:rPr>
          <w:sz w:val="20"/>
          <w:szCs w:val="20"/>
          <w:color w:val="auto"/>
        </w:rPr>
      </w:pPr>
    </w:p>
    <w:p>
      <w:pPr>
        <w:sectPr>
          <w:pgSz w:w="11900" w:h="16838" w:orient="portrait"/>
          <w:cols w:equalWidth="0" w:num="2">
            <w:col w:w="5140" w:space="437"/>
            <w:col w:w="4523"/>
          </w:cols>
          <w:pgMar w:left="580" w:top="131"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76" w:lineRule="exact"/>
        <w:rPr>
          <w:sz w:val="20"/>
          <w:szCs w:val="20"/>
          <w:color w:val="auto"/>
        </w:rPr>
      </w:pPr>
    </w:p>
    <w:p>
      <w:pPr>
        <w:jc w:val="right"/>
        <w:ind w:right="4320"/>
        <w:spacing w:after="0"/>
        <w:rPr>
          <w:sz w:val="20"/>
          <w:szCs w:val="20"/>
          <w:color w:val="auto"/>
        </w:rPr>
      </w:pPr>
      <w:r>
        <w:rPr>
          <w:rFonts w:ascii="Arial" w:cs="Arial" w:eastAsia="Arial" w:hAnsi="Arial"/>
          <w:sz w:val="29"/>
          <w:szCs w:val="29"/>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sectPr>
      </w:pPr>
    </w:p>
    <w:p>
      <w:pPr>
        <w:spacing w:after="0" w:line="243" w:lineRule="exact"/>
        <w:rPr>
          <w:sz w:val="20"/>
          <w:szCs w:val="20"/>
          <w:color w:val="auto"/>
        </w:rPr>
      </w:pPr>
    </w:p>
    <w:p>
      <w:pPr>
        <w:ind w:left="660" w:right="300"/>
        <w:spacing w:after="0" w:line="257" w:lineRule="auto"/>
        <w:rPr>
          <w:sz w:val="20"/>
          <w:szCs w:val="20"/>
          <w:color w:val="auto"/>
        </w:rPr>
      </w:pPr>
      <w:r>
        <w:rPr>
          <w:rFonts w:ascii="Arial" w:cs="Arial" w:eastAsia="Arial" w:hAnsi="Arial"/>
          <w:sz w:val="20"/>
          <w:szCs w:val="20"/>
          <w:color w:val="auto"/>
        </w:rPr>
        <w:t>The Board has a standing Audit Committee, Compensation Committee, and Nominating and Corporate Governance Committee.</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Audit Committee</w:t>
      </w:r>
    </w:p>
    <w:p>
      <w:pPr>
        <w:spacing w:after="0" w:line="174"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We have established an Audit Committee consisting of the following individuals, each of whom the Board has determined is “independent” within the meaning of applicable Nasdaq Rules and meets the criteria for independence set forth in Rule 10A-3(b)(1) under the Securities Exchange Act of 1934, as amended (the “Exchange Act”): Mr. McGlade (Chairman), Ms. King, and Mr. Schriesheim.</w:t>
      </w:r>
    </w:p>
    <w:p>
      <w:pPr>
        <w:spacing w:after="0" w:line="212" w:lineRule="exact"/>
        <w:rPr>
          <w:sz w:val="20"/>
          <w:szCs w:val="20"/>
          <w:color w:val="auto"/>
        </w:rPr>
      </w:pPr>
    </w:p>
    <w:p>
      <w:pPr>
        <w:ind w:left="660" w:right="40"/>
        <w:spacing w:after="0" w:line="253" w:lineRule="auto"/>
        <w:rPr>
          <w:sz w:val="20"/>
          <w:szCs w:val="20"/>
          <w:color w:val="auto"/>
        </w:rPr>
      </w:pPr>
      <w:r>
        <w:rPr>
          <w:rFonts w:ascii="Arial" w:cs="Arial" w:eastAsia="Arial" w:hAnsi="Arial"/>
          <w:sz w:val="20"/>
          <w:szCs w:val="20"/>
          <w:color w:val="auto"/>
        </w:rPr>
        <w:t>The primary responsibility of the Audit Committee is the oversight of the quality and integrity of the Company’s financial statements, the Company’s internal financial and accounting processes, and the independent audit process. Additionally, the Audit Committee has the responsibilities and authority necessary to comply with Rule 10A-3 under the Exchange Act. The Audit Committee meets privately with the independent registered public accounting firm, reviews their performance and independence from management, and has the sole authority to retain and dismiss the independent registered public accounting firm. These and other aspects of the Audit Committee’s authority are more particularly described in the Company’s Audit Committee Charter, which the Board adopted, is reviewed annually by the committee, and is available on the Investor Relations portion of our website at www.skyworksinc.com.</w:t>
      </w:r>
    </w:p>
    <w:p>
      <w:pPr>
        <w:spacing w:after="0" w:line="227"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The Audit Committee has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 The Audit Committee preapproved all audit and non-audit services provided by KPMG LLP for fiscal</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500"/>
        <w:spacing w:after="0" w:line="261" w:lineRule="auto"/>
        <w:rPr>
          <w:sz w:val="20"/>
          <w:szCs w:val="20"/>
          <w:color w:val="auto"/>
        </w:rPr>
      </w:pPr>
      <w:r>
        <w:rPr>
          <w:rFonts w:ascii="Arial" w:cs="Arial" w:eastAsia="Arial" w:hAnsi="Arial"/>
          <w:sz w:val="20"/>
          <w:szCs w:val="20"/>
          <w:color w:val="auto"/>
        </w:rPr>
        <w:t>year 2022. The Audit Committee met eight (8) times during fiscal year 2022.</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i w:val="1"/>
          <w:iCs w:val="1"/>
          <w:color w:val="0075A8"/>
        </w:rPr>
        <w:t>Audit Committee Financial Expert</w:t>
      </w:r>
    </w:p>
    <w:p>
      <w:pPr>
        <w:spacing w:after="0" w:line="163" w:lineRule="exact"/>
        <w:rPr>
          <w:sz w:val="20"/>
          <w:szCs w:val="20"/>
          <w:color w:val="auto"/>
        </w:rPr>
      </w:pPr>
    </w:p>
    <w:p>
      <w:pPr>
        <w:ind w:right="220"/>
        <w:spacing w:after="0" w:line="266" w:lineRule="auto"/>
        <w:rPr>
          <w:sz w:val="20"/>
          <w:szCs w:val="20"/>
          <w:color w:val="auto"/>
        </w:rPr>
      </w:pPr>
      <w:r>
        <w:rPr>
          <w:rFonts w:ascii="Arial" w:cs="Arial" w:eastAsia="Arial" w:hAnsi="Arial"/>
          <w:sz w:val="19"/>
          <w:szCs w:val="19"/>
          <w:color w:val="auto"/>
        </w:rPr>
        <w:t>The Board has determined that each of the following members of the Audit Committee meets the qualifications of an “audit committee financial expert” under SEC rules and the qualifications of “financial sophistication” under the applicable Nasdaq Rules, and qualifies as “independent” as defined under the applicable Nasdaq Rules:</w:t>
      </w:r>
    </w:p>
    <w:p>
      <w:pPr>
        <w:spacing w:after="0" w:line="6" w:lineRule="exact"/>
        <w:rPr>
          <w:sz w:val="20"/>
          <w:szCs w:val="20"/>
          <w:color w:val="auto"/>
        </w:rPr>
      </w:pPr>
    </w:p>
    <w:p>
      <w:pPr>
        <w:ind w:right="1040"/>
        <w:spacing w:after="0" w:line="261" w:lineRule="auto"/>
        <w:rPr>
          <w:sz w:val="20"/>
          <w:szCs w:val="20"/>
          <w:color w:val="auto"/>
        </w:rPr>
      </w:pPr>
      <w:r>
        <w:rPr>
          <w:rFonts w:ascii="Arial" w:cs="Arial" w:eastAsia="Arial" w:hAnsi="Arial"/>
          <w:sz w:val="20"/>
          <w:szCs w:val="20"/>
          <w:color w:val="auto"/>
        </w:rPr>
        <w:t>Mr. McGlade (Chairman), Ms. King, and Mr. Schriesheim.</w:t>
      </w:r>
    </w:p>
    <w:p>
      <w:pPr>
        <w:spacing w:after="0" w:line="236"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Compensation Committee</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We have established a Compensation Committee consisting of the following individuals, each of whom the Board has determined is “independent” within the meaning of applicable Nasdaq Rules and a non-employee director within the meaning of Rule 16b-3 under the Exchange Act: Ms. King (Chairman), Mr. Batey and Mr. Schriesheim. The Compensation Committee met five (5) times during fiscal year 2022. The functions of the Compensation Committee include establishing the appropriate level of compensation, including short-and long-term incentive compensation of the Chief Executive Officer, all other executive officers, and any other officers or employees who report directly to the Chief Executive Officer. The Compensation Committee also administers Skyworks’ equity-based compensation plans. The Compensation Committee’s authority to grant equity awards to the Company’s executive officers may not be delegated to the Company’s management or others. The Board has adopted a written charter for the Compensation Committee, and it is available on the Investor Relations portion of the Company’s website at www.skyworksinc.com.</w:t>
      </w:r>
    </w:p>
    <w:p>
      <w:pPr>
        <w:spacing w:after="0" w:line="230"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The Compensation Committee has engaged Aon/​ Radford Consulting (“Aon/Radford”) to assist it in determining the components and amounts of executive compensation. The consultant reports directly to the Compensation Committee, through</w:t>
      </w:r>
    </w:p>
    <w:p>
      <w:pPr>
        <w:spacing w:after="0" w:line="320" w:lineRule="exact"/>
        <w:rPr>
          <w:sz w:val="20"/>
          <w:szCs w:val="20"/>
          <w:color w:val="auto"/>
        </w:rPr>
      </w:pPr>
    </w:p>
    <w:p>
      <w:pPr>
        <w:sectPr>
          <w:pgSz w:w="11900" w:h="16838" w:orient="portrait"/>
          <w:cols w:equalWidth="0" w:num="2">
            <w:col w:w="5120" w:space="460"/>
            <w:col w:w="4520"/>
          </w:cols>
          <w:pgMar w:left="580" w:top="131" w:right="1219" w:bottom="1440" w:gutter="0" w:footer="0" w:header="0"/>
          <w:type w:val="continuous"/>
        </w:sectPr>
      </w:pPr>
    </w:p>
    <w:p>
      <w:pPr>
        <w:spacing w:after="0" w:line="102"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​20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its Chairman, and the Compensation Committee retains the right to terminate or replace the consultant at any time. The process and procedures followed by the Compensation Committee in considering and determining executive and director compensation are described below under “</w:t>
      </w:r>
      <w:r>
        <w:rPr>
          <w:rFonts w:ascii="Arial" w:cs="Arial" w:eastAsia="Arial" w:hAnsi="Arial"/>
          <w:sz w:val="20"/>
          <w:szCs w:val="20"/>
          <w:i w:val="1"/>
          <w:iCs w:val="1"/>
          <w:color w:val="auto"/>
        </w:rPr>
        <w:t>Compensation Discussion and</w:t>
      </w:r>
      <w:r>
        <w:rPr>
          <w:rFonts w:ascii="Arial" w:cs="Arial" w:eastAsia="Arial" w:hAnsi="Arial"/>
          <w:sz w:val="20"/>
          <w:szCs w:val="20"/>
          <w:color w:val="auto"/>
        </w:rPr>
        <w:t xml:space="preserve"> </w:t>
      </w:r>
      <w:r>
        <w:rPr>
          <w:rFonts w:ascii="Arial" w:cs="Arial" w:eastAsia="Arial" w:hAnsi="Arial"/>
          <w:sz w:val="20"/>
          <w:szCs w:val="20"/>
          <w:i w:val="1"/>
          <w:iCs w:val="1"/>
          <w:color w:val="auto"/>
        </w:rPr>
        <w:t>Analysis</w:t>
      </w:r>
      <w:r>
        <w:rPr>
          <w:rFonts w:ascii="Arial" w:cs="Arial" w:eastAsia="Arial" w:hAnsi="Arial"/>
          <w:sz w:val="20"/>
          <w:szCs w:val="20"/>
          <w:color w:val="auto"/>
        </w:rPr>
        <w:t>.”</w:t>
      </w:r>
    </w:p>
    <w:p>
      <w:pPr>
        <w:spacing w:after="0" w:line="247" w:lineRule="exact"/>
        <w:rPr>
          <w:sz w:val="20"/>
          <w:szCs w:val="20"/>
          <w:color w:val="auto"/>
        </w:rPr>
      </w:pPr>
    </w:p>
    <w:p>
      <w:pPr>
        <w:ind w:left="660" w:right="120"/>
        <w:spacing w:after="0" w:line="286" w:lineRule="auto"/>
        <w:rPr>
          <w:sz w:val="20"/>
          <w:szCs w:val="20"/>
          <w:color w:val="auto"/>
        </w:rPr>
      </w:pPr>
      <w:r>
        <w:rPr>
          <w:rFonts w:ascii="Arial" w:cs="Arial" w:eastAsia="Arial" w:hAnsi="Arial"/>
          <w:sz w:val="23"/>
          <w:szCs w:val="23"/>
          <w:b w:val="1"/>
          <w:bCs w:val="1"/>
          <w:i w:val="1"/>
          <w:iCs w:val="1"/>
          <w:color w:val="auto"/>
        </w:rPr>
        <w:t>Nominating and Corporate Governance Committee</w:t>
      </w:r>
    </w:p>
    <w:p>
      <w:pPr>
        <w:spacing w:after="0" w:line="78" w:lineRule="exact"/>
        <w:rPr>
          <w:sz w:val="20"/>
          <w:szCs w:val="20"/>
          <w:color w:val="auto"/>
        </w:rPr>
      </w:pPr>
    </w:p>
    <w:p>
      <w:pPr>
        <w:ind w:left="660" w:right="20"/>
        <w:spacing w:after="0" w:line="267" w:lineRule="auto"/>
        <w:rPr>
          <w:sz w:val="20"/>
          <w:szCs w:val="20"/>
          <w:color w:val="auto"/>
        </w:rPr>
      </w:pPr>
      <w:r>
        <w:rPr>
          <w:rFonts w:ascii="Arial" w:cs="Arial" w:eastAsia="Arial" w:hAnsi="Arial"/>
          <w:sz w:val="19"/>
          <w:szCs w:val="19"/>
          <w:color w:val="auto"/>
        </w:rPr>
        <w:t>We have established a Nominating and Corporate Governance Committee consisting of the following individuals, each of whom the Board has determined is “independent” within the meaning of applicable Nasdaq Rules: Mr. Beebe (Chairman), Mr. Guerin, Ms. McBride, and Mr. McGlade. The Nominating and Corporate Governance Committee met three (3) times during fiscal year 2022. The Nominating and Corporate Governance Committee is responsible for evaluating and recommending individuals for election or reelection to the Board and its committees, including any recommendations that may be submitted by stockholders, as well as the evaluation and recommendation of corporate governance policies. The Nominating and Corporate Governance Committee oversees the annual evaluation process for the Board, each committee, and individual directors, by soliciting from each director his or her assessment of the effectiveness of the Board, the committees on which he or she serves, and other individual directors. These and other aspects of the Nominating and Corporate Governance Committee’s authority are more particularly described in the Nominating and Corporate Governance Committee Charter, which the Board adopted and is available on the Investor Relations portion of the Company’s website at www.skyworksinc.com.</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Director Nomination Procedures</w:t>
      </w:r>
    </w:p>
    <w:p>
      <w:pPr>
        <w:spacing w:after="0" w:line="163" w:lineRule="exact"/>
        <w:rPr>
          <w:sz w:val="20"/>
          <w:szCs w:val="20"/>
          <w:color w:val="auto"/>
        </w:rPr>
      </w:pPr>
    </w:p>
    <w:p>
      <w:pPr>
        <w:ind w:left="660" w:right="20"/>
        <w:spacing w:after="0" w:line="255" w:lineRule="auto"/>
        <w:rPr>
          <w:sz w:val="20"/>
          <w:szCs w:val="20"/>
          <w:color w:val="auto"/>
        </w:rPr>
      </w:pPr>
      <w:r>
        <w:rPr>
          <w:rFonts w:ascii="Arial" w:cs="Arial" w:eastAsia="Arial" w:hAnsi="Arial"/>
          <w:sz w:val="20"/>
          <w:szCs w:val="20"/>
          <w:color w:val="auto"/>
        </w:rPr>
        <w:t>The Nominating and Corporate Governance Committee evaluates director candidates in the context of the overall composition and needs of the Board, with the objective of recommending a group that can best manage the business and</w:t>
      </w:r>
    </w:p>
    <w:p>
      <w:pPr>
        <w:spacing w:after="0" w:line="200" w:lineRule="exact"/>
        <w:rPr>
          <w:sz w:val="20"/>
          <w:szCs w:val="20"/>
          <w:color w:val="auto"/>
        </w:rPr>
      </w:pPr>
    </w:p>
    <w:p>
      <w:pPr>
        <w:spacing w:after="0" w:line="258"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 w:right="40"/>
        <w:spacing w:after="0" w:line="255" w:lineRule="auto"/>
        <w:rPr>
          <w:sz w:val="20"/>
          <w:szCs w:val="20"/>
          <w:color w:val="auto"/>
        </w:rPr>
      </w:pPr>
      <w:r>
        <w:rPr>
          <w:rFonts w:ascii="Arial" w:cs="Arial" w:eastAsia="Arial" w:hAnsi="Arial"/>
          <w:sz w:val="20"/>
          <w:szCs w:val="20"/>
          <w:color w:val="auto"/>
        </w:rPr>
        <w:t>affairs of the Company and represent the interests of the Company’s stockholders using its diversity of experience. The committee seeks directors who possess certain minimum qualifications, including the following:</w:t>
      </w:r>
    </w:p>
    <w:p>
      <w:pPr>
        <w:spacing w:after="0" w:line="196" w:lineRule="exact"/>
        <w:rPr>
          <w:sz w:val="20"/>
          <w:szCs w:val="20"/>
          <w:color w:val="auto"/>
        </w:rPr>
      </w:pPr>
    </w:p>
    <w:p>
      <w:pPr>
        <w:ind w:left="183" w:right="360" w:hanging="183"/>
        <w:spacing w:after="0" w:line="281" w:lineRule="auto"/>
        <w:tabs>
          <w:tab w:leader="none" w:pos="183" w:val="left"/>
        </w:tabs>
        <w:numPr>
          <w:ilvl w:val="0"/>
          <w:numId w:val="29"/>
        </w:numPr>
        <w:rPr>
          <w:rFonts w:ascii="Arial" w:cs="Arial" w:eastAsia="Arial" w:hAnsi="Arial"/>
          <w:sz w:val="19"/>
          <w:szCs w:val="19"/>
          <w:color w:val="auto"/>
        </w:rPr>
      </w:pPr>
      <w:r>
        <w:rPr>
          <w:rFonts w:ascii="Arial" w:cs="Arial" w:eastAsia="Arial" w:hAnsi="Arial"/>
          <w:sz w:val="19"/>
          <w:szCs w:val="19"/>
          <w:color w:val="auto"/>
        </w:rPr>
        <w:t>A director must have substantial or significant business or professional experience or an</w:t>
      </w:r>
    </w:p>
    <w:p>
      <w:pPr>
        <w:spacing w:after="0" w:line="1" w:lineRule="exact"/>
        <w:rPr>
          <w:rFonts w:ascii="Arial" w:cs="Arial" w:eastAsia="Arial" w:hAnsi="Arial"/>
          <w:sz w:val="19"/>
          <w:szCs w:val="19"/>
          <w:color w:val="auto"/>
        </w:rPr>
      </w:pPr>
    </w:p>
    <w:p>
      <w:pPr>
        <w:ind w:left="183" w:right="80"/>
        <w:spacing w:after="0" w:line="260" w:lineRule="auto"/>
        <w:rPr>
          <w:rFonts w:ascii="Arial" w:cs="Arial" w:eastAsia="Arial" w:hAnsi="Arial"/>
          <w:sz w:val="19"/>
          <w:szCs w:val="19"/>
          <w:color w:val="auto"/>
        </w:rPr>
      </w:pPr>
      <w:r>
        <w:rPr>
          <w:rFonts w:ascii="Arial" w:cs="Arial" w:eastAsia="Arial" w:hAnsi="Arial"/>
          <w:sz w:val="20"/>
          <w:szCs w:val="20"/>
          <w:color w:val="auto"/>
        </w:rPr>
        <w:t>understanding of technology, finance, marketing, financial reporting, international business, or other disciplines relevant to the business of the Company.</w:t>
      </w:r>
    </w:p>
    <w:p>
      <w:pPr>
        <w:spacing w:after="0" w:line="2" w:lineRule="exact"/>
        <w:rPr>
          <w:rFonts w:ascii="Arial" w:cs="Arial" w:eastAsia="Arial" w:hAnsi="Arial"/>
          <w:sz w:val="19"/>
          <w:szCs w:val="19"/>
          <w:color w:val="auto"/>
        </w:rPr>
      </w:pPr>
    </w:p>
    <w:p>
      <w:pPr>
        <w:ind w:left="183" w:right="380" w:hanging="183"/>
        <w:spacing w:after="0" w:line="281" w:lineRule="auto"/>
        <w:tabs>
          <w:tab w:leader="none" w:pos="183" w:val="left"/>
        </w:tabs>
        <w:numPr>
          <w:ilvl w:val="0"/>
          <w:numId w:val="29"/>
        </w:numPr>
        <w:rPr>
          <w:rFonts w:ascii="Arial" w:cs="Arial" w:eastAsia="Arial" w:hAnsi="Arial"/>
          <w:sz w:val="19"/>
          <w:szCs w:val="19"/>
          <w:color w:val="auto"/>
        </w:rPr>
      </w:pPr>
      <w:r>
        <w:rPr>
          <w:rFonts w:ascii="Arial" w:cs="Arial" w:eastAsia="Arial" w:hAnsi="Arial"/>
          <w:sz w:val="19"/>
          <w:szCs w:val="19"/>
          <w:color w:val="auto"/>
        </w:rPr>
        <w:t>A director (other than an employee-director) must be free from any relationship that, in the</w:t>
      </w:r>
    </w:p>
    <w:p>
      <w:pPr>
        <w:spacing w:after="0" w:line="1" w:lineRule="exact"/>
        <w:rPr>
          <w:rFonts w:ascii="Arial" w:cs="Arial" w:eastAsia="Arial" w:hAnsi="Arial"/>
          <w:sz w:val="19"/>
          <w:szCs w:val="19"/>
          <w:color w:val="auto"/>
        </w:rPr>
      </w:pPr>
    </w:p>
    <w:p>
      <w:pPr>
        <w:ind w:left="183" w:right="60"/>
        <w:spacing w:after="0" w:line="276" w:lineRule="auto"/>
        <w:rPr>
          <w:rFonts w:ascii="Arial" w:cs="Arial" w:eastAsia="Arial" w:hAnsi="Arial"/>
          <w:sz w:val="19"/>
          <w:szCs w:val="19"/>
          <w:color w:val="auto"/>
        </w:rPr>
      </w:pPr>
      <w:r>
        <w:rPr>
          <w:rFonts w:ascii="Arial" w:cs="Arial" w:eastAsia="Arial" w:hAnsi="Arial"/>
          <w:sz w:val="19"/>
          <w:szCs w:val="19"/>
          <w:color w:val="auto"/>
        </w:rPr>
        <w:t>opinion of the Board, would interfere with the exercise of his or her independent judgment as a member of the Board or of a Board committee.</w:t>
      </w:r>
    </w:p>
    <w:p>
      <w:pPr>
        <w:spacing w:after="0" w:line="2" w:lineRule="exact"/>
        <w:rPr>
          <w:rFonts w:ascii="Arial" w:cs="Arial" w:eastAsia="Arial" w:hAnsi="Arial"/>
          <w:sz w:val="19"/>
          <w:szCs w:val="19"/>
          <w:color w:val="auto"/>
        </w:rPr>
      </w:pPr>
    </w:p>
    <w:p>
      <w:pPr>
        <w:ind w:left="183" w:right="60" w:hanging="183"/>
        <w:spacing w:after="0" w:line="265" w:lineRule="auto"/>
        <w:tabs>
          <w:tab w:leader="none" w:pos="183"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committee also considers the following qualities and skills, among others, in its selection of directors and as candidates for appointment to the committees of the Board:</w:t>
      </w:r>
    </w:p>
    <w:p>
      <w:pPr>
        <w:spacing w:after="0" w:line="91" w:lineRule="exact"/>
        <w:rPr>
          <w:rFonts w:ascii="Arial" w:cs="Arial" w:eastAsia="Arial" w:hAnsi="Arial"/>
          <w:sz w:val="20"/>
          <w:szCs w:val="20"/>
          <w:color w:val="auto"/>
        </w:rPr>
      </w:pPr>
    </w:p>
    <w:p>
      <w:pPr>
        <w:ind w:left="543" w:hanging="183"/>
        <w:spacing w:after="0"/>
        <w:tabs>
          <w:tab w:leader="none" w:pos="543" w:val="left"/>
        </w:tabs>
        <w:numPr>
          <w:ilvl w:val="1"/>
          <w:numId w:val="29"/>
        </w:numPr>
        <w:rPr>
          <w:rFonts w:ascii="Arial" w:cs="Arial" w:eastAsia="Arial" w:hAnsi="Arial"/>
          <w:sz w:val="20"/>
          <w:szCs w:val="20"/>
          <w:color w:val="auto"/>
        </w:rPr>
      </w:pPr>
      <w:r>
        <w:rPr>
          <w:rFonts w:ascii="Arial" w:cs="Arial" w:eastAsia="Arial" w:hAnsi="Arial"/>
          <w:sz w:val="20"/>
          <w:szCs w:val="20"/>
          <w:color w:val="auto"/>
        </w:rPr>
        <w:t>economic, technical, scientific, academic,</w:t>
      </w:r>
    </w:p>
    <w:p>
      <w:pPr>
        <w:spacing w:after="0" w:line="26" w:lineRule="exact"/>
        <w:rPr>
          <w:rFonts w:ascii="Arial" w:cs="Arial" w:eastAsia="Arial" w:hAnsi="Arial"/>
          <w:sz w:val="20"/>
          <w:szCs w:val="20"/>
          <w:color w:val="auto"/>
        </w:rPr>
      </w:pPr>
    </w:p>
    <w:p>
      <w:pPr>
        <w:ind w:left="543" w:right="120"/>
        <w:spacing w:after="0" w:line="262" w:lineRule="auto"/>
        <w:rPr>
          <w:rFonts w:ascii="Arial" w:cs="Arial" w:eastAsia="Arial" w:hAnsi="Arial"/>
          <w:sz w:val="20"/>
          <w:szCs w:val="20"/>
          <w:color w:val="auto"/>
        </w:rPr>
      </w:pPr>
      <w:r>
        <w:rPr>
          <w:rFonts w:ascii="Arial" w:cs="Arial" w:eastAsia="Arial" w:hAnsi="Arial"/>
          <w:sz w:val="20"/>
          <w:szCs w:val="20"/>
          <w:color w:val="auto"/>
        </w:rPr>
        <w:t>financial, accounting, legal, marketing, or other expertise applicable to the business of the Company;</w:t>
      </w:r>
    </w:p>
    <w:p>
      <w:pPr>
        <w:spacing w:after="0" w:line="2" w:lineRule="exact"/>
        <w:rPr>
          <w:rFonts w:ascii="Arial" w:cs="Arial" w:eastAsia="Arial" w:hAnsi="Arial"/>
          <w:sz w:val="20"/>
          <w:szCs w:val="20"/>
          <w:color w:val="auto"/>
        </w:rPr>
      </w:pPr>
    </w:p>
    <w:p>
      <w:pPr>
        <w:ind w:left="543" w:right="460" w:hanging="183"/>
        <w:spacing w:after="0" w:line="260" w:lineRule="auto"/>
        <w:tabs>
          <w:tab w:leader="none" w:pos="543" w:val="left"/>
        </w:tabs>
        <w:numPr>
          <w:ilvl w:val="1"/>
          <w:numId w:val="29"/>
        </w:numPr>
        <w:rPr>
          <w:rFonts w:ascii="Arial" w:cs="Arial" w:eastAsia="Arial" w:hAnsi="Arial"/>
          <w:sz w:val="20"/>
          <w:szCs w:val="20"/>
          <w:color w:val="auto"/>
        </w:rPr>
      </w:pPr>
      <w:r>
        <w:rPr>
          <w:rFonts w:ascii="Arial" w:cs="Arial" w:eastAsia="Arial" w:hAnsi="Arial"/>
          <w:sz w:val="20"/>
          <w:szCs w:val="20"/>
          <w:color w:val="auto"/>
        </w:rPr>
        <w:t>leadership or substantial achievement in their particular fields;</w:t>
      </w:r>
    </w:p>
    <w:p>
      <w:pPr>
        <w:spacing w:after="0" w:line="1" w:lineRule="exact"/>
        <w:rPr>
          <w:rFonts w:ascii="Arial" w:cs="Arial" w:eastAsia="Arial" w:hAnsi="Arial"/>
          <w:sz w:val="20"/>
          <w:szCs w:val="20"/>
          <w:color w:val="auto"/>
        </w:rPr>
      </w:pPr>
    </w:p>
    <w:p>
      <w:pPr>
        <w:ind w:left="543" w:right="600" w:hanging="183"/>
        <w:spacing w:after="0" w:line="260" w:lineRule="auto"/>
        <w:tabs>
          <w:tab w:leader="none" w:pos="543" w:val="left"/>
        </w:tabs>
        <w:numPr>
          <w:ilvl w:val="1"/>
          <w:numId w:val="29"/>
        </w:numPr>
        <w:rPr>
          <w:rFonts w:ascii="Arial" w:cs="Arial" w:eastAsia="Arial" w:hAnsi="Arial"/>
          <w:sz w:val="20"/>
          <w:szCs w:val="20"/>
          <w:color w:val="auto"/>
        </w:rPr>
      </w:pPr>
      <w:r>
        <w:rPr>
          <w:rFonts w:ascii="Arial" w:cs="Arial" w:eastAsia="Arial" w:hAnsi="Arial"/>
          <w:sz w:val="20"/>
          <w:szCs w:val="20"/>
          <w:color w:val="auto"/>
        </w:rPr>
        <w:t>demonstrated ability to exercise sound business judgment;</w:t>
      </w:r>
    </w:p>
    <w:p>
      <w:pPr>
        <w:spacing w:after="0" w:line="1" w:lineRule="exact"/>
        <w:rPr>
          <w:rFonts w:ascii="Arial" w:cs="Arial" w:eastAsia="Arial" w:hAnsi="Arial"/>
          <w:sz w:val="20"/>
          <w:szCs w:val="20"/>
          <w:color w:val="auto"/>
        </w:rPr>
      </w:pPr>
    </w:p>
    <w:p>
      <w:pPr>
        <w:ind w:left="543" w:right="920" w:hanging="183"/>
        <w:spacing w:after="0" w:line="267" w:lineRule="auto"/>
        <w:tabs>
          <w:tab w:leader="none" w:pos="543" w:val="left"/>
        </w:tabs>
        <w:numPr>
          <w:ilvl w:val="1"/>
          <w:numId w:val="29"/>
        </w:numPr>
        <w:rPr>
          <w:rFonts w:ascii="Arial" w:cs="Arial" w:eastAsia="Arial" w:hAnsi="Arial"/>
          <w:sz w:val="20"/>
          <w:szCs w:val="20"/>
          <w:color w:val="auto"/>
        </w:rPr>
      </w:pPr>
      <w:r>
        <w:rPr>
          <w:rFonts w:ascii="Arial" w:cs="Arial" w:eastAsia="Arial" w:hAnsi="Arial"/>
          <w:sz w:val="20"/>
          <w:szCs w:val="20"/>
          <w:color w:val="auto"/>
        </w:rPr>
        <w:t>integrity and high moral and ethical character;</w:t>
      </w:r>
    </w:p>
    <w:p>
      <w:pPr>
        <w:spacing w:after="0" w:line="1" w:lineRule="exact"/>
        <w:rPr>
          <w:rFonts w:ascii="Arial" w:cs="Arial" w:eastAsia="Arial" w:hAnsi="Arial"/>
          <w:sz w:val="20"/>
          <w:szCs w:val="20"/>
          <w:color w:val="auto"/>
        </w:rPr>
      </w:pPr>
    </w:p>
    <w:p>
      <w:pPr>
        <w:ind w:left="543" w:right="180" w:hanging="183"/>
        <w:spacing w:after="0" w:line="262" w:lineRule="auto"/>
        <w:tabs>
          <w:tab w:leader="none" w:pos="543" w:val="left"/>
        </w:tabs>
        <w:numPr>
          <w:ilvl w:val="1"/>
          <w:numId w:val="29"/>
        </w:numPr>
        <w:rPr>
          <w:rFonts w:ascii="Arial" w:cs="Arial" w:eastAsia="Arial" w:hAnsi="Arial"/>
          <w:sz w:val="20"/>
          <w:szCs w:val="20"/>
          <w:color w:val="auto"/>
        </w:rPr>
      </w:pPr>
      <w:r>
        <w:rPr>
          <w:rFonts w:ascii="Arial" w:cs="Arial" w:eastAsia="Arial" w:hAnsi="Arial"/>
          <w:sz w:val="20"/>
          <w:szCs w:val="20"/>
          <w:color w:val="auto"/>
        </w:rPr>
        <w:t>potential to contribute to the diversity of viewpoints, backgrounds, or experiences of the Board as a whole;</w:t>
      </w:r>
    </w:p>
    <w:p>
      <w:pPr>
        <w:spacing w:after="0" w:line="2" w:lineRule="exact"/>
        <w:rPr>
          <w:rFonts w:ascii="Arial" w:cs="Arial" w:eastAsia="Arial" w:hAnsi="Arial"/>
          <w:sz w:val="20"/>
          <w:szCs w:val="20"/>
          <w:color w:val="auto"/>
        </w:rPr>
      </w:pPr>
    </w:p>
    <w:p>
      <w:pPr>
        <w:ind w:left="543" w:right="180" w:hanging="183"/>
        <w:spacing w:after="0" w:line="260" w:lineRule="auto"/>
        <w:tabs>
          <w:tab w:leader="none" w:pos="543" w:val="left"/>
        </w:tabs>
        <w:numPr>
          <w:ilvl w:val="1"/>
          <w:numId w:val="29"/>
        </w:numPr>
        <w:rPr>
          <w:rFonts w:ascii="Arial" w:cs="Arial" w:eastAsia="Arial" w:hAnsi="Arial"/>
          <w:sz w:val="20"/>
          <w:szCs w:val="20"/>
          <w:color w:val="auto"/>
        </w:rPr>
      </w:pPr>
      <w:r>
        <w:rPr>
          <w:rFonts w:ascii="Arial" w:cs="Arial" w:eastAsia="Arial" w:hAnsi="Arial"/>
          <w:sz w:val="20"/>
          <w:szCs w:val="20"/>
          <w:color w:val="auto"/>
        </w:rPr>
        <w:t>capacity and desire to represent the balanced, best interests of the Company as a whole and not primarily a special interest group or constituency;</w:t>
      </w:r>
    </w:p>
    <w:p>
      <w:pPr>
        <w:spacing w:after="0" w:line="2" w:lineRule="exact"/>
        <w:rPr>
          <w:rFonts w:ascii="Arial" w:cs="Arial" w:eastAsia="Arial" w:hAnsi="Arial"/>
          <w:sz w:val="20"/>
          <w:szCs w:val="20"/>
          <w:color w:val="auto"/>
        </w:rPr>
      </w:pPr>
    </w:p>
    <w:p>
      <w:pPr>
        <w:ind w:left="543" w:hanging="183"/>
        <w:spacing w:after="0"/>
        <w:tabs>
          <w:tab w:leader="none" w:pos="543" w:val="left"/>
        </w:tabs>
        <w:numPr>
          <w:ilvl w:val="1"/>
          <w:numId w:val="29"/>
        </w:numPr>
        <w:rPr>
          <w:rFonts w:ascii="Arial" w:cs="Arial" w:eastAsia="Arial" w:hAnsi="Arial"/>
          <w:sz w:val="20"/>
          <w:szCs w:val="20"/>
          <w:color w:val="auto"/>
        </w:rPr>
      </w:pPr>
      <w:r>
        <w:rPr>
          <w:rFonts w:ascii="Arial" w:cs="Arial" w:eastAsia="Arial" w:hAnsi="Arial"/>
          <w:sz w:val="20"/>
          <w:szCs w:val="20"/>
          <w:color w:val="auto"/>
        </w:rPr>
        <w:t>ability to work well with others;</w:t>
      </w:r>
    </w:p>
    <w:p>
      <w:pPr>
        <w:spacing w:after="0" w:line="26" w:lineRule="exact"/>
        <w:rPr>
          <w:rFonts w:ascii="Arial" w:cs="Arial" w:eastAsia="Arial" w:hAnsi="Arial"/>
          <w:sz w:val="20"/>
          <w:szCs w:val="20"/>
          <w:color w:val="auto"/>
        </w:rPr>
      </w:pPr>
    </w:p>
    <w:p>
      <w:pPr>
        <w:ind w:left="543" w:right="80" w:hanging="183"/>
        <w:spacing w:after="0" w:line="260" w:lineRule="auto"/>
        <w:tabs>
          <w:tab w:leader="none" w:pos="543" w:val="left"/>
        </w:tabs>
        <w:numPr>
          <w:ilvl w:val="1"/>
          <w:numId w:val="29"/>
        </w:numPr>
        <w:rPr>
          <w:rFonts w:ascii="Arial" w:cs="Arial" w:eastAsia="Arial" w:hAnsi="Arial"/>
          <w:sz w:val="20"/>
          <w:szCs w:val="20"/>
          <w:color w:val="auto"/>
        </w:rPr>
      </w:pPr>
      <w:r>
        <w:rPr>
          <w:rFonts w:ascii="Arial" w:cs="Arial" w:eastAsia="Arial" w:hAnsi="Arial"/>
          <w:sz w:val="20"/>
          <w:szCs w:val="20"/>
          <w:color w:val="auto"/>
        </w:rPr>
        <w:t>high degree of interest in the business of the Company;</w:t>
      </w:r>
    </w:p>
    <w:p>
      <w:pPr>
        <w:spacing w:after="0" w:line="1" w:lineRule="exact"/>
        <w:rPr>
          <w:rFonts w:ascii="Arial" w:cs="Arial" w:eastAsia="Arial" w:hAnsi="Arial"/>
          <w:sz w:val="20"/>
          <w:szCs w:val="20"/>
          <w:color w:val="auto"/>
        </w:rPr>
      </w:pPr>
    </w:p>
    <w:p>
      <w:pPr>
        <w:ind w:left="543" w:hanging="183"/>
        <w:spacing w:after="0"/>
        <w:tabs>
          <w:tab w:leader="none" w:pos="543" w:val="left"/>
        </w:tabs>
        <w:numPr>
          <w:ilvl w:val="1"/>
          <w:numId w:val="29"/>
        </w:numPr>
        <w:rPr>
          <w:rFonts w:ascii="Arial" w:cs="Arial" w:eastAsia="Arial" w:hAnsi="Arial"/>
          <w:sz w:val="20"/>
          <w:szCs w:val="20"/>
          <w:color w:val="auto"/>
        </w:rPr>
      </w:pPr>
      <w:r>
        <w:rPr>
          <w:rFonts w:ascii="Arial" w:cs="Arial" w:eastAsia="Arial" w:hAnsi="Arial"/>
          <w:sz w:val="20"/>
          <w:szCs w:val="20"/>
          <w:color w:val="auto"/>
        </w:rPr>
        <w:t>dedication to the success of the Company;</w:t>
      </w:r>
    </w:p>
    <w:p>
      <w:pPr>
        <w:spacing w:after="0" w:line="26" w:lineRule="exact"/>
        <w:rPr>
          <w:rFonts w:ascii="Arial" w:cs="Arial" w:eastAsia="Arial" w:hAnsi="Arial"/>
          <w:sz w:val="20"/>
          <w:szCs w:val="20"/>
          <w:color w:val="auto"/>
        </w:rPr>
      </w:pPr>
    </w:p>
    <w:p>
      <w:pPr>
        <w:ind w:left="543" w:right="620" w:hanging="183"/>
        <w:spacing w:after="0" w:line="260" w:lineRule="auto"/>
        <w:tabs>
          <w:tab w:leader="none" w:pos="543" w:val="left"/>
        </w:tabs>
        <w:numPr>
          <w:ilvl w:val="1"/>
          <w:numId w:val="29"/>
        </w:numPr>
        <w:rPr>
          <w:rFonts w:ascii="Arial" w:cs="Arial" w:eastAsia="Arial" w:hAnsi="Arial"/>
          <w:sz w:val="20"/>
          <w:szCs w:val="20"/>
          <w:color w:val="auto"/>
        </w:rPr>
      </w:pPr>
      <w:r>
        <w:rPr>
          <w:rFonts w:ascii="Arial" w:cs="Arial" w:eastAsia="Arial" w:hAnsi="Arial"/>
          <w:sz w:val="20"/>
          <w:szCs w:val="20"/>
          <w:color w:val="auto"/>
        </w:rPr>
        <w:t>commitment to the responsibilities of a director; and</w:t>
      </w:r>
    </w:p>
    <w:p>
      <w:pPr>
        <w:spacing w:after="0" w:line="1" w:lineRule="exact"/>
        <w:rPr>
          <w:rFonts w:ascii="Arial" w:cs="Arial" w:eastAsia="Arial" w:hAnsi="Arial"/>
          <w:sz w:val="20"/>
          <w:szCs w:val="20"/>
          <w:color w:val="auto"/>
        </w:rPr>
      </w:pPr>
    </w:p>
    <w:p>
      <w:pPr>
        <w:ind w:left="543" w:right="720" w:hanging="183"/>
        <w:spacing w:after="0" w:line="275" w:lineRule="auto"/>
        <w:tabs>
          <w:tab w:leader="none" w:pos="543" w:val="left"/>
        </w:tabs>
        <w:numPr>
          <w:ilvl w:val="1"/>
          <w:numId w:val="29"/>
        </w:numPr>
        <w:rPr>
          <w:rFonts w:ascii="Arial" w:cs="Arial" w:eastAsia="Arial" w:hAnsi="Arial"/>
          <w:sz w:val="20"/>
          <w:szCs w:val="20"/>
          <w:color w:val="auto"/>
        </w:rPr>
      </w:pPr>
      <w:r>
        <w:rPr>
          <w:rFonts w:ascii="Arial" w:cs="Arial" w:eastAsia="Arial" w:hAnsi="Arial"/>
          <w:sz w:val="20"/>
          <w:szCs w:val="20"/>
          <w:color w:val="auto"/>
        </w:rPr>
        <w:t>international business or 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310515</wp:posOffset>
            </wp:positionV>
            <wp:extent cx="780415" cy="2571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80415" cy="2571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2683"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171450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523"/>
          </w:cols>
          <w:pgMar w:left="580" w:top="131" w:right="121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right="20"/>
        <w:spacing w:after="0" w:line="254" w:lineRule="auto"/>
        <w:rPr>
          <w:sz w:val="20"/>
          <w:szCs w:val="20"/>
          <w:color w:val="auto"/>
        </w:rPr>
      </w:pPr>
      <w:r>
        <w:rPr>
          <w:rFonts w:ascii="Arial" w:cs="Arial" w:eastAsia="Arial" w:hAnsi="Arial"/>
          <w:sz w:val="20"/>
          <w:szCs w:val="20"/>
          <w:color w:val="auto"/>
        </w:rPr>
        <w:t>The committee believes that our Board, taken as a whole, should embody a diverse set of skills, experiences, and backgrounds in order to better inform its decisions. The committee considers age, tenure, gender, race, and ethnicity, in addition to business experience and other specific areas of focus or expertise, in its holistic approach to assessing and identifying director nominees. With respect to the recent director search that culminated with the appointment of Ms. Turcke in February 2023, the Nominating and Corporate Governance Committee instructed its retained search firms to include in the pool of potential director nominees candidates reflecting gender, racial, and ethnic diversity. Ms. Turcke was recommended by the retained search firm that performed the director search.</w:t>
      </w:r>
    </w:p>
    <w:p>
      <w:pPr>
        <w:spacing w:after="0" w:line="209" w:lineRule="exact"/>
        <w:rPr>
          <w:sz w:val="20"/>
          <w:szCs w:val="20"/>
          <w:color w:val="auto"/>
        </w:rPr>
      </w:pPr>
    </w:p>
    <w:p>
      <w:pPr>
        <w:ind w:left="660"/>
        <w:spacing w:after="0" w:line="267" w:lineRule="auto"/>
        <w:rPr>
          <w:sz w:val="20"/>
          <w:szCs w:val="20"/>
          <w:color w:val="auto"/>
        </w:rPr>
      </w:pPr>
      <w:r>
        <w:rPr>
          <w:rFonts w:ascii="Arial" w:cs="Arial" w:eastAsia="Arial" w:hAnsi="Arial"/>
          <w:sz w:val="19"/>
          <w:szCs w:val="19"/>
          <w:color w:val="auto"/>
        </w:rPr>
        <w:t>The committee will also take into account the fact that a majority of the Board must meet the independence requirements of the applicable Nasdaq Rules. The Company expects that a director’s existing and future commitments will not materially interfere with such director’s obligations to the Company. For candidates who are incumbent directors, the committee considers each director’s past attendance at meetings and participation in and contributions to the activities of the Board. The committee identifies candidates for director nominees in consultation with the Chief Executive Officer of the Company and the Chairman of the Board, through the use of search firms or other advisors or through such other methods as the committee deems to be helpful to identify candidates. Once candidates have been identified, the committee confirms that the candidates meet all of the minimum qualifications for director nominees set forth above through interviews, background checks, or any other means that the committee deems to be helpful in the evaluation process. The committee then meets to discuss and evaluate the qualities and skills of each candidate, both on an individual basis and considering the overall composition and needs of the Board. Based on the results of the evaluation process, the committee recommends candidates for director nominees for election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
        <w:spacing w:after="0"/>
        <w:rPr>
          <w:sz w:val="20"/>
          <w:szCs w:val="20"/>
          <w:color w:val="auto"/>
        </w:rPr>
      </w:pPr>
      <w:r>
        <w:rPr>
          <w:rFonts w:ascii="Arial" w:cs="Arial" w:eastAsia="Arial" w:hAnsi="Arial"/>
          <w:sz w:val="22"/>
          <w:szCs w:val="22"/>
          <w:i w:val="1"/>
          <w:iCs w:val="1"/>
          <w:color w:val="0075A8"/>
        </w:rPr>
        <w:t>Stockholder Nominees</w:t>
      </w:r>
    </w:p>
    <w:p>
      <w:pPr>
        <w:spacing w:after="0" w:line="163" w:lineRule="exact"/>
        <w:rPr>
          <w:sz w:val="20"/>
          <w:szCs w:val="20"/>
          <w:color w:val="auto"/>
        </w:rPr>
      </w:pPr>
    </w:p>
    <w:p>
      <w:pPr>
        <w:ind w:left="3" w:right="60"/>
        <w:spacing w:after="0" w:line="253" w:lineRule="auto"/>
        <w:rPr>
          <w:sz w:val="20"/>
          <w:szCs w:val="20"/>
          <w:color w:val="auto"/>
        </w:rPr>
      </w:pPr>
      <w:r>
        <w:rPr>
          <w:rFonts w:ascii="Arial" w:cs="Arial" w:eastAsia="Arial" w:hAnsi="Arial"/>
          <w:sz w:val="20"/>
          <w:szCs w:val="20"/>
          <w:color w:val="auto"/>
        </w:rPr>
        <w:t>The Nominating and Corporate Governance Committee will consider director candidates recommended by stockholders provided such stockholders follow the procedures set forth below. The committee does not intend to alter the manner in which it evaluates candidates, including the criteria set forth above, based on whether the candidate was recommended by a stockholder or otherwise. Stockholders who wish to nominate director candidates for election at the 2024 Annual Meeting, but who are not to be included in the Company’s proxy materials pursuant to the proxy access provisions in our By-laws, may do so in accordance with the provisions of our By-laws by submitting a written recommendation to the Secretary of the Company at the address below no earlier than the close of business on January 11, 2024, and no later than the close of business on February 10, 2024. In the event that the 2024 Annual Meeting is held more than thirty (30) days before or after the first anniversary of the Company’s 2023 Annual Meeting, then the required notice must be delivered in writing to the Secretary of the Company at the address below no earlier than 120 days prior to the date of the 2024 Annual Meeting and no later than the later of</w:t>
      </w:r>
    </w:p>
    <w:p>
      <w:pPr>
        <w:spacing w:after="0" w:line="15" w:lineRule="exact"/>
        <w:rPr>
          <w:sz w:val="20"/>
          <w:szCs w:val="20"/>
          <w:color w:val="auto"/>
        </w:rPr>
      </w:pPr>
    </w:p>
    <w:p>
      <w:pPr>
        <w:ind w:left="3" w:right="140"/>
        <w:spacing w:after="0" w:line="269" w:lineRule="auto"/>
        <w:rPr>
          <w:sz w:val="20"/>
          <w:szCs w:val="20"/>
          <w:color w:val="auto"/>
        </w:rPr>
      </w:pPr>
      <w:r>
        <w:rPr>
          <w:rFonts w:ascii="Arial" w:cs="Arial" w:eastAsia="Arial" w:hAnsi="Arial"/>
          <w:sz w:val="19"/>
          <w:szCs w:val="19"/>
          <w:color w:val="auto"/>
        </w:rPr>
        <w:t>90 days prior to the 2024 Annual Meeting or the 10th day following the day on which the public announcement of the date of the 2024 Annual Meeting is first made by the Company. For nominees for election to the Board proposed by stockholders to be considered, the recommendation for nomination must be in writing and must include the following information:</w:t>
      </w:r>
    </w:p>
    <w:p>
      <w:pPr>
        <w:spacing w:after="0" w:line="187" w:lineRule="exact"/>
        <w:rPr>
          <w:sz w:val="20"/>
          <w:szCs w:val="20"/>
          <w:color w:val="auto"/>
        </w:rPr>
      </w:pPr>
    </w:p>
    <w:p>
      <w:pPr>
        <w:ind w:left="183" w:right="120" w:hanging="183"/>
        <w:spacing w:after="0" w:line="267" w:lineRule="auto"/>
        <w:tabs>
          <w:tab w:leader="none" w:pos="183" w:val="left"/>
        </w:tabs>
        <w:numPr>
          <w:ilvl w:val="0"/>
          <w:numId w:val="30"/>
        </w:numPr>
        <w:rPr>
          <w:rFonts w:ascii="Arial" w:cs="Arial" w:eastAsia="Arial" w:hAnsi="Arial"/>
          <w:sz w:val="20"/>
          <w:szCs w:val="20"/>
          <w:color w:val="auto"/>
        </w:rPr>
      </w:pPr>
      <w:r>
        <w:rPr>
          <w:rFonts w:ascii="Arial" w:cs="Arial" w:eastAsia="Arial" w:hAnsi="Arial"/>
          <w:sz w:val="20"/>
          <w:szCs w:val="20"/>
          <w:color w:val="auto"/>
        </w:rPr>
        <w:t>name of the stockholder, whether an entity or an individual, making the recommendation;</w:t>
      </w:r>
    </w:p>
    <w:p>
      <w:pPr>
        <w:spacing w:after="0" w:line="1" w:lineRule="exact"/>
        <w:rPr>
          <w:rFonts w:ascii="Arial" w:cs="Arial" w:eastAsia="Arial" w:hAnsi="Arial"/>
          <w:sz w:val="20"/>
          <w:szCs w:val="20"/>
          <w:color w:val="auto"/>
        </w:rPr>
      </w:pPr>
    </w:p>
    <w:p>
      <w:pPr>
        <w:ind w:left="183" w:right="60" w:hanging="183"/>
        <w:spacing w:after="0" w:line="262" w:lineRule="auto"/>
        <w:tabs>
          <w:tab w:leader="none" w:pos="183"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written statement disclosing such stockholder’s beneficial ownership of the Company’s capital stock;</w:t>
      </w:r>
    </w:p>
    <w:p>
      <w:pPr>
        <w:spacing w:after="0" w:line="2" w:lineRule="exact"/>
        <w:rPr>
          <w:rFonts w:ascii="Arial" w:cs="Arial" w:eastAsia="Arial" w:hAnsi="Arial"/>
          <w:sz w:val="20"/>
          <w:szCs w:val="20"/>
          <w:color w:val="auto"/>
        </w:rPr>
      </w:pPr>
    </w:p>
    <w:p>
      <w:pPr>
        <w:ind w:left="183" w:right="820" w:hanging="183"/>
        <w:spacing w:after="0" w:line="260" w:lineRule="auto"/>
        <w:tabs>
          <w:tab w:leader="none" w:pos="183" w:val="left"/>
        </w:tabs>
        <w:numPr>
          <w:ilvl w:val="0"/>
          <w:numId w:val="30"/>
        </w:numPr>
        <w:rPr>
          <w:rFonts w:ascii="Arial" w:cs="Arial" w:eastAsia="Arial" w:hAnsi="Arial"/>
          <w:sz w:val="20"/>
          <w:szCs w:val="20"/>
          <w:color w:val="auto"/>
        </w:rPr>
      </w:pPr>
      <w:r>
        <w:rPr>
          <w:rFonts w:ascii="Arial" w:cs="Arial" w:eastAsia="Arial" w:hAnsi="Arial"/>
          <w:sz w:val="20"/>
          <w:szCs w:val="20"/>
          <w:color w:val="auto"/>
        </w:rPr>
        <w:t>name of the individual recommended for consideration as a director nominee;</w:t>
      </w:r>
    </w:p>
    <w:p>
      <w:pPr>
        <w:spacing w:after="0" w:line="1" w:lineRule="exact"/>
        <w:rPr>
          <w:rFonts w:ascii="Arial" w:cs="Arial" w:eastAsia="Arial" w:hAnsi="Arial"/>
          <w:sz w:val="20"/>
          <w:szCs w:val="20"/>
          <w:color w:val="auto"/>
        </w:rPr>
      </w:pPr>
    </w:p>
    <w:p>
      <w:pPr>
        <w:ind w:left="183" w:hanging="183"/>
        <w:spacing w:after="0"/>
        <w:tabs>
          <w:tab w:leader="none" w:pos="183"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written statement from the stockholder making</w:t>
      </w:r>
    </w:p>
    <w:p>
      <w:pPr>
        <w:spacing w:after="0" w:line="26" w:lineRule="exact"/>
        <w:rPr>
          <w:rFonts w:ascii="Arial" w:cs="Arial" w:eastAsia="Arial" w:hAnsi="Arial"/>
          <w:sz w:val="20"/>
          <w:szCs w:val="20"/>
          <w:color w:val="auto"/>
        </w:rPr>
      </w:pPr>
    </w:p>
    <w:p>
      <w:pPr>
        <w:ind w:left="183" w:right="220"/>
        <w:spacing w:after="0" w:line="264" w:lineRule="auto"/>
        <w:rPr>
          <w:rFonts w:ascii="Arial" w:cs="Arial" w:eastAsia="Arial" w:hAnsi="Arial"/>
          <w:sz w:val="20"/>
          <w:szCs w:val="20"/>
          <w:color w:val="auto"/>
        </w:rPr>
      </w:pPr>
      <w:r>
        <w:rPr>
          <w:rFonts w:ascii="Arial" w:cs="Arial" w:eastAsia="Arial" w:hAnsi="Arial"/>
          <w:sz w:val="20"/>
          <w:szCs w:val="20"/>
          <w:color w:val="auto"/>
        </w:rPr>
        <w:t>the recommendation stating why such recommended candidate would be able to fulfill the duties of a director;</w:t>
      </w:r>
    </w:p>
    <w:p>
      <w:pPr>
        <w:spacing w:after="0" w:line="200" w:lineRule="exact"/>
        <w:rPr>
          <w:sz w:val="20"/>
          <w:szCs w:val="20"/>
          <w:color w:val="auto"/>
        </w:rPr>
      </w:pPr>
    </w:p>
    <w:p>
      <w:pPr>
        <w:sectPr>
          <w:pgSz w:w="11900" w:h="16838" w:orient="portrait"/>
          <w:cols w:equalWidth="0" w:num="2">
            <w:col w:w="5120" w:space="457"/>
            <w:col w:w="4523"/>
          </w:cols>
          <w:pgMar w:left="580" w:top="131" w:right="1219" w:bottom="1440" w:gutter="0" w:footer="0" w:header="0"/>
        </w:sectPr>
      </w:pPr>
    </w:p>
    <w:p>
      <w:pPr>
        <w:spacing w:after="0" w:line="266"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40" w:right="80" w:hanging="186"/>
        <w:spacing w:after="0" w:line="262" w:lineRule="auto"/>
        <w:tabs>
          <w:tab w:leader="none" w:pos="8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written statement from the stockholder making the recommendation stating how the recommended candidate meets the</w:t>
      </w:r>
    </w:p>
    <w:p>
      <w:pPr>
        <w:spacing w:after="0" w:line="2" w:lineRule="exact"/>
        <w:rPr>
          <w:rFonts w:ascii="Arial" w:cs="Arial" w:eastAsia="Arial" w:hAnsi="Arial"/>
          <w:sz w:val="20"/>
          <w:szCs w:val="20"/>
          <w:color w:val="auto"/>
        </w:rPr>
      </w:pPr>
    </w:p>
    <w:p>
      <w:pPr>
        <w:ind w:left="840" w:right="180"/>
        <w:spacing w:after="0" w:line="260" w:lineRule="auto"/>
        <w:rPr>
          <w:rFonts w:ascii="Arial" w:cs="Arial" w:eastAsia="Arial" w:hAnsi="Arial"/>
          <w:sz w:val="20"/>
          <w:szCs w:val="20"/>
          <w:color w:val="auto"/>
        </w:rPr>
      </w:pPr>
      <w:r>
        <w:rPr>
          <w:rFonts w:ascii="Arial" w:cs="Arial" w:eastAsia="Arial" w:hAnsi="Arial"/>
          <w:sz w:val="20"/>
          <w:szCs w:val="20"/>
          <w:color w:val="auto"/>
        </w:rPr>
        <w:t>independence requirements established by the SEC and the applicable Nasdaq Rules;</w:t>
      </w:r>
    </w:p>
    <w:p>
      <w:pPr>
        <w:spacing w:after="0" w:line="1" w:lineRule="exact"/>
        <w:rPr>
          <w:rFonts w:ascii="Arial" w:cs="Arial" w:eastAsia="Arial" w:hAnsi="Arial"/>
          <w:sz w:val="20"/>
          <w:szCs w:val="20"/>
          <w:color w:val="auto"/>
        </w:rPr>
      </w:pPr>
    </w:p>
    <w:p>
      <w:pPr>
        <w:ind w:left="840" w:hanging="186"/>
        <w:spacing w:after="0"/>
        <w:tabs>
          <w:tab w:leader="none" w:pos="8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written statement disclosing the recommended</w:t>
      </w:r>
    </w:p>
    <w:p>
      <w:pPr>
        <w:spacing w:after="0" w:line="38" w:lineRule="exact"/>
        <w:rPr>
          <w:rFonts w:ascii="Arial" w:cs="Arial" w:eastAsia="Arial" w:hAnsi="Arial"/>
          <w:sz w:val="19"/>
          <w:szCs w:val="19"/>
          <w:color w:val="auto"/>
        </w:rPr>
      </w:pPr>
    </w:p>
    <w:p>
      <w:pPr>
        <w:ind w:left="840" w:right="900"/>
        <w:spacing w:after="0" w:line="260" w:lineRule="auto"/>
        <w:rPr>
          <w:rFonts w:ascii="Arial" w:cs="Arial" w:eastAsia="Arial" w:hAnsi="Arial"/>
          <w:sz w:val="19"/>
          <w:szCs w:val="19"/>
          <w:color w:val="auto"/>
        </w:rPr>
      </w:pPr>
      <w:r>
        <w:rPr>
          <w:rFonts w:ascii="Arial" w:cs="Arial" w:eastAsia="Arial" w:hAnsi="Arial"/>
          <w:sz w:val="20"/>
          <w:szCs w:val="20"/>
          <w:color w:val="auto"/>
        </w:rPr>
        <w:t>candidate’s beneficial ownership of the Company’s capital stock; and</w:t>
      </w:r>
    </w:p>
    <w:p>
      <w:pPr>
        <w:spacing w:after="0" w:line="1" w:lineRule="exact"/>
        <w:rPr>
          <w:rFonts w:ascii="Arial" w:cs="Arial" w:eastAsia="Arial" w:hAnsi="Arial"/>
          <w:sz w:val="19"/>
          <w:szCs w:val="19"/>
          <w:color w:val="auto"/>
        </w:rPr>
      </w:pPr>
    </w:p>
    <w:p>
      <w:pPr>
        <w:ind w:left="840" w:hanging="186"/>
        <w:spacing w:after="0"/>
        <w:tabs>
          <w:tab w:leader="none" w:pos="8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written statement disclosing relationships</w:t>
      </w:r>
    </w:p>
    <w:p>
      <w:pPr>
        <w:spacing w:after="0" w:line="26" w:lineRule="exact"/>
        <w:rPr>
          <w:rFonts w:ascii="Arial" w:cs="Arial" w:eastAsia="Arial" w:hAnsi="Arial"/>
          <w:sz w:val="20"/>
          <w:szCs w:val="20"/>
          <w:color w:val="auto"/>
        </w:rPr>
      </w:pPr>
    </w:p>
    <w:p>
      <w:pPr>
        <w:ind w:left="840" w:right="260"/>
        <w:spacing w:after="0" w:line="264" w:lineRule="auto"/>
        <w:rPr>
          <w:rFonts w:ascii="Arial" w:cs="Arial" w:eastAsia="Arial" w:hAnsi="Arial"/>
          <w:sz w:val="20"/>
          <w:szCs w:val="20"/>
          <w:color w:val="auto"/>
        </w:rPr>
      </w:pPr>
      <w:r>
        <w:rPr>
          <w:rFonts w:ascii="Arial" w:cs="Arial" w:eastAsia="Arial" w:hAnsi="Arial"/>
          <w:sz w:val="20"/>
          <w:szCs w:val="20"/>
          <w:color w:val="auto"/>
        </w:rPr>
        <w:t>between the recommended candidate and the Company that may constitute a conflict of interest.</w:t>
      </w:r>
    </w:p>
    <w:p>
      <w:pPr>
        <w:spacing w:after="0" w:line="213"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color w:val="auto"/>
        </w:rPr>
        <w:t>In addition to satisfying the advance notice provisions in our By-laws relating to nominations of director candidates, including the earlier notice deadlines set out above, to comply with the SEC’s universal proxy rule, shareholders who intend to solicit proxies in support of director nominees other than the Company’s nominees in compliance with Rule 14a-19 under the Exchange Act must also provide notice that sets forth the information required by Rule 14a-19 no later than March 11, 2024. If the date of the 2024 Annual Meeting changes by more than 30 calendar days from the date of the 2023 Annual Meeting, such notice must instead be provided by the later of 60 calendar days prior to the date of the annual meeting or the 10</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calendar day following public announcement by the Company of the date of the 2024 Annual Meeting.</w:t>
      </w:r>
    </w:p>
    <w:p>
      <w:pPr>
        <w:spacing w:after="0" w:line="225" w:lineRule="exact"/>
        <w:rPr>
          <w:sz w:val="20"/>
          <w:szCs w:val="20"/>
          <w:color w:val="auto"/>
        </w:rPr>
      </w:pPr>
    </w:p>
    <w:p>
      <w:pPr>
        <w:ind w:left="660" w:right="640"/>
        <w:spacing w:after="0" w:line="277" w:lineRule="auto"/>
        <w:rPr>
          <w:sz w:val="20"/>
          <w:szCs w:val="20"/>
          <w:color w:val="auto"/>
        </w:rPr>
      </w:pPr>
      <w:r>
        <w:rPr>
          <w:rFonts w:ascii="Arial" w:cs="Arial" w:eastAsia="Arial" w:hAnsi="Arial"/>
          <w:sz w:val="19"/>
          <w:szCs w:val="19"/>
          <w:color w:val="auto"/>
        </w:rPr>
        <w:t>A stockholder (or a group of up to twenty stockholders) who has owned at least three percent of the Company’s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 w:right="60"/>
        <w:spacing w:after="0" w:line="266" w:lineRule="auto"/>
        <w:rPr>
          <w:sz w:val="20"/>
          <w:szCs w:val="20"/>
          <w:color w:val="auto"/>
        </w:rPr>
      </w:pPr>
      <w:r>
        <w:rPr>
          <w:rFonts w:ascii="Arial" w:cs="Arial" w:eastAsia="Arial" w:hAnsi="Arial"/>
          <w:sz w:val="19"/>
          <w:szCs w:val="19"/>
          <w:color w:val="auto"/>
        </w:rPr>
        <w:t>shares of common stock continuously for at least three years, and has complied with the other requirements in the Company’s By-laws, may nominate and include in the Company’s proxy materials a number of director nominees up to the greater of two individuals or 20% of the Board. Written notice of a proxy access nomination for inclusion in our proxy statement for the 2024 Annual Meeting of Stockholders must be submitted to the Secretary of the Company at the address below no earlier than the open of business on December 12, 2023, and no later than the close of business on January 11, 2024. In the event that the 2024 Annual Meeting is held more than thirty</w:t>
      </w:r>
    </w:p>
    <w:p>
      <w:pPr>
        <w:spacing w:after="0" w:line="12" w:lineRule="exact"/>
        <w:rPr>
          <w:sz w:val="20"/>
          <w:szCs w:val="20"/>
          <w:color w:val="auto"/>
        </w:rPr>
      </w:pPr>
    </w:p>
    <w:p>
      <w:pPr>
        <w:ind w:left="3" w:right="200" w:hanging="3"/>
        <w:spacing w:after="0" w:line="254" w:lineRule="auto"/>
        <w:tabs>
          <w:tab w:leader="none" w:pos="41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days before, or more than sixty (60) days after, the first anniversary of the Company’s 2023 Annual Meeting, then the required notice must be delivered in writing to the Secretary of the Company at the address below no earlier than 150 days prior to the date of the 2024 Annual Meeting and no later than the later of 120 days prior to the 2024 Annual Meeting or the 10th day following the day on which the public announcement of the date of the 2024 Annual Meeting is first made by the Company.</w:t>
      </w:r>
    </w:p>
    <w:p>
      <w:pPr>
        <w:spacing w:after="0" w:line="212" w:lineRule="exact"/>
        <w:rPr>
          <w:sz w:val="20"/>
          <w:szCs w:val="20"/>
          <w:color w:val="auto"/>
        </w:rPr>
      </w:pPr>
    </w:p>
    <w:p>
      <w:pPr>
        <w:ind w:left="3" w:right="220"/>
        <w:spacing w:after="0" w:line="255" w:lineRule="auto"/>
        <w:rPr>
          <w:sz w:val="20"/>
          <w:szCs w:val="20"/>
          <w:color w:val="auto"/>
        </w:rPr>
      </w:pPr>
      <w:r>
        <w:rPr>
          <w:rFonts w:ascii="Arial" w:cs="Arial" w:eastAsia="Arial" w:hAnsi="Arial"/>
          <w:sz w:val="20"/>
          <w:szCs w:val="20"/>
          <w:color w:val="auto"/>
        </w:rPr>
        <w:t>Written notice of proxy access nominations and written recommendations for nomination may be sent to the General Counsel and Secretary of the Company via U.S. mail or expedited delivery service to:</w:t>
      </w:r>
    </w:p>
    <w:p>
      <w:pPr>
        <w:spacing w:after="0" w:line="209" w:lineRule="exact"/>
        <w:rPr>
          <w:sz w:val="20"/>
          <w:szCs w:val="20"/>
          <w:color w:val="auto"/>
        </w:rPr>
      </w:pPr>
    </w:p>
    <w:p>
      <w:pPr>
        <w:ind w:left="3"/>
        <w:spacing w:after="0"/>
        <w:rPr>
          <w:sz w:val="20"/>
          <w:szCs w:val="20"/>
          <w:color w:val="auto"/>
        </w:rPr>
      </w:pPr>
      <w:r>
        <w:rPr>
          <w:rFonts w:ascii="Arial" w:cs="Arial" w:eastAsia="Arial" w:hAnsi="Arial"/>
          <w:sz w:val="20"/>
          <w:szCs w:val="20"/>
          <w:color w:val="auto"/>
        </w:rPr>
        <w:t>Skyworks Solutions, Inc.</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color w:val="auto"/>
        </w:rPr>
        <w:t>5260 California Avenue</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color w:val="auto"/>
        </w:rPr>
        <w:t>Irvine, California 92617</w:t>
      </w:r>
    </w:p>
    <w:p>
      <w:pPr>
        <w:spacing w:after="0" w:line="362" w:lineRule="exact"/>
        <w:rPr>
          <w:sz w:val="20"/>
          <w:szCs w:val="20"/>
          <w:color w:val="auto"/>
        </w:rPr>
      </w:pPr>
    </w:p>
    <w:p>
      <w:pPr>
        <w:sectPr>
          <w:pgSz w:w="11900" w:h="16838" w:orient="portrait"/>
          <w:cols w:equalWidth="0" w:num="2">
            <w:col w:w="5120" w:space="457"/>
            <w:col w:w="4523"/>
          </w:cols>
          <w:pgMar w:left="580" w:top="131"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Role of the Board of Directors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20"/>
          </w:cols>
          <w:pgMar w:left="580" w:top="131" w:right="1199" w:bottom="1440" w:gutter="0" w:footer="0" w:header="0"/>
        </w:sectPr>
      </w:pPr>
    </w:p>
    <w:p>
      <w:pPr>
        <w:spacing w:after="0" w:line="255"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Our Board oversees our risk management processes directly and through its committees. Our management team is responsible for risk management on a day-to-day basis. The role of our Board and its committees is to oversee the risk management activities of our management team. They fulfill this duty by discussing with</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both"/>
        <w:ind w:right="80"/>
        <w:spacing w:after="0" w:line="277" w:lineRule="auto"/>
        <w:rPr>
          <w:sz w:val="20"/>
          <w:szCs w:val="20"/>
          <w:color w:val="auto"/>
        </w:rPr>
      </w:pPr>
      <w:r>
        <w:rPr>
          <w:rFonts w:ascii="Arial" w:cs="Arial" w:eastAsia="Arial" w:hAnsi="Arial"/>
          <w:sz w:val="19"/>
          <w:szCs w:val="19"/>
          <w:color w:val="auto"/>
        </w:rPr>
        <w:t>management the policies and practices utilized by management in assessing and managing risks and providing input on those policies and practices.</w:t>
      </w:r>
    </w:p>
    <w:p>
      <w:pPr>
        <w:spacing w:after="0" w:line="40"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The following table summarizes the key risk management areas over which the Board and its committees exercise oversight:</w:t>
      </w:r>
    </w:p>
    <w:p>
      <w:pPr>
        <w:spacing w:after="0" w:line="207" w:lineRule="exact"/>
        <w:rPr>
          <w:sz w:val="20"/>
          <w:szCs w:val="20"/>
          <w:color w:val="auto"/>
        </w:rPr>
      </w:pPr>
    </w:p>
    <w:p>
      <w:pPr>
        <w:sectPr>
          <w:pgSz w:w="11900" w:h="16838" w:orient="portrait"/>
          <w:cols w:equalWidth="0" w:num="2">
            <w:col w:w="5100" w:space="480"/>
            <w:col w:w="4540"/>
          </w:cols>
          <w:pgMar w:left="580" w:top="131" w:right="1199" w:bottom="1440" w:gutter="0" w:footer="0" w:header="0"/>
          <w:type w:val="continuous"/>
        </w:sectPr>
      </w:pPr>
    </w:p>
    <w:p>
      <w:pPr>
        <w:spacing w:after="0" w:line="29" w:lineRule="exact"/>
        <w:rPr>
          <w:sz w:val="20"/>
          <w:szCs w:val="20"/>
          <w:color w:val="auto"/>
        </w:rPr>
      </w:pPr>
    </w:p>
    <w:p>
      <w:pPr>
        <w:ind w:left="760" w:hanging="106"/>
        <w:spacing w:after="0"/>
        <w:tabs>
          <w:tab w:leader="none" w:pos="760" w:val="left"/>
        </w:tabs>
        <w:numPr>
          <w:ilvl w:val="0"/>
          <w:numId w:val="33"/>
        </w:numPr>
        <w:rPr>
          <w:rFonts w:ascii="Arial" w:cs="Arial" w:eastAsia="Arial" w:hAnsi="Arial"/>
          <w:sz w:val="34"/>
          <w:szCs w:val="34"/>
          <w:color w:val="auto"/>
          <w:vertAlign w:val="superscript"/>
        </w:rPr>
      </w:pPr>
      <w:r>
        <w:rPr>
          <w:rFonts w:ascii="Arial" w:cs="Arial" w:eastAsia="Arial" w:hAnsi="Arial"/>
          <w:sz w:val="17"/>
          <w:szCs w:val="17"/>
          <w:b w:val="1"/>
          <w:bCs w:val="1"/>
          <w:color w:val="0075A8"/>
        </w:rPr>
        <w:t>Board of Directors</w:t>
      </w:r>
    </w:p>
    <w:p>
      <w:pPr>
        <w:ind w:left="760" w:hanging="106"/>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760" w:hanging="106"/>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60" w:hanging="106"/>
        <w:spacing w:after="0" w:line="180" w:lineRule="auto"/>
        <w:tabs>
          <w:tab w:leader="none" w:pos="760" w:val="left"/>
        </w:tabs>
        <w:numPr>
          <w:ilvl w:val="0"/>
          <w:numId w:val="33"/>
        </w:numPr>
        <w:rPr>
          <w:rFonts w:ascii="Arial" w:cs="Arial" w:eastAsia="Arial" w:hAnsi="Arial"/>
          <w:sz w:val="28"/>
          <w:szCs w:val="28"/>
          <w:color w:val="auto"/>
          <w:vertAlign w:val="superscript"/>
        </w:rPr>
      </w:pPr>
      <w:r>
        <w:rPr>
          <w:rFonts w:ascii="Arial" w:cs="Arial" w:eastAsia="Arial" w:hAnsi="Arial"/>
          <w:sz w:val="15"/>
          <w:szCs w:val="15"/>
          <w:b w:val="1"/>
          <w:bCs w:val="1"/>
          <w:color w:val="0075A8"/>
        </w:rPr>
        <w:t>Audit Committee</w:t>
      </w:r>
    </w:p>
    <w:p>
      <w:pPr>
        <w:ind w:left="760" w:hanging="106"/>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760" w:hanging="106"/>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760" w:hanging="106"/>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760" w:right="320" w:hanging="106"/>
        <w:spacing w:after="0" w:line="180" w:lineRule="auto"/>
        <w:tabs>
          <w:tab w:leader="none" w:pos="760" w:val="left"/>
        </w:tabs>
        <w:numPr>
          <w:ilvl w:val="0"/>
          <w:numId w:val="33"/>
        </w:numPr>
        <w:rPr>
          <w:rFonts w:ascii="Arial" w:cs="Arial" w:eastAsia="Arial" w:hAnsi="Arial"/>
          <w:sz w:val="32"/>
          <w:szCs w:val="32"/>
          <w:color w:val="auto"/>
          <w:vertAlign w:val="superscript"/>
        </w:rPr>
      </w:pPr>
      <w:r>
        <w:rPr>
          <w:rFonts w:ascii="Arial" w:cs="Arial" w:eastAsia="Arial" w:hAnsi="Arial"/>
          <w:sz w:val="16"/>
          <w:szCs w:val="16"/>
          <w:b w:val="1"/>
          <w:bCs w:val="1"/>
          <w:color w:val="0075A8"/>
        </w:rPr>
        <w:t>Compensation Committee</w:t>
      </w:r>
    </w:p>
    <w:p>
      <w:pPr>
        <w:spacing w:after="0" w:line="234" w:lineRule="exact"/>
        <w:rPr>
          <w:rFonts w:ascii="Arial" w:cs="Arial" w:eastAsia="Arial" w:hAnsi="Arial"/>
          <w:sz w:val="32"/>
          <w:szCs w:val="32"/>
          <w:color w:val="auto"/>
          <w:vertAlign w:val="superscript"/>
        </w:rPr>
      </w:pPr>
    </w:p>
    <w:p>
      <w:pPr>
        <w:ind w:left="760" w:right="220" w:hanging="106"/>
        <w:spacing w:after="0" w:line="180" w:lineRule="auto"/>
        <w:tabs>
          <w:tab w:leader="none" w:pos="760" w:val="left"/>
        </w:tabs>
        <w:numPr>
          <w:ilvl w:val="0"/>
          <w:numId w:val="33"/>
        </w:numPr>
        <w:rPr>
          <w:rFonts w:ascii="Arial" w:cs="Arial" w:eastAsia="Arial" w:hAnsi="Arial"/>
          <w:sz w:val="36"/>
          <w:szCs w:val="36"/>
          <w:color w:val="0075A8"/>
          <w:vertAlign w:val="superscript"/>
        </w:rPr>
      </w:pPr>
      <w:r>
        <w:rPr>
          <w:rFonts w:ascii="Arial" w:cs="Arial" w:eastAsia="Arial" w:hAnsi="Arial"/>
          <w:sz w:val="18"/>
          <w:szCs w:val="18"/>
          <w:b w:val="1"/>
          <w:bCs w:val="1"/>
          <w:color w:val="0075A8"/>
        </w:rPr>
        <w:t>Nominating and Corporate Governance Committee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-170180</wp:posOffset>
            </wp:positionV>
            <wp:extent cx="5932170" cy="436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32170" cy="436880"/>
                    </a:xfrm>
                    <a:prstGeom prst="rect">
                      <a:avLst/>
                    </a:prstGeom>
                    <a:noFill/>
                  </pic:spPr>
                </pic:pic>
              </a:graphicData>
            </a:graphic>
          </wp:anchor>
        </w:drawing>
      </w:r>
    </w:p>
    <w:p>
      <w:pPr>
        <w:spacing w:after="0" w:line="183" w:lineRule="auto"/>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capital allocation</w:t>
      </w:r>
    </w:p>
    <w:p>
      <w:pPr>
        <w:ind w:right="1640"/>
        <w:spacing w:after="0" w:line="180"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organizational structure </w:t>
      </w:r>
      <w:r>
        <w:rPr>
          <w:rFonts w:ascii="Arial" w:cs="Arial" w:eastAsia="Arial" w:hAnsi="Arial"/>
          <w:sz w:val="35"/>
          <w:szCs w:val="35"/>
          <w:color w:val="auto"/>
          <w:vertAlign w:val="superscript"/>
        </w:rPr>
        <w:t>​​</w:t>
      </w:r>
      <w:r>
        <w:rPr>
          <w:rFonts w:ascii="Arial" w:cs="Arial" w:eastAsia="Arial" w:hAnsi="Arial"/>
          <w:sz w:val="18"/>
          <w:szCs w:val="18"/>
          <w:color w:val="auto"/>
        </w:rPr>
        <w:t>• financial reporting</w:t>
      </w:r>
    </w:p>
    <w:p>
      <w:pPr>
        <w:spacing w:after="0" w:line="2" w:lineRule="exact"/>
        <w:rPr>
          <w:sz w:val="20"/>
          <w:szCs w:val="20"/>
          <w:color w:val="auto"/>
        </w:rPr>
      </w:pPr>
    </w:p>
    <w:p>
      <w:pPr>
        <w:ind w:left="220" w:right="560" w:hanging="233"/>
        <w:spacing w:after="0" w:line="181" w:lineRule="auto"/>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financial and accounting controls and processes</w:t>
      </w:r>
    </w:p>
    <w:p>
      <w:pPr>
        <w:spacing w:after="0" w:line="2" w:lineRule="exact"/>
        <w:rPr>
          <w:sz w:val="20"/>
          <w:szCs w:val="20"/>
          <w:color w:val="auto"/>
        </w:rPr>
      </w:pPr>
    </w:p>
    <w:p>
      <w:pPr>
        <w:ind w:right="980"/>
        <w:spacing w:after="0" w:line="214" w:lineRule="auto"/>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legal and regulatory compliance </w:t>
      </w:r>
      <w:r>
        <w:rPr>
          <w:rFonts w:ascii="Arial" w:cs="Arial" w:eastAsia="Arial" w:hAnsi="Arial"/>
          <w:sz w:val="33"/>
          <w:szCs w:val="33"/>
          <w:color w:val="auto"/>
          <w:vertAlign w:val="superscript"/>
        </w:rPr>
        <w:t>​​</w:t>
      </w:r>
      <w:r>
        <w:rPr>
          <w:rFonts w:ascii="Arial" w:cs="Arial" w:eastAsia="Arial" w:hAnsi="Arial"/>
          <w:sz w:val="17"/>
          <w:szCs w:val="17"/>
          <w:color w:val="auto"/>
        </w:rPr>
        <w:t>• cybersecurity</w:t>
      </w:r>
    </w:p>
    <w:p>
      <w:pPr>
        <w:ind w:left="220" w:right="80" w:hanging="233"/>
        <w:spacing w:after="0" w:line="180"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executive compensation programs,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-280670</wp:posOffset>
            </wp:positionV>
            <wp:extent cx="5932170" cy="411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32170" cy="411480"/>
                    </a:xfrm>
                    <a:prstGeom prst="rect">
                      <a:avLst/>
                    </a:prstGeom>
                    <a:noFill/>
                  </pic:spPr>
                </pic:pic>
              </a:graphicData>
            </a:graphic>
          </wp:anchor>
        </w:drawing>
      </w:r>
    </w:p>
    <w:p>
      <w:pPr>
        <w:ind w:left="40"/>
        <w:spacing w:after="0" w:line="221" w:lineRule="auto"/>
        <w:rPr>
          <w:sz w:val="20"/>
          <w:szCs w:val="20"/>
          <w:color w:val="auto"/>
        </w:rPr>
      </w:pPr>
      <w:r>
        <w:rPr>
          <w:rFonts w:ascii="Arial" w:cs="Arial" w:eastAsia="Arial" w:hAnsi="Arial"/>
          <w:sz w:val="18"/>
          <w:szCs w:val="18"/>
          <w:color w:val="auto"/>
        </w:rPr>
        <w:t>• executive performance</w:t>
      </w:r>
    </w:p>
    <w:p>
      <w:pPr>
        <w:ind w:left="20" w:hanging="26"/>
        <w:spacing w:after="0" w:line="202" w:lineRule="auto"/>
        <w:rPr>
          <w:sz w:val="20"/>
          <w:szCs w:val="20"/>
          <w:color w:val="auto"/>
        </w:rPr>
      </w:pPr>
      <w:r>
        <w:rPr>
          <w:rFonts w:ascii="Arial" w:cs="Arial" w:eastAsia="Arial" w:hAnsi="Arial"/>
          <w:sz w:val="35"/>
          <w:szCs w:val="35"/>
          <w:color w:val="0075A8"/>
          <w:vertAlign w:val="superscript"/>
        </w:rPr>
        <w:t>​​</w:t>
      </w:r>
      <w:r>
        <w:rPr>
          <w:rFonts w:ascii="Arial" w:cs="Arial" w:eastAsia="Arial" w:hAnsi="Arial"/>
          <w:sz w:val="18"/>
          <w:szCs w:val="18"/>
          <w:color w:val="auto"/>
        </w:rPr>
        <w:t xml:space="preserve">• Board size, composition, and effectiveness </w:t>
      </w:r>
      <w:r>
        <w:rPr>
          <w:rFonts w:ascii="Arial" w:cs="Arial" w:eastAsia="Arial" w:hAnsi="Arial"/>
          <w:sz w:val="35"/>
          <w:szCs w:val="35"/>
          <w:color w:val="auto"/>
          <w:vertAlign w:val="superscript"/>
        </w:rPr>
        <w:t>​</w:t>
      </w:r>
      <w:r>
        <w:rPr>
          <w:rFonts w:ascii="Arial" w:cs="Arial" w:eastAsia="Arial" w:hAnsi="Arial"/>
          <w:sz w:val="18"/>
          <w:szCs w:val="18"/>
          <w:color w:val="auto"/>
        </w:rPr>
        <w:t>• corporate governance policies and practices</w:t>
      </w:r>
    </w:p>
    <w:p>
      <w:pPr>
        <w:ind w:left="40"/>
        <w:spacing w:after="0"/>
        <w:rPr>
          <w:sz w:val="20"/>
          <w:szCs w:val="20"/>
          <w:color w:val="auto"/>
        </w:rPr>
      </w:pPr>
      <w:r>
        <w:rPr>
          <w:rFonts w:ascii="Arial" w:cs="Arial" w:eastAsia="Arial" w:hAnsi="Arial"/>
          <w:sz w:val="18"/>
          <w:szCs w:val="18"/>
          <w:color w:val="auto"/>
        </w:rPr>
        <w:t>• ethics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100330</wp:posOffset>
            </wp:positionV>
            <wp:extent cx="6017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0"/>
        </w:trPr>
        <w:tc>
          <w:tcPr>
            <w:tcW w:w="160" w:type="dxa"/>
            <w:vAlign w:val="bottom"/>
          </w:tcPr>
          <w:p>
            <w:pPr>
              <w:jc w:val="right"/>
              <w:spacing w:after="0"/>
              <w:rPr>
                <w:sz w:val="20"/>
                <w:szCs w:val="20"/>
                <w:color w:val="auto"/>
              </w:rPr>
            </w:pPr>
            <w:r>
              <w:rPr>
                <w:rFonts w:ascii="Arial" w:cs="Arial" w:eastAsia="Arial" w:hAnsi="Arial"/>
                <w:sz w:val="18"/>
                <w:szCs w:val="18"/>
                <w:color w:val="auto"/>
                <w:w w:val="97"/>
              </w:rPr>
              <w:t>​​</w:t>
            </w:r>
            <w:r>
              <w:rPr>
                <w:rFonts w:ascii="Arial" w:cs="Arial" w:eastAsia="Arial" w:hAnsi="Arial"/>
                <w:sz w:val="35"/>
                <w:szCs w:val="35"/>
                <w:color w:val="auto"/>
                <w:w w:val="97"/>
                <w:vertAlign w:val="subscript"/>
              </w:rPr>
              <w:t>•</w:t>
            </w:r>
          </w:p>
        </w:tc>
        <w:tc>
          <w:tcPr>
            <w:tcW w:w="3260" w:type="dxa"/>
            <w:vAlign w:val="bottom"/>
          </w:tcPr>
          <w:p>
            <w:pPr>
              <w:ind w:left="60"/>
              <w:spacing w:after="0"/>
              <w:rPr>
                <w:sz w:val="20"/>
                <w:szCs w:val="20"/>
                <w:color w:val="auto"/>
              </w:rPr>
            </w:pPr>
            <w:r>
              <w:rPr>
                <w:rFonts w:ascii="Arial" w:cs="Arial" w:eastAsia="Arial" w:hAnsi="Arial"/>
                <w:sz w:val="18"/>
                <w:szCs w:val="18"/>
                <w:color w:val="auto"/>
              </w:rPr>
              <w:t>operational risks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0" w:type="dxa"/>
            <w:vAlign w:val="bottom"/>
          </w:tcPr>
          <w:p>
            <w:pPr>
              <w:jc w:val="right"/>
              <w:spacing w:after="0" w:line="230" w:lineRule="exact"/>
              <w:rPr>
                <w:sz w:val="20"/>
                <w:szCs w:val="20"/>
                <w:color w:val="auto"/>
              </w:rPr>
            </w:pPr>
            <w:r>
              <w:rPr>
                <w:rFonts w:ascii="Arial" w:cs="Arial" w:eastAsia="Arial" w:hAnsi="Arial"/>
                <w:sz w:val="15"/>
                <w:szCs w:val="15"/>
                <w:color w:val="auto"/>
              </w:rPr>
              <w:t>​​</w:t>
            </w:r>
            <w:r>
              <w:rPr>
                <w:rFonts w:ascii="Arial" w:cs="Arial" w:eastAsia="Arial" w:hAnsi="Arial"/>
                <w:sz w:val="26"/>
                <w:szCs w:val="26"/>
                <w:color w:val="auto"/>
                <w:vertAlign w:val="subscript"/>
              </w:rPr>
              <w:t>•</w:t>
            </w:r>
          </w:p>
        </w:tc>
        <w:tc>
          <w:tcPr>
            <w:tcW w:w="3260" w:type="dxa"/>
            <w:vAlign w:val="bottom"/>
          </w:tcPr>
          <w:p>
            <w:pPr>
              <w:ind w:left="60"/>
              <w:spacing w:after="0"/>
              <w:rPr>
                <w:sz w:val="20"/>
                <w:szCs w:val="20"/>
                <w:color w:val="auto"/>
              </w:rPr>
            </w:pPr>
            <w:r>
              <w:rPr>
                <w:rFonts w:ascii="Arial" w:cs="Arial" w:eastAsia="Arial" w:hAnsi="Arial"/>
                <w:sz w:val="18"/>
                <w:szCs w:val="18"/>
                <w:color w:val="auto"/>
              </w:rPr>
              <w:t>acquisitions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2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60" w:type="dxa"/>
            <w:vAlign w:val="bottom"/>
          </w:tcPr>
          <w:p>
            <w:pPr>
              <w:jc w:val="right"/>
              <w:spacing w:after="0" w:line="230" w:lineRule="exact"/>
              <w:rPr>
                <w:sz w:val="20"/>
                <w:szCs w:val="20"/>
                <w:color w:val="auto"/>
              </w:rPr>
            </w:pPr>
            <w:r>
              <w:rPr>
                <w:rFonts w:ascii="Arial" w:cs="Arial" w:eastAsia="Arial" w:hAnsi="Arial"/>
                <w:sz w:val="15"/>
                <w:szCs w:val="15"/>
                <w:color w:val="auto"/>
              </w:rPr>
              <w:t>​​</w:t>
            </w:r>
            <w:r>
              <w:rPr>
                <w:rFonts w:ascii="Arial" w:cs="Arial" w:eastAsia="Arial" w:hAnsi="Arial"/>
                <w:sz w:val="26"/>
                <w:szCs w:val="26"/>
                <w:color w:val="auto"/>
                <w:vertAlign w:val="subscript"/>
              </w:rPr>
              <w:t>•</w:t>
            </w:r>
          </w:p>
        </w:tc>
        <w:tc>
          <w:tcPr>
            <w:tcW w:w="3260" w:type="dxa"/>
            <w:vAlign w:val="bottom"/>
          </w:tcPr>
          <w:p>
            <w:pPr>
              <w:ind w:left="60"/>
              <w:spacing w:after="0"/>
              <w:rPr>
                <w:sz w:val="20"/>
                <w:szCs w:val="20"/>
                <w:color w:val="auto"/>
              </w:rPr>
            </w:pPr>
            <w:r>
              <w:rPr>
                <w:rFonts w:ascii="Arial" w:cs="Arial" w:eastAsia="Arial" w:hAnsi="Arial"/>
                <w:sz w:val="18"/>
                <w:szCs w:val="18"/>
                <w:color w:val="auto"/>
              </w:rPr>
              <w:t>internal audit function</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160" w:type="dxa"/>
            <w:vAlign w:val="bottom"/>
          </w:tcPr>
          <w:p>
            <w:pPr>
              <w:jc w:val="right"/>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bscript"/>
              </w:rPr>
              <w:t>•</w:t>
            </w:r>
          </w:p>
        </w:tc>
        <w:tc>
          <w:tcPr>
            <w:tcW w:w="3260" w:type="dxa"/>
            <w:vAlign w:val="bottom"/>
          </w:tcPr>
          <w:p>
            <w:pPr>
              <w:ind w:left="60"/>
              <w:spacing w:after="0"/>
              <w:rPr>
                <w:sz w:val="20"/>
                <w:szCs w:val="20"/>
                <w:color w:val="auto"/>
              </w:rPr>
            </w:pPr>
            <w:r>
              <w:rPr>
                <w:rFonts w:ascii="Arial" w:cs="Arial" w:eastAsia="Arial" w:hAnsi="Arial"/>
                <w:sz w:val="18"/>
                <w:szCs w:val="18"/>
                <w:color w:val="auto"/>
              </w:rPr>
              <w:t>independent accounting firm</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63"/>
        </w:trPr>
        <w:tc>
          <w:tcPr>
            <w:tcW w:w="16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3260" w:type="dxa"/>
            <w:vAlign w:val="bottom"/>
          </w:tcPr>
          <w:p>
            <w:pPr>
              <w:ind w:left="60"/>
              <w:spacing w:after="0" w:line="163" w:lineRule="exact"/>
              <w:rPr>
                <w:sz w:val="20"/>
                <w:szCs w:val="20"/>
                <w:color w:val="auto"/>
              </w:rPr>
            </w:pPr>
            <w:r>
              <w:rPr>
                <w:rFonts w:ascii="Arial" w:cs="Arial" w:eastAsia="Arial" w:hAnsi="Arial"/>
                <w:sz w:val="18"/>
                <w:szCs w:val="18"/>
                <w:color w:val="auto"/>
              </w:rPr>
              <w:t>related-party transactions</w:t>
            </w:r>
          </w:p>
        </w:tc>
        <w:tc>
          <w:tcPr>
            <w:tcW w:w="260" w:type="dxa"/>
            <w:vAlign w:val="bottom"/>
          </w:tcPr>
          <w:p>
            <w:pPr>
              <w:spacing w:after="0"/>
              <w:rPr>
                <w:sz w:val="14"/>
                <w:szCs w:val="14"/>
                <w:color w:val="auto"/>
              </w:rPr>
            </w:pPr>
          </w:p>
        </w:tc>
      </w:tr>
      <w:tr>
        <w:trPr>
          <w:trHeight w:val="229"/>
        </w:trPr>
        <w:tc>
          <w:tcPr>
            <w:tcW w:w="160" w:type="dxa"/>
            <w:vAlign w:val="bottom"/>
          </w:tcPr>
          <w:p>
            <w:pPr>
              <w:jc w:val="right"/>
              <w:spacing w:after="0" w:line="230" w:lineRule="exact"/>
              <w:rPr>
                <w:sz w:val="20"/>
                <w:szCs w:val="20"/>
                <w:color w:val="auto"/>
              </w:rPr>
            </w:pPr>
            <w:r>
              <w:rPr>
                <w:rFonts w:ascii="Arial" w:cs="Arial" w:eastAsia="Arial" w:hAnsi="Arial"/>
                <w:sz w:val="15"/>
                <w:szCs w:val="15"/>
                <w:color w:val="auto"/>
              </w:rPr>
              <w:t>​</w:t>
            </w:r>
            <w:r>
              <w:rPr>
                <w:rFonts w:ascii="Arial" w:cs="Arial" w:eastAsia="Arial" w:hAnsi="Arial"/>
                <w:sz w:val="26"/>
                <w:szCs w:val="26"/>
                <w:color w:val="auto"/>
                <w:vertAlign w:val="subscript"/>
              </w:rPr>
              <w:t>•</w:t>
            </w:r>
          </w:p>
        </w:tc>
        <w:tc>
          <w:tcPr>
            <w:tcW w:w="3260" w:type="dxa"/>
            <w:vAlign w:val="bottom"/>
          </w:tcPr>
          <w:p>
            <w:pPr>
              <w:ind w:left="60"/>
              <w:spacing w:after="0"/>
              <w:rPr>
                <w:sz w:val="20"/>
                <w:szCs w:val="20"/>
                <w:color w:val="auto"/>
              </w:rPr>
            </w:pPr>
            <w:r>
              <w:rPr>
                <w:rFonts w:ascii="Arial" w:cs="Arial" w:eastAsia="Arial" w:hAnsi="Arial"/>
                <w:sz w:val="18"/>
                <w:szCs w:val="18"/>
                <w:color w:val="auto"/>
              </w:rPr>
              <w:t>whistleblower reporting</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60" w:type="dxa"/>
            <w:vAlign w:val="bottom"/>
          </w:tcPr>
          <w:p>
            <w:pPr>
              <w:jc w:val="right"/>
              <w:spacing w:after="0" w:line="255"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bscript"/>
              </w:rPr>
              <w:t>•</w:t>
            </w:r>
          </w:p>
        </w:tc>
        <w:tc>
          <w:tcPr>
            <w:tcW w:w="3260" w:type="dxa"/>
            <w:vAlign w:val="bottom"/>
          </w:tcPr>
          <w:p>
            <w:pPr>
              <w:ind w:left="60"/>
              <w:spacing w:after="0"/>
              <w:rPr>
                <w:sz w:val="20"/>
                <w:szCs w:val="20"/>
                <w:color w:val="auto"/>
              </w:rPr>
            </w:pPr>
            <w:r>
              <w:rPr>
                <w:rFonts w:ascii="Arial" w:cs="Arial" w:eastAsia="Arial" w:hAnsi="Arial"/>
                <w:sz w:val="18"/>
                <w:szCs w:val="18"/>
                <w:color w:val="auto"/>
              </w:rPr>
              <w:t>enterprise risk evaluation processes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160" w:type="dxa"/>
            <w:vAlign w:val="bottom"/>
          </w:tcPr>
          <w:p>
            <w:pPr>
              <w:jc w:val="right"/>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bscript"/>
              </w:rPr>
              <w:t>•</w:t>
            </w:r>
          </w:p>
        </w:tc>
        <w:tc>
          <w:tcPr>
            <w:tcW w:w="3260" w:type="dxa"/>
            <w:vAlign w:val="bottom"/>
          </w:tcPr>
          <w:p>
            <w:pPr>
              <w:ind w:left="60"/>
              <w:spacing w:after="0"/>
              <w:rPr>
                <w:sz w:val="20"/>
                <w:szCs w:val="20"/>
                <w:color w:val="auto"/>
              </w:rPr>
            </w:pPr>
            <w:r>
              <w:rPr>
                <w:rFonts w:ascii="Arial" w:cs="Arial" w:eastAsia="Arial" w:hAnsi="Arial"/>
                <w:sz w:val="18"/>
                <w:szCs w:val="18"/>
                <w:color w:val="auto"/>
              </w:rPr>
              <w:t>management succession planning</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260" w:type="dxa"/>
            <w:vAlign w:val="bottom"/>
          </w:tcPr>
          <w:p>
            <w:pPr>
              <w:ind w:left="60"/>
              <w:spacing w:after="0"/>
              <w:rPr>
                <w:sz w:val="20"/>
                <w:szCs w:val="20"/>
                <w:color w:val="auto"/>
              </w:rPr>
            </w:pPr>
            <w:r>
              <w:rPr>
                <w:rFonts w:ascii="Arial" w:cs="Arial" w:eastAsia="Arial" w:hAnsi="Arial"/>
                <w:sz w:val="18"/>
                <w:szCs w:val="18"/>
                <w:color w:val="auto"/>
              </w:rPr>
              <w:t>non-employee director compensation</w:t>
            </w:r>
          </w:p>
        </w:tc>
        <w:tc>
          <w:tcPr>
            <w:tcW w:w="260" w:type="dxa"/>
            <w:vAlign w:val="bottom"/>
          </w:tcPr>
          <w:p>
            <w:pPr>
              <w:spacing w:after="0"/>
              <w:rPr>
                <w:sz w:val="18"/>
                <w:szCs w:val="18"/>
                <w:color w:val="auto"/>
              </w:rPr>
            </w:pPr>
          </w:p>
        </w:tc>
      </w:tr>
      <w:tr>
        <w:trPr>
          <w:trHeight w:val="377"/>
        </w:trPr>
        <w:tc>
          <w:tcPr>
            <w:tcW w:w="160" w:type="dxa"/>
            <w:vAlign w:val="bottom"/>
          </w:tcPr>
          <w:p>
            <w:pPr>
              <w:jc w:val="right"/>
              <w:spacing w:after="0" w:line="376" w:lineRule="exact"/>
              <w:rPr>
                <w:sz w:val="20"/>
                <w:szCs w:val="20"/>
                <w:color w:val="auto"/>
              </w:rPr>
            </w:pPr>
            <w:r>
              <w:rPr>
                <w:rFonts w:ascii="Arial" w:cs="Arial" w:eastAsia="Arial" w:hAnsi="Arial"/>
                <w:sz w:val="18"/>
                <w:szCs w:val="18"/>
                <w:color w:val="0075A8"/>
                <w:w w:val="97"/>
              </w:rPr>
              <w:t>​​</w:t>
            </w:r>
            <w:r>
              <w:rPr>
                <w:rFonts w:ascii="Arial" w:cs="Arial" w:eastAsia="Arial" w:hAnsi="Arial"/>
                <w:sz w:val="35"/>
                <w:szCs w:val="35"/>
                <w:color w:val="000000"/>
                <w:w w:val="97"/>
                <w:vertAlign w:val="subscript"/>
              </w:rPr>
              <w:t>•</w:t>
            </w:r>
          </w:p>
        </w:tc>
        <w:tc>
          <w:tcPr>
            <w:tcW w:w="3260" w:type="dxa"/>
            <w:vAlign w:val="bottom"/>
          </w:tcPr>
          <w:p>
            <w:pPr>
              <w:ind w:left="60"/>
              <w:spacing w:after="0"/>
              <w:rPr>
                <w:sz w:val="20"/>
                <w:szCs w:val="20"/>
                <w:color w:val="auto"/>
              </w:rPr>
            </w:pPr>
            <w:r>
              <w:rPr>
                <w:rFonts w:ascii="Arial" w:cs="Arial" w:eastAsia="Arial" w:hAnsi="Arial"/>
                <w:sz w:val="18"/>
                <w:szCs w:val="18"/>
                <w:color w:val="auto"/>
              </w:rPr>
              <w:t>director skills, experience and diversity</w:t>
            </w:r>
          </w:p>
        </w:tc>
        <w:tc>
          <w:tcPr>
            <w:tcW w:w="260" w:type="dxa"/>
            <w:vAlign w:val="bottom"/>
          </w:tcPr>
          <w:p>
            <w:pPr>
              <w:jc w:val="right"/>
              <w:spacing w:after="0"/>
              <w:rPr>
                <w:sz w:val="20"/>
                <w:szCs w:val="20"/>
                <w:color w:val="auto"/>
              </w:rPr>
            </w:pPr>
            <w:r>
              <w:rPr>
                <w:rFonts w:ascii="Arial" w:cs="Arial" w:eastAsia="Arial" w:hAnsi="Arial"/>
                <w:sz w:val="18"/>
                <w:szCs w:val="18"/>
                <w:color w:val="0075A8"/>
              </w:rPr>
              <w:t>​​</w:t>
            </w:r>
          </w:p>
        </w:tc>
      </w:tr>
      <w:tr>
        <w:trPr>
          <w:trHeight w:val="229"/>
        </w:trPr>
        <w:tc>
          <w:tcPr>
            <w:tcW w:w="160" w:type="dxa"/>
            <w:vAlign w:val="bottom"/>
          </w:tcPr>
          <w:p>
            <w:pPr>
              <w:jc w:val="right"/>
              <w:spacing w:after="0" w:line="230" w:lineRule="exact"/>
              <w:rPr>
                <w:sz w:val="20"/>
                <w:szCs w:val="20"/>
                <w:color w:val="auto"/>
              </w:rPr>
            </w:pPr>
            <w:r>
              <w:rPr>
                <w:rFonts w:ascii="Arial" w:cs="Arial" w:eastAsia="Arial" w:hAnsi="Arial"/>
                <w:sz w:val="15"/>
                <w:szCs w:val="15"/>
                <w:color w:val="auto"/>
              </w:rPr>
              <w:t>​​</w:t>
            </w:r>
            <w:r>
              <w:rPr>
                <w:rFonts w:ascii="Arial" w:cs="Arial" w:eastAsia="Arial" w:hAnsi="Arial"/>
                <w:sz w:val="26"/>
                <w:szCs w:val="26"/>
                <w:color w:val="auto"/>
                <w:vertAlign w:val="subscript"/>
              </w:rPr>
              <w:t>•</w:t>
            </w:r>
          </w:p>
        </w:tc>
        <w:tc>
          <w:tcPr>
            <w:tcW w:w="3520" w:type="dxa"/>
            <w:vAlign w:val="bottom"/>
            <w:gridSpan w:val="2"/>
          </w:tcPr>
          <w:p>
            <w:pPr>
              <w:ind w:left="60"/>
              <w:spacing w:after="0" w:line="230" w:lineRule="exact"/>
              <w:rPr>
                <w:sz w:val="20"/>
                <w:szCs w:val="20"/>
                <w:color w:val="auto"/>
              </w:rPr>
            </w:pPr>
            <w:r>
              <w:rPr>
                <w:rFonts w:ascii="Arial" w:cs="Arial" w:eastAsia="Arial" w:hAnsi="Arial"/>
                <w:sz w:val="15"/>
                <w:szCs w:val="15"/>
                <w:color w:val="auto"/>
              </w:rPr>
              <w:t xml:space="preserve">corporate responsibility and sustainability </w:t>
            </w:r>
            <w:r>
              <w:rPr>
                <w:rFonts w:ascii="Arial" w:cs="Arial" w:eastAsia="Arial" w:hAnsi="Arial"/>
                <w:sz w:val="26"/>
                <w:szCs w:val="26"/>
                <w:color w:val="auto"/>
                <w:vertAlign w:val="superscript"/>
              </w:rPr>
              <w:t>​​</w:t>
            </w:r>
          </w:p>
        </w:tc>
      </w:tr>
      <w:tr>
        <w:trPr>
          <w:trHeight w:val="217"/>
        </w:trPr>
        <w:tc>
          <w:tcPr>
            <w:tcW w:w="160" w:type="dxa"/>
            <w:vAlign w:val="bottom"/>
          </w:tcPr>
          <w:p>
            <w:pPr>
              <w:spacing w:after="0"/>
              <w:rPr>
                <w:sz w:val="18"/>
                <w:szCs w:val="18"/>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(including ESG programs)</w:t>
            </w:r>
          </w:p>
        </w:tc>
        <w:tc>
          <w:tcPr>
            <w:tcW w:w="260" w:type="dxa"/>
            <w:vAlign w:val="bottom"/>
          </w:tcPr>
          <w:p>
            <w:pPr>
              <w:spacing w:after="0"/>
              <w:rPr>
                <w:sz w:val="18"/>
                <w:szCs w:val="18"/>
                <w:color w:val="auto"/>
              </w:rPr>
            </w:pPr>
          </w:p>
        </w:tc>
      </w:tr>
    </w:tbl>
    <w:p>
      <w:pPr>
        <w:spacing w:after="0" w:line="332" w:lineRule="exact"/>
        <w:rPr>
          <w:sz w:val="20"/>
          <w:szCs w:val="20"/>
          <w:color w:val="auto"/>
        </w:rPr>
      </w:pPr>
    </w:p>
    <w:p>
      <w:pPr>
        <w:sectPr>
          <w:pgSz w:w="11900" w:h="16838" w:orient="portrait"/>
          <w:cols w:equalWidth="0" w:num="3">
            <w:col w:w="2340" w:space="160"/>
            <w:col w:w="3740" w:space="200"/>
            <w:col w:w="3680"/>
          </w:cols>
          <w:pgMar w:left="580" w:top="131" w:right="1199" w:bottom="1440" w:gutter="0" w:footer="0" w:header="0"/>
          <w:type w:val="continuous"/>
        </w:sectPr>
      </w:pPr>
    </w:p>
    <w:p>
      <w:pPr>
        <w:spacing w:after="0" w:line="110" w:lineRule="exact"/>
        <w:rPr>
          <w:sz w:val="20"/>
          <w:szCs w:val="20"/>
          <w:color w:val="auto"/>
        </w:rPr>
      </w:pPr>
    </w:p>
    <w:p>
      <w:pPr>
        <w:ind w:left="660" w:right="20"/>
        <w:spacing w:after="0" w:line="253" w:lineRule="auto"/>
        <w:rPr>
          <w:sz w:val="20"/>
          <w:szCs w:val="20"/>
          <w:color w:val="auto"/>
        </w:rPr>
      </w:pPr>
      <w:r>
        <w:rPr>
          <w:rFonts w:ascii="Arial" w:cs="Arial" w:eastAsia="Arial" w:hAnsi="Arial"/>
          <w:sz w:val="20"/>
          <w:szCs w:val="20"/>
          <w:color w:val="auto"/>
        </w:rPr>
        <w:t>The Audit Committee plays a key role in overseeing our annual enterprise risk management process designed to identify risks and controls, promote visibility and dialogue, and facilitate risk response and mitigation strategies. Important elements of this process include:</w:t>
      </w:r>
    </w:p>
    <w:p>
      <w:pPr>
        <w:spacing w:after="0" w:line="3" w:lineRule="exact"/>
        <w:rPr>
          <w:sz w:val="20"/>
          <w:szCs w:val="20"/>
          <w:color w:val="auto"/>
        </w:rPr>
      </w:pPr>
    </w:p>
    <w:p>
      <w:pPr>
        <w:ind w:left="840" w:hanging="186"/>
        <w:spacing w:after="0"/>
        <w:tabs>
          <w:tab w:leader="none" w:pos="8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Collecting data from stakeholders throughout the</w:t>
      </w:r>
    </w:p>
    <w:p>
      <w:pPr>
        <w:spacing w:after="0" w:line="38" w:lineRule="exact"/>
        <w:rPr>
          <w:rFonts w:ascii="Arial" w:cs="Arial" w:eastAsia="Arial" w:hAnsi="Arial"/>
          <w:sz w:val="19"/>
          <w:szCs w:val="19"/>
          <w:color w:val="auto"/>
        </w:rPr>
      </w:pPr>
    </w:p>
    <w:p>
      <w:pPr>
        <w:ind w:left="840" w:right="60"/>
        <w:spacing w:after="0" w:line="260" w:lineRule="auto"/>
        <w:rPr>
          <w:rFonts w:ascii="Arial" w:cs="Arial" w:eastAsia="Arial" w:hAnsi="Arial"/>
          <w:sz w:val="19"/>
          <w:szCs w:val="19"/>
          <w:color w:val="auto"/>
        </w:rPr>
      </w:pPr>
      <w:r>
        <w:rPr>
          <w:rFonts w:ascii="Arial" w:cs="Arial" w:eastAsia="Arial" w:hAnsi="Arial"/>
          <w:sz w:val="20"/>
          <w:szCs w:val="20"/>
          <w:color w:val="auto"/>
        </w:rPr>
        <w:t>Company, identifying and categorizing the likelihood and magnitude of risk events, and summarizing the results to create a consolidated risk profile.</w:t>
      </w:r>
    </w:p>
    <w:p>
      <w:pPr>
        <w:spacing w:after="0" w:line="2" w:lineRule="exact"/>
        <w:rPr>
          <w:rFonts w:ascii="Arial" w:cs="Arial" w:eastAsia="Arial" w:hAnsi="Arial"/>
          <w:sz w:val="19"/>
          <w:szCs w:val="19"/>
          <w:color w:val="auto"/>
        </w:rPr>
      </w:pPr>
    </w:p>
    <w:p>
      <w:pPr>
        <w:ind w:left="840" w:right="360" w:hanging="186"/>
        <w:spacing w:after="0" w:line="281" w:lineRule="auto"/>
        <w:tabs>
          <w:tab w:leader="none" w:pos="8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Reviewing this risk profile with our senior management and seeking input on mitigation</w:t>
      </w:r>
    </w:p>
    <w:p>
      <w:pPr>
        <w:spacing w:after="0" w:line="1" w:lineRule="exact"/>
        <w:rPr>
          <w:rFonts w:ascii="Arial" w:cs="Arial" w:eastAsia="Arial" w:hAnsi="Arial"/>
          <w:sz w:val="19"/>
          <w:szCs w:val="19"/>
          <w:color w:val="auto"/>
        </w:rPr>
      </w:pPr>
    </w:p>
    <w:p>
      <w:pPr>
        <w:ind w:left="840" w:right="1360"/>
        <w:spacing w:after="0" w:line="260" w:lineRule="auto"/>
        <w:rPr>
          <w:rFonts w:ascii="Arial" w:cs="Arial" w:eastAsia="Arial" w:hAnsi="Arial"/>
          <w:sz w:val="19"/>
          <w:szCs w:val="19"/>
          <w:color w:val="auto"/>
        </w:rPr>
      </w:pPr>
      <w:r>
        <w:rPr>
          <w:rFonts w:ascii="Arial" w:cs="Arial" w:eastAsia="Arial" w:hAnsi="Arial"/>
          <w:sz w:val="20"/>
          <w:szCs w:val="20"/>
          <w:color w:val="auto"/>
        </w:rPr>
        <w:t>and response strategies and their implementation.</w:t>
      </w:r>
    </w:p>
    <w:p>
      <w:pPr>
        <w:spacing w:after="0" w:line="1" w:lineRule="exact"/>
        <w:rPr>
          <w:rFonts w:ascii="Arial" w:cs="Arial" w:eastAsia="Arial" w:hAnsi="Arial"/>
          <w:sz w:val="19"/>
          <w:szCs w:val="19"/>
          <w:color w:val="auto"/>
        </w:rPr>
      </w:pPr>
    </w:p>
    <w:p>
      <w:pPr>
        <w:ind w:left="840" w:hanging="186"/>
        <w:spacing w:after="0"/>
        <w:tabs>
          <w:tab w:leader="none" w:pos="8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Reviewing the consolidated measures of controls</w:t>
      </w:r>
    </w:p>
    <w:p>
      <w:pPr>
        <w:spacing w:after="0" w:line="38" w:lineRule="exact"/>
        <w:rPr>
          <w:rFonts w:ascii="Arial" w:cs="Arial" w:eastAsia="Arial" w:hAnsi="Arial"/>
          <w:sz w:val="19"/>
          <w:szCs w:val="19"/>
          <w:color w:val="auto"/>
        </w:rPr>
      </w:pPr>
    </w:p>
    <w:p>
      <w:pPr>
        <w:ind w:left="840" w:right="820"/>
        <w:spacing w:after="0" w:line="261" w:lineRule="auto"/>
        <w:rPr>
          <w:rFonts w:ascii="Arial" w:cs="Arial" w:eastAsia="Arial" w:hAnsi="Arial"/>
          <w:sz w:val="19"/>
          <w:szCs w:val="19"/>
          <w:color w:val="auto"/>
        </w:rPr>
      </w:pPr>
      <w:r>
        <w:rPr>
          <w:rFonts w:ascii="Arial" w:cs="Arial" w:eastAsia="Arial" w:hAnsi="Arial"/>
          <w:sz w:val="20"/>
          <w:szCs w:val="20"/>
          <w:color w:val="auto"/>
        </w:rPr>
        <w:t>designed to facilitate the employment of adequate risk mitigation strategies.</w:t>
      </w:r>
    </w:p>
    <w:p>
      <w:pPr>
        <w:spacing w:after="0" w:line="67" w:lineRule="exact"/>
        <w:rPr>
          <w:sz w:val="20"/>
          <w:szCs w:val="20"/>
          <w:color w:val="auto"/>
        </w:rPr>
      </w:pPr>
    </w:p>
    <w:p>
      <w:pPr>
        <w:ind w:left="660" w:right="60"/>
        <w:spacing w:after="0" w:line="271" w:lineRule="auto"/>
        <w:rPr>
          <w:sz w:val="20"/>
          <w:szCs w:val="20"/>
          <w:color w:val="auto"/>
        </w:rPr>
      </w:pPr>
      <w:r>
        <w:rPr>
          <w:rFonts w:ascii="Arial" w:cs="Arial" w:eastAsia="Arial" w:hAnsi="Arial"/>
          <w:sz w:val="19"/>
          <w:szCs w:val="19"/>
          <w:color w:val="auto"/>
        </w:rPr>
        <w:t>In addition, each committee reports to the Board on a regular basis, including reporting with respect to the committee’s risk oversight activities as well as recommendations on actions requiring approval of the full Board. For example, the Board periodically reviews and approves the executive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3" w:right="120"/>
        <w:spacing w:after="0" w:line="255" w:lineRule="auto"/>
        <w:rPr>
          <w:sz w:val="20"/>
          <w:szCs w:val="20"/>
          <w:color w:val="auto"/>
        </w:rPr>
      </w:pPr>
      <w:r>
        <w:rPr>
          <w:rFonts w:ascii="Arial" w:cs="Arial" w:eastAsia="Arial" w:hAnsi="Arial"/>
          <w:sz w:val="20"/>
          <w:szCs w:val="20"/>
          <w:color w:val="auto"/>
        </w:rPr>
        <w:t>succession plan in consultation with the Compensation Committee and the Chief Executive Officer. In addition, from time to time the Board will request updates on particular focus areas, such as cybersecurity, sustainability, and human capital management.</w:t>
      </w:r>
    </w:p>
    <w:p>
      <w:pPr>
        <w:spacing w:after="0" w:line="73" w:lineRule="exact"/>
        <w:rPr>
          <w:sz w:val="20"/>
          <w:szCs w:val="20"/>
          <w:color w:val="auto"/>
        </w:rPr>
      </w:pPr>
    </w:p>
    <w:p>
      <w:pPr>
        <w:ind w:left="3" w:right="160"/>
        <w:spacing w:after="0" w:line="271" w:lineRule="auto"/>
        <w:rPr>
          <w:sz w:val="20"/>
          <w:szCs w:val="20"/>
          <w:color w:val="auto"/>
        </w:rPr>
      </w:pPr>
      <w:r>
        <w:rPr>
          <w:rFonts w:ascii="Arial" w:cs="Arial" w:eastAsia="Arial" w:hAnsi="Arial"/>
          <w:sz w:val="19"/>
          <w:szCs w:val="19"/>
          <w:color w:val="auto"/>
        </w:rPr>
        <w:t>Our Compensation Committee does not believe that any risks arising from our employee compensation policies and practices are reasonably likely to have a material adverse effect on our company. Our Compensation Committee believes that any such risks are mitigated by:</w:t>
      </w:r>
    </w:p>
    <w:p>
      <w:pPr>
        <w:spacing w:after="0" w:line="180" w:lineRule="exact"/>
        <w:rPr>
          <w:sz w:val="20"/>
          <w:szCs w:val="20"/>
          <w:color w:val="auto"/>
        </w:rPr>
      </w:pPr>
    </w:p>
    <w:p>
      <w:pPr>
        <w:jc w:val="both"/>
        <w:ind w:left="183" w:right="520" w:hanging="183"/>
        <w:spacing w:after="0" w:line="281" w:lineRule="auto"/>
        <w:tabs>
          <w:tab w:leader="none" w:pos="183"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multiple elements of our compensation packages, including base salary, our annual</w:t>
      </w:r>
    </w:p>
    <w:p>
      <w:pPr>
        <w:spacing w:after="0" w:line="1" w:lineRule="exact"/>
        <w:rPr>
          <w:rFonts w:ascii="Arial" w:cs="Arial" w:eastAsia="Arial" w:hAnsi="Arial"/>
          <w:sz w:val="19"/>
          <w:szCs w:val="19"/>
          <w:color w:val="auto"/>
        </w:rPr>
      </w:pPr>
    </w:p>
    <w:p>
      <w:pPr>
        <w:jc w:val="both"/>
        <w:ind w:left="183" w:right="160"/>
        <w:spacing w:after="0" w:line="276" w:lineRule="auto"/>
        <w:rPr>
          <w:rFonts w:ascii="Arial" w:cs="Arial" w:eastAsia="Arial" w:hAnsi="Arial"/>
          <w:sz w:val="19"/>
          <w:szCs w:val="19"/>
          <w:color w:val="auto"/>
        </w:rPr>
      </w:pPr>
      <w:r>
        <w:rPr>
          <w:rFonts w:ascii="Arial" w:cs="Arial" w:eastAsia="Arial" w:hAnsi="Arial"/>
          <w:sz w:val="19"/>
          <w:szCs w:val="19"/>
          <w:color w:val="auto"/>
        </w:rPr>
        <w:t>short-term incentive compensation plan and (for our executive officers and other key employees) equity awards that vest (or are issuable) over</w:t>
      </w:r>
    </w:p>
    <w:p>
      <w:pPr>
        <w:spacing w:after="0" w:line="2" w:lineRule="exact"/>
        <w:rPr>
          <w:rFonts w:ascii="Arial" w:cs="Arial" w:eastAsia="Arial" w:hAnsi="Arial"/>
          <w:sz w:val="19"/>
          <w:szCs w:val="19"/>
          <w:color w:val="auto"/>
        </w:rPr>
      </w:pPr>
    </w:p>
    <w:p>
      <w:pPr>
        <w:ind w:left="183" w:right="580"/>
        <w:spacing w:after="0" w:line="262" w:lineRule="auto"/>
        <w:rPr>
          <w:rFonts w:ascii="Arial" w:cs="Arial" w:eastAsia="Arial" w:hAnsi="Arial"/>
          <w:sz w:val="19"/>
          <w:szCs w:val="19"/>
          <w:color w:val="auto"/>
        </w:rPr>
      </w:pPr>
      <w:r>
        <w:rPr>
          <w:rFonts w:ascii="Arial" w:cs="Arial" w:eastAsia="Arial" w:hAnsi="Arial"/>
          <w:sz w:val="20"/>
          <w:szCs w:val="20"/>
          <w:color w:val="auto"/>
        </w:rPr>
        <w:t>multiple years and are intended to motivate employees to take a long-term view of our business.</w:t>
      </w:r>
    </w:p>
    <w:p>
      <w:pPr>
        <w:spacing w:after="0" w:line="2" w:lineRule="exact"/>
        <w:rPr>
          <w:rFonts w:ascii="Arial" w:cs="Arial" w:eastAsia="Arial" w:hAnsi="Arial"/>
          <w:sz w:val="19"/>
          <w:szCs w:val="19"/>
          <w:color w:val="auto"/>
        </w:rPr>
      </w:pPr>
    </w:p>
    <w:p>
      <w:pPr>
        <w:ind w:left="183" w:right="100" w:hanging="183"/>
        <w:spacing w:after="0" w:line="264" w:lineRule="auto"/>
        <w:tabs>
          <w:tab w:leader="none" w:pos="183"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structure of our short-term incentive compensation plan (described in greater detail in this Proxy Statement under “</w:t>
      </w:r>
      <w:r>
        <w:rPr>
          <w:rFonts w:ascii="Arial" w:cs="Arial" w:eastAsia="Arial" w:hAnsi="Arial"/>
          <w:sz w:val="20"/>
          <w:szCs w:val="20"/>
          <w:i w:val="1"/>
          <w:iCs w:val="1"/>
          <w:color w:val="auto"/>
        </w:rPr>
        <w:t>Compensation</w:t>
      </w:r>
    </w:p>
    <w:p>
      <w:pPr>
        <w:spacing w:after="0" w:line="246" w:lineRule="exact"/>
        <w:rPr>
          <w:sz w:val="20"/>
          <w:szCs w:val="20"/>
          <w:color w:val="auto"/>
        </w:rPr>
      </w:pPr>
    </w:p>
    <w:p>
      <w:pPr>
        <w:sectPr>
          <w:pgSz w:w="11900" w:h="16838" w:orient="portrait"/>
          <w:cols w:equalWidth="0" w:num="2">
            <w:col w:w="5140" w:space="437"/>
            <w:col w:w="4543"/>
          </w:cols>
          <w:pgMar w:left="580" w:top="131" w:right="1199" w:bottom="1440" w:gutter="0" w:footer="0" w:header="0"/>
          <w:type w:val="continuous"/>
        </w:sectPr>
      </w:pPr>
    </w:p>
    <w:p>
      <w:pPr>
        <w:spacing w:after="0" w:line="112"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20"/>
          </w:cols>
          <w:pgMar w:left="580" w:top="131" w:right="11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ectPr>
          <w:pgSz w:w="11900" w:h="16838" w:orient="portrait"/>
          <w:cols w:equalWidth="0" w:num="1">
            <w:col w:w="10100"/>
          </w:cols>
          <w:pgMar w:left="580" w:top="131" w:right="121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840"/>
        <w:spacing w:after="0"/>
        <w:rPr>
          <w:sz w:val="20"/>
          <w:szCs w:val="20"/>
          <w:color w:val="auto"/>
        </w:rPr>
      </w:pPr>
      <w:r>
        <w:rPr>
          <w:rFonts w:ascii="Arial" w:cs="Arial" w:eastAsia="Arial" w:hAnsi="Arial"/>
          <w:sz w:val="20"/>
          <w:szCs w:val="20"/>
          <w:i w:val="1"/>
          <w:iCs w:val="1"/>
          <w:color w:val="auto"/>
        </w:rPr>
        <w:t>Discussion and Analysis</w:t>
      </w:r>
      <w:r>
        <w:rPr>
          <w:rFonts w:ascii="Arial" w:cs="Arial" w:eastAsia="Arial" w:hAnsi="Arial"/>
          <w:sz w:val="20"/>
          <w:szCs w:val="20"/>
          <w:color w:val="auto"/>
        </w:rPr>
        <w:t>”), which is based on</w:t>
      </w:r>
    </w:p>
    <w:p>
      <w:pPr>
        <w:spacing w:after="0" w:line="47" w:lineRule="exact"/>
        <w:rPr>
          <w:sz w:val="20"/>
          <w:szCs w:val="20"/>
          <w:color w:val="auto"/>
        </w:rPr>
      </w:pPr>
    </w:p>
    <w:p>
      <w:pPr>
        <w:ind w:left="1060" w:hanging="226"/>
        <w:spacing w:after="0"/>
        <w:tabs>
          <w:tab w:leader="none" w:pos="10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number of different financial and operating</w:t>
      </w:r>
    </w:p>
    <w:p>
      <w:pPr>
        <w:spacing w:after="0" w:line="26" w:lineRule="exact"/>
        <w:rPr>
          <w:rFonts w:ascii="Arial" w:cs="Arial" w:eastAsia="Arial" w:hAnsi="Arial"/>
          <w:sz w:val="20"/>
          <w:szCs w:val="20"/>
          <w:color w:val="auto"/>
        </w:rPr>
      </w:pPr>
    </w:p>
    <w:p>
      <w:pPr>
        <w:ind w:left="840"/>
        <w:spacing w:after="0" w:line="276" w:lineRule="auto"/>
        <w:rPr>
          <w:rFonts w:ascii="Arial" w:cs="Arial" w:eastAsia="Arial" w:hAnsi="Arial"/>
          <w:sz w:val="20"/>
          <w:szCs w:val="20"/>
          <w:color w:val="auto"/>
        </w:rPr>
      </w:pPr>
      <w:r>
        <w:rPr>
          <w:rFonts w:ascii="Arial" w:cs="Arial" w:eastAsia="Arial" w:hAnsi="Arial"/>
          <w:sz w:val="19"/>
          <w:szCs w:val="19"/>
          <w:color w:val="auto"/>
        </w:rPr>
        <w:t>performance metrics to avoid employees placing undue emphasis on any particular performance metric at the expense of other aspects of our</w:t>
      </w:r>
    </w:p>
    <w:p>
      <w:pPr>
        <w:spacing w:after="0" w:line="2" w:lineRule="exact"/>
        <w:rPr>
          <w:rFonts w:ascii="Arial" w:cs="Arial" w:eastAsia="Arial" w:hAnsi="Arial"/>
          <w:sz w:val="20"/>
          <w:szCs w:val="20"/>
          <w:color w:val="auto"/>
        </w:rPr>
      </w:pPr>
    </w:p>
    <w:p>
      <w:pPr>
        <w:ind w:left="840" w:right="240"/>
        <w:spacing w:after="0" w:line="261" w:lineRule="auto"/>
        <w:rPr>
          <w:rFonts w:ascii="Arial" w:cs="Arial" w:eastAsia="Arial" w:hAnsi="Arial"/>
          <w:sz w:val="20"/>
          <w:szCs w:val="20"/>
          <w:color w:val="auto"/>
        </w:rPr>
      </w:pPr>
      <w:r>
        <w:rPr>
          <w:rFonts w:ascii="Arial" w:cs="Arial" w:eastAsia="Arial" w:hAnsi="Arial"/>
          <w:sz w:val="20"/>
          <w:szCs w:val="20"/>
          <w:color w:val="auto"/>
        </w:rPr>
        <w:t>business, and (ii) performance targets that we believe are appropriately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right="60"/>
        <w:spacing w:after="0" w:line="264" w:lineRule="auto"/>
        <w:rPr>
          <w:sz w:val="20"/>
          <w:szCs w:val="20"/>
          <w:color w:val="auto"/>
        </w:rPr>
      </w:pPr>
      <w:r>
        <w:rPr>
          <w:rFonts w:ascii="Arial" w:cs="Arial" w:eastAsia="Arial" w:hAnsi="Arial"/>
          <w:sz w:val="20"/>
          <w:szCs w:val="20"/>
          <w:color w:val="auto"/>
        </w:rPr>
        <w:t>aggressive yet will not require undue risk-taking to achieve. Further, the structure of the short-term incentive compensation plan aids in driving sustained long-term financial performance as the goals and targets from the prior year’s plan are significant factors used in determining goals for the current year’s plan.</w:t>
      </w:r>
    </w:p>
    <w:p>
      <w:pPr>
        <w:spacing w:after="0" w:line="200" w:lineRule="exact"/>
        <w:rPr>
          <w:sz w:val="20"/>
          <w:szCs w:val="20"/>
          <w:color w:val="auto"/>
        </w:rPr>
      </w:pPr>
    </w:p>
    <w:p>
      <w:pPr>
        <w:sectPr>
          <w:pgSz w:w="11900" w:h="16838" w:orient="portrait"/>
          <w:cols w:equalWidth="0" w:num="2">
            <w:col w:w="5080" w:space="680"/>
            <w:col w:w="4340"/>
          </w:cols>
          <w:pgMar w:left="580" w:top="131" w:right="1219" w:bottom="1440" w:gutter="0" w:footer="0" w:header="0"/>
          <w:type w:val="continuous"/>
        </w:sectPr>
      </w:pPr>
    </w:p>
    <w:p>
      <w:pPr>
        <w:spacing w:after="0" w:line="4"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p>
      <w:pPr>
        <w:spacing w:after="0" w:line="255"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The Compensation Committee of the Board of Directors currently consists of Ms. King (Chairman), Mr. Batey, and Mr. Schriesheim. Mr. McGlade served on the Compensation Committee until May 11, 2022, when Mr. Batey was appointed to the Compensation Committee. No member of this committee was at any time during fiscal year 2022 an officer or employee of the Company, was formerly an officer of the Company or any of its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subsidiaries, or had any employment relationship with the Company or any of its subsidiaries. No executive officer of the Company has served as a director or member of the compensation committee (or other committee serving an equivalent function) of any other entity, where one of such entity’s executive officers served as a director of the Company or a member of the Compensation Committee.</w:t>
      </w:r>
    </w:p>
    <w:p>
      <w:pPr>
        <w:spacing w:after="0" w:line="443" w:lineRule="exact"/>
        <w:rPr>
          <w:sz w:val="20"/>
          <w:szCs w:val="20"/>
          <w:color w:val="auto"/>
        </w:rPr>
      </w:pPr>
    </w:p>
    <w:p>
      <w:pPr>
        <w:sectPr>
          <w:pgSz w:w="11900" w:h="16838" w:orient="portrait"/>
          <w:cols w:equalWidth="0" w:num="2">
            <w:col w:w="4880" w:space="700"/>
            <w:col w:w="4520"/>
          </w:cols>
          <w:pgMar w:left="580" w:top="131" w:right="1219" w:bottom="1440" w:gutter="0" w:footer="0" w:header="0"/>
          <w:type w:val="continuous"/>
        </w:sectPr>
      </w:pPr>
    </w:p>
    <w:p>
      <w:pPr>
        <w:spacing w:after="0" w:line="3"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p>
      <w:pPr>
        <w:spacing w:after="0" w:line="255"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Other than compensation agreements and other arrangements described below under “</w:t>
      </w:r>
      <w:r>
        <w:rPr>
          <w:rFonts w:ascii="Arial" w:cs="Arial" w:eastAsia="Arial" w:hAnsi="Arial"/>
          <w:sz w:val="20"/>
          <w:szCs w:val="20"/>
          <w:i w:val="1"/>
          <w:iCs w:val="1"/>
          <w:color w:val="auto"/>
        </w:rPr>
        <w:t>Information</w:t>
      </w:r>
      <w:r>
        <w:rPr>
          <w:rFonts w:ascii="Arial" w:cs="Arial" w:eastAsia="Arial" w:hAnsi="Arial"/>
          <w:sz w:val="20"/>
          <w:szCs w:val="20"/>
          <w:color w:val="auto"/>
        </w:rPr>
        <w:t xml:space="preserve"> </w:t>
      </w:r>
      <w:r>
        <w:rPr>
          <w:rFonts w:ascii="Arial" w:cs="Arial" w:eastAsia="Arial" w:hAnsi="Arial"/>
          <w:sz w:val="20"/>
          <w:szCs w:val="20"/>
          <w:i w:val="1"/>
          <w:iCs w:val="1"/>
          <w:color w:val="auto"/>
        </w:rPr>
        <w:t>About Executive and Director Compensation</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since October 2, 2021, there has not been a 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Our Board has adopted a written related person transaction approval policy that sets forth the Company’s policies and procedures for the review, approval, or ratification of any transaction</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required to be reported in its filings with the SEC.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The Company’s policy with regard to related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person transactions is that all related person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transactions between the Company and any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related person (as defined in Item 404 of</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Regulation S-K) or their affiliates, in which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amount involved is equal to or greater than</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$120,000, be reviewed by the Company’s General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Counsel and approved by the Audit Committee. In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addition, the Company’s Code of Business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Conduct and Ethics requires that employees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discuss with the Company’s Compliance Officer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any significant relationship (or transaction) that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might raise doubt about such employee’s ability to</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act in the best interest of the Company.</w:t>
      </w:r>
    </w:p>
    <w:p>
      <w:pPr>
        <w:spacing w:after="0" w:line="462" w:lineRule="exact"/>
        <w:rPr>
          <w:sz w:val="20"/>
          <w:szCs w:val="20"/>
          <w:color w:val="auto"/>
        </w:rPr>
      </w:pPr>
    </w:p>
    <w:p>
      <w:pPr>
        <w:sectPr>
          <w:pgSz w:w="11900" w:h="16838" w:orient="portrait"/>
          <w:cols w:equalWidth="0" w:num="2">
            <w:col w:w="5140" w:space="440"/>
            <w:col w:w="4520"/>
          </w:cols>
          <w:pgMar w:left="580" w:top="131"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30" w:name="page31"/>
    <w:bookmarkEnd w:id="30"/>
    <w:p>
      <w:pPr>
        <w:ind w:left="100"/>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6480810" cy="402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80810" cy="402590"/>
                    </a:xfrm>
                    <a:prstGeom prst="rect">
                      <a:avLst/>
                    </a:prstGeom>
                    <a:noFill/>
                  </pic:spPr>
                </pic:pic>
              </a:graphicData>
            </a:graphic>
          </wp:anchor>
        </w:drawing>
      </w:r>
    </w:p>
    <w:p>
      <w:pPr>
        <w:spacing w:after="0" w:line="25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2:</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760"/>
        <w:spacing w:after="0" w:line="268" w:lineRule="auto"/>
        <w:rPr>
          <w:sz w:val="20"/>
          <w:szCs w:val="20"/>
          <w:color w:val="auto"/>
        </w:rPr>
      </w:pPr>
      <w:r>
        <w:rPr>
          <w:rFonts w:ascii="Arial" w:cs="Arial" w:eastAsia="Arial" w:hAnsi="Arial"/>
          <w:sz w:val="32"/>
          <w:szCs w:val="32"/>
          <w:b w:val="1"/>
          <w:bCs w:val="1"/>
          <w:color w:val="0075A8"/>
        </w:rPr>
        <w:t>RATIFICATION OF INDEPENDENT REGISTERED PUBLIC ACCOUNTING FIRM</w:t>
      </w:r>
    </w:p>
    <w:p>
      <w:pPr>
        <w:sectPr>
          <w:pgSz w:w="11900" w:h="16838" w:orient="portrait"/>
          <w:cols w:equalWidth="0" w:num="1">
            <w:col w:w="10200"/>
          </w:cols>
          <w:pgMar w:left="480" w:top="131" w:right="1219" w:bottom="1440" w:gutter="0" w:footer="0" w:header="0"/>
        </w:sectPr>
      </w:pPr>
    </w:p>
    <w:p>
      <w:pPr>
        <w:spacing w:after="0" w:line="210" w:lineRule="exact"/>
        <w:rPr>
          <w:sz w:val="20"/>
          <w:szCs w:val="20"/>
          <w:color w:val="auto"/>
        </w:rPr>
      </w:pPr>
    </w:p>
    <w:p>
      <w:pPr>
        <w:ind w:left="760"/>
        <w:spacing w:after="0" w:line="254" w:lineRule="auto"/>
        <w:rPr>
          <w:sz w:val="20"/>
          <w:szCs w:val="20"/>
          <w:color w:val="auto"/>
        </w:rPr>
      </w:pPr>
      <w:r>
        <w:rPr>
          <w:rFonts w:ascii="Arial" w:cs="Arial" w:eastAsia="Arial" w:hAnsi="Arial"/>
          <w:sz w:val="20"/>
          <w:szCs w:val="20"/>
          <w:color w:val="auto"/>
        </w:rPr>
        <w:t>The Audit Committee has selected KPMG LLP as the Company’s independent registered public accounting firm for fiscal year 2023 and has further directed that management submit the selection of the independent registered public accounting firm for ratification by the stockholders at the Annual Meeting. KPMG LLP was the independent registered public accounting firm for the Company for fiscal year 2022 and has been the independent registered public accounting firm for the Company since 2002. We are asking the stockholders to ratify the selection of KPMG LLP as the Company’s independent registered public accounting firm for fiscal year 2023.</w:t>
      </w:r>
    </w:p>
    <w:p>
      <w:pPr>
        <w:spacing w:after="0" w:line="210" w:lineRule="exact"/>
        <w:rPr>
          <w:sz w:val="20"/>
          <w:szCs w:val="20"/>
          <w:color w:val="auto"/>
        </w:rPr>
      </w:pPr>
    </w:p>
    <w:p>
      <w:pPr>
        <w:ind w:left="760" w:right="160"/>
        <w:spacing w:after="0" w:line="255" w:lineRule="auto"/>
        <w:rPr>
          <w:sz w:val="20"/>
          <w:szCs w:val="20"/>
          <w:color w:val="auto"/>
        </w:rPr>
      </w:pPr>
      <w:r>
        <w:rPr>
          <w:rFonts w:ascii="Arial" w:cs="Arial" w:eastAsia="Arial" w:hAnsi="Arial"/>
          <w:sz w:val="20"/>
          <w:szCs w:val="20"/>
          <w:color w:val="auto"/>
        </w:rPr>
        <w:t>Representatives of KPMG LLP are expected to attend the Annual Meeting online. They will have an opportunity to make a statement if they desire to do so and will be available to respond to appropriate stockholder questions.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Stockholder ratification of the selection of KPMG LLP as the Company’s independent registered public accounting firm is not required by the Company’s By-laws or other applicable legal requirements. However, the Audit Committee is submitting the selection of KPMG LLP to the stockholders for ratification as a matter of good corporate practice. The affirmative vote of a majority of the shares present online or represented by proxy at the Annual Meeting and entitled to vote on such matter at the Annual Meeting is required to approve the selection of KPMG LLP as the Company’s independent registered public accounting firm. In the event stockholders fail to ratify the appointment, the Audit Committee may reconsider this appointment. Even if the appointment is ratified, the Audit Committee, in its discretion, may direct the appointment of a different independent registered public accounting firm at any time during the year if the Audit Committee determines that such a change would be in the Company’s and stockholders’ best interests.</w:t>
      </w:r>
    </w:p>
    <w:p>
      <w:pPr>
        <w:spacing w:after="0" w:line="200" w:lineRule="exact"/>
        <w:rPr>
          <w:sz w:val="20"/>
          <w:szCs w:val="20"/>
          <w:color w:val="auto"/>
        </w:rPr>
      </w:pPr>
    </w:p>
    <w:p>
      <w:pPr>
        <w:sectPr>
          <w:pgSz w:w="11900" w:h="16838" w:orient="portrait"/>
          <w:cols w:equalWidth="0" w:num="2">
            <w:col w:w="5200" w:space="480"/>
            <w:col w:w="4520"/>
          </w:cols>
          <w:pgMar w:left="480" w:top="131" w:right="1219" w:bottom="1440" w:gutter="0" w:footer="0" w:header="0"/>
          <w:type w:val="continuous"/>
        </w:sectPr>
      </w:pPr>
    </w:p>
    <w:p>
      <w:pPr>
        <w:spacing w:after="0" w:line="40" w:lineRule="exact"/>
        <w:rPr>
          <w:sz w:val="20"/>
          <w:szCs w:val="20"/>
          <w:color w:val="auto"/>
        </w:rPr>
      </w:pPr>
    </w:p>
    <w:tbl>
      <w:tblPr>
        <w:tblLayout w:type="fixed"/>
        <w:tblInd w:w="1670" w:type="dxa"/>
        <w:tblCellMar>
          <w:top w:w="0" w:type="dxa"/>
          <w:left w:w="0" w:type="dxa"/>
          <w:bottom w:w="0" w:type="dxa"/>
          <w:right w:w="0" w:type="dxa"/>
        </w:tblCellMar>
      </w:tblPr>
      <w:tr>
        <w:trPr>
          <w:trHeight w:val="332"/>
        </w:trPr>
        <w:tc>
          <w:tcPr>
            <w:tcW w:w="560" w:type="dxa"/>
            <w:vAlign w:val="bottom"/>
            <w:tcBorders>
              <w:top w:val="single" w:sz="8" w:color="0075A8"/>
              <w:left w:val="single" w:sz="8" w:color="0075A8"/>
            </w:tcBorders>
          </w:tcPr>
          <w:p>
            <w:pPr>
              <w:spacing w:after="0"/>
              <w:rPr>
                <w:sz w:val="24"/>
                <w:szCs w:val="24"/>
                <w:color w:val="auto"/>
              </w:rPr>
            </w:pPr>
          </w:p>
        </w:tc>
        <w:tc>
          <w:tcPr>
            <w:tcW w:w="720" w:type="dxa"/>
            <w:vAlign w:val="bottom"/>
            <w:tcBorders>
              <w:top w:val="single" w:sz="8" w:color="0075A8"/>
            </w:tcBorders>
          </w:tcPr>
          <w:p>
            <w:pPr>
              <w:spacing w:after="0"/>
              <w:rPr>
                <w:sz w:val="24"/>
                <w:szCs w:val="24"/>
                <w:color w:val="auto"/>
              </w:rPr>
            </w:pPr>
          </w:p>
        </w:tc>
        <w:tc>
          <w:tcPr>
            <w:tcW w:w="6120" w:type="dxa"/>
            <w:vAlign w:val="bottom"/>
            <w:tcBorders>
              <w:top w:val="single" w:sz="8" w:color="0075A8"/>
            </w:tcBorders>
          </w:tcPr>
          <w:p>
            <w:pPr>
              <w:jc w:val="center"/>
              <w:spacing w:after="0"/>
              <w:rPr>
                <w:sz w:val="20"/>
                <w:szCs w:val="20"/>
                <w:color w:val="auto"/>
              </w:rPr>
            </w:pPr>
            <w:r>
              <w:rPr>
                <w:rFonts w:ascii="Arial" w:cs="Arial" w:eastAsia="Arial" w:hAnsi="Arial"/>
                <w:sz w:val="18"/>
                <w:szCs w:val="18"/>
                <w:i w:val="1"/>
                <w:iCs w:val="1"/>
                <w:color w:val="0075A8"/>
                <w:w w:val="99"/>
              </w:rPr>
              <w:t>THE BOARD OF DIRECTORS UNANIMOUSLY RECOMMENDS A VOTE</w:t>
            </w:r>
          </w:p>
        </w:tc>
        <w:tc>
          <w:tcPr>
            <w:tcW w:w="220" w:type="dxa"/>
            <w:vAlign w:val="bottom"/>
            <w:tcBorders>
              <w:top w:val="single" w:sz="8" w:color="0075A8"/>
              <w:right w:val="single" w:sz="8" w:color="0075A8"/>
            </w:tcBorders>
          </w:tcPr>
          <w:p>
            <w:pPr>
              <w:spacing w:after="0"/>
              <w:rPr>
                <w:sz w:val="24"/>
                <w:szCs w:val="24"/>
                <w:color w:val="auto"/>
              </w:rPr>
            </w:pPr>
          </w:p>
        </w:tc>
      </w:tr>
      <w:tr>
        <w:trPr>
          <w:trHeight w:val="248"/>
        </w:trPr>
        <w:tc>
          <w:tcPr>
            <w:tcW w:w="560" w:type="dxa"/>
            <w:vAlign w:val="bottom"/>
            <w:tcBorders>
              <w:left w:val="single" w:sz="8" w:color="0075A8"/>
            </w:tcBorders>
          </w:tcPr>
          <w:p>
            <w:pPr>
              <w:ind w:left="20"/>
              <w:spacing w:after="0"/>
              <w:rPr>
                <w:sz w:val="20"/>
                <w:szCs w:val="20"/>
                <w:color w:val="auto"/>
              </w:rPr>
            </w:pPr>
            <w:r>
              <w:rPr>
                <w:rFonts w:ascii="Arial" w:cs="Arial" w:eastAsia="Arial" w:hAnsi="Arial"/>
                <w:sz w:val="18"/>
                <w:szCs w:val="18"/>
                <w:i w:val="1"/>
                <w:iCs w:val="1"/>
                <w:color w:val="0075A8"/>
              </w:rPr>
              <w:t>​</w:t>
            </w:r>
          </w:p>
        </w:tc>
        <w:tc>
          <w:tcPr>
            <w:tcW w:w="720" w:type="dxa"/>
            <w:vAlign w:val="bottom"/>
          </w:tcPr>
          <w:p>
            <w:pPr>
              <w:ind w:left="500"/>
              <w:spacing w:after="0"/>
              <w:rPr>
                <w:sz w:val="20"/>
                <w:szCs w:val="20"/>
                <w:color w:val="auto"/>
              </w:rPr>
            </w:pPr>
            <w:r>
              <w:rPr>
                <w:rFonts w:ascii="Arial" w:cs="Arial" w:eastAsia="Arial" w:hAnsi="Arial"/>
                <w:sz w:val="18"/>
                <w:szCs w:val="18"/>
                <w:i w:val="1"/>
                <w:iCs w:val="1"/>
                <w:color w:val="0075A8"/>
              </w:rPr>
              <w:t>​​</w:t>
            </w:r>
          </w:p>
        </w:tc>
        <w:tc>
          <w:tcPr>
            <w:tcW w:w="6120" w:type="dxa"/>
            <w:vAlign w:val="bottom"/>
          </w:tcPr>
          <w:p>
            <w:pPr>
              <w:jc w:val="center"/>
              <w:spacing w:after="0"/>
              <w:rPr>
                <w:sz w:val="20"/>
                <w:szCs w:val="20"/>
                <w:color w:val="auto"/>
              </w:rPr>
            </w:pPr>
            <w:r>
              <w:rPr>
                <w:rFonts w:ascii="Arial" w:cs="Arial" w:eastAsia="Arial" w:hAnsi="Arial"/>
                <w:sz w:val="18"/>
                <w:szCs w:val="18"/>
                <w:i w:val="1"/>
                <w:iCs w:val="1"/>
                <w:color w:val="0075A8"/>
                <w:w w:val="99"/>
              </w:rPr>
              <w:t>“FOR” THE RATIFICATION OF THE SELECTION OF KPMG LLP AS THE</w:t>
            </w:r>
          </w:p>
        </w:tc>
        <w:tc>
          <w:tcPr>
            <w:tcW w:w="220" w:type="dxa"/>
            <w:vAlign w:val="bottom"/>
            <w:tcBorders>
              <w:right w:val="single" w:sz="8" w:color="0075A8"/>
            </w:tcBorders>
          </w:tcPr>
          <w:p>
            <w:pPr>
              <w:ind w:left="80"/>
              <w:spacing w:after="0"/>
              <w:rPr>
                <w:sz w:val="20"/>
                <w:szCs w:val="20"/>
                <w:color w:val="auto"/>
              </w:rPr>
            </w:pPr>
            <w:r>
              <w:rPr>
                <w:rFonts w:ascii="Arial" w:cs="Arial" w:eastAsia="Arial" w:hAnsi="Arial"/>
                <w:sz w:val="18"/>
                <w:szCs w:val="18"/>
                <w:i w:val="1"/>
                <w:iCs w:val="1"/>
                <w:color w:val="0075A8"/>
              </w:rPr>
              <w:t>​</w:t>
            </w:r>
          </w:p>
        </w:tc>
      </w:tr>
      <w:tr>
        <w:trPr>
          <w:trHeight w:val="225"/>
        </w:trPr>
        <w:tc>
          <w:tcPr>
            <w:tcW w:w="560" w:type="dxa"/>
            <w:vAlign w:val="bottom"/>
            <w:tcBorders>
              <w:left w:val="single" w:sz="8" w:color="0075A8"/>
            </w:tcBorders>
          </w:tcPr>
          <w:p>
            <w:pPr>
              <w:spacing w:after="0"/>
              <w:rPr>
                <w:sz w:val="19"/>
                <w:szCs w:val="19"/>
                <w:color w:val="auto"/>
              </w:rPr>
            </w:pPr>
          </w:p>
        </w:tc>
        <w:tc>
          <w:tcPr>
            <w:tcW w:w="72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i w:val="1"/>
                <w:iCs w:val="1"/>
                <w:color w:val="0075A8"/>
              </w:rPr>
              <w:t>INDEPENDENT REGISTERED PUBLIC ACCOUNTING FIRM OF THE</w:t>
            </w:r>
          </w:p>
        </w:tc>
        <w:tc>
          <w:tcPr>
            <w:tcW w:w="220" w:type="dxa"/>
            <w:vAlign w:val="bottom"/>
            <w:tcBorders>
              <w:right w:val="single" w:sz="8" w:color="0075A8"/>
            </w:tcBorders>
          </w:tcPr>
          <w:p>
            <w:pPr>
              <w:spacing w:after="0"/>
              <w:rPr>
                <w:sz w:val="19"/>
                <w:szCs w:val="19"/>
                <w:color w:val="auto"/>
              </w:rPr>
            </w:pPr>
          </w:p>
        </w:tc>
      </w:tr>
      <w:tr>
        <w:trPr>
          <w:trHeight w:val="235"/>
        </w:trPr>
        <w:tc>
          <w:tcPr>
            <w:tcW w:w="560" w:type="dxa"/>
            <w:vAlign w:val="bottom"/>
            <w:tcBorders>
              <w:left w:val="single" w:sz="8" w:color="0075A8"/>
            </w:tcBorders>
          </w:tcPr>
          <w:p>
            <w:pPr>
              <w:spacing w:after="0"/>
              <w:rPr>
                <w:sz w:val="20"/>
                <w:szCs w:val="20"/>
                <w:color w:val="auto"/>
              </w:rPr>
            </w:pPr>
          </w:p>
        </w:tc>
        <w:tc>
          <w:tcPr>
            <w:tcW w:w="720" w:type="dxa"/>
            <w:vAlign w:val="bottom"/>
          </w:tcPr>
          <w:p>
            <w:pPr>
              <w:spacing w:after="0"/>
              <w:rPr>
                <w:sz w:val="20"/>
                <w:szCs w:val="20"/>
                <w:color w:val="auto"/>
              </w:rPr>
            </w:pPr>
          </w:p>
        </w:tc>
        <w:tc>
          <w:tcPr>
            <w:tcW w:w="6120" w:type="dxa"/>
            <w:vAlign w:val="bottom"/>
          </w:tcPr>
          <w:p>
            <w:pPr>
              <w:jc w:val="center"/>
              <w:spacing w:after="0"/>
              <w:rPr>
                <w:sz w:val="20"/>
                <w:szCs w:val="20"/>
                <w:color w:val="auto"/>
              </w:rPr>
            </w:pPr>
            <w:r>
              <w:rPr>
                <w:rFonts w:ascii="Arial" w:cs="Arial" w:eastAsia="Arial" w:hAnsi="Arial"/>
                <w:sz w:val="18"/>
                <w:szCs w:val="18"/>
                <w:i w:val="1"/>
                <w:iCs w:val="1"/>
                <w:color w:val="0075A8"/>
                <w:w w:val="99"/>
              </w:rPr>
              <w:t>COMPANY FOR FISCAL YEAR 2023</w:t>
            </w:r>
          </w:p>
        </w:tc>
        <w:tc>
          <w:tcPr>
            <w:tcW w:w="220" w:type="dxa"/>
            <w:vAlign w:val="bottom"/>
            <w:tcBorders>
              <w:right w:val="single" w:sz="8" w:color="0075A8"/>
            </w:tcBorders>
          </w:tcPr>
          <w:p>
            <w:pPr>
              <w:spacing w:after="0"/>
              <w:rPr>
                <w:sz w:val="20"/>
                <w:szCs w:val="20"/>
                <w:color w:val="auto"/>
              </w:rPr>
            </w:pPr>
          </w:p>
        </w:tc>
      </w:tr>
      <w:tr>
        <w:trPr>
          <w:trHeight w:val="67"/>
        </w:trPr>
        <w:tc>
          <w:tcPr>
            <w:tcW w:w="560" w:type="dxa"/>
            <w:vAlign w:val="bottom"/>
            <w:tcBorders>
              <w:left w:val="single" w:sz="8" w:color="0075A8"/>
              <w:bottom w:val="single" w:sz="8" w:color="0075A8"/>
            </w:tcBorders>
          </w:tcPr>
          <w:p>
            <w:pPr>
              <w:spacing w:after="0"/>
              <w:rPr>
                <w:sz w:val="5"/>
                <w:szCs w:val="5"/>
                <w:color w:val="auto"/>
              </w:rPr>
            </w:pPr>
          </w:p>
        </w:tc>
        <w:tc>
          <w:tcPr>
            <w:tcW w:w="720" w:type="dxa"/>
            <w:vAlign w:val="bottom"/>
            <w:tcBorders>
              <w:bottom w:val="single" w:sz="8" w:color="0075A8"/>
            </w:tcBorders>
          </w:tcPr>
          <w:p>
            <w:pPr>
              <w:spacing w:after="0"/>
              <w:rPr>
                <w:sz w:val="5"/>
                <w:szCs w:val="5"/>
                <w:color w:val="auto"/>
              </w:rPr>
            </w:pPr>
          </w:p>
        </w:tc>
        <w:tc>
          <w:tcPr>
            <w:tcW w:w="6120" w:type="dxa"/>
            <w:vAlign w:val="bottom"/>
            <w:tcBorders>
              <w:bottom w:val="single" w:sz="8" w:color="0075A8"/>
            </w:tcBorders>
          </w:tcPr>
          <w:p>
            <w:pPr>
              <w:spacing w:after="0"/>
              <w:rPr>
                <w:sz w:val="5"/>
                <w:szCs w:val="5"/>
                <w:color w:val="auto"/>
              </w:rPr>
            </w:pPr>
          </w:p>
        </w:tc>
        <w:tc>
          <w:tcPr>
            <w:tcW w:w="220" w:type="dxa"/>
            <w:vAlign w:val="bottom"/>
            <w:tcBorders>
              <w:bottom w:val="single" w:sz="8" w:color="0075A8"/>
              <w:right w:val="single" w:sz="8" w:color="0075A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-599440</wp:posOffset>
            </wp:positionV>
            <wp:extent cx="514350" cy="4883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60"/>
        <w:spacing w:after="0"/>
        <w:tabs>
          <w:tab w:leader="none" w:pos="2240" w:val="left"/>
          <w:tab w:leader="none" w:pos="2480" w:val="left"/>
          <w:tab w:leader="none" w:pos="8580" w:val="left"/>
          <w:tab w:leader="none" w:pos="894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131" w:right="12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76" w:lineRule="exact"/>
        <w:rPr>
          <w:sz w:val="20"/>
          <w:szCs w:val="20"/>
          <w:color w:val="auto"/>
        </w:rPr>
      </w:pPr>
    </w:p>
    <w:p>
      <w:pPr>
        <w:jc w:val="right"/>
        <w:ind w:right="7980"/>
        <w:spacing w:after="0"/>
        <w:rPr>
          <w:sz w:val="20"/>
          <w:szCs w:val="20"/>
          <w:color w:val="auto"/>
        </w:rPr>
      </w:pPr>
      <w:r>
        <w:rPr>
          <w:rFonts w:ascii="Arial" w:cs="Arial" w:eastAsia="Arial" w:hAnsi="Arial"/>
          <w:sz w:val="29"/>
          <w:szCs w:val="29"/>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sectPr>
      </w:pPr>
    </w:p>
    <w:p>
      <w:pPr>
        <w:spacing w:after="0" w:line="243" w:lineRule="exact"/>
        <w:rPr>
          <w:sz w:val="20"/>
          <w:szCs w:val="20"/>
          <w:color w:val="auto"/>
        </w:rPr>
      </w:pPr>
    </w:p>
    <w:p>
      <w:pPr>
        <w:ind w:left="660"/>
        <w:spacing w:after="0" w:line="272" w:lineRule="auto"/>
        <w:rPr>
          <w:sz w:val="20"/>
          <w:szCs w:val="20"/>
          <w:color w:val="auto"/>
        </w:rPr>
      </w:pPr>
      <w:r>
        <w:rPr>
          <w:rFonts w:ascii="Arial" w:cs="Arial" w:eastAsia="Arial" w:hAnsi="Arial"/>
          <w:sz w:val="19"/>
          <w:szCs w:val="19"/>
          <w:color w:val="auto"/>
        </w:rPr>
        <w:t>KPMG LLP provided audit services to the Company consisting of the annual audit of the Company’s 2022 consolidated financial statements contained in the Company’s Annual Report on Form 10-K and reviews of the financial statements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contained in the Company’s Quarterly Reports on Form 10-Q for fiscal year 2022. The following table summarizes the fees of KPMG LLP billed to the Company for the last two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304800</wp:posOffset>
            </wp:positionV>
            <wp:extent cx="5974715" cy="291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456" w:lineRule="exact"/>
        <w:rPr>
          <w:sz w:val="20"/>
          <w:szCs w:val="20"/>
          <w:color w:val="auto"/>
        </w:rPr>
      </w:pPr>
    </w:p>
    <w:p>
      <w:pPr>
        <w:sectPr>
          <w:pgSz w:w="11900" w:h="16838" w:orient="portrait"/>
          <w:cols w:equalWidth="0" w:num="2">
            <w:col w:w="5100" w:space="480"/>
            <w:col w:w="4520"/>
          </w:cols>
          <w:pgMar w:left="580" w:top="131" w:right="1219" w:bottom="1440" w:gutter="0" w:footer="0" w:header="0"/>
          <w:type w:val="continuous"/>
        </w:sectPr>
      </w:pPr>
    </w:p>
    <w:p>
      <w:pPr>
        <w:spacing w:after="0" w:line="24"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FFFFFF"/>
              </w:rPr>
              <w:t>Fiscal Year</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ind w:right="96"/>
              <w:spacing w:after="0"/>
              <w:rPr>
                <w:sz w:val="20"/>
                <w:szCs w:val="20"/>
                <w:color w:val="auto"/>
              </w:rPr>
            </w:pPr>
            <w:r>
              <w:rPr>
                <w:rFonts w:ascii="Arial" w:cs="Arial" w:eastAsia="Arial" w:hAnsi="Arial"/>
                <w:sz w:val="18"/>
                <w:szCs w:val="18"/>
                <w:color w:val="FFFFFF"/>
              </w:rPr>
              <w:t>% of</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74"/>
              <w:spacing w:after="0"/>
              <w:rPr>
                <w:sz w:val="20"/>
                <w:szCs w:val="20"/>
                <w:color w:val="auto"/>
              </w:rPr>
            </w:pPr>
            <w:r>
              <w:rPr>
                <w:rFonts w:ascii="Arial" w:cs="Arial" w:eastAsia="Arial" w:hAnsi="Arial"/>
                <w:sz w:val="18"/>
                <w:szCs w:val="18"/>
                <w:color w:val="FFFFFF"/>
              </w:rPr>
              <w:t>Fiscal Year</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FFFFFF"/>
              </w:rPr>
              <w:t>% of</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760" w:type="dxa"/>
            <w:vAlign w:val="bottom"/>
          </w:tcPr>
          <w:p>
            <w:pPr>
              <w:ind w:left="20"/>
              <w:spacing w:after="0"/>
              <w:rPr>
                <w:sz w:val="20"/>
                <w:szCs w:val="20"/>
                <w:color w:val="auto"/>
              </w:rPr>
            </w:pPr>
            <w:r>
              <w:rPr>
                <w:rFonts w:ascii="Arial" w:cs="Arial" w:eastAsia="Arial" w:hAnsi="Arial"/>
                <w:sz w:val="18"/>
                <w:szCs w:val="18"/>
                <w:color w:val="FFFFFF"/>
              </w:rPr>
              <w:t>​Fee Category</w:t>
            </w:r>
          </w:p>
        </w:tc>
        <w:tc>
          <w:tcPr>
            <w:tcW w:w="1040" w:type="dxa"/>
            <w:vAlign w:val="bottom"/>
          </w:tcPr>
          <w:p>
            <w:pPr>
              <w:ind w:left="660"/>
              <w:spacing w:after="0"/>
              <w:rPr>
                <w:sz w:val="20"/>
                <w:szCs w:val="20"/>
                <w:color w:val="auto"/>
              </w:rPr>
            </w:pPr>
            <w:r>
              <w:rPr>
                <w:rFonts w:ascii="Arial" w:cs="Arial" w:eastAsia="Arial" w:hAnsi="Arial"/>
                <w:sz w:val="18"/>
                <w:szCs w:val="18"/>
                <w:color w:val="FFFFFF"/>
              </w:rPr>
              <w:t>​</w:t>
            </w:r>
          </w:p>
        </w:tc>
        <w:tc>
          <w:tcPr>
            <w:tcW w:w="440" w:type="dxa"/>
            <w:vAlign w:val="bottom"/>
          </w:tcPr>
          <w:p>
            <w:pPr>
              <w:ind w:left="100"/>
              <w:spacing w:after="0"/>
              <w:rPr>
                <w:sz w:val="20"/>
                <w:szCs w:val="20"/>
                <w:color w:val="auto"/>
              </w:rPr>
            </w:pPr>
            <w:r>
              <w:rPr>
                <w:rFonts w:ascii="Arial" w:cs="Arial" w:eastAsia="Arial" w:hAnsi="Arial"/>
                <w:sz w:val="18"/>
                <w:szCs w:val="18"/>
                <w:color w:val="FFFFFF"/>
              </w:rPr>
              <w:t>​</w:t>
            </w:r>
          </w:p>
        </w:tc>
        <w:tc>
          <w:tcPr>
            <w:tcW w:w="940" w:type="dxa"/>
            <w:vAlign w:val="bottom"/>
          </w:tcPr>
          <w:p>
            <w:pPr>
              <w:jc w:val="right"/>
              <w:ind w:right="194"/>
              <w:spacing w:after="0"/>
              <w:rPr>
                <w:sz w:val="20"/>
                <w:szCs w:val="20"/>
                <w:color w:val="auto"/>
              </w:rPr>
            </w:pPr>
            <w:r>
              <w:rPr>
                <w:rFonts w:ascii="Arial" w:cs="Arial" w:eastAsia="Arial" w:hAnsi="Arial"/>
                <w:sz w:val="18"/>
                <w:szCs w:val="18"/>
                <w:color w:val="FFFFFF"/>
                <w:w w:val="98"/>
              </w:rPr>
              <w:t>2022 ($)</w:t>
            </w:r>
          </w:p>
        </w:tc>
        <w:tc>
          <w:tcPr>
            <w:tcW w:w="240" w:type="dxa"/>
            <w:vAlign w:val="bottom"/>
          </w:tcPr>
          <w:p>
            <w:pPr>
              <w:ind w:left="100"/>
              <w:spacing w:after="0"/>
              <w:rPr>
                <w:sz w:val="20"/>
                <w:szCs w:val="20"/>
                <w:color w:val="auto"/>
              </w:rPr>
            </w:pPr>
            <w:r>
              <w:rPr>
                <w:rFonts w:ascii="Arial" w:cs="Arial" w:eastAsia="Arial" w:hAnsi="Arial"/>
                <w:sz w:val="18"/>
                <w:szCs w:val="18"/>
                <w:color w:val="FFFFFF"/>
              </w:rPr>
              <w:t>​</w:t>
            </w:r>
          </w:p>
        </w:tc>
        <w:tc>
          <w:tcPr>
            <w:tcW w:w="480" w:type="dxa"/>
            <w:vAlign w:val="bottom"/>
          </w:tcPr>
          <w:p>
            <w:pPr>
              <w:ind w:left="340"/>
              <w:spacing w:after="0"/>
              <w:rPr>
                <w:sz w:val="20"/>
                <w:szCs w:val="20"/>
                <w:color w:val="auto"/>
              </w:rPr>
            </w:pPr>
            <w:r>
              <w:rPr>
                <w:rFonts w:ascii="Arial" w:cs="Arial" w:eastAsia="Arial" w:hAnsi="Arial"/>
                <w:sz w:val="18"/>
                <w:szCs w:val="18"/>
                <w:color w:val="FFFFFF"/>
              </w:rPr>
              <w:t>​</w:t>
            </w:r>
          </w:p>
        </w:tc>
        <w:tc>
          <w:tcPr>
            <w:tcW w:w="820" w:type="dxa"/>
            <w:vAlign w:val="bottom"/>
            <w:gridSpan w:val="2"/>
          </w:tcPr>
          <w:p>
            <w:pPr>
              <w:ind w:left="120"/>
              <w:spacing w:after="0"/>
              <w:rPr>
                <w:sz w:val="20"/>
                <w:szCs w:val="20"/>
                <w:color w:val="auto"/>
              </w:rPr>
            </w:pPr>
            <w:r>
              <w:rPr>
                <w:rFonts w:ascii="Arial" w:cs="Arial" w:eastAsia="Arial" w:hAnsi="Arial"/>
                <w:sz w:val="18"/>
                <w:szCs w:val="18"/>
                <w:color w:val="FFFFFF"/>
                <w:w w:val="93"/>
              </w:rPr>
              <w:t>Total (%)</w:t>
            </w:r>
          </w:p>
        </w:tc>
        <w:tc>
          <w:tcPr>
            <w:tcW w:w="420" w:type="dxa"/>
            <w:vAlign w:val="bottom"/>
          </w:tcPr>
          <w:p>
            <w:pPr>
              <w:ind w:left="260"/>
              <w:spacing w:after="0"/>
              <w:rPr>
                <w:sz w:val="20"/>
                <w:szCs w:val="20"/>
                <w:color w:val="auto"/>
              </w:rPr>
            </w:pPr>
            <w:r>
              <w:rPr>
                <w:rFonts w:ascii="Arial" w:cs="Arial" w:eastAsia="Arial" w:hAnsi="Arial"/>
                <w:sz w:val="18"/>
                <w:szCs w:val="18"/>
                <w:color w:val="FFFFFF"/>
              </w:rPr>
              <w:t>​</w:t>
            </w:r>
          </w:p>
        </w:tc>
        <w:tc>
          <w:tcPr>
            <w:tcW w:w="240" w:type="dxa"/>
            <w:vAlign w:val="bottom"/>
          </w:tcPr>
          <w:p>
            <w:pPr>
              <w:spacing w:after="0"/>
              <w:rPr>
                <w:sz w:val="21"/>
                <w:szCs w:val="21"/>
                <w:color w:val="auto"/>
              </w:rPr>
            </w:pPr>
          </w:p>
        </w:tc>
        <w:tc>
          <w:tcPr>
            <w:tcW w:w="440" w:type="dxa"/>
            <w:vAlign w:val="bottom"/>
          </w:tcPr>
          <w:p>
            <w:pPr>
              <w:jc w:val="right"/>
              <w:ind w:right="211"/>
              <w:spacing w:after="0"/>
              <w:rPr>
                <w:sz w:val="20"/>
                <w:szCs w:val="20"/>
                <w:color w:val="auto"/>
              </w:rPr>
            </w:pPr>
            <w:r>
              <w:rPr>
                <w:rFonts w:ascii="Arial" w:cs="Arial" w:eastAsia="Arial" w:hAnsi="Arial"/>
                <w:sz w:val="18"/>
                <w:szCs w:val="18"/>
                <w:color w:val="FFFFFF"/>
              </w:rPr>
              <w:t>​</w:t>
            </w:r>
          </w:p>
        </w:tc>
        <w:tc>
          <w:tcPr>
            <w:tcW w:w="940" w:type="dxa"/>
            <w:vAlign w:val="bottom"/>
          </w:tcPr>
          <w:p>
            <w:pPr>
              <w:jc w:val="right"/>
              <w:ind w:right="174"/>
              <w:spacing w:after="0"/>
              <w:rPr>
                <w:sz w:val="20"/>
                <w:szCs w:val="20"/>
                <w:color w:val="auto"/>
              </w:rPr>
            </w:pPr>
            <w:r>
              <w:rPr>
                <w:rFonts w:ascii="Arial" w:cs="Arial" w:eastAsia="Arial" w:hAnsi="Arial"/>
                <w:sz w:val="18"/>
                <w:szCs w:val="18"/>
                <w:color w:val="FFFFFF"/>
              </w:rPr>
              <w:t>2021 ($)</w:t>
            </w:r>
          </w:p>
        </w:tc>
        <w:tc>
          <w:tcPr>
            <w:tcW w:w="260" w:type="dxa"/>
            <w:vAlign w:val="bottom"/>
          </w:tcPr>
          <w:p>
            <w:pPr>
              <w:ind w:left="120"/>
              <w:spacing w:after="0"/>
              <w:rPr>
                <w:sz w:val="20"/>
                <w:szCs w:val="20"/>
                <w:color w:val="auto"/>
              </w:rPr>
            </w:pPr>
            <w:r>
              <w:rPr>
                <w:rFonts w:ascii="Arial" w:cs="Arial" w:eastAsia="Arial" w:hAnsi="Arial"/>
                <w:sz w:val="18"/>
                <w:szCs w:val="18"/>
                <w:color w:val="FFFFFF"/>
              </w:rPr>
              <w:t>​</w:t>
            </w:r>
          </w:p>
        </w:tc>
        <w:tc>
          <w:tcPr>
            <w:tcW w:w="500" w:type="dxa"/>
            <w:vAlign w:val="bottom"/>
          </w:tcPr>
          <w:p>
            <w:pPr>
              <w:ind w:left="360"/>
              <w:spacing w:after="0"/>
              <w:rPr>
                <w:sz w:val="20"/>
                <w:szCs w:val="20"/>
                <w:color w:val="auto"/>
              </w:rPr>
            </w:pPr>
            <w:r>
              <w:rPr>
                <w:rFonts w:ascii="Arial" w:cs="Arial" w:eastAsia="Arial" w:hAnsi="Arial"/>
                <w:sz w:val="18"/>
                <w:szCs w:val="18"/>
                <w:color w:val="FFFFFF"/>
              </w:rPr>
              <w:t>​</w:t>
            </w:r>
          </w:p>
        </w:tc>
        <w:tc>
          <w:tcPr>
            <w:tcW w:w="920" w:type="dxa"/>
            <w:vAlign w:val="bottom"/>
            <w:gridSpan w:val="3"/>
          </w:tcPr>
          <w:p>
            <w:pPr>
              <w:ind w:left="120"/>
              <w:spacing w:after="0"/>
              <w:rPr>
                <w:sz w:val="20"/>
                <w:szCs w:val="20"/>
                <w:color w:val="auto"/>
              </w:rPr>
            </w:pPr>
            <w:r>
              <w:rPr>
                <w:rFonts w:ascii="Arial" w:cs="Arial" w:eastAsia="Arial" w:hAnsi="Arial"/>
                <w:sz w:val="18"/>
                <w:szCs w:val="18"/>
                <w:color w:val="FFFFFF"/>
                <w:w w:val="99"/>
              </w:rPr>
              <w:t>Total (%) ​</w:t>
            </w:r>
          </w:p>
        </w:tc>
        <w:tc>
          <w:tcPr>
            <w:tcW w:w="0" w:type="dxa"/>
            <w:vAlign w:val="bottom"/>
          </w:tcPr>
          <w:p>
            <w:pPr>
              <w:spacing w:after="0"/>
              <w:rPr>
                <w:sz w:val="1"/>
                <w:szCs w:val="1"/>
                <w:color w:val="auto"/>
              </w:rPr>
            </w:pPr>
          </w:p>
        </w:tc>
      </w:tr>
      <w:tr>
        <w:trPr>
          <w:trHeight w:val="216"/>
        </w:trPr>
        <w:tc>
          <w:tcPr>
            <w:tcW w:w="1760" w:type="dxa"/>
            <w:vAlign w:val="bottom"/>
          </w:tcPr>
          <w:p>
            <w:pPr>
              <w:ind w:left="40"/>
              <w:spacing w:after="0"/>
              <w:rPr>
                <w:sz w:val="20"/>
                <w:szCs w:val="20"/>
                <w:color w:val="auto"/>
              </w:rPr>
            </w:pPr>
            <w:r>
              <w:rPr>
                <w:rFonts w:ascii="Arial" w:cs="Arial" w:eastAsia="Arial" w:hAnsi="Arial"/>
                <w:sz w:val="16"/>
                <w:szCs w:val="16"/>
                <w:color w:val="auto"/>
              </w:rPr>
              <w:t>Audit Fees</w:t>
            </w:r>
            <w:r>
              <w:rPr>
                <w:rFonts w:ascii="Arial" w:cs="Arial" w:eastAsia="Arial" w:hAnsi="Arial"/>
                <w:sz w:val="16"/>
                <w:szCs w:val="16"/>
                <w:color w:val="0075A8"/>
              </w:rPr>
              <w:t>(1)</w:t>
            </w:r>
          </w:p>
        </w:tc>
        <w:tc>
          <w:tcPr>
            <w:tcW w:w="1040" w:type="dxa"/>
            <w:vAlign w:val="bottom"/>
            <w:vMerge w:val="restart"/>
          </w:tcPr>
          <w:p>
            <w:pPr>
              <w:ind w:left="90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4"/>
              <w:spacing w:after="0"/>
              <w:rPr>
                <w:sz w:val="20"/>
                <w:szCs w:val="20"/>
                <w:color w:val="auto"/>
              </w:rPr>
            </w:pPr>
            <w:r>
              <w:rPr>
                <w:rFonts w:ascii="Arial" w:cs="Arial" w:eastAsia="Arial" w:hAnsi="Arial"/>
                <w:sz w:val="16"/>
                <w:szCs w:val="16"/>
                <w:color w:val="auto"/>
              </w:rPr>
              <w:t>2,479,240​</w:t>
            </w:r>
          </w:p>
        </w:tc>
        <w:tc>
          <w:tcPr>
            <w:tcW w:w="240" w:type="dxa"/>
            <w:vAlign w:val="bottom"/>
          </w:tcPr>
          <w:p>
            <w:pPr>
              <w:spacing w:after="0"/>
              <w:rPr>
                <w:sz w:val="18"/>
                <w:szCs w:val="18"/>
                <w:color w:val="auto"/>
              </w:rPr>
            </w:pPr>
          </w:p>
        </w:tc>
        <w:tc>
          <w:tcPr>
            <w:tcW w:w="48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56"/>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98.5​</w:t>
            </w:r>
          </w:p>
        </w:tc>
        <w:tc>
          <w:tcPr>
            <w:tcW w:w="4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4"/>
              <w:spacing w:after="0"/>
              <w:rPr>
                <w:sz w:val="20"/>
                <w:szCs w:val="20"/>
                <w:color w:val="auto"/>
              </w:rPr>
            </w:pPr>
            <w:r>
              <w:rPr>
                <w:rFonts w:ascii="Arial" w:cs="Arial" w:eastAsia="Arial" w:hAnsi="Arial"/>
                <w:sz w:val="16"/>
                <w:szCs w:val="16"/>
                <w:color w:val="auto"/>
              </w:rPr>
              <w:t>2,656,000​</w:t>
            </w:r>
          </w:p>
        </w:tc>
        <w:tc>
          <w:tcPr>
            <w:tcW w:w="260" w:type="dxa"/>
            <w:vAlign w:val="bottom"/>
          </w:tcPr>
          <w:p>
            <w:pPr>
              <w:spacing w:after="0"/>
              <w:rPr>
                <w:sz w:val="18"/>
                <w:szCs w:val="18"/>
                <w:color w:val="auto"/>
              </w:rPr>
            </w:pPr>
          </w:p>
        </w:tc>
        <w:tc>
          <w:tcPr>
            <w:tcW w:w="5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540" w:type="dxa"/>
            <w:vAlign w:val="bottom"/>
          </w:tcPr>
          <w:p>
            <w:pPr>
              <w:ind w:lef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92.7​</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76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1040" w:type="dxa"/>
            <w:vAlign w:val="bottom"/>
            <w:vMerge w:val="continue"/>
          </w:tcPr>
          <w:p>
            <w:pPr>
              <w:spacing w:after="0"/>
              <w:rPr>
                <w:sz w:val="4"/>
                <w:szCs w:val="4"/>
                <w:color w:val="auto"/>
              </w:rPr>
            </w:pPr>
          </w:p>
        </w:tc>
        <w:tc>
          <w:tcPr>
            <w:tcW w:w="440" w:type="dxa"/>
            <w:vAlign w:val="bottom"/>
          </w:tcPr>
          <w:p>
            <w:pPr>
              <w:ind w:left="340"/>
              <w:spacing w:after="0" w:line="54" w:lineRule="exact"/>
              <w:rPr>
                <w:sz w:val="20"/>
                <w:szCs w:val="20"/>
                <w:color w:val="auto"/>
              </w:rPr>
            </w:pPr>
            <w:r>
              <w:rPr>
                <w:rFonts w:ascii="Arial" w:cs="Arial" w:eastAsia="Arial" w:hAnsi="Arial"/>
                <w:sz w:val="6"/>
                <w:szCs w:val="6"/>
                <w:color w:val="auto"/>
              </w:rPr>
              <w:t>​</w:t>
            </w:r>
          </w:p>
        </w:tc>
        <w:tc>
          <w:tcPr>
            <w:tcW w:w="940" w:type="dxa"/>
            <w:vAlign w:val="bottom"/>
          </w:tcPr>
          <w:p>
            <w:pPr>
              <w:jc w:val="right"/>
              <w:ind w:right="34"/>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4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940" w:type="dxa"/>
            <w:vAlign w:val="bottom"/>
          </w:tcPr>
          <w:p>
            <w:pPr>
              <w:jc w:val="right"/>
              <w:ind w:right="34"/>
              <w:spacing w:after="0" w:line="54" w:lineRule="exact"/>
              <w:rPr>
                <w:sz w:val="20"/>
                <w:szCs w:val="20"/>
                <w:color w:val="auto"/>
              </w:rPr>
            </w:pPr>
            <w:r>
              <w:rPr>
                <w:rFonts w:ascii="Arial" w:cs="Arial" w:eastAsia="Arial" w:hAnsi="Arial"/>
                <w:sz w:val="6"/>
                <w:szCs w:val="6"/>
                <w:color w:val="auto"/>
              </w:rPr>
              <w:t>​</w:t>
            </w:r>
          </w:p>
        </w:tc>
        <w:tc>
          <w:tcPr>
            <w:tcW w:w="2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40"/>
              <w:spacing w:after="0"/>
              <w:rPr>
                <w:sz w:val="20"/>
                <w:szCs w:val="20"/>
                <w:color w:val="auto"/>
              </w:rPr>
            </w:pPr>
            <w:r>
              <w:rPr>
                <w:rFonts w:ascii="Arial" w:cs="Arial" w:eastAsia="Arial" w:hAnsi="Arial"/>
                <w:sz w:val="16"/>
                <w:szCs w:val="16"/>
                <w:color w:val="auto"/>
              </w:rPr>
              <w:t>Tax Fees</w:t>
            </w:r>
            <w:r>
              <w:rPr>
                <w:rFonts w:ascii="Arial" w:cs="Arial" w:eastAsia="Arial" w:hAnsi="Arial"/>
                <w:sz w:val="16"/>
                <w:szCs w:val="16"/>
                <w:color w:val="0075A8"/>
              </w:rPr>
              <w:t>(2)</w:t>
            </w:r>
          </w:p>
        </w:tc>
        <w:tc>
          <w:tcPr>
            <w:tcW w:w="1040" w:type="dxa"/>
            <w:vAlign w:val="bottom"/>
            <w:vMerge w:val="restart"/>
          </w:tcPr>
          <w:p>
            <w:pPr>
              <w:ind w:left="90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4"/>
              <w:spacing w:after="0"/>
              <w:rPr>
                <w:sz w:val="20"/>
                <w:szCs w:val="20"/>
                <w:color w:val="auto"/>
              </w:rPr>
            </w:pPr>
            <w:r>
              <w:rPr>
                <w:rFonts w:ascii="Arial" w:cs="Arial" w:eastAsia="Arial" w:hAnsi="Arial"/>
                <w:sz w:val="16"/>
                <w:szCs w:val="16"/>
                <w:color w:val="auto"/>
              </w:rPr>
              <w:t>38,838​</w:t>
            </w:r>
          </w:p>
        </w:tc>
        <w:tc>
          <w:tcPr>
            <w:tcW w:w="240" w:type="dxa"/>
            <w:vAlign w:val="bottom"/>
          </w:tcPr>
          <w:p>
            <w:pPr>
              <w:spacing w:after="0"/>
              <w:rPr>
                <w:sz w:val="18"/>
                <w:szCs w:val="18"/>
                <w:color w:val="auto"/>
              </w:rPr>
            </w:pPr>
          </w:p>
        </w:tc>
        <w:tc>
          <w:tcPr>
            <w:tcW w:w="48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56"/>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1.5​</w:t>
            </w:r>
          </w:p>
        </w:tc>
        <w:tc>
          <w:tcPr>
            <w:tcW w:w="4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4"/>
              <w:spacing w:after="0"/>
              <w:rPr>
                <w:sz w:val="20"/>
                <w:szCs w:val="20"/>
                <w:color w:val="auto"/>
              </w:rPr>
            </w:pPr>
            <w:r>
              <w:rPr>
                <w:rFonts w:ascii="Arial" w:cs="Arial" w:eastAsia="Arial" w:hAnsi="Arial"/>
                <w:sz w:val="16"/>
                <w:szCs w:val="16"/>
                <w:color w:val="auto"/>
              </w:rPr>
              <w:t>210,000​</w:t>
            </w:r>
          </w:p>
        </w:tc>
        <w:tc>
          <w:tcPr>
            <w:tcW w:w="260" w:type="dxa"/>
            <w:vAlign w:val="bottom"/>
          </w:tcPr>
          <w:p>
            <w:pPr>
              <w:spacing w:after="0"/>
              <w:rPr>
                <w:sz w:val="18"/>
                <w:szCs w:val="18"/>
                <w:color w:val="auto"/>
              </w:rPr>
            </w:pPr>
          </w:p>
        </w:tc>
        <w:tc>
          <w:tcPr>
            <w:tcW w:w="5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540" w:type="dxa"/>
            <w:vAlign w:val="bottom"/>
          </w:tcPr>
          <w:p>
            <w:pPr>
              <w:ind w:left="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7.3​</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76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1040" w:type="dxa"/>
            <w:vAlign w:val="bottom"/>
            <w:vMerge w:val="continue"/>
          </w:tcPr>
          <w:p>
            <w:pPr>
              <w:spacing w:after="0"/>
              <w:rPr>
                <w:sz w:val="4"/>
                <w:szCs w:val="4"/>
                <w:color w:val="auto"/>
              </w:rPr>
            </w:pPr>
          </w:p>
        </w:tc>
        <w:tc>
          <w:tcPr>
            <w:tcW w:w="440" w:type="dxa"/>
            <w:vAlign w:val="bottom"/>
          </w:tcPr>
          <w:p>
            <w:pPr>
              <w:ind w:left="340"/>
              <w:spacing w:after="0" w:line="54" w:lineRule="exact"/>
              <w:rPr>
                <w:sz w:val="20"/>
                <w:szCs w:val="20"/>
                <w:color w:val="auto"/>
              </w:rPr>
            </w:pPr>
            <w:r>
              <w:rPr>
                <w:rFonts w:ascii="Arial" w:cs="Arial" w:eastAsia="Arial" w:hAnsi="Arial"/>
                <w:sz w:val="6"/>
                <w:szCs w:val="6"/>
                <w:color w:val="auto"/>
              </w:rPr>
              <w:t>​</w:t>
            </w:r>
          </w:p>
        </w:tc>
        <w:tc>
          <w:tcPr>
            <w:tcW w:w="940" w:type="dxa"/>
            <w:vAlign w:val="bottom"/>
          </w:tcPr>
          <w:p>
            <w:pPr>
              <w:jc w:val="right"/>
              <w:ind w:right="34"/>
              <w:spacing w:after="0" w:line="54" w:lineRule="exact"/>
              <w:rPr>
                <w:sz w:val="20"/>
                <w:szCs w:val="20"/>
                <w:color w:val="auto"/>
              </w:rPr>
            </w:pPr>
            <w:r>
              <w:rPr>
                <w:rFonts w:ascii="Arial" w:cs="Arial" w:eastAsia="Arial" w:hAnsi="Arial"/>
                <w:sz w:val="6"/>
                <w:szCs w:val="6"/>
                <w:color w:val="auto"/>
              </w:rPr>
              <w:t>​</w:t>
            </w: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4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940" w:type="dxa"/>
            <w:vAlign w:val="bottom"/>
          </w:tcPr>
          <w:p>
            <w:pPr>
              <w:jc w:val="right"/>
              <w:ind w:right="34"/>
              <w:spacing w:after="0" w:line="54" w:lineRule="exact"/>
              <w:rPr>
                <w:sz w:val="20"/>
                <w:szCs w:val="20"/>
                <w:color w:val="auto"/>
              </w:rPr>
            </w:pPr>
            <w:r>
              <w:rPr>
                <w:rFonts w:ascii="Arial" w:cs="Arial" w:eastAsia="Arial" w:hAnsi="Arial"/>
                <w:sz w:val="6"/>
                <w:szCs w:val="6"/>
                <w:color w:val="auto"/>
              </w:rPr>
              <w:t>​</w:t>
            </w:r>
          </w:p>
        </w:tc>
        <w:tc>
          <w:tcPr>
            <w:tcW w:w="2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60" w:type="dxa"/>
            <w:vAlign w:val="bottom"/>
          </w:tcPr>
          <w:p>
            <w:pPr>
              <w:ind w:left="40"/>
              <w:spacing w:after="0"/>
              <w:rPr>
                <w:sz w:val="20"/>
                <w:szCs w:val="20"/>
                <w:color w:val="auto"/>
              </w:rPr>
            </w:pPr>
            <w:r>
              <w:rPr>
                <w:rFonts w:ascii="Arial" w:cs="Arial" w:eastAsia="Arial" w:hAnsi="Arial"/>
                <w:sz w:val="16"/>
                <w:szCs w:val="16"/>
                <w:b w:val="1"/>
                <w:bCs w:val="1"/>
                <w:color w:val="auto"/>
              </w:rPr>
              <w:t>​Total Fees</w:t>
            </w:r>
          </w:p>
        </w:tc>
        <w:tc>
          <w:tcPr>
            <w:tcW w:w="1040" w:type="dxa"/>
            <w:vAlign w:val="bottom"/>
          </w:tcPr>
          <w:p>
            <w:pPr>
              <w:ind w:left="90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4"/>
              <w:spacing w:after="0"/>
              <w:rPr>
                <w:sz w:val="20"/>
                <w:szCs w:val="20"/>
                <w:color w:val="auto"/>
              </w:rPr>
            </w:pPr>
            <w:r>
              <w:rPr>
                <w:rFonts w:ascii="Arial" w:cs="Arial" w:eastAsia="Arial" w:hAnsi="Arial"/>
                <w:sz w:val="16"/>
                <w:szCs w:val="16"/>
                <w:b w:val="1"/>
                <w:bCs w:val="1"/>
                <w:color w:val="auto"/>
              </w:rPr>
              <w:t>2,518,078​​</w:t>
            </w:r>
          </w:p>
        </w:tc>
        <w:tc>
          <w:tcPr>
            <w:tcW w:w="240" w:type="dxa"/>
            <w:vAlign w:val="bottom"/>
          </w:tcPr>
          <w:p>
            <w:pPr>
              <w:spacing w:after="0"/>
              <w:rPr>
                <w:sz w:val="22"/>
                <w:szCs w:val="22"/>
                <w:color w:val="auto"/>
              </w:rPr>
            </w:pPr>
          </w:p>
        </w:tc>
        <w:tc>
          <w:tcPr>
            <w:tcW w:w="48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jc w:val="right"/>
              <w:ind w:right="56"/>
              <w:spacing w:after="0"/>
              <w:rPr>
                <w:sz w:val="20"/>
                <w:szCs w:val="20"/>
                <w:color w:val="auto"/>
              </w:rPr>
            </w:pPr>
            <w:r>
              <w:rPr>
                <w:rFonts w:ascii="Arial" w:cs="Arial" w:eastAsia="Arial" w:hAnsi="Arial"/>
                <w:sz w:val="16"/>
                <w:szCs w:val="16"/>
                <w:b w:val="1"/>
                <w:bCs w:val="1"/>
                <w:color w:val="auto"/>
              </w:rPr>
              <w:t>​  ​100​</w:t>
            </w:r>
          </w:p>
        </w:tc>
        <w:tc>
          <w:tcPr>
            <w:tcW w:w="4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4"/>
              <w:spacing w:after="0"/>
              <w:rPr>
                <w:sz w:val="20"/>
                <w:szCs w:val="20"/>
                <w:color w:val="auto"/>
              </w:rPr>
            </w:pPr>
            <w:r>
              <w:rPr>
                <w:rFonts w:ascii="Arial" w:cs="Arial" w:eastAsia="Arial" w:hAnsi="Arial"/>
                <w:sz w:val="16"/>
                <w:szCs w:val="16"/>
                <w:b w:val="1"/>
                <w:bCs w:val="1"/>
                <w:color w:val="auto"/>
              </w:rPr>
              <w:t>2,866,000​​</w:t>
            </w:r>
          </w:p>
        </w:tc>
        <w:tc>
          <w:tcPr>
            <w:tcW w:w="260" w:type="dxa"/>
            <w:vAlign w:val="bottom"/>
          </w:tcPr>
          <w:p>
            <w:pPr>
              <w:spacing w:after="0"/>
              <w:rPr>
                <w:sz w:val="22"/>
                <w:szCs w:val="22"/>
                <w:color w:val="auto"/>
              </w:rPr>
            </w:pPr>
          </w:p>
        </w:tc>
        <w:tc>
          <w:tcPr>
            <w:tcW w:w="50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-504825</wp:posOffset>
            </wp:positionV>
            <wp:extent cx="597471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-161925</wp:posOffset>
            </wp:positionV>
            <wp:extent cx="5974715"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87" w:lineRule="exact"/>
        <w:rPr>
          <w:sz w:val="20"/>
          <w:szCs w:val="20"/>
          <w:color w:val="auto"/>
        </w:rPr>
      </w:pPr>
    </w:p>
    <w:p>
      <w:pPr>
        <w:ind w:left="1080" w:right="180" w:hanging="354"/>
        <w:spacing w:after="0" w:line="261" w:lineRule="auto"/>
        <w:tabs>
          <w:tab w:leader="none" w:pos="108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Audit fees consist of fees for the audit of our annual financial statements, review of the interim financial statements included in our quarterly reports on Form 10-Q, statutory audits and related filings in various foreign locations, and audit procedures related to acquisition activity during fiscal years 2022 and 2021. Fiscal year 2022 and 2021 audit fees included fees for services incurred in connection with rendering an opinion under Section 404 of the Sarbanes-Oxley Act. Audit fees for fiscal year 2021 also included fees for the review of registration statement auditor consents to incorporate by reference prior year financial statement opinions in Form S-3.</w:t>
      </w:r>
    </w:p>
    <w:p>
      <w:pPr>
        <w:ind w:left="1080" w:right="160" w:hanging="354"/>
        <w:spacing w:after="0" w:line="281" w:lineRule="auto"/>
        <w:tabs>
          <w:tab w:leader="none" w:pos="108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Tax fees consist of fees for tax compliance, tax advice, and tax planning services. Tax compliance services, which primarily relate to the review of our U.S. tax returns and certain trade and customs forms, accounted for $38,838 and $210,000 of the total tax fees for fiscal years 2022 and 2021, respectively.</w:t>
      </w:r>
    </w:p>
    <w:p>
      <w:pPr>
        <w:sectPr>
          <w:pgSz w:w="11900" w:h="16838" w:orient="portrait"/>
          <w:cols w:equalWidth="0" w:num="1">
            <w:col w:w="10100"/>
          </w:cols>
          <w:pgMar w:left="580" w:top="131" w:right="1219" w:bottom="1440" w:gutter="0" w:footer="0" w:header="0"/>
          <w:type w:val="continuous"/>
        </w:sectPr>
      </w:pPr>
    </w:p>
    <w:p>
      <w:pPr>
        <w:spacing w:after="0" w:line="66" w:lineRule="exact"/>
        <w:rPr>
          <w:sz w:val="20"/>
          <w:szCs w:val="20"/>
          <w:color w:val="auto"/>
        </w:rPr>
      </w:pPr>
    </w:p>
    <w:p>
      <w:pPr>
        <w:ind w:left="660"/>
        <w:spacing w:after="0" w:line="271" w:lineRule="auto"/>
        <w:rPr>
          <w:sz w:val="20"/>
          <w:szCs w:val="20"/>
          <w:color w:val="auto"/>
        </w:rPr>
      </w:pPr>
      <w:r>
        <w:rPr>
          <w:rFonts w:ascii="Arial" w:cs="Arial" w:eastAsia="Arial" w:hAnsi="Arial"/>
          <w:sz w:val="19"/>
          <w:szCs w:val="19"/>
          <w:color w:val="auto"/>
        </w:rPr>
        <w:t>In 2003, the Audit Committee adopted a formal policy concerning approval of audit and non-audit services to be provided to the Company by its independent registered public accounting firm, KPMG LLP. The policy requires that all services provided by KPMG LLP, including audit services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and permitted audit-related and non-audit services, be preapproved by the Audit Committee. The Audit Committee preapproved all audit and non-audit services provided by KPMG LLP during fiscal year 2022 and our fiscal year ended October 1, 2021 (“fiscal year 2021”).</w:t>
      </w:r>
    </w:p>
    <w:p>
      <w:pPr>
        <w:spacing w:after="0" w:line="214" w:lineRule="exact"/>
        <w:rPr>
          <w:sz w:val="20"/>
          <w:szCs w:val="20"/>
          <w:color w:val="auto"/>
        </w:rPr>
      </w:pPr>
    </w:p>
    <w:p>
      <w:pPr>
        <w:sectPr>
          <w:pgSz w:w="11900" w:h="16838" w:orient="portrait"/>
          <w:cols w:equalWidth="0" w:num="2">
            <w:col w:w="4960" w:space="620"/>
            <w:col w:w="4520"/>
          </w:cols>
          <w:pgMar w:left="580" w:top="131"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67" w:lineRule="exact"/>
        <w:rPr>
          <w:sz w:val="20"/>
          <w:szCs w:val="20"/>
          <w:color w:val="auto"/>
        </w:rPr>
      </w:pPr>
    </w:p>
    <w:p>
      <w:pPr>
        <w:jc w:val="right"/>
        <w:ind w:right="3700"/>
        <w:spacing w:after="0"/>
        <w:rPr>
          <w:sz w:val="20"/>
          <w:szCs w:val="20"/>
          <w:color w:val="auto"/>
        </w:rPr>
      </w:pPr>
      <w:r>
        <w:rPr>
          <w:rFonts w:ascii="Arial" w:cs="Arial" w:eastAsia="Arial" w:hAnsi="Arial"/>
          <w:sz w:val="32"/>
          <w:szCs w:val="32"/>
          <w:b w:val="1"/>
          <w:bCs w:val="1"/>
          <w:color w:val="0075A8"/>
        </w:rPr>
        <w:t>REPORT OF THE AUDIT COMMITTEE</w:t>
      </w:r>
    </w:p>
    <w:p>
      <w:pPr>
        <w:sectPr>
          <w:pgSz w:w="11900" w:h="16838" w:orient="portrait"/>
          <w:cols w:equalWidth="0" w:num="1">
            <w:col w:w="10100"/>
          </w:cols>
          <w:pgMar w:left="580" w:top="131" w:right="1219" w:bottom="1440" w:gutter="0" w:footer="0" w:header="0"/>
        </w:sectPr>
      </w:pPr>
    </w:p>
    <w:p>
      <w:pPr>
        <w:spacing w:after="0" w:line="137" w:lineRule="exact"/>
        <w:rPr>
          <w:sz w:val="20"/>
          <w:szCs w:val="20"/>
          <w:color w:val="auto"/>
        </w:rPr>
      </w:pPr>
    </w:p>
    <w:p>
      <w:pPr>
        <w:ind w:left="660" w:right="40"/>
        <w:spacing w:after="0" w:line="268" w:lineRule="auto"/>
        <w:rPr>
          <w:sz w:val="20"/>
          <w:szCs w:val="20"/>
          <w:color w:val="auto"/>
        </w:rPr>
      </w:pPr>
      <w:r>
        <w:rPr>
          <w:rFonts w:ascii="Arial" w:cs="Arial" w:eastAsia="Arial" w:hAnsi="Arial"/>
          <w:sz w:val="19"/>
          <w:szCs w:val="19"/>
          <w:color w:val="auto"/>
        </w:rPr>
        <w:t>The Audit Committee of Skyworks’ Board of Directors is responsible for providing independent, objective oversight of Skyworks’ accounting functions and internal controls. Four directors served on the Audit Committee for all or part of fiscal year 2022. Each member of the Audit Committee is independent within the meaning of applicable Nasdaq Rules and meets the criteria for independence set forth in Rule 10A-3(b)(1) under the Exchange Act. The Audit Committee operates under a written charter approved by the Board.</w:t>
      </w:r>
    </w:p>
    <w:p>
      <w:pPr>
        <w:spacing w:after="0" w:line="205"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Management is responsible for the Company’s internal control and financial reporting process. The Company’s independent registered public accounting firm is responsible for performing an independent audit of Skyworks’ consolidated financial statements in accordance with generally accepted auditing standards and for issuing a report concerning such financial statements. In addition, the Company’s independent registered public accounting firm is responsible for performing an independent audit of the Company’s internal controls and for issuing an opinion on the effectiveness thereof. The Audit Committee’s responsibility is to monitor and oversee these processes.</w:t>
      </w:r>
    </w:p>
    <w:p>
      <w:pPr>
        <w:spacing w:after="0" w:line="210" w:lineRule="exact"/>
        <w:rPr>
          <w:sz w:val="20"/>
          <w:szCs w:val="20"/>
          <w:color w:val="auto"/>
        </w:rPr>
      </w:pPr>
    </w:p>
    <w:p>
      <w:pPr>
        <w:ind w:left="660" w:right="40"/>
        <w:spacing w:after="0" w:line="254" w:lineRule="auto"/>
        <w:rPr>
          <w:sz w:val="20"/>
          <w:szCs w:val="20"/>
          <w:color w:val="auto"/>
        </w:rPr>
      </w:pPr>
      <w:r>
        <w:rPr>
          <w:rFonts w:ascii="Arial" w:cs="Arial" w:eastAsia="Arial" w:hAnsi="Arial"/>
          <w:sz w:val="20"/>
          <w:szCs w:val="20"/>
          <w:color w:val="auto"/>
        </w:rPr>
        <w:t>In connection with these responsibilities, the Audit Committee met with management and representatives of KPMG LLP, the Company’s independent registered public accounting firm, and reviewed and discussed the audited financial statements for fiscal year 2022, results of the internal and external audit examinations,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evaluations of the Company’s internal controls, and the overall quality of Skyworks’ financial reporting. The Audit Committee also discussed with the independent registered public accounting firm the matters required to be discussed by Auditing Standard No. 1301, “Communications with Audit Committees,” issued by the Public Company Accounting Oversight Board. In addition, the Audit Committee has received the written disclosures from its independent registered public accounting firm required by applicable requirements of the Public Company Accounting Oversight Board and the SEC regarding the independent accountant’s communications with the Audit Committee concerning independence and has discussed with the independent registered public accounting firm the independent registered public accounting firm’s independence from the Company and its management, including the matters in the written disclosures that were received by the committee from such firm.</w:t>
      </w:r>
    </w:p>
    <w:p>
      <w:pPr>
        <w:spacing w:after="0" w:line="228"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Based upon the Audit Committee’s review and discussions described above, the Audit Committee recommended that the Board include the audited consolidated financial statements in the Company’s Annual Report on Form 10-K for fiscal year 2022, as filed with the SEC.</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THE 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David P. McGlade, Chairman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Christine King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Robert A. Schriesheim</w:t>
      </w:r>
    </w:p>
    <w:p>
      <w:pPr>
        <w:spacing w:after="0" w:line="485" w:lineRule="exact"/>
        <w:rPr>
          <w:sz w:val="20"/>
          <w:szCs w:val="20"/>
          <w:color w:val="auto"/>
        </w:rPr>
      </w:pPr>
    </w:p>
    <w:p>
      <w:pPr>
        <w:sectPr>
          <w:pgSz w:w="11900" w:h="16838" w:orient="portrait"/>
          <w:cols w:equalWidth="0" w:num="2">
            <w:col w:w="5120" w:space="460"/>
            <w:col w:w="4520"/>
          </w:cols>
          <w:pgMar w:left="580" w:top="131"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33" w:name="page34"/>
    <w:bookmarkEnd w:id="33"/>
    <w:p>
      <w:pPr>
        <w:ind w:left="100"/>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6480810" cy="402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80810" cy="402590"/>
                    </a:xfrm>
                    <a:prstGeom prst="rect">
                      <a:avLst/>
                    </a:prstGeom>
                    <a:noFill/>
                  </pic:spPr>
                </pic:pic>
              </a:graphicData>
            </a:graphic>
          </wp:anchor>
        </w:drawing>
      </w:r>
    </w:p>
    <w:p>
      <w:pPr>
        <w:spacing w:after="0" w:line="25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3:</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40"/>
        <w:spacing w:after="0" w:line="268" w:lineRule="auto"/>
        <w:rPr>
          <w:sz w:val="20"/>
          <w:szCs w:val="20"/>
          <w:color w:val="auto"/>
        </w:rPr>
      </w:pPr>
      <w:r>
        <w:rPr>
          <w:rFonts w:ascii="Arial" w:cs="Arial" w:eastAsia="Arial" w:hAnsi="Arial"/>
          <w:sz w:val="32"/>
          <w:szCs w:val="32"/>
          <w:b w:val="1"/>
          <w:bCs w:val="1"/>
          <w:color w:val="0075A8"/>
        </w:rPr>
        <w:t>ADVISORY VOTE ON THE COMPENSATION OF OUR NAMED EXECUTIVE OFFICERS (“SAY-ON-PAY” VOTE)</w:t>
      </w:r>
    </w:p>
    <w:p>
      <w:pPr>
        <w:sectPr>
          <w:pgSz w:w="11900" w:h="16838" w:orient="portrait"/>
          <w:cols w:equalWidth="0" w:num="1">
            <w:col w:w="10200"/>
          </w:cols>
          <w:pgMar w:left="480" w:top="131" w:right="1219" w:bottom="1440" w:gutter="0" w:footer="0" w:header="0"/>
        </w:sectPr>
      </w:pPr>
    </w:p>
    <w:p>
      <w:pPr>
        <w:spacing w:after="0" w:line="210" w:lineRule="exact"/>
        <w:rPr>
          <w:sz w:val="20"/>
          <w:szCs w:val="20"/>
          <w:color w:val="auto"/>
        </w:rPr>
      </w:pPr>
    </w:p>
    <w:p>
      <w:pPr>
        <w:ind w:left="760"/>
        <w:spacing w:after="0" w:line="269" w:lineRule="auto"/>
        <w:rPr>
          <w:sz w:val="20"/>
          <w:szCs w:val="20"/>
          <w:color w:val="auto"/>
        </w:rPr>
      </w:pPr>
      <w:r>
        <w:rPr>
          <w:rFonts w:ascii="Arial" w:cs="Arial" w:eastAsia="Arial" w:hAnsi="Arial"/>
          <w:sz w:val="19"/>
          <w:szCs w:val="19"/>
          <w:color w:val="auto"/>
        </w:rPr>
        <w:t>We are providing our stockholders with the opportunity to vote to approve, on a non-binding basis, the compensation of our Named Executive Officers as described below under “</w:t>
      </w:r>
      <w:r>
        <w:rPr>
          <w:rFonts w:ascii="Arial" w:cs="Arial" w:eastAsia="Arial" w:hAnsi="Arial"/>
          <w:sz w:val="19"/>
          <w:szCs w:val="19"/>
          <w:i w:val="1"/>
          <w:iCs w:val="1"/>
          <w:color w:val="auto"/>
        </w:rPr>
        <w:t>Information</w:t>
      </w:r>
      <w:r>
        <w:rPr>
          <w:rFonts w:ascii="Arial" w:cs="Arial" w:eastAsia="Arial" w:hAnsi="Arial"/>
          <w:sz w:val="19"/>
          <w:szCs w:val="19"/>
          <w:color w:val="auto"/>
        </w:rPr>
        <w:t xml:space="preserve"> </w:t>
      </w:r>
      <w:r>
        <w:rPr>
          <w:rFonts w:ascii="Arial" w:cs="Arial" w:eastAsia="Arial" w:hAnsi="Arial"/>
          <w:sz w:val="19"/>
          <w:szCs w:val="19"/>
          <w:i w:val="1"/>
          <w:iCs w:val="1"/>
          <w:color w:val="auto"/>
        </w:rPr>
        <w:t>About Executive and Director Compensation</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Section 14A of the Exchange Act. As we describe below under “</w:t>
      </w:r>
      <w:r>
        <w:rPr>
          <w:rFonts w:ascii="Arial" w:cs="Arial" w:eastAsia="Arial" w:hAnsi="Arial"/>
          <w:sz w:val="19"/>
          <w:szCs w:val="19"/>
          <w:i w:val="1"/>
          <w:iCs w:val="1"/>
          <w:color w:val="auto"/>
        </w:rPr>
        <w:t>Compensation</w:t>
      </w:r>
      <w:r>
        <w:rPr>
          <w:rFonts w:ascii="Arial" w:cs="Arial" w:eastAsia="Arial" w:hAnsi="Arial"/>
          <w:sz w:val="19"/>
          <w:szCs w:val="19"/>
          <w:color w:val="auto"/>
        </w:rPr>
        <w:t xml:space="preserve"> </w:t>
      </w:r>
      <w:r>
        <w:rPr>
          <w:rFonts w:ascii="Arial" w:cs="Arial" w:eastAsia="Arial" w:hAnsi="Arial"/>
          <w:sz w:val="19"/>
          <w:szCs w:val="19"/>
          <w:i w:val="1"/>
          <w:iCs w:val="1"/>
          <w:color w:val="auto"/>
        </w:rPr>
        <w:t>Discussion and Analysis</w:t>
      </w:r>
      <w:r>
        <w:rPr>
          <w:rFonts w:ascii="Arial" w:cs="Arial" w:eastAsia="Arial" w:hAnsi="Arial"/>
          <w:sz w:val="19"/>
          <w:szCs w:val="19"/>
          <w:color w:val="auto"/>
        </w:rPr>
        <w:t>,” our executive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compensation program embodies a pay-for-performance philosophy that supports our business strategy and aligns the interests of our executives with our stockholders.</w:t>
      </w:r>
    </w:p>
    <w:p>
      <w:pPr>
        <w:spacing w:after="0" w:line="207" w:lineRule="exact"/>
        <w:rPr>
          <w:sz w:val="20"/>
          <w:szCs w:val="20"/>
          <w:color w:val="auto"/>
        </w:rPr>
      </w:pPr>
    </w:p>
    <w:p>
      <w:pPr>
        <w:ind w:right="460"/>
        <w:spacing w:after="0" w:line="257" w:lineRule="auto"/>
        <w:rPr>
          <w:sz w:val="20"/>
          <w:szCs w:val="20"/>
          <w:color w:val="auto"/>
        </w:rPr>
      </w:pPr>
      <w:r>
        <w:rPr>
          <w:rFonts w:ascii="Arial" w:cs="Arial" w:eastAsia="Arial" w:hAnsi="Arial"/>
          <w:sz w:val="20"/>
          <w:szCs w:val="20"/>
          <w:color w:val="auto"/>
        </w:rPr>
        <w:t>Our Board is asking stockholders to approve a non-binding advisory vote on the following resolution:</w:t>
      </w:r>
    </w:p>
    <w:p>
      <w:pPr>
        <w:spacing w:after="0" w:line="232" w:lineRule="exact"/>
        <w:rPr>
          <w:sz w:val="20"/>
          <w:szCs w:val="20"/>
          <w:color w:val="auto"/>
        </w:rPr>
      </w:pPr>
    </w:p>
    <w:p>
      <w:pPr>
        <w:sectPr>
          <w:pgSz w:w="11900" w:h="16838" w:orient="portrait"/>
          <w:cols w:equalWidth="0" w:num="2">
            <w:col w:w="5060" w:space="620"/>
            <w:col w:w="4520"/>
          </w:cols>
          <w:pgMar w:left="480" w:top="131" w:right="1219" w:bottom="1440" w:gutter="0" w:footer="0" w:header="0"/>
          <w:type w:val="continuous"/>
        </w:sectPr>
      </w:pPr>
    </w:p>
    <w:p>
      <w:pPr>
        <w:spacing w:after="0" w:line="17" w:lineRule="exact"/>
        <w:rPr>
          <w:sz w:val="20"/>
          <w:szCs w:val="20"/>
          <w:color w:val="auto"/>
        </w:rPr>
      </w:pPr>
    </w:p>
    <w:p>
      <w:pPr>
        <w:ind w:left="1120" w:right="100"/>
        <w:spacing w:after="0" w:line="261" w:lineRule="auto"/>
        <w:rPr>
          <w:sz w:val="20"/>
          <w:szCs w:val="20"/>
          <w:color w:val="auto"/>
        </w:rPr>
      </w:pPr>
      <w:r>
        <w:rPr>
          <w:rFonts w:ascii="Arial" w:cs="Arial" w:eastAsia="Arial" w:hAnsi="Arial"/>
          <w:sz w:val="20"/>
          <w:szCs w:val="20"/>
          <w:b w:val="1"/>
          <w:bCs w:val="1"/>
          <w:color w:val="0075A8"/>
        </w:rPr>
        <w:t>RESOLVED, that the Company’s stockholders approve, on an advisory basis,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w:t>
      </w:r>
    </w:p>
    <w:p>
      <w:pPr>
        <w:sectPr>
          <w:pgSz w:w="11900" w:h="16838" w:orient="portrait"/>
          <w:cols w:equalWidth="0" w:num="1">
            <w:col w:w="10200"/>
          </w:cols>
          <w:pgMar w:left="480" w:top="131" w:right="1219" w:bottom="1440" w:gutter="0" w:footer="0" w:header="0"/>
          <w:type w:val="continuous"/>
        </w:sectPr>
      </w:pPr>
    </w:p>
    <w:p>
      <w:pPr>
        <w:spacing w:after="0" w:line="83" w:lineRule="exact"/>
        <w:rPr>
          <w:sz w:val="20"/>
          <w:szCs w:val="20"/>
          <w:color w:val="auto"/>
        </w:rPr>
      </w:pPr>
    </w:p>
    <w:p>
      <w:pPr>
        <w:ind w:left="760"/>
        <w:spacing w:after="0" w:line="270" w:lineRule="auto"/>
        <w:rPr>
          <w:sz w:val="20"/>
          <w:szCs w:val="20"/>
          <w:color w:val="auto"/>
        </w:rPr>
      </w:pPr>
      <w:r>
        <w:rPr>
          <w:rFonts w:ascii="Arial" w:cs="Arial" w:eastAsia="Arial" w:hAnsi="Arial"/>
          <w:sz w:val="19"/>
          <w:szCs w:val="19"/>
          <w:color w:val="auto"/>
        </w:rPr>
        <w:t>As an advisory vote, this proposal is not binding and will not overrule any decision by the Company or the Board (or any committee thereof), nor will it create or imply any change or addition to the fiduciary duties of the Company or the Board (or any committee thereof). However, our Compensation Committee and Board value the</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opinions expressed by our stockholders in their vote on this proposal and will consider the outcome of the vote when making future compensation decisions for Named Executive Officers. The next non-binding “say-on-pay” vote is scheduled to be held at our 2024 Annual Meeting of Stockholders.</w:t>
      </w:r>
    </w:p>
    <w:p>
      <w:pPr>
        <w:spacing w:after="0" w:line="440" w:lineRule="exact"/>
        <w:rPr>
          <w:sz w:val="20"/>
          <w:szCs w:val="20"/>
          <w:color w:val="auto"/>
        </w:rPr>
      </w:pPr>
    </w:p>
    <w:p>
      <w:pPr>
        <w:sectPr>
          <w:pgSz w:w="11900" w:h="16838" w:orient="portrait"/>
          <w:cols w:equalWidth="0" w:num="2">
            <w:col w:w="5160" w:space="520"/>
            <w:col w:w="4520"/>
          </w:cols>
          <w:pgMar w:left="480" w:top="131" w:right="1219" w:bottom="1440" w:gutter="0" w:footer="0" w:header="0"/>
          <w:type w:val="continuous"/>
        </w:sectPr>
      </w:pPr>
    </w:p>
    <w:p>
      <w:pPr>
        <w:spacing w:after="0" w:line="7" w:lineRule="exact"/>
        <w:rPr>
          <w:sz w:val="20"/>
          <w:szCs w:val="20"/>
          <w:color w:val="auto"/>
        </w:rPr>
      </w:pPr>
    </w:p>
    <w:tbl>
      <w:tblPr>
        <w:tblLayout w:type="fixed"/>
        <w:tblInd w:w="1670" w:type="dxa"/>
        <w:tblCellMar>
          <w:top w:w="0" w:type="dxa"/>
          <w:left w:w="0" w:type="dxa"/>
          <w:bottom w:w="0" w:type="dxa"/>
          <w:right w:w="0" w:type="dxa"/>
        </w:tblCellMar>
      </w:tblPr>
      <w:tr>
        <w:trPr>
          <w:trHeight w:val="386"/>
        </w:trPr>
        <w:tc>
          <w:tcPr>
            <w:tcW w:w="580" w:type="dxa"/>
            <w:vAlign w:val="bottom"/>
            <w:tcBorders>
              <w:top w:val="single" w:sz="8" w:color="0075A8"/>
              <w:left w:val="single" w:sz="8" w:color="0075A8"/>
            </w:tcBorders>
          </w:tcPr>
          <w:p>
            <w:pPr>
              <w:spacing w:after="0"/>
              <w:rPr>
                <w:sz w:val="24"/>
                <w:szCs w:val="24"/>
                <w:color w:val="auto"/>
              </w:rPr>
            </w:pPr>
          </w:p>
        </w:tc>
        <w:tc>
          <w:tcPr>
            <w:tcW w:w="7040" w:type="dxa"/>
            <w:vAlign w:val="bottom"/>
            <w:tcBorders>
              <w:top w:val="single" w:sz="8" w:color="0075A8"/>
              <w:right w:val="single" w:sz="8" w:color="0075A8"/>
            </w:tcBorders>
          </w:tcPr>
          <w:p>
            <w:pPr>
              <w:jc w:val="center"/>
              <w:ind w:left="450"/>
              <w:spacing w:after="0"/>
              <w:rPr>
                <w:sz w:val="20"/>
                <w:szCs w:val="20"/>
                <w:color w:val="auto"/>
              </w:rPr>
            </w:pPr>
            <w:r>
              <w:rPr>
                <w:rFonts w:ascii="Arial" w:cs="Arial" w:eastAsia="Arial" w:hAnsi="Arial"/>
                <w:sz w:val="18"/>
                <w:szCs w:val="18"/>
                <w:i w:val="1"/>
                <w:iCs w:val="1"/>
                <w:color w:val="0075A8"/>
                <w:w w:val="99"/>
              </w:rPr>
              <w:t>THE BOARD OF DIRECTORS UNANIMOUSLY RECOMMENDS THAT</w:t>
            </w:r>
          </w:p>
        </w:tc>
      </w:tr>
      <w:tr>
        <w:trPr>
          <w:trHeight w:val="230"/>
        </w:trPr>
        <w:tc>
          <w:tcPr>
            <w:tcW w:w="580" w:type="dxa"/>
            <w:vAlign w:val="bottom"/>
            <w:tcBorders>
              <w:left w:val="single" w:sz="8" w:color="0075A8"/>
            </w:tcBorders>
          </w:tcPr>
          <w:p>
            <w:pPr>
              <w:ind w:left="20"/>
              <w:spacing w:after="0"/>
              <w:rPr>
                <w:sz w:val="20"/>
                <w:szCs w:val="20"/>
                <w:color w:val="auto"/>
              </w:rPr>
            </w:pPr>
            <w:r>
              <w:rPr>
                <w:rFonts w:ascii="Arial" w:cs="Arial" w:eastAsia="Arial" w:hAnsi="Arial"/>
                <w:sz w:val="18"/>
                <w:szCs w:val="18"/>
                <w:i w:val="1"/>
                <w:iCs w:val="1"/>
                <w:color w:val="0075A8"/>
              </w:rPr>
              <w:t>​</w:t>
            </w:r>
          </w:p>
        </w:tc>
        <w:tc>
          <w:tcPr>
            <w:tcW w:w="7040" w:type="dxa"/>
            <w:vAlign w:val="bottom"/>
            <w:tcBorders>
              <w:right w:val="single" w:sz="8" w:color="0075A8"/>
            </w:tcBorders>
          </w:tcPr>
          <w:p>
            <w:pPr>
              <w:ind w:left="540"/>
              <w:spacing w:after="0"/>
              <w:rPr>
                <w:sz w:val="20"/>
                <w:szCs w:val="20"/>
                <w:color w:val="auto"/>
              </w:rPr>
            </w:pPr>
            <w:r>
              <w:rPr>
                <w:rFonts w:ascii="Arial" w:cs="Arial" w:eastAsia="Arial" w:hAnsi="Arial"/>
                <w:sz w:val="18"/>
                <w:szCs w:val="18"/>
                <w:i w:val="1"/>
                <w:iCs w:val="1"/>
                <w:color w:val="0075A8"/>
              </w:rPr>
              <w:t>​​  STOCKHOLDERS VOTE TO APPROVE THE COMPENSATION OF OUR  ​</w:t>
            </w:r>
          </w:p>
        </w:tc>
      </w:tr>
      <w:tr>
        <w:trPr>
          <w:trHeight w:val="235"/>
        </w:trPr>
        <w:tc>
          <w:tcPr>
            <w:tcW w:w="580" w:type="dxa"/>
            <w:vAlign w:val="bottom"/>
            <w:tcBorders>
              <w:left w:val="single" w:sz="8" w:color="0075A8"/>
            </w:tcBorders>
          </w:tcPr>
          <w:p>
            <w:pPr>
              <w:spacing w:after="0"/>
              <w:rPr>
                <w:sz w:val="20"/>
                <w:szCs w:val="20"/>
                <w:color w:val="auto"/>
              </w:rPr>
            </w:pPr>
          </w:p>
        </w:tc>
        <w:tc>
          <w:tcPr>
            <w:tcW w:w="7040" w:type="dxa"/>
            <w:vAlign w:val="bottom"/>
            <w:tcBorders>
              <w:right w:val="single" w:sz="8" w:color="0075A8"/>
            </w:tcBorders>
          </w:tcPr>
          <w:p>
            <w:pPr>
              <w:jc w:val="center"/>
              <w:ind w:left="450"/>
              <w:spacing w:after="0"/>
              <w:rPr>
                <w:sz w:val="20"/>
                <w:szCs w:val="20"/>
                <w:color w:val="auto"/>
              </w:rPr>
            </w:pPr>
            <w:r>
              <w:rPr>
                <w:rFonts w:ascii="Arial" w:cs="Arial" w:eastAsia="Arial" w:hAnsi="Arial"/>
                <w:sz w:val="18"/>
                <w:szCs w:val="18"/>
                <w:i w:val="1"/>
                <w:iCs w:val="1"/>
                <w:color w:val="0075A8"/>
              </w:rPr>
              <w:t>NAMED EXECUTIVE OFFICERS BY  VOTING “FOR” PROPOSAL 3</w:t>
            </w:r>
          </w:p>
        </w:tc>
      </w:tr>
      <w:tr>
        <w:trPr>
          <w:trHeight w:val="162"/>
        </w:trPr>
        <w:tc>
          <w:tcPr>
            <w:tcW w:w="580" w:type="dxa"/>
            <w:vAlign w:val="bottom"/>
            <w:tcBorders>
              <w:left w:val="single" w:sz="8" w:color="0075A8"/>
              <w:bottom w:val="single" w:sz="8" w:color="0075A8"/>
            </w:tcBorders>
          </w:tcPr>
          <w:p>
            <w:pPr>
              <w:spacing w:after="0"/>
              <w:rPr>
                <w:sz w:val="14"/>
                <w:szCs w:val="14"/>
                <w:color w:val="auto"/>
              </w:rPr>
            </w:pPr>
          </w:p>
        </w:tc>
        <w:tc>
          <w:tcPr>
            <w:tcW w:w="7040" w:type="dxa"/>
            <w:vAlign w:val="bottom"/>
            <w:tcBorders>
              <w:bottom w:val="single" w:sz="8" w:color="0075A8"/>
              <w:right w:val="single" w:sz="8" w:color="0075A8"/>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-573405</wp:posOffset>
            </wp:positionV>
            <wp:extent cx="514350" cy="4889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spacing w:after="0"/>
        <w:tabs>
          <w:tab w:leader="none" w:pos="2260" w:val="left"/>
          <w:tab w:leader="none" w:pos="2500" w:val="left"/>
          <w:tab w:leader="none" w:pos="8580" w:val="left"/>
          <w:tab w:leader="none" w:pos="99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115570</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131" w:right="121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67" w:lineRule="exact"/>
        <w:rPr>
          <w:sz w:val="20"/>
          <w:szCs w:val="20"/>
          <w:color w:val="auto"/>
        </w:rPr>
      </w:pPr>
    </w:p>
    <w:p>
      <w:pPr>
        <w:ind w:left="660" w:right="1440"/>
        <w:spacing w:after="0" w:line="268" w:lineRule="auto"/>
        <w:rPr>
          <w:sz w:val="20"/>
          <w:szCs w:val="20"/>
          <w:color w:val="auto"/>
        </w:rPr>
      </w:pPr>
      <w:r>
        <w:rPr>
          <w:rFonts w:ascii="Arial" w:cs="Arial" w:eastAsia="Arial" w:hAnsi="Arial"/>
          <w:sz w:val="32"/>
          <w:szCs w:val="32"/>
          <w:b w:val="1"/>
          <w:bCs w:val="1"/>
          <w:color w:val="0075A8"/>
        </w:rPr>
        <w:t>INFORMATION ABOUT EXECUTIVE AND DIRECTOR COMPENSATION</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Summary and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60" w:right="1320"/>
        <w:spacing w:after="0" w:line="286" w:lineRule="auto"/>
        <w:rPr>
          <w:sz w:val="20"/>
          <w:szCs w:val="20"/>
          <w:color w:val="auto"/>
        </w:rPr>
      </w:pPr>
      <w:r>
        <w:rPr>
          <w:rFonts w:ascii="Arial" w:cs="Arial" w:eastAsia="Arial" w:hAnsi="Arial"/>
          <w:sz w:val="23"/>
          <w:szCs w:val="23"/>
          <w:b w:val="1"/>
          <w:bCs w:val="1"/>
          <w:i w:val="1"/>
          <w:iCs w:val="1"/>
          <w:color w:val="auto"/>
        </w:rPr>
        <w:t>Our Executive Compensation Program Reflects Our Pay-for-Performance Philosophy</w:t>
      </w:r>
    </w:p>
    <w:p>
      <w:pPr>
        <w:sectPr>
          <w:pgSz w:w="11900" w:h="16838" w:orient="portrait"/>
          <w:cols w:equalWidth="0" w:num="1">
            <w:col w:w="10100"/>
          </w:cols>
          <w:pgMar w:left="580" w:top="131" w:right="1219" w:bottom="1440" w:gutter="0" w:footer="0" w:header="0"/>
        </w:sectPr>
      </w:pPr>
    </w:p>
    <w:p>
      <w:pPr>
        <w:spacing w:after="0" w:line="135" w:lineRule="exact"/>
        <w:rPr>
          <w:sz w:val="20"/>
          <w:szCs w:val="20"/>
          <w:color w:val="auto"/>
        </w:rPr>
      </w:pPr>
    </w:p>
    <w:p>
      <w:pPr>
        <w:ind w:left="840" w:right="220" w:hanging="186"/>
        <w:spacing w:after="0" w:line="285" w:lineRule="auto"/>
        <w:tabs>
          <w:tab w:leader="none" w:pos="84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0075A8"/>
        </w:rPr>
        <w:t xml:space="preserve">Alignment with Stockholder Interests. </w:t>
      </w:r>
      <w:r>
        <w:rPr>
          <w:rFonts w:ascii="Arial" w:cs="Arial" w:eastAsia="Arial" w:hAnsi="Arial"/>
          <w:sz w:val="19"/>
          <w:szCs w:val="19"/>
          <w:color w:val="000000"/>
        </w:rPr>
        <w:t>We</w:t>
      </w:r>
      <w:r>
        <w:rPr>
          <w:rFonts w:ascii="Arial" w:cs="Arial" w:eastAsia="Arial" w:hAnsi="Arial"/>
          <w:sz w:val="19"/>
          <w:szCs w:val="19"/>
          <w:b w:val="1"/>
          <w:bCs w:val="1"/>
          <w:color w:val="0075A8"/>
        </w:rPr>
        <w:t xml:space="preserve"> </w:t>
      </w:r>
      <w:r>
        <w:rPr>
          <w:rFonts w:ascii="Arial" w:cs="Arial" w:eastAsia="Arial" w:hAnsi="Arial"/>
          <w:sz w:val="19"/>
          <w:szCs w:val="19"/>
          <w:color w:val="000000"/>
        </w:rPr>
        <w:t>believe that through the combination of our equity-based incentive compensation program</w:t>
      </w:r>
    </w:p>
    <w:p>
      <w:pPr>
        <w:spacing w:after="0" w:line="1" w:lineRule="exact"/>
        <w:rPr>
          <w:rFonts w:ascii="Arial" w:cs="Arial" w:eastAsia="Arial" w:hAnsi="Arial"/>
          <w:sz w:val="19"/>
          <w:szCs w:val="19"/>
          <w:color w:val="auto"/>
        </w:rPr>
      </w:pPr>
    </w:p>
    <w:p>
      <w:pPr>
        <w:ind w:left="840" w:right="300"/>
        <w:spacing w:after="0" w:line="276" w:lineRule="auto"/>
        <w:rPr>
          <w:rFonts w:ascii="Arial" w:cs="Arial" w:eastAsia="Arial" w:hAnsi="Arial"/>
          <w:sz w:val="19"/>
          <w:szCs w:val="19"/>
          <w:color w:val="auto"/>
        </w:rPr>
      </w:pPr>
      <w:r>
        <w:rPr>
          <w:rFonts w:ascii="Arial" w:cs="Arial" w:eastAsia="Arial" w:hAnsi="Arial"/>
          <w:sz w:val="19"/>
          <w:szCs w:val="19"/>
          <w:color w:val="auto"/>
        </w:rPr>
        <w:t>and rigorous executive stock ownership guidelines, the interests of our executives are strongly aligned with those of our long-term</w:t>
      </w:r>
    </w:p>
    <w:p>
      <w:pPr>
        <w:spacing w:after="0" w:line="2" w:lineRule="exact"/>
        <w:rPr>
          <w:rFonts w:ascii="Arial" w:cs="Arial" w:eastAsia="Arial" w:hAnsi="Arial"/>
          <w:sz w:val="19"/>
          <w:szCs w:val="19"/>
          <w:color w:val="auto"/>
        </w:rPr>
      </w:pPr>
    </w:p>
    <w:p>
      <w:pPr>
        <w:ind w:left="840" w:right="180"/>
        <w:spacing w:after="0" w:line="261" w:lineRule="auto"/>
        <w:rPr>
          <w:rFonts w:ascii="Arial" w:cs="Arial" w:eastAsia="Arial" w:hAnsi="Arial"/>
          <w:sz w:val="19"/>
          <w:szCs w:val="19"/>
          <w:color w:val="auto"/>
        </w:rPr>
      </w:pPr>
      <w:r>
        <w:rPr>
          <w:rFonts w:ascii="Arial" w:cs="Arial" w:eastAsia="Arial" w:hAnsi="Arial"/>
          <w:sz w:val="20"/>
          <w:szCs w:val="20"/>
          <w:color w:val="auto"/>
        </w:rPr>
        <w:t>stockholders — namely, increasing stockholder value over time.</w:t>
      </w:r>
    </w:p>
    <w:p>
      <w:pPr>
        <w:spacing w:after="0" w:line="69" w:lineRule="exact"/>
        <w:rPr>
          <w:rFonts w:ascii="Arial" w:cs="Arial" w:eastAsia="Arial" w:hAnsi="Arial"/>
          <w:sz w:val="19"/>
          <w:szCs w:val="19"/>
          <w:color w:val="auto"/>
        </w:rPr>
      </w:pPr>
    </w:p>
    <w:p>
      <w:pPr>
        <w:ind w:left="840" w:right="40" w:hanging="186"/>
        <w:spacing w:after="0" w:line="285" w:lineRule="auto"/>
        <w:tabs>
          <w:tab w:leader="none" w:pos="84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0075A8"/>
        </w:rPr>
        <w:t xml:space="preserve">Engagement with Stockholders on Executive Compensation. </w:t>
      </w:r>
      <w:r>
        <w:rPr>
          <w:rFonts w:ascii="Arial" w:cs="Arial" w:eastAsia="Arial" w:hAnsi="Arial"/>
          <w:sz w:val="19"/>
          <w:szCs w:val="19"/>
          <w:color w:val="000000"/>
        </w:rPr>
        <w:t>Following our 2022 Annual</w:t>
      </w:r>
      <w:r>
        <w:rPr>
          <w:rFonts w:ascii="Arial" w:cs="Arial" w:eastAsia="Arial" w:hAnsi="Arial"/>
          <w:sz w:val="19"/>
          <w:szCs w:val="19"/>
          <w:b w:val="1"/>
          <w:bCs w:val="1"/>
          <w:color w:val="0075A8"/>
        </w:rPr>
        <w:t xml:space="preserve"> </w:t>
      </w:r>
      <w:r>
        <w:rPr>
          <w:rFonts w:ascii="Arial" w:cs="Arial" w:eastAsia="Arial" w:hAnsi="Arial"/>
          <w:sz w:val="19"/>
          <w:szCs w:val="19"/>
          <w:color w:val="000000"/>
        </w:rPr>
        <w:t>Meeting, we engaged in formal outreach to</w:t>
      </w:r>
    </w:p>
    <w:p>
      <w:pPr>
        <w:spacing w:after="0" w:line="1" w:lineRule="exact"/>
        <w:rPr>
          <w:rFonts w:ascii="Arial" w:cs="Arial" w:eastAsia="Arial" w:hAnsi="Arial"/>
          <w:sz w:val="19"/>
          <w:szCs w:val="19"/>
          <w:color w:val="auto"/>
        </w:rPr>
      </w:pPr>
    </w:p>
    <w:p>
      <w:pPr>
        <w:ind w:left="840"/>
        <w:spacing w:after="0" w:line="276" w:lineRule="auto"/>
        <w:rPr>
          <w:rFonts w:ascii="Arial" w:cs="Arial" w:eastAsia="Arial" w:hAnsi="Arial"/>
          <w:sz w:val="19"/>
          <w:szCs w:val="19"/>
          <w:color w:val="auto"/>
        </w:rPr>
      </w:pPr>
      <w:r>
        <w:rPr>
          <w:rFonts w:ascii="Arial" w:cs="Arial" w:eastAsia="Arial" w:hAnsi="Arial"/>
          <w:sz w:val="19"/>
          <w:szCs w:val="19"/>
          <w:color w:val="auto"/>
        </w:rPr>
        <w:t>approximately 20 institutional stockholders. Stockholders representing approximately 29% of the Company’s shares outstanding responded to</w:t>
      </w:r>
    </w:p>
    <w:p>
      <w:pPr>
        <w:spacing w:after="0" w:line="2" w:lineRule="exact"/>
        <w:rPr>
          <w:rFonts w:ascii="Arial" w:cs="Arial" w:eastAsia="Arial" w:hAnsi="Arial"/>
          <w:sz w:val="19"/>
          <w:szCs w:val="19"/>
          <w:color w:val="auto"/>
        </w:rPr>
      </w:pPr>
    </w:p>
    <w:p>
      <w:pPr>
        <w:ind w:left="840" w:right="180"/>
        <w:spacing w:after="0" w:line="276" w:lineRule="auto"/>
        <w:rPr>
          <w:rFonts w:ascii="Arial" w:cs="Arial" w:eastAsia="Arial" w:hAnsi="Arial"/>
          <w:sz w:val="19"/>
          <w:szCs w:val="19"/>
          <w:color w:val="auto"/>
        </w:rPr>
      </w:pPr>
      <w:r>
        <w:rPr>
          <w:rFonts w:ascii="Arial" w:cs="Arial" w:eastAsia="Arial" w:hAnsi="Arial"/>
          <w:sz w:val="19"/>
          <w:szCs w:val="19"/>
          <w:color w:val="auto"/>
        </w:rPr>
        <w:t>the outreach, and we held meetings with those stockholders who wanted to meet. In the meetings, institutional stockholders indicated</w:t>
      </w:r>
    </w:p>
    <w:p>
      <w:pPr>
        <w:spacing w:after="0" w:line="2" w:lineRule="exact"/>
        <w:rPr>
          <w:rFonts w:ascii="Arial" w:cs="Arial" w:eastAsia="Arial" w:hAnsi="Arial"/>
          <w:sz w:val="19"/>
          <w:szCs w:val="19"/>
          <w:color w:val="auto"/>
        </w:rPr>
      </w:pPr>
    </w:p>
    <w:p>
      <w:pPr>
        <w:ind w:left="840" w:right="20"/>
        <w:spacing w:after="0" w:line="261" w:lineRule="auto"/>
        <w:rPr>
          <w:rFonts w:ascii="Arial" w:cs="Arial" w:eastAsia="Arial" w:hAnsi="Arial"/>
          <w:sz w:val="19"/>
          <w:szCs w:val="19"/>
          <w:color w:val="auto"/>
        </w:rPr>
      </w:pPr>
      <w:r>
        <w:rPr>
          <w:rFonts w:ascii="Arial" w:cs="Arial" w:eastAsia="Arial" w:hAnsi="Arial"/>
          <w:sz w:val="20"/>
          <w:szCs w:val="20"/>
          <w:color w:val="auto"/>
        </w:rPr>
        <w:t>overall support for the Company’s compensation policies and plan designs.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183" w:right="80" w:hanging="183"/>
        <w:spacing w:after="0" w:line="285" w:lineRule="auto"/>
        <w:tabs>
          <w:tab w:leader="none" w:pos="183" w:val="left"/>
        </w:tabs>
        <w:numPr>
          <w:ilvl w:val="0"/>
          <w:numId w:val="39"/>
        </w:numPr>
        <w:rPr>
          <w:rFonts w:ascii="Arial" w:cs="Arial" w:eastAsia="Arial" w:hAnsi="Arial"/>
          <w:sz w:val="19"/>
          <w:szCs w:val="19"/>
          <w:color w:val="auto"/>
        </w:rPr>
      </w:pPr>
      <w:r>
        <w:rPr>
          <w:rFonts w:ascii="Arial" w:cs="Arial" w:eastAsia="Arial" w:hAnsi="Arial"/>
          <w:sz w:val="19"/>
          <w:szCs w:val="19"/>
          <w:b w:val="1"/>
          <w:bCs w:val="1"/>
          <w:color w:val="0075A8"/>
        </w:rPr>
        <w:t xml:space="preserve">High At-Risk Compensation Levels. </w:t>
      </w:r>
      <w:r>
        <w:rPr>
          <w:rFonts w:ascii="Arial" w:cs="Arial" w:eastAsia="Arial" w:hAnsi="Arial"/>
          <w:sz w:val="19"/>
          <w:szCs w:val="19"/>
          <w:color w:val="000000"/>
        </w:rPr>
        <w:t>The only</w:t>
      </w:r>
      <w:r>
        <w:rPr>
          <w:rFonts w:ascii="Arial" w:cs="Arial" w:eastAsia="Arial" w:hAnsi="Arial"/>
          <w:sz w:val="19"/>
          <w:szCs w:val="19"/>
          <w:b w:val="1"/>
          <w:bCs w:val="1"/>
          <w:color w:val="0075A8"/>
        </w:rPr>
        <w:t xml:space="preserve"> </w:t>
      </w:r>
      <w:r>
        <w:rPr>
          <w:rFonts w:ascii="Arial" w:cs="Arial" w:eastAsia="Arial" w:hAnsi="Arial"/>
          <w:sz w:val="19"/>
          <w:szCs w:val="19"/>
          <w:color w:val="000000"/>
        </w:rPr>
        <w:t>fixed component of our Named Executive Officers’ annual compensation is base salary. All</w:t>
      </w:r>
    </w:p>
    <w:p>
      <w:pPr>
        <w:spacing w:after="0" w:line="1" w:lineRule="exact"/>
        <w:rPr>
          <w:rFonts w:ascii="Arial" w:cs="Arial" w:eastAsia="Arial" w:hAnsi="Arial"/>
          <w:sz w:val="19"/>
          <w:szCs w:val="19"/>
          <w:color w:val="auto"/>
        </w:rPr>
      </w:pPr>
    </w:p>
    <w:p>
      <w:pPr>
        <w:ind w:left="183" w:right="160"/>
        <w:spacing w:after="0" w:line="276" w:lineRule="auto"/>
        <w:rPr>
          <w:rFonts w:ascii="Arial" w:cs="Arial" w:eastAsia="Arial" w:hAnsi="Arial"/>
          <w:sz w:val="19"/>
          <w:szCs w:val="19"/>
          <w:color w:val="auto"/>
        </w:rPr>
      </w:pPr>
      <w:r>
        <w:rPr>
          <w:rFonts w:ascii="Arial" w:cs="Arial" w:eastAsia="Arial" w:hAnsi="Arial"/>
          <w:sz w:val="19"/>
          <w:szCs w:val="19"/>
          <w:color w:val="auto"/>
        </w:rPr>
        <w:t>short-term cash incentive awards and long-term equity incentive awards are tied to Company performance, stock price performance, or both.</w:t>
      </w:r>
    </w:p>
    <w:p>
      <w:pPr>
        <w:spacing w:after="0" w:line="2" w:lineRule="exact"/>
        <w:rPr>
          <w:rFonts w:ascii="Arial" w:cs="Arial" w:eastAsia="Arial" w:hAnsi="Arial"/>
          <w:sz w:val="19"/>
          <w:szCs w:val="19"/>
          <w:color w:val="auto"/>
        </w:rPr>
      </w:pPr>
    </w:p>
    <w:p>
      <w:pPr>
        <w:ind w:left="183" w:right="240"/>
        <w:spacing w:after="0" w:line="276" w:lineRule="auto"/>
        <w:rPr>
          <w:rFonts w:ascii="Arial" w:cs="Arial" w:eastAsia="Arial" w:hAnsi="Arial"/>
          <w:sz w:val="19"/>
          <w:szCs w:val="19"/>
          <w:color w:val="auto"/>
        </w:rPr>
      </w:pPr>
      <w:r>
        <w:rPr>
          <w:rFonts w:ascii="Arial" w:cs="Arial" w:eastAsia="Arial" w:hAnsi="Arial"/>
          <w:sz w:val="19"/>
          <w:szCs w:val="19"/>
          <w:color w:val="auto"/>
        </w:rPr>
        <w:t>The charts below show the target total direct compensation mix for fiscal year 2022 for our Chief Executive Officer and the average for the</w:t>
      </w:r>
    </w:p>
    <w:p>
      <w:pPr>
        <w:spacing w:after="0" w:line="2" w:lineRule="exact"/>
        <w:rPr>
          <w:rFonts w:ascii="Arial" w:cs="Arial" w:eastAsia="Arial" w:hAnsi="Arial"/>
          <w:sz w:val="19"/>
          <w:szCs w:val="19"/>
          <w:color w:val="auto"/>
        </w:rPr>
      </w:pPr>
    </w:p>
    <w:p>
      <w:pPr>
        <w:ind w:left="183" w:right="120"/>
        <w:spacing w:after="0" w:line="276" w:lineRule="auto"/>
        <w:rPr>
          <w:rFonts w:ascii="Arial" w:cs="Arial" w:eastAsia="Arial" w:hAnsi="Arial"/>
          <w:sz w:val="19"/>
          <w:szCs w:val="19"/>
          <w:color w:val="auto"/>
        </w:rPr>
      </w:pPr>
      <w:r>
        <w:rPr>
          <w:rFonts w:ascii="Arial" w:cs="Arial" w:eastAsia="Arial" w:hAnsi="Arial"/>
          <w:sz w:val="19"/>
          <w:szCs w:val="19"/>
          <w:color w:val="auto"/>
        </w:rPr>
        <w:t>other Named Executive Officers. The target total direct compensation mix for fiscal year 2022 reflects actual salary, target short-term incentive</w:t>
      </w:r>
    </w:p>
    <w:p>
      <w:pPr>
        <w:spacing w:after="0" w:line="2" w:lineRule="exact"/>
        <w:rPr>
          <w:rFonts w:ascii="Arial" w:cs="Arial" w:eastAsia="Arial" w:hAnsi="Arial"/>
          <w:sz w:val="19"/>
          <w:szCs w:val="19"/>
          <w:color w:val="auto"/>
        </w:rPr>
      </w:pPr>
    </w:p>
    <w:p>
      <w:pPr>
        <w:ind w:left="183" w:right="420"/>
        <w:spacing w:after="0" w:line="276" w:lineRule="auto"/>
        <w:rPr>
          <w:rFonts w:ascii="Arial" w:cs="Arial" w:eastAsia="Arial" w:hAnsi="Arial"/>
          <w:sz w:val="19"/>
          <w:szCs w:val="19"/>
          <w:color w:val="auto"/>
        </w:rPr>
      </w:pPr>
      <w:r>
        <w:rPr>
          <w:rFonts w:ascii="Arial" w:cs="Arial" w:eastAsia="Arial" w:hAnsi="Arial"/>
          <w:sz w:val="19"/>
          <w:szCs w:val="19"/>
          <w:color w:val="auto"/>
        </w:rPr>
        <w:t>award, the grant date fair value of the annual performance share and restricted stock unit awards, and the grant date fair value of one-</w:t>
      </w:r>
    </w:p>
    <w:p>
      <w:pPr>
        <w:spacing w:after="0" w:line="2" w:lineRule="exact"/>
        <w:rPr>
          <w:rFonts w:ascii="Arial" w:cs="Arial" w:eastAsia="Arial" w:hAnsi="Arial"/>
          <w:sz w:val="19"/>
          <w:szCs w:val="19"/>
          <w:color w:val="auto"/>
        </w:rPr>
      </w:pPr>
    </w:p>
    <w:p>
      <w:pPr>
        <w:ind w:left="183" w:right="280"/>
        <w:spacing w:after="0" w:line="261" w:lineRule="auto"/>
        <w:rPr>
          <w:rFonts w:ascii="Arial" w:cs="Arial" w:eastAsia="Arial" w:hAnsi="Arial"/>
          <w:sz w:val="19"/>
          <w:szCs w:val="19"/>
          <w:color w:val="auto"/>
        </w:rPr>
      </w:pPr>
      <w:r>
        <w:rPr>
          <w:rFonts w:ascii="Arial" w:cs="Arial" w:eastAsia="Arial" w:hAnsi="Arial"/>
          <w:sz w:val="20"/>
          <w:szCs w:val="20"/>
          <w:color w:val="auto"/>
        </w:rPr>
        <w:t>time, non-recurring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524510</wp:posOffset>
            </wp:positionV>
            <wp:extent cx="5426075" cy="26060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26075" cy="2606040"/>
                    </a:xfrm>
                    <a:prstGeom prst="rect">
                      <a:avLst/>
                    </a:prstGeom>
                    <a:noFill/>
                  </pic:spPr>
                </pic:pic>
              </a:graphicData>
            </a:graphic>
          </wp:anchor>
        </w:drawing>
      </w:r>
    </w:p>
    <w:p>
      <w:pPr>
        <w:spacing w:after="0" w:line="794" w:lineRule="exact"/>
        <w:rPr>
          <w:sz w:val="20"/>
          <w:szCs w:val="20"/>
          <w:color w:val="auto"/>
        </w:rPr>
      </w:pPr>
    </w:p>
    <w:p>
      <w:pPr>
        <w:sectPr>
          <w:pgSz w:w="11900" w:h="16838" w:orient="portrait"/>
          <w:cols w:equalWidth="0" w:num="2">
            <w:col w:w="5100" w:space="477"/>
            <w:col w:w="4523"/>
          </w:cols>
          <w:pgMar w:left="580" w:top="131"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​30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75A8"/>
        </w:rPr>
        <w:t>​</w:t>
      </w:r>
    </w:p>
    <w:p>
      <w:pPr>
        <w:spacing w:after="0" w:line="200" w:lineRule="exact"/>
        <w:rPr>
          <w:sz w:val="20"/>
          <w:szCs w:val="20"/>
          <w:color w:val="auto"/>
        </w:rPr>
      </w:pPr>
    </w:p>
    <w:p>
      <w:pPr>
        <w:spacing w:after="0" w:line="393" w:lineRule="exact"/>
        <w:rPr>
          <w:sz w:val="20"/>
          <w:szCs w:val="20"/>
          <w:color w:val="auto"/>
        </w:rPr>
      </w:pPr>
    </w:p>
    <w:tbl>
      <w:tblPr>
        <w:tblLayout w:type="fixed"/>
        <w:tblInd w:w="660" w:type="dxa"/>
        <w:tblCellMar>
          <w:top w:w="0" w:type="dxa"/>
          <w:left w:w="0" w:type="dxa"/>
          <w:bottom w:w="0" w:type="dxa"/>
          <w:right w:w="0" w:type="dxa"/>
        </w:tblCellMar>
      </w:tblPr>
      <w:tr>
        <w:trPr>
          <w:trHeight w:val="310"/>
        </w:trPr>
        <w:tc>
          <w:tcPr>
            <w:tcW w:w="4440" w:type="dxa"/>
            <w:vAlign w:val="bottom"/>
            <w:gridSpan w:val="2"/>
          </w:tcPr>
          <w:p>
            <w:pPr>
              <w:spacing w:after="0"/>
              <w:rPr>
                <w:sz w:val="20"/>
                <w:szCs w:val="20"/>
                <w:color w:val="auto"/>
              </w:rPr>
            </w:pPr>
            <w:r>
              <w:rPr>
                <w:rFonts w:ascii="Arial" w:cs="Arial" w:eastAsia="Arial" w:hAnsi="Arial"/>
                <w:sz w:val="23"/>
                <w:szCs w:val="23"/>
                <w:b w:val="1"/>
                <w:bCs w:val="1"/>
                <w:i w:val="1"/>
                <w:iCs w:val="1"/>
                <w:color w:val="auto"/>
              </w:rPr>
              <w:t>Compensation Best Practices</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40" w:type="dxa"/>
            <w:vAlign w:val="bottom"/>
            <w:gridSpan w:val="2"/>
          </w:tcPr>
          <w:p>
            <w:pPr>
              <w:spacing w:after="0"/>
              <w:rPr>
                <w:sz w:val="20"/>
                <w:szCs w:val="20"/>
                <w:color w:val="auto"/>
              </w:rPr>
            </w:pPr>
            <w:r>
              <w:rPr>
                <w:rFonts w:ascii="Arial" w:cs="Arial" w:eastAsia="Arial" w:hAnsi="Arial"/>
                <w:sz w:val="23"/>
                <w:szCs w:val="23"/>
                <w:b w:val="1"/>
                <w:bCs w:val="1"/>
                <w:color w:val="0075A8"/>
              </w:rPr>
              <w:t>What We Do</w:t>
            </w:r>
          </w:p>
        </w:tc>
        <w:tc>
          <w:tcPr>
            <w:tcW w:w="280" w:type="dxa"/>
            <w:vAlign w:val="bottom"/>
          </w:tcPr>
          <w:p>
            <w:pPr>
              <w:spacing w:after="0"/>
              <w:rPr>
                <w:sz w:val="24"/>
                <w:szCs w:val="24"/>
                <w:color w:val="auto"/>
              </w:rPr>
            </w:pPr>
          </w:p>
        </w:tc>
        <w:tc>
          <w:tcPr>
            <w:tcW w:w="4620" w:type="dxa"/>
            <w:vAlign w:val="bottom"/>
            <w:gridSpan w:val="2"/>
          </w:tcPr>
          <w:p>
            <w:pPr>
              <w:ind w:left="200"/>
              <w:spacing w:after="0"/>
              <w:rPr>
                <w:sz w:val="20"/>
                <w:szCs w:val="20"/>
                <w:color w:val="auto"/>
              </w:rPr>
            </w:pPr>
            <w:r>
              <w:rPr>
                <w:rFonts w:ascii="Arial" w:cs="Arial" w:eastAsia="Arial" w:hAnsi="Arial"/>
                <w:sz w:val="23"/>
                <w:szCs w:val="23"/>
                <w:b w:val="1"/>
                <w:bCs w:val="1"/>
                <w:color w:val="auto"/>
              </w:rPr>
              <w:t>What We Don’t Do</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440" w:type="dxa"/>
            <w:vAlign w:val="bottom"/>
            <w:gridSpan w:val="2"/>
          </w:tcPr>
          <w:p>
            <w:pPr>
              <w:spacing w:after="0"/>
              <w:rPr>
                <w:sz w:val="20"/>
                <w:szCs w:val="20"/>
                <w:color w:val="auto"/>
              </w:rPr>
            </w:pPr>
            <w:r>
              <w:rPr>
                <w:rFonts w:ascii="Arial" w:cs="Arial" w:eastAsia="Arial" w:hAnsi="Arial"/>
                <w:sz w:val="18"/>
                <w:szCs w:val="18"/>
                <w:color w:val="0075A8"/>
              </w:rPr>
              <w:t>​   ​​Heavily weight executive compensation toward “at</w:t>
            </w:r>
          </w:p>
        </w:tc>
        <w:tc>
          <w:tcPr>
            <w:tcW w:w="28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rPr>
                <w:sz w:val="20"/>
                <w:szCs w:val="20"/>
                <w:color w:val="auto"/>
              </w:rPr>
            </w:pPr>
            <w:r>
              <w:rPr>
                <w:rFonts w:ascii="Arial" w:cs="Arial" w:eastAsia="Arial" w:hAnsi="Arial"/>
                <w:sz w:val="18"/>
                <w:szCs w:val="18"/>
                <w:color w:val="auto"/>
              </w:rPr>
              <w:t>​​Guarantee bonus payments or base salary</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0075A8"/>
              </w:rPr>
              <w:t>risk,” performance-based compensation</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increases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spacing w:after="0" w:line="269" w:lineRule="exact"/>
              <w:rPr>
                <w:sz w:val="20"/>
                <w:szCs w:val="20"/>
                <w:color w:val="auto"/>
              </w:rPr>
            </w:pPr>
            <w:r>
              <w:rPr>
                <w:rFonts w:ascii="Arial" w:cs="Arial" w:eastAsia="Arial" w:hAnsi="Arial"/>
                <w:sz w:val="31"/>
                <w:szCs w:val="31"/>
                <w:color w:val="0075A8"/>
                <w:vertAlign w:val="superscript"/>
              </w:rPr>
              <w:t>​   ​​</w:t>
            </w:r>
            <w:r>
              <w:rPr>
                <w:rFonts w:ascii="Arial" w:cs="Arial" w:eastAsia="Arial" w:hAnsi="Arial"/>
                <w:sz w:val="17"/>
                <w:szCs w:val="17"/>
                <w:color w:val="0075A8"/>
              </w:rPr>
              <w:t>Balance short-term and long-term incentive</w:t>
            </w:r>
          </w:p>
        </w:tc>
        <w:tc>
          <w:tcPr>
            <w:tcW w:w="28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Provide single-trigger change-in-control benefits</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0075A8"/>
              </w:rPr>
              <w:t>compensation</w:t>
            </w:r>
          </w:p>
        </w:tc>
        <w:tc>
          <w:tcPr>
            <w:tcW w:w="280" w:type="dxa"/>
            <w:vAlign w:val="bottom"/>
          </w:tcPr>
          <w:p>
            <w:pPr>
              <w:spacing w:after="0"/>
              <w:rPr>
                <w:sz w:val="21"/>
                <w:szCs w:val="21"/>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Provide excise tax gross-up payments in</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gridSpan w:val="2"/>
          </w:tcPr>
          <w:p>
            <w:pPr>
              <w:spacing w:after="0" w:line="243" w:lineRule="exact"/>
              <w:rPr>
                <w:sz w:val="20"/>
                <w:szCs w:val="20"/>
                <w:color w:val="auto"/>
              </w:rPr>
            </w:pPr>
            <w:r>
              <w:rPr>
                <w:rFonts w:ascii="Arial" w:cs="Arial" w:eastAsia="Arial" w:hAnsi="Arial"/>
                <w:sz w:val="28"/>
                <w:szCs w:val="28"/>
                <w:color w:val="0075A8"/>
                <w:vertAlign w:val="superscript"/>
              </w:rPr>
              <w:t>​   ​​</w:t>
            </w:r>
            <w:r>
              <w:rPr>
                <w:rFonts w:ascii="Arial" w:cs="Arial" w:eastAsia="Arial" w:hAnsi="Arial"/>
                <w:sz w:val="15"/>
                <w:szCs w:val="15"/>
                <w:color w:val="0075A8"/>
              </w:rPr>
              <w:t>Use multi-year vesting for executive officer equity</w:t>
            </w:r>
          </w:p>
        </w:tc>
        <w:tc>
          <w:tcPr>
            <w:tcW w:w="28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spacing w:after="0"/>
              <w:rPr>
                <w:sz w:val="21"/>
                <w:szCs w:val="21"/>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connection with a change in control of the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0075A8"/>
              </w:rPr>
              <w:t>awards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20"/>
                <w:szCs w:val="20"/>
                <w:color w:val="auto"/>
              </w:rPr>
            </w:pPr>
            <w:r>
              <w:rPr>
                <w:rFonts w:ascii="Arial" w:cs="Arial" w:eastAsia="Arial" w:hAnsi="Arial"/>
                <w:sz w:val="18"/>
                <w:szCs w:val="18"/>
                <w:color w:val="0075A8"/>
              </w:rPr>
              <w:t>​</w:t>
            </w:r>
          </w:p>
        </w:tc>
        <w:tc>
          <w:tcPr>
            <w:tcW w:w="4260" w:type="dxa"/>
            <w:vAlign w:val="bottom"/>
          </w:tcPr>
          <w:p>
            <w:pPr>
              <w:ind w:left="140"/>
              <w:spacing w:after="0"/>
              <w:rPr>
                <w:sz w:val="20"/>
                <w:szCs w:val="20"/>
                <w:color w:val="auto"/>
              </w:rPr>
            </w:pPr>
            <w:r>
              <w:rPr>
                <w:rFonts w:ascii="Arial" w:cs="Arial" w:eastAsia="Arial" w:hAnsi="Arial"/>
                <w:sz w:val="18"/>
                <w:szCs w:val="18"/>
                <w:color w:val="0075A8"/>
              </w:rPr>
              <w:t>​​</w:t>
            </w:r>
          </w:p>
        </w:tc>
        <w:tc>
          <w:tcPr>
            <w:tcW w:w="28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line="217"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Provide excessive perquisites to our executive</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4260" w:type="dxa"/>
            <w:vAlign w:val="bottom"/>
          </w:tcPr>
          <w:p>
            <w:pPr>
              <w:ind w:left="200"/>
              <w:spacing w:after="0" w:line="107" w:lineRule="exact"/>
              <w:rPr>
                <w:sz w:val="20"/>
                <w:szCs w:val="20"/>
                <w:color w:val="auto"/>
              </w:rPr>
            </w:pPr>
            <w:r>
              <w:rPr>
                <w:rFonts w:ascii="Arial" w:cs="Arial" w:eastAsia="Arial" w:hAnsi="Arial"/>
                <w:sz w:val="12"/>
                <w:szCs w:val="12"/>
                <w:color w:val="0075A8"/>
              </w:rPr>
              <w:t>Base half of annual performance share award on</w:t>
            </w: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40" w:type="dxa"/>
            <w:vAlign w:val="bottom"/>
            <w:vMerge w:val="restart"/>
          </w:tcPr>
          <w:p>
            <w:pPr>
              <w:ind w:left="200"/>
              <w:spacing w:after="0"/>
              <w:rPr>
                <w:sz w:val="20"/>
                <w:szCs w:val="20"/>
                <w:color w:val="auto"/>
              </w:rPr>
            </w:pPr>
            <w:r>
              <w:rPr>
                <w:rFonts w:ascii="Arial" w:cs="Arial" w:eastAsia="Arial" w:hAnsi="Arial"/>
                <w:sz w:val="18"/>
                <w:szCs w:val="18"/>
                <w:color w:val="auto"/>
              </w:rPr>
              <w:t>officers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4260" w:type="dxa"/>
            <w:vAlign w:val="bottom"/>
          </w:tcPr>
          <w:p>
            <w:pPr>
              <w:ind w:left="200"/>
              <w:spacing w:after="0" w:line="163" w:lineRule="exact"/>
              <w:rPr>
                <w:sz w:val="20"/>
                <w:szCs w:val="20"/>
                <w:color w:val="auto"/>
              </w:rPr>
            </w:pPr>
            <w:r>
              <w:rPr>
                <w:rFonts w:ascii="Arial" w:cs="Arial" w:eastAsia="Arial" w:hAnsi="Arial"/>
                <w:sz w:val="18"/>
                <w:szCs w:val="18"/>
                <w:color w:val="0075A8"/>
              </w:rPr>
              <w:t>three-year relative TSR performance metric</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spacing w:after="0" w:line="269" w:lineRule="exact"/>
              <w:rPr>
                <w:sz w:val="20"/>
                <w:szCs w:val="20"/>
                <w:color w:val="auto"/>
              </w:rPr>
            </w:pPr>
            <w:r>
              <w:rPr>
                <w:rFonts w:ascii="Arial" w:cs="Arial" w:eastAsia="Arial" w:hAnsi="Arial"/>
                <w:sz w:val="31"/>
                <w:szCs w:val="31"/>
                <w:color w:val="0075A8"/>
                <w:vertAlign w:val="superscript"/>
              </w:rPr>
              <w:t>​   ​​</w:t>
            </w:r>
            <w:r>
              <w:rPr>
                <w:rFonts w:ascii="Arial" w:cs="Arial" w:eastAsia="Arial" w:hAnsi="Arial"/>
                <w:sz w:val="17"/>
                <w:szCs w:val="17"/>
                <w:color w:val="0075A8"/>
              </w:rPr>
              <w:t>Maintain a clawback policy providing for recovery</w:t>
            </w:r>
          </w:p>
        </w:tc>
        <w:tc>
          <w:tcPr>
            <w:tcW w:w="28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Provide retirement or pension benefits to our</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260" w:type="dxa"/>
            <w:vAlign w:val="bottom"/>
            <w:vMerge w:val="restart"/>
          </w:tcPr>
          <w:p>
            <w:pPr>
              <w:ind w:left="200"/>
              <w:spacing w:after="0"/>
              <w:rPr>
                <w:sz w:val="20"/>
                <w:szCs w:val="20"/>
                <w:color w:val="auto"/>
              </w:rPr>
            </w:pPr>
            <w:r>
              <w:rPr>
                <w:rFonts w:ascii="Arial" w:cs="Arial" w:eastAsia="Arial" w:hAnsi="Arial"/>
                <w:sz w:val="18"/>
                <w:szCs w:val="18"/>
                <w:color w:val="0075A8"/>
              </w:rPr>
              <w:t>of incentive compensation from executive officers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executive officers that are not available to</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42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40" w:type="dxa"/>
            <w:vAlign w:val="bottom"/>
            <w:vMerge w:val="restart"/>
          </w:tcPr>
          <w:p>
            <w:pPr>
              <w:ind w:left="200"/>
              <w:spacing w:after="0"/>
              <w:rPr>
                <w:sz w:val="20"/>
                <w:szCs w:val="20"/>
                <w:color w:val="auto"/>
              </w:rPr>
            </w:pPr>
            <w:r>
              <w:rPr>
                <w:rFonts w:ascii="Arial" w:cs="Arial" w:eastAsia="Arial" w:hAnsi="Arial"/>
                <w:sz w:val="18"/>
                <w:szCs w:val="18"/>
                <w:color w:val="auto"/>
              </w:rPr>
              <w:t>employees generally</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260" w:type="dxa"/>
            <w:vAlign w:val="bottom"/>
            <w:vMerge w:val="restart"/>
          </w:tcPr>
          <w:p>
            <w:pPr>
              <w:ind w:left="200"/>
              <w:spacing w:after="0"/>
              <w:rPr>
                <w:sz w:val="20"/>
                <w:szCs w:val="20"/>
                <w:color w:val="auto"/>
              </w:rPr>
            </w:pPr>
            <w:r>
              <w:rPr>
                <w:rFonts w:ascii="Arial" w:cs="Arial" w:eastAsia="Arial" w:hAnsi="Arial"/>
                <w:sz w:val="18"/>
                <w:szCs w:val="18"/>
                <w:color w:val="0075A8"/>
              </w:rPr>
              <w:t>in the event of a financial restatement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42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4240" w:type="dxa"/>
            <w:vAlign w:val="bottom"/>
            <w:vMerge w:val="restart"/>
          </w:tcPr>
          <w:p>
            <w:pPr>
              <w:ind w:left="140"/>
              <w:spacing w:after="0" w:line="28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Permit hedging or other forms of speculative</w:t>
            </w:r>
          </w:p>
        </w:tc>
        <w:tc>
          <w:tcPr>
            <w:tcW w:w="1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440" w:type="dxa"/>
            <w:vAlign w:val="bottom"/>
            <w:gridSpan w:val="2"/>
          </w:tcPr>
          <w:p>
            <w:pPr>
              <w:spacing w:after="0" w:line="217" w:lineRule="exact"/>
              <w:rPr>
                <w:sz w:val="20"/>
                <w:szCs w:val="20"/>
                <w:color w:val="auto"/>
              </w:rPr>
            </w:pPr>
            <w:r>
              <w:rPr>
                <w:rFonts w:ascii="Arial" w:cs="Arial" w:eastAsia="Arial" w:hAnsi="Arial"/>
                <w:sz w:val="25"/>
                <w:szCs w:val="25"/>
                <w:color w:val="0075A8"/>
                <w:vertAlign w:val="superscript"/>
              </w:rPr>
              <w:t>​   ​​</w:t>
            </w:r>
            <w:r>
              <w:rPr>
                <w:rFonts w:ascii="Arial" w:cs="Arial" w:eastAsia="Arial" w:hAnsi="Arial"/>
                <w:sz w:val="14"/>
                <w:szCs w:val="14"/>
                <w:color w:val="0075A8"/>
              </w:rPr>
              <w:t>Maintain robust stock ownership guidelines for</w:t>
            </w:r>
          </w:p>
        </w:tc>
        <w:tc>
          <w:tcPr>
            <w:tcW w:w="28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vMerge w:val="continue"/>
          </w:tcPr>
          <w:p>
            <w:pPr>
              <w:spacing w:after="0"/>
              <w:rPr>
                <w:sz w:val="18"/>
                <w:szCs w:val="18"/>
                <w:color w:val="auto"/>
              </w:rPr>
            </w:pPr>
          </w:p>
        </w:tc>
        <w:tc>
          <w:tcPr>
            <w:tcW w:w="42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4260" w:type="dxa"/>
            <w:vAlign w:val="bottom"/>
            <w:vMerge w:val="restart"/>
          </w:tcPr>
          <w:p>
            <w:pPr>
              <w:ind w:left="200"/>
              <w:spacing w:after="0"/>
              <w:rPr>
                <w:sz w:val="20"/>
                <w:szCs w:val="20"/>
                <w:color w:val="auto"/>
              </w:rPr>
            </w:pPr>
            <w:r>
              <w:rPr>
                <w:rFonts w:ascii="Arial" w:cs="Arial" w:eastAsia="Arial" w:hAnsi="Arial"/>
                <w:sz w:val="18"/>
                <w:szCs w:val="18"/>
                <w:color w:val="0075A8"/>
              </w:rPr>
              <w:t>executive officers and non-executive directors</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40" w:type="dxa"/>
            <w:vAlign w:val="bottom"/>
          </w:tcPr>
          <w:p>
            <w:pPr>
              <w:ind w:left="200"/>
              <w:spacing w:after="0" w:line="201" w:lineRule="exact"/>
              <w:rPr>
                <w:sz w:val="20"/>
                <w:szCs w:val="20"/>
                <w:color w:val="auto"/>
              </w:rPr>
            </w:pPr>
            <w:r>
              <w:rPr>
                <w:rFonts w:ascii="Arial" w:cs="Arial" w:eastAsia="Arial" w:hAnsi="Arial"/>
                <w:sz w:val="18"/>
                <w:szCs w:val="18"/>
                <w:color w:val="auto"/>
              </w:rPr>
              <w:t>transactions by employees or directors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42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4240" w:type="dxa"/>
            <w:vAlign w:val="bottom"/>
            <w:vMerge w:val="restart"/>
          </w:tcPr>
          <w:p>
            <w:pPr>
              <w:ind w:left="140"/>
              <w:spacing w:after="0" w:line="297" w:lineRule="exact"/>
              <w:rPr>
                <w:sz w:val="20"/>
                <w:szCs w:val="20"/>
                <w:color w:val="auto"/>
              </w:rPr>
            </w:pPr>
            <w:r>
              <w:rPr>
                <w:rFonts w:ascii="Arial" w:cs="Arial" w:eastAsia="Arial" w:hAnsi="Arial"/>
                <w:sz w:val="34"/>
                <w:szCs w:val="34"/>
                <w:color w:val="auto"/>
                <w:vertAlign w:val="superscript"/>
              </w:rPr>
              <w:t>​​</w:t>
            </w:r>
            <w:r>
              <w:rPr>
                <w:rFonts w:ascii="Arial" w:cs="Arial" w:eastAsia="Arial" w:hAnsi="Arial"/>
                <w:sz w:val="18"/>
                <w:szCs w:val="18"/>
                <w:color w:val="auto"/>
              </w:rPr>
              <w:t>Permit pledging by employees or directors</w:t>
            </w:r>
          </w:p>
        </w:tc>
        <w:tc>
          <w:tcPr>
            <w:tcW w:w="1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440" w:type="dxa"/>
            <w:vAlign w:val="bottom"/>
            <w:gridSpan w:val="2"/>
          </w:tcPr>
          <w:p>
            <w:pPr>
              <w:spacing w:after="0" w:line="217" w:lineRule="exact"/>
              <w:rPr>
                <w:sz w:val="20"/>
                <w:szCs w:val="20"/>
                <w:color w:val="auto"/>
              </w:rPr>
            </w:pPr>
            <w:r>
              <w:rPr>
                <w:rFonts w:ascii="Arial" w:cs="Arial" w:eastAsia="Arial" w:hAnsi="Arial"/>
                <w:sz w:val="25"/>
                <w:szCs w:val="25"/>
                <w:color w:val="0075A8"/>
                <w:vertAlign w:val="superscript"/>
              </w:rPr>
              <w:t>​   ​​</w:t>
            </w:r>
            <w:r>
              <w:rPr>
                <w:rFonts w:ascii="Arial" w:cs="Arial" w:eastAsia="Arial" w:hAnsi="Arial"/>
                <w:sz w:val="14"/>
                <w:szCs w:val="14"/>
                <w:color w:val="0075A8"/>
              </w:rPr>
              <w:t>Structure our executive officer compensation</w:t>
            </w:r>
          </w:p>
        </w:tc>
        <w:tc>
          <w:tcPr>
            <w:tcW w:w="28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vMerge w:val="continue"/>
          </w:tcPr>
          <w:p>
            <w:pPr>
              <w:spacing w:after="0"/>
              <w:rPr>
                <w:sz w:val="18"/>
                <w:szCs w:val="18"/>
                <w:color w:val="auto"/>
              </w:rPr>
            </w:pPr>
          </w:p>
        </w:tc>
        <w:tc>
          <w:tcPr>
            <w:tcW w:w="42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80" w:type="dxa"/>
            <w:vAlign w:val="bottom"/>
          </w:tcPr>
          <w:p>
            <w:pPr>
              <w:spacing w:after="0"/>
              <w:rPr>
                <w:sz w:val="21"/>
                <w:szCs w:val="21"/>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0075A8"/>
              </w:rPr>
              <w:t>program to encourage appropriate risk-taking</w:t>
            </w:r>
          </w:p>
        </w:tc>
        <w:tc>
          <w:tcPr>
            <w:tcW w:w="280" w:type="dxa"/>
            <w:vAlign w:val="bottom"/>
          </w:tcPr>
          <w:p>
            <w:pPr>
              <w:spacing w:after="0"/>
              <w:rPr>
                <w:sz w:val="21"/>
                <w:szCs w:val="21"/>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line="242"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Allow for the repricing of stock options without</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40" w:type="dxa"/>
            <w:vAlign w:val="bottom"/>
            <w:gridSpan w:val="2"/>
          </w:tcPr>
          <w:p>
            <w:pPr>
              <w:spacing w:after="0" w:line="258" w:lineRule="exact"/>
              <w:rPr>
                <w:sz w:val="20"/>
                <w:szCs w:val="20"/>
                <w:color w:val="auto"/>
              </w:rPr>
            </w:pPr>
            <w:r>
              <w:rPr>
                <w:rFonts w:ascii="Arial" w:cs="Arial" w:eastAsia="Arial" w:hAnsi="Arial"/>
                <w:sz w:val="29"/>
                <w:szCs w:val="29"/>
                <w:color w:val="0075A8"/>
                <w:vertAlign w:val="superscript"/>
              </w:rPr>
              <w:t>​   ​​</w:t>
            </w:r>
            <w:r>
              <w:rPr>
                <w:rFonts w:ascii="Arial" w:cs="Arial" w:eastAsia="Arial" w:hAnsi="Arial"/>
                <w:sz w:val="16"/>
                <w:szCs w:val="16"/>
                <w:color w:val="0075A8"/>
              </w:rPr>
              <w:t>Benchmark pay practices against selected peer</w:t>
            </w:r>
          </w:p>
        </w:tc>
        <w:tc>
          <w:tcPr>
            <w:tcW w:w="28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spacing w:after="0"/>
              <w:rPr>
                <w:sz w:val="22"/>
                <w:szCs w:val="22"/>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stockholder approval</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0075A8"/>
              </w:rPr>
              <w:t>companies with whom we compete for executive</w:t>
            </w:r>
          </w:p>
        </w:tc>
        <w:tc>
          <w:tcPr>
            <w:tcW w:w="280" w:type="dxa"/>
            <w:vAlign w:val="bottom"/>
          </w:tcPr>
          <w:p>
            <w:pPr>
              <w:spacing w:after="0"/>
              <w:rPr>
                <w:sz w:val="19"/>
                <w:szCs w:val="19"/>
                <w:color w:val="auto"/>
              </w:rPr>
            </w:pPr>
          </w:p>
        </w:tc>
        <w:tc>
          <w:tcPr>
            <w:tcW w:w="4720" w:type="dxa"/>
            <w:vAlign w:val="bottom"/>
            <w:gridSpan w:val="3"/>
          </w:tcPr>
          <w:p>
            <w:pPr>
              <w:ind w:left="20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Pay dividends or dividend equivalents on unearned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0075A8"/>
              </w:rPr>
              <w:t>talent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performance shares or restricted stock units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440" w:type="dxa"/>
            <w:vAlign w:val="bottom"/>
            <w:gridSpan w:val="2"/>
          </w:tcPr>
          <w:p>
            <w:pPr>
              <w:spacing w:after="0" w:line="271" w:lineRule="exact"/>
              <w:rPr>
                <w:sz w:val="20"/>
                <w:szCs w:val="20"/>
                <w:color w:val="auto"/>
              </w:rPr>
            </w:pPr>
            <w:r>
              <w:rPr>
                <w:rFonts w:ascii="Arial" w:cs="Arial" w:eastAsia="Arial" w:hAnsi="Arial"/>
                <w:sz w:val="31"/>
                <w:szCs w:val="31"/>
                <w:color w:val="0075A8"/>
                <w:vertAlign w:val="superscript"/>
              </w:rPr>
              <w:t>​   ​​</w:t>
            </w:r>
            <w:r>
              <w:rPr>
                <w:rFonts w:ascii="Arial" w:cs="Arial" w:eastAsia="Arial" w:hAnsi="Arial"/>
                <w:sz w:val="17"/>
                <w:szCs w:val="17"/>
                <w:color w:val="0075A8"/>
              </w:rPr>
              <w:t>Solicit advice from the Compensation Committee’s</w:t>
            </w:r>
          </w:p>
        </w:tc>
        <w:tc>
          <w:tcPr>
            <w:tcW w:w="280" w:type="dxa"/>
            <w:vAlign w:val="bottom"/>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4240" w:type="dxa"/>
            <w:vAlign w:val="bottom"/>
          </w:tcPr>
          <w:p>
            <w:pPr>
              <w:ind w:left="140"/>
              <w:spacing w:after="0" w:line="271"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Include “evergreen” provisions or “liberal” change-</w:t>
            </w:r>
          </w:p>
        </w:tc>
        <w:tc>
          <w:tcPr>
            <w:tcW w:w="1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260" w:type="dxa"/>
            <w:vAlign w:val="bottom"/>
            <w:vMerge w:val="restart"/>
          </w:tcPr>
          <w:p>
            <w:pPr>
              <w:ind w:left="200"/>
              <w:spacing w:after="0"/>
              <w:rPr>
                <w:sz w:val="20"/>
                <w:szCs w:val="20"/>
                <w:color w:val="auto"/>
              </w:rPr>
            </w:pPr>
            <w:r>
              <w:rPr>
                <w:rFonts w:ascii="Arial" w:cs="Arial" w:eastAsia="Arial" w:hAnsi="Arial"/>
                <w:sz w:val="18"/>
                <w:szCs w:val="18"/>
                <w:color w:val="0075A8"/>
              </w:rPr>
              <w:t>independent compensation consultant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in-control definitions in our equity incentive award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42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40" w:type="dxa"/>
            <w:vAlign w:val="bottom"/>
            <w:vMerge w:val="restart"/>
          </w:tcPr>
          <w:p>
            <w:pPr>
              <w:ind w:left="200"/>
              <w:spacing w:after="0"/>
              <w:rPr>
                <w:sz w:val="20"/>
                <w:szCs w:val="20"/>
                <w:color w:val="auto"/>
              </w:rPr>
            </w:pPr>
            <w:r>
              <w:rPr>
                <w:rFonts w:ascii="Arial" w:cs="Arial" w:eastAsia="Arial" w:hAnsi="Arial"/>
                <w:sz w:val="18"/>
                <w:szCs w:val="18"/>
                <w:color w:val="auto"/>
              </w:rPr>
              <w:t>plans</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440" w:type="dxa"/>
            <w:vAlign w:val="bottom"/>
            <w:gridSpan w:val="2"/>
            <w:vMerge w:val="restart"/>
          </w:tcPr>
          <w:p>
            <w:pPr>
              <w:spacing w:after="0" w:line="269" w:lineRule="exact"/>
              <w:rPr>
                <w:sz w:val="20"/>
                <w:szCs w:val="20"/>
                <w:color w:val="auto"/>
              </w:rPr>
            </w:pPr>
            <w:r>
              <w:rPr>
                <w:rFonts w:ascii="Arial" w:cs="Arial" w:eastAsia="Arial" w:hAnsi="Arial"/>
                <w:sz w:val="31"/>
                <w:szCs w:val="31"/>
                <w:color w:val="0075A8"/>
                <w:vertAlign w:val="superscript"/>
              </w:rPr>
              <w:t>​   ​​</w:t>
            </w:r>
            <w:r>
              <w:rPr>
                <w:rFonts w:ascii="Arial" w:cs="Arial" w:eastAsia="Arial" w:hAnsi="Arial"/>
                <w:sz w:val="17"/>
                <w:szCs w:val="17"/>
                <w:color w:val="0075A8"/>
              </w:rPr>
              <w:t>Hold annual “say-on-pay” advisory vote</w:t>
            </w:r>
          </w:p>
        </w:tc>
        <w:tc>
          <w:tcPr>
            <w:tcW w:w="280" w:type="dxa"/>
            <w:vAlign w:val="bottom"/>
            <w:vMerge w:val="restart"/>
          </w:tcPr>
          <w:p>
            <w:pPr>
              <w:jc w:val="right"/>
              <w:ind w:right="110"/>
              <w:spacing w:after="0"/>
              <w:rPr>
                <w:sz w:val="20"/>
                <w:szCs w:val="20"/>
                <w:color w:val="auto"/>
              </w:rPr>
            </w:pPr>
            <w:r>
              <w:rPr>
                <w:rFonts w:ascii="Arial" w:cs="Arial" w:eastAsia="Arial" w:hAnsi="Arial"/>
                <w:sz w:val="18"/>
                <w:szCs w:val="18"/>
                <w:color w:val="0075A8"/>
              </w:rPr>
              <w:t>​</w:t>
            </w:r>
          </w:p>
        </w:tc>
        <w:tc>
          <w:tcPr>
            <w:tcW w:w="380" w:type="dxa"/>
            <w:vAlign w:val="bottom"/>
          </w:tcPr>
          <w:p>
            <w:pPr>
              <w:spacing w:after="0"/>
              <w:rPr>
                <w:sz w:val="12"/>
                <w:szCs w:val="12"/>
                <w:color w:val="auto"/>
              </w:rPr>
            </w:pPr>
          </w:p>
        </w:tc>
        <w:tc>
          <w:tcPr>
            <w:tcW w:w="4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44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180" w:type="dxa"/>
            <w:vAlign w:val="bottom"/>
          </w:tcPr>
          <w:p>
            <w:pPr>
              <w:spacing w:after="0"/>
              <w:rPr>
                <w:sz w:val="20"/>
                <w:szCs w:val="20"/>
                <w:color w:val="auto"/>
              </w:rPr>
            </w:pPr>
            <w:r>
              <w:rPr>
                <w:rFonts w:ascii="Arial" w:cs="Arial" w:eastAsia="Arial" w:hAnsi="Arial"/>
                <w:sz w:val="18"/>
                <w:szCs w:val="18"/>
                <w:color w:val="0075A8"/>
              </w:rPr>
              <w:t>​</w:t>
            </w:r>
          </w:p>
        </w:tc>
        <w:tc>
          <w:tcPr>
            <w:tcW w:w="4540" w:type="dxa"/>
            <w:vAlign w:val="bottom"/>
            <w:gridSpan w:val="2"/>
          </w:tcPr>
          <w:p>
            <w:pPr>
              <w:jc w:val="right"/>
              <w:ind w:right="110"/>
              <w:spacing w:after="0" w:line="283" w:lineRule="exact"/>
              <w:rPr>
                <w:sz w:val="20"/>
                <w:szCs w:val="20"/>
                <w:color w:val="auto"/>
              </w:rPr>
            </w:pPr>
            <w:r>
              <w:rPr>
                <w:rFonts w:ascii="Arial" w:cs="Arial" w:eastAsia="Arial" w:hAnsi="Arial"/>
                <w:sz w:val="32"/>
                <w:szCs w:val="32"/>
                <w:color w:val="0075A8"/>
                <w:vertAlign w:val="superscript"/>
              </w:rPr>
              <w:t>​​</w:t>
            </w:r>
            <w:r>
              <w:rPr>
                <w:rFonts w:ascii="Arial" w:cs="Arial" w:eastAsia="Arial" w:hAnsi="Arial"/>
                <w:sz w:val="17"/>
                <w:szCs w:val="17"/>
                <w:color w:val="0075A8"/>
              </w:rPr>
              <w:t xml:space="preserve">Conduct regular engagement with stockholders on </w:t>
            </w:r>
            <w:r>
              <w:rPr>
                <w:rFonts w:ascii="Arial" w:cs="Arial" w:eastAsia="Arial" w:hAnsi="Arial"/>
                <w:sz w:val="32"/>
                <w:szCs w:val="32"/>
                <w:color w:val="0075A8"/>
                <w:vertAlign w:val="superscript"/>
              </w:rPr>
              <w:t>​</w:t>
            </w:r>
          </w:p>
        </w:tc>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0075A8"/>
              </w:rPr>
              <w:t>compensation-related topics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-3573780</wp:posOffset>
            </wp:positionV>
            <wp:extent cx="76835" cy="774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-3248025</wp:posOffset>
            </wp:positionV>
            <wp:extent cx="76835" cy="768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-2931160</wp:posOffset>
            </wp:positionV>
            <wp:extent cx="76835" cy="774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-2613660</wp:posOffset>
            </wp:positionV>
            <wp:extent cx="76835" cy="774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-2296795</wp:posOffset>
            </wp:positionV>
            <wp:extent cx="76835" cy="768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-1842135</wp:posOffset>
            </wp:positionV>
            <wp:extent cx="76835" cy="774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-1525270</wp:posOffset>
            </wp:positionV>
            <wp:extent cx="76835" cy="768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-1207770</wp:posOffset>
            </wp:positionV>
            <wp:extent cx="76835" cy="774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-753745</wp:posOffset>
            </wp:positionV>
            <wp:extent cx="76835" cy="768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-436245</wp:posOffset>
            </wp:positionV>
            <wp:extent cx="76835" cy="774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-264795</wp:posOffset>
            </wp:positionV>
            <wp:extent cx="76835" cy="774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-3573780</wp:posOffset>
            </wp:positionV>
            <wp:extent cx="77470" cy="774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-3265170</wp:posOffset>
            </wp:positionV>
            <wp:extent cx="77470" cy="774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-3093720</wp:posOffset>
            </wp:positionV>
            <wp:extent cx="77470" cy="774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-2647950</wp:posOffset>
            </wp:positionV>
            <wp:extent cx="77470" cy="774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-2339340</wp:posOffset>
            </wp:positionV>
            <wp:extent cx="77470" cy="768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-1893570</wp:posOffset>
            </wp:positionV>
            <wp:extent cx="77470" cy="774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-1584960</wp:posOffset>
            </wp:positionV>
            <wp:extent cx="77470" cy="774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-1413510</wp:posOffset>
            </wp:positionV>
            <wp:extent cx="77470" cy="774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-1104900</wp:posOffset>
            </wp:positionV>
            <wp:extent cx="77470" cy="774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-796290</wp:posOffset>
            </wp:positionV>
            <wp:extent cx="77470" cy="768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7683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Table of Contents</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180" w:type="dxa"/>
            <w:vAlign w:val="bottom"/>
            <w:gridSpan w:val="9"/>
          </w:tcPr>
          <w:p>
            <w:pPr>
              <w:spacing w:after="0"/>
              <w:rPr>
                <w:sz w:val="20"/>
                <w:szCs w:val="20"/>
                <w:color w:val="auto"/>
              </w:rPr>
            </w:pPr>
            <w:r>
              <w:rPr>
                <w:rFonts w:ascii="Arial" w:cs="Arial" w:eastAsia="Arial" w:hAnsi="Arial"/>
                <w:sz w:val="20"/>
                <w:szCs w:val="20"/>
                <w:b w:val="1"/>
                <w:bCs w:val="1"/>
                <w:color w:val="0075A8"/>
              </w:rPr>
              <w:t>​ Named Executive Officers</w:t>
            </w:r>
          </w:p>
        </w:tc>
        <w:tc>
          <w:tcPr>
            <w:tcW w:w="1300" w:type="dxa"/>
            <w:vAlign w:val="bottom"/>
            <w:gridSpan w:val="3"/>
          </w:tcPr>
          <w:p>
            <w:pPr>
              <w:ind w:left="680"/>
              <w:spacing w:after="0"/>
              <w:rPr>
                <w:sz w:val="20"/>
                <w:szCs w:val="20"/>
                <w:color w:val="auto"/>
              </w:rPr>
            </w:pPr>
            <w:r>
              <w:rPr>
                <w:rFonts w:ascii="Arial" w:cs="Arial" w:eastAsia="Arial" w:hAnsi="Arial"/>
                <w:sz w:val="20"/>
                <w:szCs w:val="20"/>
                <w:b w:val="1"/>
                <w:bCs w:val="1"/>
                <w:color w:val="0075A8"/>
              </w:rPr>
              <w:t>​ ​​32​ ​</w:t>
            </w:r>
          </w:p>
        </w:tc>
      </w:tr>
      <w:tr>
        <w:trPr>
          <w:trHeight w:val="20"/>
        </w:trPr>
        <w:tc>
          <w:tcPr>
            <w:tcW w:w="140" w:type="dxa"/>
            <w:vAlign w:val="bottom"/>
          </w:tcPr>
          <w:p>
            <w:pPr>
              <w:spacing w:after="0" w:line="20" w:lineRule="exact"/>
              <w:rPr>
                <w:sz w:val="1"/>
                <w:szCs w:val="1"/>
                <w:color w:val="auto"/>
              </w:rPr>
            </w:pPr>
          </w:p>
        </w:tc>
        <w:tc>
          <w:tcPr>
            <w:tcW w:w="2440" w:type="dxa"/>
            <w:vAlign w:val="bottom"/>
            <w:shd w:val="clear" w:color="auto" w:fill="0075A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7180" w:type="dxa"/>
            <w:vAlign w:val="bottom"/>
            <w:gridSpan w:val="9"/>
          </w:tcPr>
          <w:p>
            <w:pPr>
              <w:spacing w:after="0"/>
              <w:rPr>
                <w:sz w:val="20"/>
                <w:szCs w:val="20"/>
                <w:color w:val="auto"/>
              </w:rPr>
            </w:pPr>
            <w:r>
              <w:rPr>
                <w:rFonts w:ascii="Arial" w:cs="Arial" w:eastAsia="Arial" w:hAnsi="Arial"/>
                <w:sz w:val="20"/>
                <w:szCs w:val="20"/>
                <w:b w:val="1"/>
                <w:bCs w:val="1"/>
                <w:color w:val="0075A8"/>
              </w:rPr>
              <w:t>​ Engagement with Stockholders Regarding Executive Compensation</w:t>
            </w:r>
          </w:p>
        </w:tc>
        <w:tc>
          <w:tcPr>
            <w:tcW w:w="1300" w:type="dxa"/>
            <w:vAlign w:val="bottom"/>
            <w:gridSpan w:val="3"/>
          </w:tcPr>
          <w:p>
            <w:pPr>
              <w:ind w:left="680"/>
              <w:spacing w:after="0"/>
              <w:rPr>
                <w:sz w:val="20"/>
                <w:szCs w:val="20"/>
                <w:color w:val="auto"/>
              </w:rPr>
            </w:pPr>
            <w:r>
              <w:rPr>
                <w:rFonts w:ascii="Arial" w:cs="Arial" w:eastAsia="Arial" w:hAnsi="Arial"/>
                <w:sz w:val="20"/>
                <w:szCs w:val="20"/>
                <w:b w:val="1"/>
                <w:bCs w:val="1"/>
                <w:color w:val="0075A8"/>
              </w:rPr>
              <w:t>​ ​​32​ ​</w:t>
            </w:r>
          </w:p>
        </w:tc>
      </w:tr>
      <w:tr>
        <w:trPr>
          <w:trHeight w:val="20"/>
        </w:trPr>
        <w:tc>
          <w:tcPr>
            <w:tcW w:w="140" w:type="dxa"/>
            <w:vAlign w:val="bottom"/>
          </w:tcPr>
          <w:p>
            <w:pPr>
              <w:spacing w:after="0" w:line="20" w:lineRule="exact"/>
              <w:rPr>
                <w:sz w:val="1"/>
                <w:szCs w:val="1"/>
                <w:color w:val="auto"/>
              </w:rPr>
            </w:pPr>
          </w:p>
        </w:tc>
        <w:tc>
          <w:tcPr>
            <w:tcW w:w="2880" w:type="dxa"/>
            <w:vAlign w:val="bottom"/>
            <w:gridSpan w:val="2"/>
            <w:shd w:val="clear" w:color="auto" w:fill="0075A8"/>
          </w:tcPr>
          <w:p>
            <w:pPr>
              <w:spacing w:after="0" w:line="20" w:lineRule="exact"/>
              <w:rPr>
                <w:sz w:val="1"/>
                <w:szCs w:val="1"/>
                <w:color w:val="auto"/>
              </w:rPr>
            </w:pPr>
          </w:p>
        </w:tc>
        <w:tc>
          <w:tcPr>
            <w:tcW w:w="1140" w:type="dxa"/>
            <w:vAlign w:val="bottom"/>
            <w:shd w:val="clear" w:color="auto" w:fill="0075A8"/>
          </w:tcPr>
          <w:p>
            <w:pPr>
              <w:spacing w:after="0" w:line="20" w:lineRule="exact"/>
              <w:rPr>
                <w:sz w:val="1"/>
                <w:szCs w:val="1"/>
                <w:color w:val="auto"/>
              </w:rPr>
            </w:pPr>
          </w:p>
        </w:tc>
        <w:tc>
          <w:tcPr>
            <w:tcW w:w="640" w:type="dxa"/>
            <w:vAlign w:val="bottom"/>
            <w:shd w:val="clear" w:color="auto" w:fill="0075A8"/>
          </w:tcPr>
          <w:p>
            <w:pPr>
              <w:spacing w:after="0" w:line="20" w:lineRule="exact"/>
              <w:rPr>
                <w:sz w:val="1"/>
                <w:szCs w:val="1"/>
                <w:color w:val="auto"/>
              </w:rPr>
            </w:pPr>
          </w:p>
        </w:tc>
        <w:tc>
          <w:tcPr>
            <w:tcW w:w="520" w:type="dxa"/>
            <w:vAlign w:val="bottom"/>
            <w:shd w:val="clear" w:color="auto" w:fill="0075A8"/>
          </w:tcPr>
          <w:p>
            <w:pPr>
              <w:spacing w:after="0" w:line="20" w:lineRule="exact"/>
              <w:rPr>
                <w:sz w:val="1"/>
                <w:szCs w:val="1"/>
                <w:color w:val="auto"/>
              </w:rPr>
            </w:pPr>
          </w:p>
        </w:tc>
        <w:tc>
          <w:tcPr>
            <w:tcW w:w="800" w:type="dxa"/>
            <w:vAlign w:val="bottom"/>
            <w:tcBorders>
              <w:left w:val="single" w:sz="8" w:color="0075A8"/>
            </w:tcBorders>
            <w:shd w:val="clear" w:color="auto" w:fill="0075A8"/>
          </w:tcPr>
          <w:p>
            <w:pPr>
              <w:spacing w:after="0" w:line="20" w:lineRule="exact"/>
              <w:rPr>
                <w:sz w:val="1"/>
                <w:szCs w:val="1"/>
                <w:color w:val="auto"/>
              </w:rPr>
            </w:pPr>
          </w:p>
        </w:tc>
        <w:tc>
          <w:tcPr>
            <w:tcW w:w="400" w:type="dxa"/>
            <w:vAlign w:val="bottom"/>
            <w:shd w:val="clear" w:color="auto" w:fill="0075A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7180" w:type="dxa"/>
            <w:vAlign w:val="bottom"/>
            <w:gridSpan w:val="9"/>
          </w:tcPr>
          <w:p>
            <w:pPr>
              <w:spacing w:after="0"/>
              <w:rPr>
                <w:sz w:val="20"/>
                <w:szCs w:val="20"/>
                <w:color w:val="auto"/>
              </w:rPr>
            </w:pPr>
            <w:r>
              <w:rPr>
                <w:rFonts w:ascii="Arial" w:cs="Arial" w:eastAsia="Arial" w:hAnsi="Arial"/>
                <w:sz w:val="20"/>
                <w:szCs w:val="20"/>
                <w:b w:val="1"/>
                <w:bCs w:val="1"/>
                <w:color w:val="0075A8"/>
              </w:rPr>
              <w:t>​ Approach for Determining Form and Amounts of Compensation</w:t>
            </w:r>
          </w:p>
        </w:tc>
        <w:tc>
          <w:tcPr>
            <w:tcW w:w="1300" w:type="dxa"/>
            <w:vAlign w:val="bottom"/>
            <w:gridSpan w:val="3"/>
          </w:tcPr>
          <w:p>
            <w:pPr>
              <w:ind w:left="680"/>
              <w:spacing w:after="0"/>
              <w:rPr>
                <w:sz w:val="20"/>
                <w:szCs w:val="20"/>
                <w:color w:val="auto"/>
              </w:rPr>
            </w:pPr>
            <w:r>
              <w:rPr>
                <w:rFonts w:ascii="Arial" w:cs="Arial" w:eastAsia="Arial" w:hAnsi="Arial"/>
                <w:sz w:val="20"/>
                <w:szCs w:val="20"/>
                <w:b w:val="1"/>
                <w:bCs w:val="1"/>
                <w:color w:val="0075A8"/>
              </w:rPr>
              <w:t>​ ​​32​ ​</w:t>
            </w:r>
          </w:p>
        </w:tc>
      </w:tr>
      <w:tr>
        <w:trPr>
          <w:trHeight w:val="20"/>
        </w:trPr>
        <w:tc>
          <w:tcPr>
            <w:tcW w:w="140" w:type="dxa"/>
            <w:vAlign w:val="bottom"/>
          </w:tcPr>
          <w:p>
            <w:pPr>
              <w:spacing w:after="0" w:line="20" w:lineRule="exact"/>
              <w:rPr>
                <w:sz w:val="1"/>
                <w:szCs w:val="1"/>
                <w:color w:val="auto"/>
              </w:rPr>
            </w:pPr>
          </w:p>
        </w:tc>
        <w:tc>
          <w:tcPr>
            <w:tcW w:w="2880" w:type="dxa"/>
            <w:vAlign w:val="bottom"/>
            <w:gridSpan w:val="2"/>
            <w:shd w:val="clear" w:color="auto" w:fill="0075A8"/>
          </w:tcPr>
          <w:p>
            <w:pPr>
              <w:spacing w:after="0" w:line="20" w:lineRule="exact"/>
              <w:rPr>
                <w:sz w:val="1"/>
                <w:szCs w:val="1"/>
                <w:color w:val="auto"/>
              </w:rPr>
            </w:pPr>
          </w:p>
        </w:tc>
        <w:tc>
          <w:tcPr>
            <w:tcW w:w="1140" w:type="dxa"/>
            <w:vAlign w:val="bottom"/>
            <w:shd w:val="clear" w:color="auto" w:fill="0075A8"/>
          </w:tcPr>
          <w:p>
            <w:pPr>
              <w:spacing w:after="0" w:line="20" w:lineRule="exact"/>
              <w:rPr>
                <w:sz w:val="1"/>
                <w:szCs w:val="1"/>
                <w:color w:val="auto"/>
              </w:rPr>
            </w:pPr>
          </w:p>
        </w:tc>
        <w:tc>
          <w:tcPr>
            <w:tcW w:w="640" w:type="dxa"/>
            <w:vAlign w:val="bottom"/>
            <w:shd w:val="clear" w:color="auto" w:fill="0075A8"/>
          </w:tcPr>
          <w:p>
            <w:pPr>
              <w:spacing w:after="0" w:line="20" w:lineRule="exact"/>
              <w:rPr>
                <w:sz w:val="1"/>
                <w:szCs w:val="1"/>
                <w:color w:val="auto"/>
              </w:rPr>
            </w:pPr>
          </w:p>
        </w:tc>
        <w:tc>
          <w:tcPr>
            <w:tcW w:w="520" w:type="dxa"/>
            <w:vAlign w:val="bottom"/>
            <w:shd w:val="clear" w:color="auto" w:fill="0075A8"/>
          </w:tcPr>
          <w:p>
            <w:pPr>
              <w:spacing w:after="0" w:line="20" w:lineRule="exact"/>
              <w:rPr>
                <w:sz w:val="1"/>
                <w:szCs w:val="1"/>
                <w:color w:val="auto"/>
              </w:rPr>
            </w:pPr>
          </w:p>
        </w:tc>
        <w:tc>
          <w:tcPr>
            <w:tcW w:w="800" w:type="dxa"/>
            <w:vAlign w:val="bottom"/>
            <w:tcBorders>
              <w:left w:val="single" w:sz="8" w:color="0075A8"/>
            </w:tcBorders>
            <w:shd w:val="clear" w:color="auto" w:fill="0075A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7180" w:type="dxa"/>
            <w:vAlign w:val="bottom"/>
            <w:gridSpan w:val="9"/>
          </w:tcPr>
          <w:p>
            <w:pPr>
              <w:spacing w:after="0"/>
              <w:rPr>
                <w:sz w:val="20"/>
                <w:szCs w:val="20"/>
                <w:color w:val="auto"/>
              </w:rPr>
            </w:pPr>
            <w:r>
              <w:rPr>
                <w:rFonts w:ascii="Arial" w:cs="Arial" w:eastAsia="Arial" w:hAnsi="Arial"/>
                <w:sz w:val="20"/>
                <w:szCs w:val="20"/>
                <w:b w:val="1"/>
                <w:bCs w:val="1"/>
                <w:color w:val="0075A8"/>
              </w:rPr>
              <w:t>​ Components of Compensation</w:t>
            </w:r>
          </w:p>
        </w:tc>
        <w:tc>
          <w:tcPr>
            <w:tcW w:w="1300" w:type="dxa"/>
            <w:vAlign w:val="bottom"/>
            <w:gridSpan w:val="3"/>
          </w:tcPr>
          <w:p>
            <w:pPr>
              <w:ind w:left="680"/>
              <w:spacing w:after="0"/>
              <w:rPr>
                <w:sz w:val="20"/>
                <w:szCs w:val="20"/>
                <w:color w:val="auto"/>
              </w:rPr>
            </w:pPr>
            <w:r>
              <w:rPr>
                <w:rFonts w:ascii="Arial" w:cs="Arial" w:eastAsia="Arial" w:hAnsi="Arial"/>
                <w:sz w:val="20"/>
                <w:szCs w:val="20"/>
                <w:b w:val="1"/>
                <w:bCs w:val="1"/>
                <w:color w:val="0075A8"/>
              </w:rPr>
              <w:t>​ ​​34​ ​</w:t>
            </w:r>
          </w:p>
        </w:tc>
      </w:tr>
      <w:tr>
        <w:trPr>
          <w:trHeight w:val="20"/>
        </w:trPr>
        <w:tc>
          <w:tcPr>
            <w:tcW w:w="140" w:type="dxa"/>
            <w:vAlign w:val="bottom"/>
          </w:tcPr>
          <w:p>
            <w:pPr>
              <w:spacing w:after="0" w:line="20" w:lineRule="exact"/>
              <w:rPr>
                <w:sz w:val="1"/>
                <w:szCs w:val="1"/>
                <w:color w:val="auto"/>
              </w:rPr>
            </w:pPr>
          </w:p>
        </w:tc>
        <w:tc>
          <w:tcPr>
            <w:tcW w:w="2880" w:type="dxa"/>
            <w:vAlign w:val="bottom"/>
            <w:gridSpan w:val="2"/>
            <w:shd w:val="clear" w:color="auto" w:fill="0075A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7180" w:type="dxa"/>
            <w:vAlign w:val="bottom"/>
            <w:gridSpan w:val="9"/>
          </w:tcPr>
          <w:p>
            <w:pPr>
              <w:spacing w:after="0"/>
              <w:rPr>
                <w:sz w:val="20"/>
                <w:szCs w:val="20"/>
                <w:color w:val="auto"/>
              </w:rPr>
            </w:pPr>
            <w:r>
              <w:rPr>
                <w:rFonts w:ascii="Arial" w:cs="Arial" w:eastAsia="Arial" w:hAnsi="Arial"/>
                <w:sz w:val="20"/>
                <w:szCs w:val="20"/>
                <w:b w:val="1"/>
                <w:bCs w:val="1"/>
                <w:color w:val="0075A8"/>
              </w:rPr>
              <w:t>​ Severance and Change-in-Control Benefits</w:t>
            </w:r>
          </w:p>
        </w:tc>
        <w:tc>
          <w:tcPr>
            <w:tcW w:w="1300" w:type="dxa"/>
            <w:vAlign w:val="bottom"/>
            <w:gridSpan w:val="3"/>
          </w:tcPr>
          <w:p>
            <w:pPr>
              <w:ind w:left="680"/>
              <w:spacing w:after="0"/>
              <w:rPr>
                <w:sz w:val="20"/>
                <w:szCs w:val="20"/>
                <w:color w:val="auto"/>
              </w:rPr>
            </w:pPr>
            <w:r>
              <w:rPr>
                <w:rFonts w:ascii="Arial" w:cs="Arial" w:eastAsia="Arial" w:hAnsi="Arial"/>
                <w:sz w:val="20"/>
                <w:szCs w:val="20"/>
                <w:b w:val="1"/>
                <w:bCs w:val="1"/>
                <w:color w:val="0075A8"/>
              </w:rPr>
              <w:t>​ ​​42​ ​</w:t>
            </w:r>
          </w:p>
        </w:tc>
      </w:tr>
      <w:tr>
        <w:trPr>
          <w:trHeight w:val="20"/>
        </w:trPr>
        <w:tc>
          <w:tcPr>
            <w:tcW w:w="140" w:type="dxa"/>
            <w:vAlign w:val="bottom"/>
          </w:tcPr>
          <w:p>
            <w:pPr>
              <w:spacing w:after="0" w:line="20" w:lineRule="exact"/>
              <w:rPr>
                <w:sz w:val="1"/>
                <w:szCs w:val="1"/>
                <w:color w:val="auto"/>
              </w:rPr>
            </w:pPr>
          </w:p>
        </w:tc>
        <w:tc>
          <w:tcPr>
            <w:tcW w:w="4020" w:type="dxa"/>
            <w:vAlign w:val="bottom"/>
            <w:gridSpan w:val="3"/>
            <w:shd w:val="clear" w:color="auto" w:fill="0075A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7180" w:type="dxa"/>
            <w:vAlign w:val="bottom"/>
            <w:gridSpan w:val="9"/>
          </w:tcPr>
          <w:p>
            <w:pPr>
              <w:spacing w:after="0"/>
              <w:rPr>
                <w:sz w:val="20"/>
                <w:szCs w:val="20"/>
                <w:color w:val="auto"/>
              </w:rPr>
            </w:pPr>
            <w:r>
              <w:rPr>
                <w:rFonts w:ascii="Arial" w:cs="Arial" w:eastAsia="Arial" w:hAnsi="Arial"/>
                <w:sz w:val="20"/>
                <w:szCs w:val="20"/>
                <w:b w:val="1"/>
                <w:bCs w:val="1"/>
                <w:color w:val="0075A8"/>
              </w:rPr>
              <w:t>​ Executive Officer Stock Ownership Requirements</w:t>
            </w:r>
          </w:p>
        </w:tc>
        <w:tc>
          <w:tcPr>
            <w:tcW w:w="1300" w:type="dxa"/>
            <w:vAlign w:val="bottom"/>
            <w:gridSpan w:val="3"/>
          </w:tcPr>
          <w:p>
            <w:pPr>
              <w:ind w:left="680"/>
              <w:spacing w:after="0"/>
              <w:rPr>
                <w:sz w:val="20"/>
                <w:szCs w:val="20"/>
                <w:color w:val="auto"/>
              </w:rPr>
            </w:pPr>
            <w:r>
              <w:rPr>
                <w:rFonts w:ascii="Arial" w:cs="Arial" w:eastAsia="Arial" w:hAnsi="Arial"/>
                <w:sz w:val="20"/>
                <w:szCs w:val="20"/>
                <w:b w:val="1"/>
                <w:bCs w:val="1"/>
                <w:color w:val="0075A8"/>
              </w:rPr>
              <w:t>​ ​​43​ ​</w:t>
            </w:r>
          </w:p>
        </w:tc>
      </w:tr>
      <w:tr>
        <w:trPr>
          <w:trHeight w:val="20"/>
        </w:trPr>
        <w:tc>
          <w:tcPr>
            <w:tcW w:w="140" w:type="dxa"/>
            <w:vAlign w:val="bottom"/>
          </w:tcPr>
          <w:p>
            <w:pPr>
              <w:spacing w:after="0" w:line="20" w:lineRule="exact"/>
              <w:rPr>
                <w:sz w:val="1"/>
                <w:szCs w:val="1"/>
                <w:color w:val="auto"/>
              </w:rPr>
            </w:pPr>
          </w:p>
        </w:tc>
        <w:tc>
          <w:tcPr>
            <w:tcW w:w="4660" w:type="dxa"/>
            <w:vAlign w:val="bottom"/>
            <w:gridSpan w:val="4"/>
            <w:shd w:val="clear" w:color="auto" w:fill="0075A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7180" w:type="dxa"/>
            <w:vAlign w:val="bottom"/>
            <w:gridSpan w:val="9"/>
          </w:tcPr>
          <w:p>
            <w:pPr>
              <w:spacing w:after="0"/>
              <w:rPr>
                <w:sz w:val="20"/>
                <w:szCs w:val="20"/>
                <w:color w:val="auto"/>
              </w:rPr>
            </w:pPr>
            <w:r>
              <w:rPr>
                <w:rFonts w:ascii="Arial" w:cs="Arial" w:eastAsia="Arial" w:hAnsi="Arial"/>
                <w:sz w:val="20"/>
                <w:szCs w:val="20"/>
                <w:b w:val="1"/>
                <w:bCs w:val="1"/>
                <w:color w:val="0075A8"/>
              </w:rPr>
              <w:t>​ Prohibition on Hedging and Certain Other Transactions</w:t>
            </w:r>
          </w:p>
        </w:tc>
        <w:tc>
          <w:tcPr>
            <w:tcW w:w="1300" w:type="dxa"/>
            <w:vAlign w:val="bottom"/>
            <w:gridSpan w:val="3"/>
          </w:tcPr>
          <w:p>
            <w:pPr>
              <w:ind w:left="680"/>
              <w:spacing w:after="0"/>
              <w:rPr>
                <w:sz w:val="20"/>
                <w:szCs w:val="20"/>
                <w:color w:val="auto"/>
              </w:rPr>
            </w:pPr>
            <w:r>
              <w:rPr>
                <w:rFonts w:ascii="Arial" w:cs="Arial" w:eastAsia="Arial" w:hAnsi="Arial"/>
                <w:sz w:val="20"/>
                <w:szCs w:val="20"/>
                <w:b w:val="1"/>
                <w:bCs w:val="1"/>
                <w:color w:val="0075A8"/>
              </w:rPr>
              <w:t>​ ​​44​ ​</w:t>
            </w:r>
          </w:p>
        </w:tc>
      </w:tr>
      <w:tr>
        <w:trPr>
          <w:trHeight w:val="20"/>
        </w:trPr>
        <w:tc>
          <w:tcPr>
            <w:tcW w:w="140" w:type="dxa"/>
            <w:vAlign w:val="bottom"/>
          </w:tcPr>
          <w:p>
            <w:pPr>
              <w:spacing w:after="0" w:line="20" w:lineRule="exact"/>
              <w:rPr>
                <w:sz w:val="1"/>
                <w:szCs w:val="1"/>
                <w:color w:val="auto"/>
              </w:rPr>
            </w:pPr>
          </w:p>
        </w:tc>
        <w:tc>
          <w:tcPr>
            <w:tcW w:w="5180" w:type="dxa"/>
            <w:vAlign w:val="bottom"/>
            <w:gridSpan w:val="5"/>
            <w:shd w:val="clear" w:color="auto" w:fill="0075A8"/>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7180" w:type="dxa"/>
            <w:vAlign w:val="bottom"/>
            <w:gridSpan w:val="9"/>
          </w:tcPr>
          <w:p>
            <w:pPr>
              <w:spacing w:after="0"/>
              <w:rPr>
                <w:sz w:val="20"/>
                <w:szCs w:val="20"/>
                <w:color w:val="auto"/>
              </w:rPr>
            </w:pPr>
            <w:r>
              <w:rPr>
                <w:rFonts w:ascii="Arial" w:cs="Arial" w:eastAsia="Arial" w:hAnsi="Arial"/>
                <w:sz w:val="20"/>
                <w:szCs w:val="20"/>
                <w:b w:val="1"/>
                <w:bCs w:val="1"/>
                <w:color w:val="0075A8"/>
              </w:rPr>
              <w:t>​ Compliance with Internal Revenue Code Section 162(m)</w:t>
            </w:r>
          </w:p>
        </w:tc>
        <w:tc>
          <w:tcPr>
            <w:tcW w:w="1300" w:type="dxa"/>
            <w:vAlign w:val="bottom"/>
            <w:gridSpan w:val="3"/>
          </w:tcPr>
          <w:p>
            <w:pPr>
              <w:ind w:left="680"/>
              <w:spacing w:after="0"/>
              <w:rPr>
                <w:sz w:val="20"/>
                <w:szCs w:val="20"/>
                <w:color w:val="auto"/>
              </w:rPr>
            </w:pPr>
            <w:r>
              <w:rPr>
                <w:rFonts w:ascii="Arial" w:cs="Arial" w:eastAsia="Arial" w:hAnsi="Arial"/>
                <w:sz w:val="20"/>
                <w:szCs w:val="20"/>
                <w:b w:val="1"/>
                <w:bCs w:val="1"/>
                <w:color w:val="0075A8"/>
              </w:rPr>
              <w:t>​ ​​44​ ​</w:t>
            </w:r>
          </w:p>
        </w:tc>
      </w:tr>
      <w:tr>
        <w:trPr>
          <w:trHeight w:val="20"/>
        </w:trPr>
        <w:tc>
          <w:tcPr>
            <w:tcW w:w="140" w:type="dxa"/>
            <w:vAlign w:val="bottom"/>
          </w:tcPr>
          <w:p>
            <w:pPr>
              <w:spacing w:after="0" w:line="20" w:lineRule="exact"/>
              <w:rPr>
                <w:sz w:val="1"/>
                <w:szCs w:val="1"/>
                <w:color w:val="auto"/>
              </w:rPr>
            </w:pPr>
          </w:p>
        </w:tc>
        <w:tc>
          <w:tcPr>
            <w:tcW w:w="2440" w:type="dxa"/>
            <w:vAlign w:val="bottom"/>
            <w:shd w:val="clear" w:color="auto" w:fill="0075A8"/>
          </w:tcPr>
          <w:p>
            <w:pPr>
              <w:spacing w:after="0" w:line="20" w:lineRule="exact"/>
              <w:rPr>
                <w:sz w:val="1"/>
                <w:szCs w:val="1"/>
                <w:color w:val="auto"/>
              </w:rPr>
            </w:pPr>
          </w:p>
        </w:tc>
        <w:tc>
          <w:tcPr>
            <w:tcW w:w="440" w:type="dxa"/>
            <w:vAlign w:val="bottom"/>
            <w:shd w:val="clear" w:color="auto" w:fill="0075A8"/>
          </w:tcPr>
          <w:p>
            <w:pPr>
              <w:spacing w:after="0" w:line="20" w:lineRule="exact"/>
              <w:rPr>
                <w:sz w:val="1"/>
                <w:szCs w:val="1"/>
                <w:color w:val="auto"/>
              </w:rPr>
            </w:pPr>
          </w:p>
        </w:tc>
        <w:tc>
          <w:tcPr>
            <w:tcW w:w="1140" w:type="dxa"/>
            <w:vAlign w:val="bottom"/>
            <w:shd w:val="clear" w:color="auto" w:fill="0075A8"/>
          </w:tcPr>
          <w:p>
            <w:pPr>
              <w:spacing w:after="0" w:line="20" w:lineRule="exact"/>
              <w:rPr>
                <w:sz w:val="1"/>
                <w:szCs w:val="1"/>
                <w:color w:val="auto"/>
              </w:rPr>
            </w:pPr>
          </w:p>
        </w:tc>
        <w:tc>
          <w:tcPr>
            <w:tcW w:w="640" w:type="dxa"/>
            <w:vAlign w:val="bottom"/>
            <w:shd w:val="clear" w:color="auto" w:fill="0075A8"/>
          </w:tcPr>
          <w:p>
            <w:pPr>
              <w:spacing w:after="0" w:line="20" w:lineRule="exact"/>
              <w:rPr>
                <w:sz w:val="1"/>
                <w:szCs w:val="1"/>
                <w:color w:val="auto"/>
              </w:rPr>
            </w:pPr>
          </w:p>
        </w:tc>
        <w:tc>
          <w:tcPr>
            <w:tcW w:w="520" w:type="dxa"/>
            <w:vAlign w:val="bottom"/>
            <w:shd w:val="clear" w:color="auto" w:fill="0075A8"/>
          </w:tcPr>
          <w:p>
            <w:pPr>
              <w:spacing w:after="0" w:line="20" w:lineRule="exact"/>
              <w:rPr>
                <w:sz w:val="1"/>
                <w:szCs w:val="1"/>
                <w:color w:val="auto"/>
              </w:rPr>
            </w:pPr>
          </w:p>
        </w:tc>
        <w:tc>
          <w:tcPr>
            <w:tcW w:w="800" w:type="dxa"/>
            <w:vAlign w:val="bottom"/>
            <w:tcBorders>
              <w:left w:val="single" w:sz="8" w:color="0075A8"/>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75A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Named Executive Officers</w:t>
      </w:r>
    </w:p>
    <w:p>
      <w:pPr>
        <w:spacing w:after="0" w:line="147" w:lineRule="exact"/>
        <w:rPr>
          <w:sz w:val="20"/>
          <w:szCs w:val="20"/>
          <w:color w:val="auto"/>
        </w:rPr>
      </w:pPr>
    </w:p>
    <w:p>
      <w:pPr>
        <w:ind w:left="660" w:right="20"/>
        <w:spacing w:after="0" w:line="244" w:lineRule="auto"/>
        <w:rPr>
          <w:sz w:val="20"/>
          <w:szCs w:val="20"/>
          <w:color w:val="auto"/>
        </w:rPr>
      </w:pPr>
      <w:r>
        <w:rPr>
          <w:rFonts w:ascii="Arial" w:cs="Arial" w:eastAsia="Arial" w:hAnsi="Arial"/>
          <w:sz w:val="20"/>
          <w:szCs w:val="20"/>
          <w:color w:val="auto"/>
        </w:rPr>
        <w:t>This Compensation Discussion and Analysis section discusses the compensation policies and programs for our Chief Executive Officer, our Chief Financial Officer, and our three next most highly paid executive officers during fiscal year 2022, as determined under the rules of the SEC. We refer to this group of executive officers as our “Named Executive Officers.”</w:t>
      </w:r>
    </w:p>
    <w:p>
      <w:pPr>
        <w:spacing w:after="0" w:line="222" w:lineRule="exact"/>
        <w:rPr>
          <w:sz w:val="20"/>
          <w:szCs w:val="20"/>
          <w:color w:val="auto"/>
        </w:rPr>
      </w:pPr>
    </w:p>
    <w:p>
      <w:pPr>
        <w:ind w:left="660" w:right="20"/>
        <w:spacing w:after="0" w:line="246" w:lineRule="auto"/>
        <w:rPr>
          <w:sz w:val="20"/>
          <w:szCs w:val="20"/>
          <w:color w:val="auto"/>
        </w:rPr>
      </w:pPr>
      <w:r>
        <w:rPr>
          <w:rFonts w:ascii="Arial" w:cs="Arial" w:eastAsia="Arial" w:hAnsi="Arial"/>
          <w:sz w:val="20"/>
          <w:szCs w:val="20"/>
          <w:color w:val="auto"/>
        </w:rPr>
        <w:t>For fiscal year 2022, our Named Executive Officers were:</w:t>
      </w:r>
    </w:p>
    <w:p>
      <w:pPr>
        <w:spacing w:after="0" w:line="204" w:lineRule="exact"/>
        <w:rPr>
          <w:sz w:val="20"/>
          <w:szCs w:val="20"/>
          <w:color w:val="auto"/>
        </w:rPr>
      </w:pPr>
    </w:p>
    <w:p>
      <w:pPr>
        <w:ind w:left="840" w:right="600" w:hanging="186"/>
        <w:spacing w:after="0" w:line="267" w:lineRule="auto"/>
        <w:tabs>
          <w:tab w:leader="none" w:pos="8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Liam K. Griffin, Chairman, Chief Executive Officer and President;</w:t>
      </w:r>
    </w:p>
    <w:p>
      <w:pPr>
        <w:spacing w:after="0" w:line="1" w:lineRule="exact"/>
        <w:rPr>
          <w:rFonts w:ascii="Arial" w:cs="Arial" w:eastAsia="Arial" w:hAnsi="Arial"/>
          <w:sz w:val="20"/>
          <w:szCs w:val="20"/>
          <w:color w:val="auto"/>
        </w:rPr>
      </w:pPr>
    </w:p>
    <w:p>
      <w:pPr>
        <w:ind w:left="840" w:right="60" w:hanging="186"/>
        <w:spacing w:after="0" w:line="260" w:lineRule="auto"/>
        <w:tabs>
          <w:tab w:leader="none" w:pos="8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Kris Sennesael, Senior Vice President and Chief Financial Officer;</w:t>
      </w:r>
    </w:p>
    <w:p>
      <w:pPr>
        <w:spacing w:after="0" w:line="1" w:lineRule="exact"/>
        <w:rPr>
          <w:rFonts w:ascii="Arial" w:cs="Arial" w:eastAsia="Arial" w:hAnsi="Arial"/>
          <w:sz w:val="20"/>
          <w:szCs w:val="20"/>
          <w:color w:val="auto"/>
        </w:rPr>
      </w:pPr>
    </w:p>
    <w:p>
      <w:pPr>
        <w:ind w:left="840" w:right="1020" w:hanging="186"/>
        <w:spacing w:after="0" w:line="274" w:lineRule="auto"/>
        <w:tabs>
          <w:tab w:leader="none" w:pos="8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Reza Kasnavi, Senior Vice President, Technology and Manufacturing;</w:t>
      </w:r>
    </w:p>
    <w:p>
      <w:pPr>
        <w:ind w:left="840" w:right="80" w:hanging="186"/>
        <w:spacing w:after="0" w:line="260" w:lineRule="auto"/>
        <w:tabs>
          <w:tab w:leader="none" w:pos="8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Carlos S. Bori, Senior Vice President, Sales and Marketing; and</w:t>
      </w:r>
    </w:p>
    <w:p>
      <w:pPr>
        <w:spacing w:after="0" w:line="1" w:lineRule="exact"/>
        <w:rPr>
          <w:rFonts w:ascii="Arial" w:cs="Arial" w:eastAsia="Arial" w:hAnsi="Arial"/>
          <w:sz w:val="20"/>
          <w:szCs w:val="20"/>
          <w:color w:val="auto"/>
        </w:rPr>
      </w:pPr>
    </w:p>
    <w:p>
      <w:pPr>
        <w:ind w:left="840" w:right="200" w:hanging="186"/>
        <w:spacing w:after="0" w:line="261" w:lineRule="auto"/>
        <w:tabs>
          <w:tab w:leader="none" w:pos="8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Robert J. Terry, Senior Vice President, General Counsel and Secretary.</w:t>
      </w:r>
    </w:p>
    <w:p>
      <w:pPr>
        <w:spacing w:after="0" w:line="236" w:lineRule="exact"/>
        <w:rPr>
          <w:sz w:val="20"/>
          <w:szCs w:val="20"/>
          <w:color w:val="auto"/>
        </w:rPr>
      </w:pPr>
    </w:p>
    <w:p>
      <w:pPr>
        <w:ind w:left="660" w:right="480"/>
        <w:spacing w:after="0" w:line="286" w:lineRule="auto"/>
        <w:rPr>
          <w:sz w:val="20"/>
          <w:szCs w:val="20"/>
          <w:color w:val="auto"/>
        </w:rPr>
      </w:pPr>
      <w:r>
        <w:rPr>
          <w:rFonts w:ascii="Arial" w:cs="Arial" w:eastAsia="Arial" w:hAnsi="Arial"/>
          <w:sz w:val="23"/>
          <w:szCs w:val="23"/>
          <w:b w:val="1"/>
          <w:bCs w:val="1"/>
          <w:i w:val="1"/>
          <w:iCs w:val="1"/>
          <w:color w:val="auto"/>
        </w:rPr>
        <w:t>Engagement with Stockholders Regarding Executive Compensation</w:t>
      </w:r>
    </w:p>
    <w:p>
      <w:pPr>
        <w:spacing w:after="0" w:line="51" w:lineRule="exact"/>
        <w:rPr>
          <w:sz w:val="20"/>
          <w:szCs w:val="20"/>
          <w:color w:val="auto"/>
        </w:rPr>
      </w:pPr>
    </w:p>
    <w:p>
      <w:pPr>
        <w:ind w:left="660" w:right="40"/>
        <w:spacing w:after="0" w:line="244" w:lineRule="auto"/>
        <w:rPr>
          <w:sz w:val="20"/>
          <w:szCs w:val="20"/>
          <w:color w:val="auto"/>
        </w:rPr>
      </w:pPr>
      <w:r>
        <w:rPr>
          <w:rFonts w:ascii="Arial" w:cs="Arial" w:eastAsia="Arial" w:hAnsi="Arial"/>
          <w:sz w:val="20"/>
          <w:szCs w:val="20"/>
          <w:color w:val="auto"/>
        </w:rPr>
        <w:t>In evaluating and establishing our executive compensation policies and programs, our Compensation Committee values and actively considers the opinions expressed by our stockholders through the “say-on-pay” advisory vote at each annual stockholder meeting, as well as through our ongoing stockholder engagement efforts. At our 2022 Annual Meeting of Stockholders, approximately 86% of the votes cast approved our “say-on-pay” proposal. We interpreted this as stockholders generally approving our compensation policies and determinations for our fiscal year ended October 1, 2021 (“fiscal year 2021”) and that they were generally pleased with the updates the Compensation Committee had made for fiscal year 2022, in part after considering input from stockholders following our 2021 Annual Meeting of Stockholders.</w:t>
      </w:r>
    </w:p>
    <w:p>
      <w:pPr>
        <w:spacing w:after="0" w:line="242" w:lineRule="exact"/>
        <w:rPr>
          <w:sz w:val="20"/>
          <w:szCs w:val="20"/>
          <w:color w:val="auto"/>
        </w:rPr>
      </w:pPr>
    </w:p>
    <w:p>
      <w:pPr>
        <w:ind w:left="660"/>
        <w:spacing w:after="0" w:line="257" w:lineRule="auto"/>
        <w:rPr>
          <w:sz w:val="20"/>
          <w:szCs w:val="20"/>
          <w:color w:val="auto"/>
        </w:rPr>
      </w:pPr>
      <w:r>
        <w:rPr>
          <w:rFonts w:ascii="Arial" w:cs="Arial" w:eastAsia="Arial" w:hAnsi="Arial"/>
          <w:sz w:val="20"/>
          <w:szCs w:val="20"/>
          <w:color w:val="auto"/>
        </w:rPr>
        <w:t>Following the 2022 Annual Meeting and through November 2022, we engaged in formal stockholder outreach, soliciting feedback from</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2140" w:val="left"/>
          <w:tab w:leader="none" w:pos="238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approximately 20 institutional stockholders representing approximately 41% of the Company’s shares outstanding. Our Company management held subsequent engagement meetings with stockholders representing approximately 7% of the Company’s shares outstanding. Stockholders representing approximately 29% of the Company’s shares outstanding responded to the outreach, either with written feedback or declining the invitation to meet.</w:t>
      </w:r>
    </w:p>
    <w:p>
      <w:pPr>
        <w:spacing w:after="0" w:line="194"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During those conversations, institutional stockholders expressed approval of the Company’s strategy, performance, and management. In addition, they indicated support for the Company’s compensation policies and plan designs. After considering this input from our stockholders, as well as evaluating practices related to executive compensation by public companies generally, and our peer group specifically, our Compensation Committee determined that in general, the Company’s existing executive compensation policies and plan designs remained appropriate and in the best interests of the Company and its stockholders.</w:t>
      </w:r>
    </w:p>
    <w:p>
      <w:pPr>
        <w:spacing w:after="0" w:line="257" w:lineRule="exact"/>
        <w:rPr>
          <w:sz w:val="20"/>
          <w:szCs w:val="20"/>
          <w:color w:val="auto"/>
        </w:rPr>
      </w:pPr>
    </w:p>
    <w:p>
      <w:pPr>
        <w:ind w:right="500"/>
        <w:spacing w:after="0" w:line="273" w:lineRule="auto"/>
        <w:rPr>
          <w:sz w:val="20"/>
          <w:szCs w:val="20"/>
          <w:color w:val="auto"/>
        </w:rPr>
      </w:pPr>
      <w:r>
        <w:rPr>
          <w:rFonts w:ascii="Arial" w:cs="Arial" w:eastAsia="Arial" w:hAnsi="Arial"/>
          <w:sz w:val="23"/>
          <w:szCs w:val="23"/>
          <w:b w:val="1"/>
          <w:bCs w:val="1"/>
          <w:i w:val="1"/>
          <w:iCs w:val="1"/>
          <w:color w:val="auto"/>
        </w:rPr>
        <w:t>Approach for Determining Form and Amounts of Compensation</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The Compensation Committee, which is composed solely of independent directors within the meaning of applicable Nasdaq Rules and non-employee directors within the meaning of Rule 16b-3 under the Exchange Act and is described above under “</w:t>
      </w:r>
      <w:r>
        <w:rPr>
          <w:rFonts w:ascii="Arial" w:cs="Arial" w:eastAsia="Arial" w:hAnsi="Arial"/>
          <w:sz w:val="19"/>
          <w:szCs w:val="19"/>
          <w:i w:val="1"/>
          <w:iCs w:val="1"/>
          <w:color w:val="auto"/>
        </w:rPr>
        <w:t>Committees of the Board of Directors</w:t>
      </w:r>
      <w:r>
        <w:rPr>
          <w:rFonts w:ascii="Arial" w:cs="Arial" w:eastAsia="Arial" w:hAnsi="Arial"/>
          <w:sz w:val="19"/>
          <w:szCs w:val="19"/>
          <w:color w:val="auto"/>
        </w:rPr>
        <w:t>,” is responsible for determining all components and amounts of compensation to be paid to our Named Executive Officers, as well as any other executive officers or employees who report directly to the Chief Executive Officer. The Compensation Committee sets compensation for the Named Executive Officers, including base salary, short-term incentives, and long-term stock-based incentives, at levels generally intended to be competitive with the compensation of comparable executives in semiconductor companies with which we compete for executive talent and to link the compensation of our Named Executive Officers to improvements in the Company’s financial performance and increases in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431165</wp:posOffset>
            </wp:positionV>
            <wp:extent cx="779780" cy="2571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2680"/>
        <w:spacing w:after="0"/>
        <w:tabs>
          <w:tab w:leader="none" w:pos="2900" w:val="left"/>
          <w:tab w:leader="none" w:pos="3260"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177800</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40"/>
            <w:col w:w="4520"/>
          </w:cols>
          <w:pgMar w:left="580" w:top="131" w:right="121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Compensation Program Objectives</w:t>
      </w:r>
    </w:p>
    <w:p>
      <w:pPr>
        <w:spacing w:after="0" w:line="150" w:lineRule="exact"/>
        <w:rPr>
          <w:sz w:val="20"/>
          <w:szCs w:val="20"/>
          <w:color w:val="auto"/>
        </w:rPr>
      </w:pPr>
    </w:p>
    <w:p>
      <w:pPr>
        <w:ind w:left="660" w:right="60"/>
        <w:spacing w:after="0" w:line="243" w:lineRule="auto"/>
        <w:rPr>
          <w:sz w:val="20"/>
          <w:szCs w:val="20"/>
          <w:color w:val="auto"/>
        </w:rPr>
      </w:pPr>
      <w:r>
        <w:rPr>
          <w:rFonts w:ascii="Arial" w:cs="Arial" w:eastAsia="Arial" w:hAnsi="Arial"/>
          <w:sz w:val="20"/>
          <w:szCs w:val="20"/>
          <w:color w:val="auto"/>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p>
    <w:p>
      <w:pPr>
        <w:spacing w:after="0" w:line="226" w:lineRule="exact"/>
        <w:rPr>
          <w:sz w:val="20"/>
          <w:szCs w:val="20"/>
          <w:color w:val="auto"/>
        </w:rPr>
      </w:pPr>
    </w:p>
    <w:p>
      <w:pPr>
        <w:ind w:left="840" w:right="300" w:hanging="186"/>
        <w:spacing w:after="0" w:line="260" w:lineRule="auto"/>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ensuring that our executive compensation program is competitive with a group of companies in the semiconductor industry with which we compete for executive talent;</w:t>
      </w:r>
    </w:p>
    <w:p>
      <w:pPr>
        <w:spacing w:after="0" w:line="2" w:lineRule="exact"/>
        <w:rPr>
          <w:rFonts w:ascii="Arial" w:cs="Arial" w:eastAsia="Arial" w:hAnsi="Arial"/>
          <w:sz w:val="20"/>
          <w:szCs w:val="20"/>
          <w:color w:val="auto"/>
        </w:rPr>
      </w:pPr>
    </w:p>
    <w:p>
      <w:pPr>
        <w:ind w:left="840" w:hanging="186"/>
        <w:spacing w:after="0"/>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providing a base salary that serves as the</w:t>
      </w:r>
    </w:p>
    <w:p>
      <w:pPr>
        <w:spacing w:after="0" w:line="26" w:lineRule="exact"/>
        <w:rPr>
          <w:rFonts w:ascii="Arial" w:cs="Arial" w:eastAsia="Arial" w:hAnsi="Arial"/>
          <w:sz w:val="20"/>
          <w:szCs w:val="20"/>
          <w:color w:val="auto"/>
        </w:rPr>
      </w:pPr>
    </w:p>
    <w:p>
      <w:pPr>
        <w:ind w:left="840" w:right="120"/>
        <w:spacing w:after="0" w:line="258" w:lineRule="auto"/>
        <w:rPr>
          <w:rFonts w:ascii="Arial" w:cs="Arial" w:eastAsia="Arial" w:hAnsi="Arial"/>
          <w:sz w:val="20"/>
          <w:szCs w:val="20"/>
          <w:color w:val="auto"/>
        </w:rPr>
      </w:pPr>
      <w:r>
        <w:rPr>
          <w:rFonts w:ascii="Arial" w:cs="Arial" w:eastAsia="Arial" w:hAnsi="Arial"/>
          <w:sz w:val="20"/>
          <w:szCs w:val="20"/>
          <w:color w:val="auto"/>
        </w:rPr>
        <w:t>foundation of a compensation package that attracts and retains the executive talent needed to achieve our business objectives;</w:t>
      </w:r>
    </w:p>
    <w:p>
      <w:pPr>
        <w:ind w:left="840" w:hanging="186"/>
        <w:spacing w:after="0"/>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providing short-term variable compensation that</w:t>
      </w:r>
    </w:p>
    <w:p>
      <w:pPr>
        <w:spacing w:after="0" w:line="26" w:lineRule="exact"/>
        <w:rPr>
          <w:rFonts w:ascii="Arial" w:cs="Arial" w:eastAsia="Arial" w:hAnsi="Arial"/>
          <w:sz w:val="20"/>
          <w:szCs w:val="20"/>
          <w:color w:val="auto"/>
        </w:rPr>
      </w:pPr>
    </w:p>
    <w:p>
      <w:pPr>
        <w:ind w:left="840" w:right="520"/>
        <w:spacing w:after="0" w:line="258" w:lineRule="auto"/>
        <w:rPr>
          <w:rFonts w:ascii="Arial" w:cs="Arial" w:eastAsia="Arial" w:hAnsi="Arial"/>
          <w:sz w:val="20"/>
          <w:szCs w:val="20"/>
          <w:color w:val="auto"/>
        </w:rPr>
      </w:pPr>
      <w:r>
        <w:rPr>
          <w:rFonts w:ascii="Arial" w:cs="Arial" w:eastAsia="Arial" w:hAnsi="Arial"/>
          <w:sz w:val="20"/>
          <w:szCs w:val="20"/>
          <w:color w:val="auto"/>
        </w:rPr>
        <w:t>motivates executives and rewards them for achieving Company financial performance targets;</w:t>
      </w:r>
    </w:p>
    <w:p>
      <w:pPr>
        <w:ind w:left="840" w:right="180" w:hanging="186"/>
        <w:spacing w:after="0" w:line="281" w:lineRule="auto"/>
        <w:tabs>
          <w:tab w:leader="none" w:pos="8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providing long-term stock-based compensation that aligns the interest of our executives with</w:t>
      </w:r>
    </w:p>
    <w:p>
      <w:pPr>
        <w:spacing w:after="0" w:line="1" w:lineRule="exact"/>
        <w:rPr>
          <w:rFonts w:ascii="Arial" w:cs="Arial" w:eastAsia="Arial" w:hAnsi="Arial"/>
          <w:sz w:val="19"/>
          <w:szCs w:val="19"/>
          <w:color w:val="auto"/>
        </w:rPr>
      </w:pPr>
    </w:p>
    <w:p>
      <w:pPr>
        <w:ind w:left="840" w:right="320"/>
        <w:spacing w:after="0" w:line="260" w:lineRule="auto"/>
        <w:rPr>
          <w:rFonts w:ascii="Arial" w:cs="Arial" w:eastAsia="Arial" w:hAnsi="Arial"/>
          <w:sz w:val="19"/>
          <w:szCs w:val="19"/>
          <w:color w:val="auto"/>
        </w:rPr>
      </w:pPr>
      <w:r>
        <w:rPr>
          <w:rFonts w:ascii="Arial" w:cs="Arial" w:eastAsia="Arial" w:hAnsi="Arial"/>
          <w:sz w:val="20"/>
          <w:szCs w:val="20"/>
          <w:color w:val="auto"/>
        </w:rPr>
        <w:t>stockholders by rewarding them for long-term increases in stockholder value; and</w:t>
      </w:r>
    </w:p>
    <w:p>
      <w:pPr>
        <w:spacing w:after="0" w:line="1" w:lineRule="exact"/>
        <w:rPr>
          <w:rFonts w:ascii="Arial" w:cs="Arial" w:eastAsia="Arial" w:hAnsi="Arial"/>
          <w:sz w:val="19"/>
          <w:szCs w:val="19"/>
          <w:color w:val="auto"/>
        </w:rPr>
      </w:pPr>
    </w:p>
    <w:p>
      <w:pPr>
        <w:ind w:left="840" w:hanging="186"/>
        <w:spacing w:after="0" w:line="264" w:lineRule="auto"/>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ensuring that our executive compensation program is perceived as fundamentally fair to our employees.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Retention of Compensation Consultant</w:t>
      </w:r>
    </w:p>
    <w:p>
      <w:pPr>
        <w:spacing w:after="0" w:line="150" w:lineRule="exact"/>
        <w:rPr>
          <w:sz w:val="20"/>
          <w:szCs w:val="20"/>
          <w:color w:val="auto"/>
        </w:rPr>
      </w:pPr>
    </w:p>
    <w:p>
      <w:pPr>
        <w:ind w:left="660" w:right="60"/>
        <w:spacing w:after="0" w:line="245" w:lineRule="auto"/>
        <w:rPr>
          <w:sz w:val="20"/>
          <w:szCs w:val="20"/>
          <w:color w:val="auto"/>
        </w:rPr>
      </w:pPr>
      <w:r>
        <w:rPr>
          <w:rFonts w:ascii="Arial" w:cs="Arial" w:eastAsia="Arial" w:hAnsi="Arial"/>
          <w:sz w:val="20"/>
          <w:szCs w:val="20"/>
          <w:color w:val="auto"/>
        </w:rPr>
        <w:t>The Compensation Committee has engaged Aon/​ Radford to assist in determining the components and amount of executive compensation. Aon/​ Radford reports directly to the Compensation Committee, through its chairman, and the Compensation Committee retains the right to terminate or replace the consultant at any time. The Compensation Committee has considered the relationships that Aon/Radford has with the Company, the members of the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Committee and our executive officers, as well as the policies that Aon/Radford has in place to maintain its independence and objectivity, and has determined that Aon/Radford’s work for the Compensation Committee has not raised any conflicts of interest. Company management also purchases published compensation and benefits surveys from Aon/Radford, and on occasion engages certain affiliates of Aon/Radford in various jurisdictions for services unrelated to executive compensation and benefits, engagements for which the Company’s management has not sought the Compensation Committee’s approval. The fees paid to Aon/Radford and its affiliates in fiscal year 2022 for these surveys and additional services did not exceed $120,000.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0075A8"/>
        </w:rPr>
        <w:t>Use of Comparator Group Data</w:t>
      </w:r>
    </w:p>
    <w:p>
      <w:pPr>
        <w:spacing w:after="0" w:line="163"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The Compensation Committee annually compares the components and amounts of compensation that we provide to our Chief Executive Officer and each of the other Named Executive Officers with “Comparator Group” data for each position and uses this comparison data to help inform its review and determination of base salaries, short-term incentives, and long-term stock-based compensation awards, as discussed in further detail below under “</w:t>
      </w:r>
      <w:r>
        <w:rPr>
          <w:rFonts w:ascii="Arial" w:cs="Arial" w:eastAsia="Arial" w:hAnsi="Arial"/>
          <w:sz w:val="19"/>
          <w:szCs w:val="19"/>
          <w:i w:val="1"/>
          <w:iCs w:val="1"/>
          <w:color w:val="auto"/>
        </w:rPr>
        <w:t>Components of</w:t>
      </w:r>
      <w:r>
        <w:rPr>
          <w:rFonts w:ascii="Arial" w:cs="Arial" w:eastAsia="Arial" w:hAnsi="Arial"/>
          <w:sz w:val="19"/>
          <w:szCs w:val="19"/>
          <w:color w:val="auto"/>
        </w:rPr>
        <w:t xml:space="preserve"> </w:t>
      </w:r>
      <w:r>
        <w:rPr>
          <w:rFonts w:ascii="Arial" w:cs="Arial" w:eastAsia="Arial" w:hAnsi="Arial"/>
          <w:sz w:val="19"/>
          <w:szCs w:val="19"/>
          <w:i w:val="1"/>
          <w:iCs w:val="1"/>
          <w:color w:val="auto"/>
        </w:rPr>
        <w:t>Compensation</w:t>
      </w:r>
      <w:r>
        <w:rPr>
          <w:rFonts w:ascii="Arial" w:cs="Arial" w:eastAsia="Arial" w:hAnsi="Arial"/>
          <w:sz w:val="19"/>
          <w:szCs w:val="19"/>
          <w:color w:val="auto"/>
        </w:rPr>
        <w:t>.” For fiscal year 2022,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Committee approved Comparator Group data consisting of a 50/50 blend of  (i) Aon/​ Radford survey data of semiconductor companies (where sufficient data was not available in the Aon/Radford semiconductor survey data for a given executive position, the Comparator Group data also included survey data regarding high-technology companies), and (ii) data from the group of 15 publicly traded semiconductor companies listed below. The peer group includes many business competitors, as well as certain larger semiconductor companies with which we compete for executive talent.</w:t>
      </w:r>
    </w:p>
    <w:p>
      <w:pPr>
        <w:spacing w:after="0" w:line="507" w:lineRule="exact"/>
        <w:rPr>
          <w:sz w:val="20"/>
          <w:szCs w:val="20"/>
          <w:color w:val="auto"/>
        </w:rPr>
      </w:pPr>
    </w:p>
    <w:p>
      <w:pPr>
        <w:sectPr>
          <w:pgSz w:w="11900" w:h="16838" w:orient="portrait"/>
          <w:cols w:equalWidth="0" w:num="2">
            <w:col w:w="5120" w:space="460"/>
            <w:col w:w="4520"/>
          </w:cols>
          <w:pgMar w:left="580" w:top="131"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310"/>
        </w:trPr>
        <w:tc>
          <w:tcPr>
            <w:tcW w:w="1580" w:type="dxa"/>
            <w:vAlign w:val="bottom"/>
            <w:shd w:val="clear" w:color="auto" w:fill="0075A8"/>
          </w:tcPr>
          <w:p>
            <w:pPr>
              <w:ind w:left="40"/>
              <w:spacing w:after="0"/>
              <w:rPr>
                <w:sz w:val="20"/>
                <w:szCs w:val="20"/>
                <w:color w:val="auto"/>
              </w:rPr>
            </w:pPr>
            <w:r>
              <w:rPr>
                <w:rFonts w:ascii="Arial" w:cs="Arial" w:eastAsia="Arial" w:hAnsi="Arial"/>
                <w:sz w:val="18"/>
                <w:szCs w:val="18"/>
                <w:color w:val="FFFFFF"/>
              </w:rPr>
              <w:t>​</w:t>
            </w:r>
          </w:p>
        </w:tc>
        <w:tc>
          <w:tcPr>
            <w:tcW w:w="7320" w:type="dxa"/>
            <w:vAlign w:val="bottom"/>
            <w:gridSpan w:val="7"/>
            <w:shd w:val="clear" w:color="auto" w:fill="0075A8"/>
          </w:tcPr>
          <w:p>
            <w:pPr>
              <w:ind w:left="260"/>
              <w:spacing w:after="0"/>
              <w:rPr>
                <w:sz w:val="20"/>
                <w:szCs w:val="20"/>
                <w:color w:val="auto"/>
              </w:rPr>
            </w:pPr>
            <w:r>
              <w:rPr>
                <w:rFonts w:ascii="Arial" w:cs="Arial" w:eastAsia="Arial" w:hAnsi="Arial"/>
                <w:sz w:val="18"/>
                <w:szCs w:val="18"/>
                <w:color w:val="FFFFFF"/>
              </w:rPr>
              <w:t>Peer Group for Fiscal Year 2022 Compensation (“FY22 Peer Group”)(1)</w:t>
            </w:r>
          </w:p>
        </w:tc>
        <w:tc>
          <w:tcPr>
            <w:tcW w:w="500" w:type="dxa"/>
            <w:vAlign w:val="bottom"/>
            <w:shd w:val="clear" w:color="auto" w:fill="0075A8"/>
          </w:tcPr>
          <w:p>
            <w:pPr>
              <w:ind w:left="440"/>
              <w:spacing w:after="0"/>
              <w:rPr>
                <w:sz w:val="20"/>
                <w:szCs w:val="20"/>
                <w:color w:val="auto"/>
              </w:rPr>
            </w:pPr>
            <w:r>
              <w:rPr>
                <w:rFonts w:ascii="Arial" w:cs="Arial" w:eastAsia="Arial" w:hAnsi="Arial"/>
                <w:sz w:val="18"/>
                <w:szCs w:val="18"/>
                <w:color w:val="FFFFFF"/>
              </w:rPr>
              <w:t>​</w:t>
            </w:r>
          </w:p>
        </w:tc>
      </w:tr>
      <w:tr>
        <w:trPr>
          <w:trHeight w:val="108"/>
        </w:trPr>
        <w:tc>
          <w:tcPr>
            <w:tcW w:w="1580" w:type="dxa"/>
            <w:vAlign w:val="bottom"/>
            <w:shd w:val="clear" w:color="auto" w:fill="0075A8"/>
          </w:tcPr>
          <w:p>
            <w:pPr>
              <w:spacing w:after="0"/>
              <w:rPr>
                <w:sz w:val="9"/>
                <w:szCs w:val="9"/>
                <w:color w:val="auto"/>
              </w:rPr>
            </w:pPr>
          </w:p>
        </w:tc>
        <w:tc>
          <w:tcPr>
            <w:tcW w:w="460" w:type="dxa"/>
            <w:vAlign w:val="bottom"/>
            <w:shd w:val="clear" w:color="auto" w:fill="0075A8"/>
          </w:tcPr>
          <w:p>
            <w:pPr>
              <w:spacing w:after="0"/>
              <w:rPr>
                <w:sz w:val="9"/>
                <w:szCs w:val="9"/>
                <w:color w:val="auto"/>
              </w:rPr>
            </w:pPr>
          </w:p>
        </w:tc>
        <w:tc>
          <w:tcPr>
            <w:tcW w:w="2440" w:type="dxa"/>
            <w:vAlign w:val="bottom"/>
            <w:gridSpan w:val="2"/>
            <w:shd w:val="clear" w:color="auto" w:fill="0075A8"/>
          </w:tcPr>
          <w:p>
            <w:pPr>
              <w:spacing w:after="0"/>
              <w:rPr>
                <w:sz w:val="9"/>
                <w:szCs w:val="9"/>
                <w:color w:val="auto"/>
              </w:rPr>
            </w:pPr>
          </w:p>
        </w:tc>
        <w:tc>
          <w:tcPr>
            <w:tcW w:w="2180" w:type="dxa"/>
            <w:vAlign w:val="bottom"/>
            <w:gridSpan w:val="2"/>
            <w:shd w:val="clear" w:color="auto" w:fill="0075A8"/>
          </w:tcPr>
          <w:p>
            <w:pPr>
              <w:spacing w:after="0"/>
              <w:rPr>
                <w:sz w:val="9"/>
                <w:szCs w:val="9"/>
                <w:color w:val="auto"/>
              </w:rPr>
            </w:pPr>
          </w:p>
        </w:tc>
        <w:tc>
          <w:tcPr>
            <w:tcW w:w="2240" w:type="dxa"/>
            <w:vAlign w:val="bottom"/>
            <w:gridSpan w:val="2"/>
            <w:shd w:val="clear" w:color="auto" w:fill="0075A8"/>
          </w:tcPr>
          <w:p>
            <w:pPr>
              <w:spacing w:after="0"/>
              <w:rPr>
                <w:sz w:val="9"/>
                <w:szCs w:val="9"/>
                <w:color w:val="auto"/>
              </w:rPr>
            </w:pPr>
          </w:p>
        </w:tc>
        <w:tc>
          <w:tcPr>
            <w:tcW w:w="500" w:type="dxa"/>
            <w:vAlign w:val="bottom"/>
            <w:shd w:val="clear" w:color="auto" w:fill="0075A8"/>
          </w:tcPr>
          <w:p>
            <w:pPr>
              <w:spacing w:after="0"/>
              <w:rPr>
                <w:sz w:val="9"/>
                <w:szCs w:val="9"/>
                <w:color w:val="auto"/>
              </w:rPr>
            </w:pPr>
          </w:p>
        </w:tc>
      </w:tr>
      <w:tr>
        <w:trPr>
          <w:trHeight w:val="291"/>
        </w:trPr>
        <w:tc>
          <w:tcPr>
            <w:tcW w:w="204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 Advanced Micro Devices</w:t>
            </w:r>
          </w:p>
        </w:tc>
        <w:tc>
          <w:tcPr>
            <w:tcW w:w="2440" w:type="dxa"/>
            <w:vAlign w:val="bottom"/>
            <w:gridSpan w:val="2"/>
            <w:shd w:val="clear" w:color="auto" w:fill="E5E5E5"/>
          </w:tcPr>
          <w:p>
            <w:pPr>
              <w:ind w:left="160"/>
              <w:spacing w:after="0"/>
              <w:rPr>
                <w:sz w:val="20"/>
                <w:szCs w:val="20"/>
                <w:color w:val="auto"/>
              </w:rPr>
            </w:pPr>
            <w:r>
              <w:rPr>
                <w:rFonts w:ascii="Arial" w:cs="Arial" w:eastAsia="Arial" w:hAnsi="Arial"/>
                <w:sz w:val="16"/>
                <w:szCs w:val="16"/>
                <w:color w:val="auto"/>
              </w:rPr>
              <w:t>​ ​ Marvell Technology</w:t>
            </w:r>
          </w:p>
        </w:tc>
        <w:tc>
          <w:tcPr>
            <w:tcW w:w="2180" w:type="dxa"/>
            <w:vAlign w:val="bottom"/>
            <w:gridSpan w:val="2"/>
            <w:shd w:val="clear" w:color="auto" w:fill="E5E5E5"/>
          </w:tcPr>
          <w:p>
            <w:pPr>
              <w:ind w:left="100"/>
              <w:spacing w:after="0"/>
              <w:rPr>
                <w:sz w:val="20"/>
                <w:szCs w:val="20"/>
                <w:color w:val="auto"/>
              </w:rPr>
            </w:pPr>
            <w:r>
              <w:rPr>
                <w:rFonts w:ascii="Arial" w:cs="Arial" w:eastAsia="Arial" w:hAnsi="Arial"/>
                <w:sz w:val="16"/>
                <w:szCs w:val="16"/>
                <w:color w:val="auto"/>
              </w:rPr>
              <w:t>​ ​ NXP Semiconductors</w:t>
            </w:r>
          </w:p>
        </w:tc>
        <w:tc>
          <w:tcPr>
            <w:tcW w:w="2240" w:type="dxa"/>
            <w:vAlign w:val="bottom"/>
            <w:gridSpan w:val="2"/>
            <w:shd w:val="clear" w:color="auto" w:fill="E5E5E5"/>
          </w:tcPr>
          <w:p>
            <w:pPr>
              <w:ind w:left="280"/>
              <w:spacing w:after="0"/>
              <w:rPr>
                <w:sz w:val="20"/>
                <w:szCs w:val="20"/>
                <w:color w:val="auto"/>
              </w:rPr>
            </w:pPr>
            <w:r>
              <w:rPr>
                <w:rFonts w:ascii="Arial" w:cs="Arial" w:eastAsia="Arial" w:hAnsi="Arial"/>
                <w:sz w:val="16"/>
                <w:szCs w:val="16"/>
                <w:color w:val="auto"/>
              </w:rPr>
              <w:t>​ ​ Texas Instruments</w:t>
            </w:r>
          </w:p>
        </w:tc>
        <w:tc>
          <w:tcPr>
            <w:tcW w:w="500" w:type="dxa"/>
            <w:vAlign w:val="bottom"/>
            <w:shd w:val="clear" w:color="auto" w:fill="E5E5E5"/>
          </w:tcPr>
          <w:p>
            <w:pPr>
              <w:ind w:left="400"/>
              <w:spacing w:after="0"/>
              <w:rPr>
                <w:sz w:val="20"/>
                <w:szCs w:val="20"/>
                <w:color w:val="auto"/>
              </w:rPr>
            </w:pPr>
            <w:r>
              <w:rPr>
                <w:rFonts w:ascii="Arial" w:cs="Arial" w:eastAsia="Arial" w:hAnsi="Arial"/>
                <w:sz w:val="16"/>
                <w:szCs w:val="16"/>
                <w:color w:val="auto"/>
              </w:rPr>
              <w:t>​</w:t>
            </w:r>
          </w:p>
        </w:tc>
      </w:tr>
      <w:tr>
        <w:trPr>
          <w:trHeight w:val="101"/>
        </w:trPr>
        <w:tc>
          <w:tcPr>
            <w:tcW w:w="1580" w:type="dxa"/>
            <w:vAlign w:val="bottom"/>
            <w:shd w:val="clear" w:color="auto" w:fill="E5E5E5"/>
          </w:tcPr>
          <w:p>
            <w:pPr>
              <w:spacing w:after="0"/>
              <w:rPr>
                <w:sz w:val="8"/>
                <w:szCs w:val="8"/>
                <w:color w:val="auto"/>
              </w:rPr>
            </w:pPr>
          </w:p>
        </w:tc>
        <w:tc>
          <w:tcPr>
            <w:tcW w:w="460" w:type="dxa"/>
            <w:vAlign w:val="bottom"/>
            <w:shd w:val="clear" w:color="auto" w:fill="E5E5E5"/>
          </w:tcPr>
          <w:p>
            <w:pPr>
              <w:spacing w:after="0"/>
              <w:rPr>
                <w:sz w:val="8"/>
                <w:szCs w:val="8"/>
                <w:color w:val="auto"/>
              </w:rPr>
            </w:pPr>
          </w:p>
        </w:tc>
        <w:tc>
          <w:tcPr>
            <w:tcW w:w="2440" w:type="dxa"/>
            <w:vAlign w:val="bottom"/>
            <w:gridSpan w:val="2"/>
            <w:shd w:val="clear" w:color="auto" w:fill="E5E5E5"/>
          </w:tcPr>
          <w:p>
            <w:pPr>
              <w:spacing w:after="0"/>
              <w:rPr>
                <w:sz w:val="8"/>
                <w:szCs w:val="8"/>
                <w:color w:val="auto"/>
              </w:rPr>
            </w:pPr>
          </w:p>
        </w:tc>
        <w:tc>
          <w:tcPr>
            <w:tcW w:w="2180" w:type="dxa"/>
            <w:vAlign w:val="bottom"/>
            <w:gridSpan w:val="2"/>
            <w:shd w:val="clear" w:color="auto" w:fill="E5E5E5"/>
          </w:tcPr>
          <w:p>
            <w:pPr>
              <w:spacing w:after="0"/>
              <w:rPr>
                <w:sz w:val="8"/>
                <w:szCs w:val="8"/>
                <w:color w:val="auto"/>
              </w:rPr>
            </w:pPr>
          </w:p>
        </w:tc>
        <w:tc>
          <w:tcPr>
            <w:tcW w:w="2240" w:type="dxa"/>
            <w:vAlign w:val="bottom"/>
            <w:gridSpan w:val="2"/>
            <w:shd w:val="clear" w:color="auto" w:fill="E5E5E5"/>
          </w:tcPr>
          <w:p>
            <w:pPr>
              <w:spacing w:after="0"/>
              <w:rPr>
                <w:sz w:val="8"/>
                <w:szCs w:val="8"/>
                <w:color w:val="auto"/>
              </w:rPr>
            </w:pPr>
          </w:p>
        </w:tc>
        <w:tc>
          <w:tcPr>
            <w:tcW w:w="500" w:type="dxa"/>
            <w:vAlign w:val="bottom"/>
            <w:shd w:val="clear" w:color="auto" w:fill="E5E5E5"/>
          </w:tcPr>
          <w:p>
            <w:pPr>
              <w:spacing w:after="0"/>
              <w:rPr>
                <w:sz w:val="8"/>
                <w:szCs w:val="8"/>
                <w:color w:val="auto"/>
              </w:rPr>
            </w:pPr>
          </w:p>
        </w:tc>
      </w:tr>
      <w:tr>
        <w:trPr>
          <w:trHeight w:val="291"/>
        </w:trPr>
        <w:tc>
          <w:tcPr>
            <w:tcW w:w="1580" w:type="dxa"/>
            <w:vAlign w:val="bottom"/>
          </w:tcPr>
          <w:p>
            <w:pPr>
              <w:spacing w:after="0"/>
              <w:rPr>
                <w:sz w:val="20"/>
                <w:szCs w:val="20"/>
                <w:color w:val="auto"/>
              </w:rPr>
            </w:pPr>
            <w:r>
              <w:rPr>
                <w:rFonts w:ascii="Arial" w:cs="Arial" w:eastAsia="Arial" w:hAnsi="Arial"/>
                <w:sz w:val="16"/>
                <w:szCs w:val="16"/>
                <w:color w:val="auto"/>
              </w:rPr>
              <w:t>​ Analog Devices</w:t>
            </w:r>
          </w:p>
        </w:tc>
        <w:tc>
          <w:tcPr>
            <w:tcW w:w="460" w:type="dxa"/>
            <w:vAlign w:val="bottom"/>
          </w:tcPr>
          <w:p>
            <w:pPr>
              <w:spacing w:after="0"/>
              <w:rPr>
                <w:sz w:val="24"/>
                <w:szCs w:val="24"/>
                <w:color w:val="auto"/>
              </w:rPr>
            </w:pPr>
          </w:p>
        </w:tc>
        <w:tc>
          <w:tcPr>
            <w:tcW w:w="2440" w:type="dxa"/>
            <w:vAlign w:val="bottom"/>
            <w:gridSpan w:val="2"/>
          </w:tcPr>
          <w:p>
            <w:pPr>
              <w:ind w:left="160"/>
              <w:spacing w:after="0"/>
              <w:rPr>
                <w:sz w:val="20"/>
                <w:szCs w:val="20"/>
                <w:color w:val="auto"/>
              </w:rPr>
            </w:pPr>
            <w:r>
              <w:rPr>
                <w:rFonts w:ascii="Arial" w:cs="Arial" w:eastAsia="Arial" w:hAnsi="Arial"/>
                <w:sz w:val="16"/>
                <w:szCs w:val="16"/>
                <w:color w:val="auto"/>
              </w:rPr>
              <w:t>​ ​ Maxim Integrated Products</w:t>
            </w:r>
          </w:p>
        </w:tc>
        <w:tc>
          <w:tcPr>
            <w:tcW w:w="2180" w:type="dxa"/>
            <w:vAlign w:val="bottom"/>
            <w:gridSpan w:val="2"/>
          </w:tcPr>
          <w:p>
            <w:pPr>
              <w:ind w:left="100"/>
              <w:spacing w:after="0"/>
              <w:rPr>
                <w:sz w:val="20"/>
                <w:szCs w:val="20"/>
                <w:color w:val="auto"/>
              </w:rPr>
            </w:pPr>
            <w:r>
              <w:rPr>
                <w:rFonts w:ascii="Arial" w:cs="Arial" w:eastAsia="Arial" w:hAnsi="Arial"/>
                <w:sz w:val="16"/>
                <w:szCs w:val="16"/>
                <w:color w:val="auto"/>
              </w:rPr>
              <w:t>​ ​ ON Semiconductor</w:t>
            </w:r>
          </w:p>
        </w:tc>
        <w:tc>
          <w:tcPr>
            <w:tcW w:w="2240" w:type="dxa"/>
            <w:vAlign w:val="bottom"/>
            <w:gridSpan w:val="2"/>
          </w:tcPr>
          <w:p>
            <w:pPr>
              <w:ind w:left="280"/>
              <w:spacing w:after="0"/>
              <w:rPr>
                <w:sz w:val="20"/>
                <w:szCs w:val="20"/>
                <w:color w:val="auto"/>
              </w:rPr>
            </w:pPr>
            <w:r>
              <w:rPr>
                <w:rFonts w:ascii="Arial" w:cs="Arial" w:eastAsia="Arial" w:hAnsi="Arial"/>
                <w:sz w:val="16"/>
                <w:szCs w:val="16"/>
                <w:color w:val="auto"/>
              </w:rPr>
              <w:t>​ ​ Western Digital</w:t>
            </w:r>
          </w:p>
        </w:tc>
        <w:tc>
          <w:tcPr>
            <w:tcW w:w="500" w:type="dxa"/>
            <w:vAlign w:val="bottom"/>
          </w:tcPr>
          <w:p>
            <w:pPr>
              <w:ind w:left="400"/>
              <w:spacing w:after="0"/>
              <w:rPr>
                <w:sz w:val="20"/>
                <w:szCs w:val="20"/>
                <w:color w:val="auto"/>
              </w:rPr>
            </w:pPr>
            <w:r>
              <w:rPr>
                <w:rFonts w:ascii="Arial" w:cs="Arial" w:eastAsia="Arial" w:hAnsi="Arial"/>
                <w:sz w:val="16"/>
                <w:szCs w:val="16"/>
                <w:color w:val="auto"/>
              </w:rPr>
              <w:t>​</w:t>
            </w:r>
          </w:p>
        </w:tc>
      </w:tr>
      <w:tr>
        <w:trPr>
          <w:trHeight w:val="100"/>
        </w:trPr>
        <w:tc>
          <w:tcPr>
            <w:tcW w:w="1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91"/>
        </w:trPr>
        <w:tc>
          <w:tcPr>
            <w:tcW w:w="1580" w:type="dxa"/>
            <w:vAlign w:val="bottom"/>
            <w:shd w:val="clear" w:color="auto" w:fill="E5E5E5"/>
          </w:tcPr>
          <w:p>
            <w:pPr>
              <w:spacing w:after="0"/>
              <w:rPr>
                <w:sz w:val="20"/>
                <w:szCs w:val="20"/>
                <w:color w:val="auto"/>
              </w:rPr>
            </w:pPr>
            <w:r>
              <w:rPr>
                <w:rFonts w:ascii="Arial" w:cs="Arial" w:eastAsia="Arial" w:hAnsi="Arial"/>
                <w:sz w:val="16"/>
                <w:szCs w:val="16"/>
                <w:color w:val="auto"/>
              </w:rPr>
              <w:t>​ KLA Corporation</w:t>
            </w:r>
          </w:p>
        </w:tc>
        <w:tc>
          <w:tcPr>
            <w:tcW w:w="460" w:type="dxa"/>
            <w:vAlign w:val="bottom"/>
            <w:shd w:val="clear" w:color="auto" w:fill="E5E5E5"/>
          </w:tcPr>
          <w:p>
            <w:pPr>
              <w:spacing w:after="0"/>
              <w:rPr>
                <w:sz w:val="24"/>
                <w:szCs w:val="24"/>
                <w:color w:val="auto"/>
              </w:rPr>
            </w:pPr>
          </w:p>
        </w:tc>
        <w:tc>
          <w:tcPr>
            <w:tcW w:w="360" w:type="dxa"/>
            <w:vAlign w:val="bottom"/>
            <w:shd w:val="clear" w:color="auto" w:fill="E5E5E5"/>
          </w:tcPr>
          <w:p>
            <w:pPr>
              <w:ind w:left="160"/>
              <w:spacing w:after="0"/>
              <w:rPr>
                <w:sz w:val="20"/>
                <w:szCs w:val="20"/>
                <w:color w:val="auto"/>
              </w:rPr>
            </w:pPr>
            <w:r>
              <w:rPr>
                <w:rFonts w:ascii="Arial" w:cs="Arial" w:eastAsia="Arial" w:hAnsi="Arial"/>
                <w:sz w:val="16"/>
                <w:szCs w:val="16"/>
                <w:color w:val="auto"/>
              </w:rPr>
              <w:t>​ ​</w:t>
            </w:r>
          </w:p>
        </w:tc>
        <w:tc>
          <w:tcPr>
            <w:tcW w:w="2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Microchip Technology</w:t>
            </w:r>
          </w:p>
        </w:tc>
        <w:tc>
          <w:tcPr>
            <w:tcW w:w="2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 ​</w:t>
            </w:r>
          </w:p>
        </w:tc>
        <w:tc>
          <w:tcPr>
            <w:tcW w:w="1900" w:type="dxa"/>
            <w:vAlign w:val="bottom"/>
            <w:shd w:val="clear" w:color="auto" w:fill="E5E5E5"/>
          </w:tcPr>
          <w:p>
            <w:pPr>
              <w:ind w:left="60"/>
              <w:spacing w:after="0"/>
              <w:rPr>
                <w:sz w:val="20"/>
                <w:szCs w:val="20"/>
                <w:color w:val="auto"/>
              </w:rPr>
            </w:pPr>
            <w:r>
              <w:rPr>
                <w:rFonts w:ascii="Arial" w:cs="Arial" w:eastAsia="Arial" w:hAnsi="Arial"/>
                <w:sz w:val="16"/>
                <w:szCs w:val="16"/>
                <w:color w:val="auto"/>
              </w:rPr>
              <w:t>Qorvo</w:t>
            </w:r>
          </w:p>
        </w:tc>
        <w:tc>
          <w:tcPr>
            <w:tcW w:w="480" w:type="dxa"/>
            <w:vAlign w:val="bottom"/>
            <w:shd w:val="clear" w:color="auto" w:fill="E5E5E5"/>
          </w:tcPr>
          <w:p>
            <w:pPr>
              <w:ind w:left="280"/>
              <w:spacing w:after="0"/>
              <w:rPr>
                <w:sz w:val="20"/>
                <w:szCs w:val="20"/>
                <w:color w:val="auto"/>
              </w:rPr>
            </w:pPr>
            <w:r>
              <w:rPr>
                <w:rFonts w:ascii="Arial" w:cs="Arial" w:eastAsia="Arial" w:hAnsi="Arial"/>
                <w:sz w:val="16"/>
                <w:szCs w:val="16"/>
                <w:color w:val="auto"/>
              </w:rPr>
              <w:t>​ ​</w:t>
            </w:r>
          </w:p>
        </w:tc>
        <w:tc>
          <w:tcPr>
            <w:tcW w:w="1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Xilinx</w:t>
            </w:r>
          </w:p>
        </w:tc>
        <w:tc>
          <w:tcPr>
            <w:tcW w:w="500" w:type="dxa"/>
            <w:vAlign w:val="bottom"/>
            <w:shd w:val="clear" w:color="auto" w:fill="E5E5E5"/>
          </w:tcPr>
          <w:p>
            <w:pPr>
              <w:ind w:left="400"/>
              <w:spacing w:after="0"/>
              <w:rPr>
                <w:sz w:val="20"/>
                <w:szCs w:val="20"/>
                <w:color w:val="auto"/>
              </w:rPr>
            </w:pPr>
            <w:r>
              <w:rPr>
                <w:rFonts w:ascii="Arial" w:cs="Arial" w:eastAsia="Arial" w:hAnsi="Arial"/>
                <w:sz w:val="16"/>
                <w:szCs w:val="16"/>
                <w:color w:val="auto"/>
              </w:rPr>
              <w:t>​</w:t>
            </w:r>
          </w:p>
        </w:tc>
      </w:tr>
      <w:tr>
        <w:trPr>
          <w:trHeight w:val="100"/>
        </w:trPr>
        <w:tc>
          <w:tcPr>
            <w:tcW w:w="1580" w:type="dxa"/>
            <w:vAlign w:val="bottom"/>
            <w:shd w:val="clear" w:color="auto" w:fill="E5E5E5"/>
          </w:tcPr>
          <w:p>
            <w:pPr>
              <w:spacing w:after="0"/>
              <w:rPr>
                <w:sz w:val="8"/>
                <w:szCs w:val="8"/>
                <w:color w:val="auto"/>
              </w:rPr>
            </w:pPr>
          </w:p>
        </w:tc>
        <w:tc>
          <w:tcPr>
            <w:tcW w:w="460" w:type="dxa"/>
            <w:vAlign w:val="bottom"/>
            <w:shd w:val="clear" w:color="auto" w:fill="E5E5E5"/>
          </w:tcPr>
          <w:p>
            <w:pPr>
              <w:spacing w:after="0"/>
              <w:rPr>
                <w:sz w:val="8"/>
                <w:szCs w:val="8"/>
                <w:color w:val="auto"/>
              </w:rPr>
            </w:pPr>
          </w:p>
        </w:tc>
        <w:tc>
          <w:tcPr>
            <w:tcW w:w="360" w:type="dxa"/>
            <w:vAlign w:val="bottom"/>
            <w:shd w:val="clear" w:color="auto" w:fill="E5E5E5"/>
          </w:tcPr>
          <w:p>
            <w:pPr>
              <w:spacing w:after="0"/>
              <w:rPr>
                <w:sz w:val="8"/>
                <w:szCs w:val="8"/>
                <w:color w:val="auto"/>
              </w:rPr>
            </w:pPr>
          </w:p>
        </w:tc>
        <w:tc>
          <w:tcPr>
            <w:tcW w:w="2080" w:type="dxa"/>
            <w:vAlign w:val="bottom"/>
            <w:shd w:val="clear" w:color="auto" w:fill="E5E5E5"/>
          </w:tcPr>
          <w:p>
            <w:pPr>
              <w:spacing w:after="0"/>
              <w:rPr>
                <w:sz w:val="8"/>
                <w:szCs w:val="8"/>
                <w:color w:val="auto"/>
              </w:rPr>
            </w:pPr>
          </w:p>
        </w:tc>
        <w:tc>
          <w:tcPr>
            <w:tcW w:w="280" w:type="dxa"/>
            <w:vAlign w:val="bottom"/>
            <w:shd w:val="clear" w:color="auto" w:fill="E5E5E5"/>
          </w:tcPr>
          <w:p>
            <w:pPr>
              <w:spacing w:after="0"/>
              <w:rPr>
                <w:sz w:val="8"/>
                <w:szCs w:val="8"/>
                <w:color w:val="auto"/>
              </w:rPr>
            </w:pPr>
          </w:p>
        </w:tc>
        <w:tc>
          <w:tcPr>
            <w:tcW w:w="1900" w:type="dxa"/>
            <w:vAlign w:val="bottom"/>
            <w:shd w:val="clear" w:color="auto" w:fill="E5E5E5"/>
          </w:tcPr>
          <w:p>
            <w:pPr>
              <w:spacing w:after="0"/>
              <w:rPr>
                <w:sz w:val="8"/>
                <w:szCs w:val="8"/>
                <w:color w:val="auto"/>
              </w:rPr>
            </w:pPr>
          </w:p>
        </w:tc>
        <w:tc>
          <w:tcPr>
            <w:tcW w:w="480" w:type="dxa"/>
            <w:vAlign w:val="bottom"/>
            <w:shd w:val="clear" w:color="auto" w:fill="E5E5E5"/>
          </w:tcPr>
          <w:p>
            <w:pPr>
              <w:spacing w:after="0"/>
              <w:rPr>
                <w:sz w:val="8"/>
                <w:szCs w:val="8"/>
                <w:color w:val="auto"/>
              </w:rPr>
            </w:pPr>
          </w:p>
        </w:tc>
        <w:tc>
          <w:tcPr>
            <w:tcW w:w="1760" w:type="dxa"/>
            <w:vAlign w:val="bottom"/>
            <w:shd w:val="clear" w:color="auto" w:fill="E5E5E5"/>
          </w:tcPr>
          <w:p>
            <w:pPr>
              <w:spacing w:after="0"/>
              <w:rPr>
                <w:sz w:val="8"/>
                <w:szCs w:val="8"/>
                <w:color w:val="auto"/>
              </w:rPr>
            </w:pPr>
          </w:p>
        </w:tc>
        <w:tc>
          <w:tcPr>
            <w:tcW w:w="500" w:type="dxa"/>
            <w:vAlign w:val="bottom"/>
            <w:shd w:val="clear" w:color="auto" w:fill="E5E5E5"/>
          </w:tcPr>
          <w:p>
            <w:pPr>
              <w:spacing w:after="0"/>
              <w:rPr>
                <w:sz w:val="8"/>
                <w:szCs w:val="8"/>
                <w:color w:val="auto"/>
              </w:rPr>
            </w:pPr>
          </w:p>
        </w:tc>
      </w:tr>
      <w:tr>
        <w:trPr>
          <w:trHeight w:val="318"/>
        </w:trPr>
        <w:tc>
          <w:tcPr>
            <w:tcW w:w="1580" w:type="dxa"/>
            <w:vAlign w:val="bottom"/>
          </w:tcPr>
          <w:p>
            <w:pPr>
              <w:spacing w:after="0"/>
              <w:rPr>
                <w:sz w:val="20"/>
                <w:szCs w:val="20"/>
                <w:color w:val="auto"/>
              </w:rPr>
            </w:pPr>
            <w:r>
              <w:rPr>
                <w:rFonts w:ascii="Arial" w:cs="Arial" w:eastAsia="Arial" w:hAnsi="Arial"/>
                <w:sz w:val="16"/>
                <w:szCs w:val="16"/>
                <w:color w:val="auto"/>
              </w:rPr>
              <w:t>​ Lam Research</w:t>
            </w:r>
          </w:p>
        </w:tc>
        <w:tc>
          <w:tcPr>
            <w:tcW w:w="46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Arial" w:cs="Arial" w:eastAsia="Arial" w:hAnsi="Arial"/>
                <w:sz w:val="16"/>
                <w:szCs w:val="16"/>
                <w:color w:val="auto"/>
              </w:rPr>
              <w:t>​ ​</w:t>
            </w:r>
          </w:p>
        </w:tc>
        <w:tc>
          <w:tcPr>
            <w:tcW w:w="2080" w:type="dxa"/>
            <w:vAlign w:val="bottom"/>
          </w:tcPr>
          <w:p>
            <w:pPr>
              <w:ind w:left="20"/>
              <w:spacing w:after="0"/>
              <w:rPr>
                <w:sz w:val="20"/>
                <w:szCs w:val="20"/>
                <w:color w:val="auto"/>
              </w:rPr>
            </w:pPr>
            <w:r>
              <w:rPr>
                <w:rFonts w:ascii="Arial" w:cs="Arial" w:eastAsia="Arial" w:hAnsi="Arial"/>
                <w:sz w:val="16"/>
                <w:szCs w:val="16"/>
                <w:color w:val="auto"/>
              </w:rPr>
              <w:t>Micron Technology</w:t>
            </w:r>
          </w:p>
        </w:tc>
        <w:tc>
          <w:tcPr>
            <w:tcW w:w="280" w:type="dxa"/>
            <w:vAlign w:val="bottom"/>
          </w:tcPr>
          <w:p>
            <w:pPr>
              <w:ind w:left="100"/>
              <w:spacing w:after="0"/>
              <w:rPr>
                <w:sz w:val="20"/>
                <w:szCs w:val="20"/>
                <w:color w:val="auto"/>
              </w:rPr>
            </w:pPr>
            <w:r>
              <w:rPr>
                <w:rFonts w:ascii="Arial" w:cs="Arial" w:eastAsia="Arial" w:hAnsi="Arial"/>
                <w:sz w:val="16"/>
                <w:szCs w:val="16"/>
                <w:color w:val="auto"/>
              </w:rPr>
              <w:t>​ ​</w:t>
            </w:r>
          </w:p>
        </w:tc>
        <w:tc>
          <w:tcPr>
            <w:tcW w:w="1900" w:type="dxa"/>
            <w:vAlign w:val="bottom"/>
          </w:tcPr>
          <w:p>
            <w:pPr>
              <w:ind w:left="40"/>
              <w:spacing w:after="0"/>
              <w:rPr>
                <w:sz w:val="20"/>
                <w:szCs w:val="20"/>
                <w:color w:val="auto"/>
              </w:rPr>
            </w:pPr>
            <w:r>
              <w:rPr>
                <w:rFonts w:ascii="Arial" w:cs="Arial" w:eastAsia="Arial" w:hAnsi="Arial"/>
                <w:sz w:val="16"/>
                <w:szCs w:val="16"/>
                <w:color w:val="auto"/>
              </w:rPr>
              <w:t>QUALCOMM</w:t>
            </w:r>
          </w:p>
        </w:tc>
        <w:tc>
          <w:tcPr>
            <w:tcW w:w="480" w:type="dxa"/>
            <w:vAlign w:val="bottom"/>
          </w:tcPr>
          <w:p>
            <w:pPr>
              <w:ind w:left="280"/>
              <w:spacing w:after="0"/>
              <w:rPr>
                <w:sz w:val="20"/>
                <w:szCs w:val="20"/>
                <w:color w:val="auto"/>
              </w:rPr>
            </w:pPr>
            <w:r>
              <w:rPr>
                <w:rFonts w:ascii="Arial" w:cs="Arial" w:eastAsia="Arial" w:hAnsi="Arial"/>
                <w:sz w:val="16"/>
                <w:szCs w:val="16"/>
                <w:color w:val="auto"/>
              </w:rPr>
              <w:t>​ ​</w:t>
            </w:r>
          </w:p>
        </w:tc>
        <w:tc>
          <w:tcPr>
            <w:tcW w:w="1760" w:type="dxa"/>
            <w:vAlign w:val="bottom"/>
          </w:tcPr>
          <w:p>
            <w:pPr>
              <w:ind w:left="40"/>
              <w:spacing w:after="0"/>
              <w:rPr>
                <w:sz w:val="20"/>
                <w:szCs w:val="20"/>
                <w:color w:val="auto"/>
              </w:rPr>
            </w:pPr>
            <w:r>
              <w:rPr>
                <w:rFonts w:ascii="Arial" w:cs="Arial" w:eastAsia="Arial" w:hAnsi="Arial"/>
                <w:sz w:val="16"/>
                <w:szCs w:val="16"/>
                <w:color w:val="auto"/>
              </w:rPr>
              <w:t>​</w:t>
            </w:r>
          </w:p>
        </w:tc>
        <w:tc>
          <w:tcPr>
            <w:tcW w:w="500" w:type="dxa"/>
            <w:vAlign w:val="bottom"/>
          </w:tcPr>
          <w:p>
            <w:pPr>
              <w:ind w:left="400"/>
              <w:spacing w:after="0"/>
              <w:rPr>
                <w:sz w:val="20"/>
                <w:szCs w:val="20"/>
                <w:color w:val="auto"/>
              </w:rPr>
            </w:pPr>
            <w:r>
              <w:rPr>
                <w:rFonts w:ascii="Arial" w:cs="Arial" w:eastAsia="Arial" w:hAnsi="Arial"/>
                <w:sz w:val="16"/>
                <w:szCs w:val="16"/>
                <w:color w:val="auto"/>
              </w:rPr>
              <w:t>​</w:t>
            </w:r>
          </w:p>
        </w:tc>
      </w:tr>
      <w:tr>
        <w:trPr>
          <w:trHeight w:val="128"/>
        </w:trPr>
        <w:tc>
          <w:tcPr>
            <w:tcW w:w="1580" w:type="dxa"/>
            <w:vAlign w:val="bottom"/>
            <w:tcBorders>
              <w:bottom w:val="single" w:sz="8" w:color="CCCCCC"/>
            </w:tcBorders>
          </w:tcPr>
          <w:p>
            <w:pPr>
              <w:spacing w:after="0"/>
              <w:rPr>
                <w:sz w:val="11"/>
                <w:szCs w:val="11"/>
                <w:color w:val="auto"/>
              </w:rPr>
            </w:pPr>
          </w:p>
        </w:tc>
        <w:tc>
          <w:tcPr>
            <w:tcW w:w="460" w:type="dxa"/>
            <w:vAlign w:val="bottom"/>
            <w:tcBorders>
              <w:bottom w:val="single" w:sz="8" w:color="CCCCCC"/>
            </w:tcBorders>
          </w:tcPr>
          <w:p>
            <w:pPr>
              <w:spacing w:after="0"/>
              <w:rPr>
                <w:sz w:val="11"/>
                <w:szCs w:val="11"/>
                <w:color w:val="auto"/>
              </w:rPr>
            </w:pPr>
          </w:p>
        </w:tc>
        <w:tc>
          <w:tcPr>
            <w:tcW w:w="360" w:type="dxa"/>
            <w:vAlign w:val="bottom"/>
            <w:tcBorders>
              <w:bottom w:val="single" w:sz="8" w:color="CCCCCC"/>
            </w:tcBorders>
          </w:tcPr>
          <w:p>
            <w:pPr>
              <w:spacing w:after="0"/>
              <w:rPr>
                <w:sz w:val="11"/>
                <w:szCs w:val="11"/>
                <w:color w:val="auto"/>
              </w:rPr>
            </w:pPr>
          </w:p>
        </w:tc>
        <w:tc>
          <w:tcPr>
            <w:tcW w:w="2080" w:type="dxa"/>
            <w:vAlign w:val="bottom"/>
            <w:tcBorders>
              <w:bottom w:val="single" w:sz="8" w:color="CCCCCC"/>
            </w:tcBorders>
          </w:tcPr>
          <w:p>
            <w:pPr>
              <w:spacing w:after="0"/>
              <w:rPr>
                <w:sz w:val="11"/>
                <w:szCs w:val="11"/>
                <w:color w:val="auto"/>
              </w:rPr>
            </w:pPr>
          </w:p>
        </w:tc>
        <w:tc>
          <w:tcPr>
            <w:tcW w:w="280" w:type="dxa"/>
            <w:vAlign w:val="bottom"/>
            <w:tcBorders>
              <w:bottom w:val="single" w:sz="8" w:color="CCCCCC"/>
            </w:tcBorders>
          </w:tcPr>
          <w:p>
            <w:pPr>
              <w:spacing w:after="0"/>
              <w:rPr>
                <w:sz w:val="11"/>
                <w:szCs w:val="11"/>
                <w:color w:val="auto"/>
              </w:rPr>
            </w:pPr>
          </w:p>
        </w:tc>
        <w:tc>
          <w:tcPr>
            <w:tcW w:w="1900" w:type="dxa"/>
            <w:vAlign w:val="bottom"/>
            <w:tcBorders>
              <w:bottom w:val="single" w:sz="8" w:color="CCCCCC"/>
            </w:tcBorders>
          </w:tcPr>
          <w:p>
            <w:pPr>
              <w:spacing w:after="0"/>
              <w:rPr>
                <w:sz w:val="11"/>
                <w:szCs w:val="11"/>
                <w:color w:val="auto"/>
              </w:rPr>
            </w:pPr>
          </w:p>
        </w:tc>
        <w:tc>
          <w:tcPr>
            <w:tcW w:w="480" w:type="dxa"/>
            <w:vAlign w:val="bottom"/>
            <w:tcBorders>
              <w:bottom w:val="single" w:sz="8" w:color="CCCCCC"/>
            </w:tcBorders>
          </w:tcPr>
          <w:p>
            <w:pPr>
              <w:spacing w:after="0"/>
              <w:rPr>
                <w:sz w:val="11"/>
                <w:szCs w:val="11"/>
                <w:color w:val="auto"/>
              </w:rPr>
            </w:pPr>
          </w:p>
        </w:tc>
        <w:tc>
          <w:tcPr>
            <w:tcW w:w="1760" w:type="dxa"/>
            <w:vAlign w:val="bottom"/>
            <w:tcBorders>
              <w:bottom w:val="single" w:sz="8" w:color="CCCCCC"/>
            </w:tcBorders>
          </w:tcPr>
          <w:p>
            <w:pPr>
              <w:spacing w:after="0"/>
              <w:rPr>
                <w:sz w:val="11"/>
                <w:szCs w:val="11"/>
                <w:color w:val="auto"/>
              </w:rPr>
            </w:pPr>
          </w:p>
        </w:tc>
        <w:tc>
          <w:tcPr>
            <w:tcW w:w="500" w:type="dxa"/>
            <w:vAlign w:val="bottom"/>
            <w:tcBorders>
              <w:bottom w:val="single" w:sz="8" w:color="CCCCCC"/>
            </w:tcBorders>
          </w:tcPr>
          <w:p>
            <w:pPr>
              <w:spacing w:after="0"/>
              <w:rPr>
                <w:sz w:val="11"/>
                <w:szCs w:val="11"/>
                <w:color w:val="auto"/>
              </w:rPr>
            </w:pPr>
          </w:p>
        </w:tc>
      </w:tr>
    </w:tbl>
    <w:p>
      <w:pPr>
        <w:spacing w:after="0" w:line="148" w:lineRule="exact"/>
        <w:rPr>
          <w:sz w:val="20"/>
          <w:szCs w:val="20"/>
          <w:color w:val="auto"/>
        </w:rPr>
      </w:pPr>
    </w:p>
    <w:p>
      <w:pPr>
        <w:ind w:left="1080" w:right="280" w:hanging="354"/>
        <w:spacing w:after="0" w:line="264" w:lineRule="auto"/>
        <w:tabs>
          <w:tab w:leader="none" w:pos="108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For the Company’s fiscal year 2022 compensation program, we made adjustments to our peer group from the prior fiscal year to improve comparability, in part in response to stockholder feedback. Specifically, we removed Applied Materials, Broadcom, and NVIDIA, all of which were significantly larger than the Company, as measured by multiple factors including market capitalization and annual revenue, and added Western Digital and NXP Semiconductors, both of which were more comparable in size to the Company.</w:t>
      </w:r>
    </w:p>
    <w:p>
      <w:pPr>
        <w:sectPr>
          <w:pgSz w:w="11900" w:h="16838" w:orient="portrait"/>
          <w:cols w:equalWidth="0" w:num="1">
            <w:col w:w="10100"/>
          </w:cols>
          <w:pgMar w:left="580" w:top="132" w:right="1219" w:bottom="1440" w:gutter="0" w:footer="0" w:header="0"/>
        </w:sectPr>
      </w:pPr>
    </w:p>
    <w:p>
      <w:pPr>
        <w:spacing w:after="0" w:line="92" w:lineRule="exact"/>
        <w:rPr>
          <w:sz w:val="20"/>
          <w:szCs w:val="20"/>
          <w:color w:val="auto"/>
        </w:rPr>
      </w:pPr>
    </w:p>
    <w:p>
      <w:pPr>
        <w:ind w:left="660" w:right="40"/>
        <w:spacing w:after="0" w:line="268" w:lineRule="auto"/>
        <w:rPr>
          <w:sz w:val="20"/>
          <w:szCs w:val="20"/>
          <w:color w:val="auto"/>
        </w:rPr>
      </w:pPr>
      <w:r>
        <w:rPr>
          <w:rFonts w:ascii="Arial" w:cs="Arial" w:eastAsia="Arial" w:hAnsi="Arial"/>
          <w:sz w:val="19"/>
          <w:szCs w:val="19"/>
          <w:color w:val="auto"/>
        </w:rPr>
        <w:t>The Compensation Committee generally seeks to make decisions regarding each Named Executive Officer’s compensation that are competitive within the Comparator Group, with consideration given to the executive’s role, responsibility, performance, and length of service. After reviewing the Comparator Group data and considering the input of Aon/Radford, the Compensation Committee established (and the full Board was advised of) the base salary, short-term incentive target, and stock-based compensation for each Named Executive Officer for fiscal year 2022. Aon/Radford advised the Compensation Committee that such components of executive compensation for fiscal year 2022 were competitive for chief executive officers and other executive officers at companies of similar size and complexity in the semiconductor industry.</w:t>
      </w:r>
    </w:p>
    <w:p>
      <w:pPr>
        <w:spacing w:after="0" w:line="200" w:lineRule="exact"/>
        <w:rPr>
          <w:sz w:val="20"/>
          <w:szCs w:val="20"/>
          <w:color w:val="auto"/>
        </w:rPr>
      </w:pPr>
    </w:p>
    <w:p>
      <w:pPr>
        <w:spacing w:after="0" w:line="242" w:lineRule="exact"/>
        <w:rPr>
          <w:sz w:val="20"/>
          <w:szCs w:val="20"/>
          <w:color w:val="auto"/>
        </w:rPr>
      </w:pPr>
    </w:p>
    <w:p>
      <w:pPr>
        <w:ind w:left="660" w:right="540"/>
        <w:spacing w:after="0" w:line="253" w:lineRule="auto"/>
        <w:rPr>
          <w:sz w:val="20"/>
          <w:szCs w:val="20"/>
          <w:color w:val="auto"/>
        </w:rPr>
      </w:pPr>
      <w:r>
        <w:rPr>
          <w:rFonts w:ascii="Arial" w:cs="Arial" w:eastAsia="Arial" w:hAnsi="Arial"/>
          <w:sz w:val="20"/>
          <w:szCs w:val="20"/>
          <w:color w:val="auto"/>
        </w:rPr>
        <w:t>In determining the compensation of our Chief Executive Officer for fiscal year 2022, the Compensation Committee focused on</w:t>
      </w:r>
    </w:p>
    <w:p>
      <w:pPr>
        <w:spacing w:after="0" w:line="2" w:lineRule="exact"/>
        <w:rPr>
          <w:sz w:val="20"/>
          <w:szCs w:val="20"/>
          <w:color w:val="auto"/>
        </w:rPr>
      </w:pPr>
    </w:p>
    <w:p>
      <w:pPr>
        <w:ind w:left="660" w:right="80" w:hanging="6"/>
        <w:spacing w:after="0" w:line="266" w:lineRule="auto"/>
        <w:tabs>
          <w:tab w:leader="none" w:pos="891" w:val="left"/>
        </w:tabs>
        <w:numPr>
          <w:ilvl w:val="0"/>
          <w:numId w:val="43"/>
        </w:numPr>
        <w:rPr>
          <w:rFonts w:ascii="Arial" w:cs="Arial" w:eastAsia="Arial" w:hAnsi="Arial"/>
          <w:sz w:val="19"/>
          <w:szCs w:val="19"/>
          <w:color w:val="auto"/>
        </w:rPr>
      </w:pPr>
      <w:r>
        <w:rPr>
          <w:rFonts w:ascii="Arial" w:cs="Arial" w:eastAsia="Arial" w:hAnsi="Arial"/>
          <w:sz w:val="19"/>
          <w:szCs w:val="19"/>
          <w:color w:val="auto"/>
        </w:rPr>
        <w:t>competitive levels of compensation for chief executive officers who are leading a company of similar size and complexity, (ii) the importance of retaining and incentivizing a chief executive officer with the strategic, financial, and leadership skills necessary to ensure our continued growth and success, (iii) our Chief Executive Officer’s role relative to the other Named Executive Officers,</w:t>
      </w:r>
    </w:p>
    <w:p>
      <w:pPr>
        <w:spacing w:after="0" w:line="6" w:lineRule="exact"/>
        <w:rPr>
          <w:rFonts w:ascii="Arial" w:cs="Arial" w:eastAsia="Arial" w:hAnsi="Arial"/>
          <w:sz w:val="19"/>
          <w:szCs w:val="19"/>
          <w:color w:val="auto"/>
        </w:rPr>
      </w:pPr>
    </w:p>
    <w:p>
      <w:pPr>
        <w:ind w:left="660" w:hanging="6"/>
        <w:spacing w:after="0" w:line="271" w:lineRule="auto"/>
        <w:tabs>
          <w:tab w:leader="none" w:pos="990"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input from the full Board on our Chief Executive Officer’s performance, and (v) the length of our Chief Executive Officer’s service to the Company. Our Chief Executive Officer was not present during the voting or deliberations of the Compensation Committee concerning his compensation.</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The Compensation Committee considered the recommendations of the Chief Executive Officer regarding the compensation of the other Named Executive Officers and each of his other direct reports. These recommendations were based on an assessment of each individual’s responsibilities, experience, performance, and contribution to the Company’s performance, and also took into account internal factors such as scope of role and level in the organization, in addition to external factors such as the current environment for attracting and retaining executives.</w:t>
      </w:r>
    </w:p>
    <w:p>
      <w:pPr>
        <w:spacing w:after="0" w:line="242"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Components of Compensation</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The key elements of compensation for our Named Executive Officers are base salary, short-term incentives, long-term stock-based incentives, and health and welfare benefits. For fiscal year 2022, the Compensation Committee sought to make decisions that would result in each Named Executive Officer’s target total direct compensation being competitive within the Comparator Group, with consideration given to the executive’s role, responsibility, performance, and length of service.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i w:val="1"/>
          <w:iCs w:val="1"/>
          <w:color w:val="0075A8"/>
        </w:rPr>
        <w:t>Base Salary</w:t>
      </w:r>
    </w:p>
    <w:p>
      <w:pPr>
        <w:spacing w:after="0" w:line="150" w:lineRule="exact"/>
        <w:rPr>
          <w:sz w:val="20"/>
          <w:szCs w:val="20"/>
          <w:color w:val="auto"/>
        </w:rPr>
      </w:pPr>
    </w:p>
    <w:p>
      <w:pPr>
        <w:ind w:right="200"/>
        <w:spacing w:after="0" w:line="260" w:lineRule="auto"/>
        <w:rPr>
          <w:sz w:val="20"/>
          <w:szCs w:val="20"/>
          <w:color w:val="auto"/>
        </w:rPr>
      </w:pPr>
      <w:r>
        <w:rPr>
          <w:rFonts w:ascii="Arial" w:cs="Arial" w:eastAsia="Arial" w:hAnsi="Arial"/>
          <w:sz w:val="19"/>
          <w:szCs w:val="19"/>
          <w:color w:val="auto"/>
        </w:rPr>
        <w:t>The Compensation Committee determines a competitive base salary for each executive officer using the Comparator Group data and input provided by Aon/Radford. In order to provide flexibility in consideration of differences in individual executives’ scope of responsibilities, length of service, and performance, the Compensation Committee did not target a specific percentile of the Comparator Group for</w:t>
      </w:r>
    </w:p>
    <w:p>
      <w:pPr>
        <w:spacing w:after="0" w:line="400" w:lineRule="exact"/>
        <w:rPr>
          <w:sz w:val="20"/>
          <w:szCs w:val="20"/>
          <w:color w:val="auto"/>
        </w:rPr>
      </w:pPr>
    </w:p>
    <w:p>
      <w:pPr>
        <w:sectPr>
          <w:pgSz w:w="11900" w:h="16838" w:orient="portrait"/>
          <w:cols w:equalWidth="0" w:num="2">
            <w:col w:w="5140" w:space="440"/>
            <w:col w:w="4520"/>
          </w:cols>
          <w:pgMar w:left="580" w:top="132" w:right="1219" w:bottom="1440" w:gutter="0" w:footer="0" w:header="0"/>
          <w:type w:val="continuous"/>
        </w:sectPr>
      </w:pPr>
    </w:p>
    <w:p>
      <w:pPr>
        <w:spacing w:after="0" w:line="112"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1" w:lineRule="exact"/>
        <w:rPr>
          <w:sz w:val="20"/>
          <w:szCs w:val="20"/>
          <w:color w:val="auto"/>
        </w:rPr>
      </w:pPr>
    </w:p>
    <w:p>
      <w:pPr>
        <w:ind w:left="660" w:right="40"/>
        <w:spacing w:after="0" w:line="245" w:lineRule="auto"/>
        <w:rPr>
          <w:sz w:val="20"/>
          <w:szCs w:val="20"/>
          <w:color w:val="auto"/>
        </w:rPr>
      </w:pPr>
      <w:r>
        <w:rPr>
          <w:rFonts w:ascii="Arial" w:cs="Arial" w:eastAsia="Arial" w:hAnsi="Arial"/>
          <w:sz w:val="20"/>
          <w:szCs w:val="20"/>
          <w:color w:val="auto"/>
        </w:rPr>
        <w:t>executive officer salaries; however, the salaries of the executive officers were generally near the median of the Comparator Group. The base salary increases for fiscal year 2022 for each Named Executive Officer, as reflected in the table below, were based on the market-based salary adjustments recommended by Aon/Radford as well as recommendations by the Chief Executive Officer (for Named Executive Officers other than himself).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165735</wp:posOffset>
            </wp:positionV>
            <wp:extent cx="2846070" cy="3003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46070" cy="300355"/>
                    </a:xfrm>
                    <a:prstGeom prst="rect">
                      <a:avLst/>
                    </a:prstGeom>
                    <a:noFill/>
                  </pic:spPr>
                </pic:pic>
              </a:graphicData>
            </a:graphic>
          </wp:anchor>
        </w:drawing>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17"/>
              <w:spacing w:after="0"/>
              <w:rPr>
                <w:sz w:val="20"/>
                <w:szCs w:val="20"/>
                <w:color w:val="auto"/>
              </w:rPr>
            </w:pPr>
            <w:r>
              <w:rPr>
                <w:rFonts w:ascii="Arial" w:cs="Arial" w:eastAsia="Arial" w:hAnsi="Arial"/>
                <w:sz w:val="18"/>
                <w:szCs w:val="18"/>
                <w:color w:val="FFFFFF"/>
                <w:w w:val="98"/>
              </w:rPr>
              <w:t>FY2022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17"/>
              <w:spacing w:after="0"/>
              <w:rPr>
                <w:sz w:val="20"/>
                <w:szCs w:val="20"/>
                <w:color w:val="auto"/>
              </w:rPr>
            </w:pPr>
            <w:r>
              <w:rPr>
                <w:rFonts w:ascii="Arial" w:cs="Arial" w:eastAsia="Arial" w:hAnsi="Arial"/>
                <w:sz w:val="18"/>
                <w:szCs w:val="18"/>
                <w:color w:val="FFFFFF"/>
                <w:w w:val="98"/>
              </w:rPr>
              <w:t>FY2021</w:t>
            </w:r>
          </w:p>
        </w:tc>
        <w:tc>
          <w:tcPr>
            <w:tcW w:w="980" w:type="dxa"/>
            <w:vAlign w:val="bottom"/>
            <w:gridSpan w:val="2"/>
          </w:tcPr>
          <w:p>
            <w:pPr>
              <w:ind w:left="280"/>
              <w:spacing w:after="0"/>
              <w:rPr>
                <w:sz w:val="20"/>
                <w:szCs w:val="20"/>
                <w:color w:val="auto"/>
              </w:rPr>
            </w:pPr>
            <w:r>
              <w:rPr>
                <w:rFonts w:ascii="Arial" w:cs="Arial" w:eastAsia="Arial" w:hAnsi="Arial"/>
                <w:sz w:val="18"/>
                <w:szCs w:val="18"/>
                <w:color w:val="FFFFFF"/>
                <w:w w:val="98"/>
              </w:rPr>
              <w:t>Increase</w:t>
            </w:r>
          </w:p>
        </w:tc>
        <w:tc>
          <w:tcPr>
            <w:tcW w:w="80" w:type="dxa"/>
            <w:vAlign w:val="bottom"/>
          </w:tcPr>
          <w:p>
            <w:pPr>
              <w:spacing w:after="0"/>
              <w:rPr>
                <w:sz w:val="19"/>
                <w:szCs w:val="19"/>
                <w:color w:val="auto"/>
              </w:rPr>
            </w:pPr>
          </w:p>
        </w:tc>
      </w:tr>
      <w:tr>
        <w:trPr>
          <w:trHeight w:val="244"/>
        </w:trPr>
        <w:tc>
          <w:tcPr>
            <w:tcW w:w="820" w:type="dxa"/>
            <w:vAlign w:val="bottom"/>
          </w:tcPr>
          <w:p>
            <w:pPr>
              <w:spacing w:after="0"/>
              <w:rPr>
                <w:sz w:val="20"/>
                <w:szCs w:val="20"/>
                <w:color w:val="auto"/>
              </w:rPr>
            </w:pPr>
            <w:r>
              <w:rPr>
                <w:rFonts w:ascii="Arial" w:cs="Arial" w:eastAsia="Arial" w:hAnsi="Arial"/>
                <w:sz w:val="18"/>
                <w:szCs w:val="18"/>
                <w:color w:val="FFFFFF"/>
              </w:rPr>
              <w:t>​</w:t>
            </w:r>
          </w:p>
        </w:tc>
        <w:tc>
          <w:tcPr>
            <w:tcW w:w="3040" w:type="dxa"/>
            <w:vAlign w:val="bottom"/>
            <w:gridSpan w:val="7"/>
          </w:tcPr>
          <w:p>
            <w:pPr>
              <w:jc w:val="center"/>
              <w:ind w:right="18"/>
              <w:spacing w:after="0"/>
              <w:rPr>
                <w:sz w:val="20"/>
                <w:szCs w:val="20"/>
                <w:color w:val="auto"/>
              </w:rPr>
            </w:pPr>
            <w:r>
              <w:rPr>
                <w:rFonts w:ascii="Arial" w:cs="Arial" w:eastAsia="Arial" w:hAnsi="Arial"/>
                <w:sz w:val="18"/>
                <w:szCs w:val="18"/>
                <w:color w:val="FFFFFF"/>
              </w:rPr>
              <w:t>​​Base Salary ($) ​ ​Base Salary ($) ​ ​</w:t>
            </w:r>
          </w:p>
        </w:tc>
        <w:tc>
          <w:tcPr>
            <w:tcW w:w="580" w:type="dxa"/>
            <w:vAlign w:val="bottom"/>
          </w:tcPr>
          <w:p>
            <w:pPr>
              <w:ind w:left="80"/>
              <w:spacing w:after="0"/>
              <w:rPr>
                <w:sz w:val="20"/>
                <w:szCs w:val="20"/>
                <w:color w:val="auto"/>
              </w:rPr>
            </w:pPr>
            <w:r>
              <w:rPr>
                <w:rFonts w:ascii="Arial" w:cs="Arial" w:eastAsia="Arial" w:hAnsi="Arial"/>
                <w:sz w:val="18"/>
                <w:szCs w:val="18"/>
                <w:color w:val="FFFFFF"/>
              </w:rPr>
              <w:t>(%)</w:t>
            </w:r>
          </w:p>
        </w:tc>
        <w:tc>
          <w:tcPr>
            <w:tcW w:w="80" w:type="dxa"/>
            <w:vAlign w:val="bottom"/>
          </w:tcPr>
          <w:p>
            <w:pPr>
              <w:jc w:val="center"/>
              <w:spacing w:after="0"/>
              <w:rPr>
                <w:sz w:val="20"/>
                <w:szCs w:val="20"/>
                <w:color w:val="auto"/>
              </w:rPr>
            </w:pPr>
            <w:r>
              <w:rPr>
                <w:rFonts w:ascii="Arial" w:cs="Arial" w:eastAsia="Arial" w:hAnsi="Arial"/>
                <w:sz w:val="18"/>
                <w:szCs w:val="18"/>
                <w:color w:val="FFFFFF"/>
              </w:rPr>
              <w:t>​</w:t>
            </w:r>
          </w:p>
        </w:tc>
      </w:tr>
      <w:tr>
        <w:trPr>
          <w:trHeight w:val="245"/>
        </w:trPr>
        <w:tc>
          <w:tcPr>
            <w:tcW w:w="820" w:type="dxa"/>
            <w:vAlign w:val="bottom"/>
          </w:tcPr>
          <w:p>
            <w:pPr>
              <w:ind w:left="20"/>
              <w:spacing w:after="0"/>
              <w:rPr>
                <w:sz w:val="20"/>
                <w:szCs w:val="20"/>
                <w:color w:val="auto"/>
              </w:rPr>
            </w:pPr>
            <w:r>
              <w:rPr>
                <w:rFonts w:ascii="Arial" w:cs="Arial" w:eastAsia="Arial" w:hAnsi="Arial"/>
                <w:sz w:val="16"/>
                <w:szCs w:val="16"/>
                <w:color w:val="auto"/>
              </w:rPr>
              <w:t>Liam K.</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8"/>
        </w:trPr>
        <w:tc>
          <w:tcPr>
            <w:tcW w:w="820" w:type="dxa"/>
            <w:vAlign w:val="bottom"/>
          </w:tcPr>
          <w:p>
            <w:pPr>
              <w:ind w:left="20"/>
              <w:spacing w:after="0"/>
              <w:rPr>
                <w:sz w:val="20"/>
                <w:szCs w:val="20"/>
                <w:color w:val="auto"/>
              </w:rPr>
            </w:pPr>
            <w:r>
              <w:rPr>
                <w:rFonts w:ascii="Arial" w:cs="Arial" w:eastAsia="Arial" w:hAnsi="Arial"/>
                <w:sz w:val="16"/>
                <w:szCs w:val="16"/>
                <w:color w:val="auto"/>
              </w:rPr>
              <w:t>​Griffin</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1000" w:type="dxa"/>
            <w:vAlign w:val="bottom"/>
            <w:gridSpan w:val="2"/>
          </w:tcPr>
          <w:p>
            <w:pPr>
              <w:jc w:val="right"/>
              <w:ind w:right="17"/>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1,130,000​</w:t>
            </w:r>
          </w:p>
        </w:tc>
        <w:tc>
          <w:tcPr>
            <w:tcW w:w="400" w:type="dxa"/>
            <w:vAlign w:val="bottom"/>
          </w:tcPr>
          <w:p>
            <w:pPr>
              <w:jc w:val="center"/>
              <w:spacing w:after="0"/>
              <w:rPr>
                <w:sz w:val="20"/>
                <w:szCs w:val="20"/>
                <w:color w:val="auto"/>
              </w:rPr>
            </w:pPr>
            <w:r>
              <w:rPr>
                <w:rFonts w:ascii="Arial" w:cs="Arial" w:eastAsia="Arial" w:hAnsi="Arial"/>
                <w:sz w:val="16"/>
                <w:szCs w:val="16"/>
                <w:color w:val="auto"/>
              </w:rPr>
              <w:t>​ ​ ​</w:t>
            </w:r>
          </w:p>
        </w:tc>
        <w:tc>
          <w:tcPr>
            <w:tcW w:w="980" w:type="dxa"/>
            <w:vAlign w:val="bottom"/>
            <w:gridSpan w:val="2"/>
          </w:tcPr>
          <w:p>
            <w:pPr>
              <w:jc w:val="right"/>
              <w:ind w:right="17"/>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1,075,000​</w:t>
            </w:r>
          </w:p>
        </w:tc>
        <w:tc>
          <w:tcPr>
            <w:tcW w:w="400" w:type="dxa"/>
            <w:vAlign w:val="bottom"/>
          </w:tcPr>
          <w:p>
            <w:pPr>
              <w:ind w:left="120"/>
              <w:spacing w:after="0"/>
              <w:rPr>
                <w:sz w:val="20"/>
                <w:szCs w:val="20"/>
                <w:color w:val="auto"/>
              </w:rPr>
            </w:pPr>
            <w:r>
              <w:rPr>
                <w:rFonts w:ascii="Arial" w:cs="Arial" w:eastAsia="Arial" w:hAnsi="Arial"/>
                <w:sz w:val="16"/>
                <w:szCs w:val="16"/>
                <w:color w:val="auto"/>
              </w:rPr>
              <w:t>​ ​ ​</w:t>
            </w:r>
          </w:p>
        </w:tc>
        <w:tc>
          <w:tcPr>
            <w:tcW w:w="580" w:type="dxa"/>
            <w:vAlign w:val="bottom"/>
          </w:tcPr>
          <w:p>
            <w:pPr>
              <w:ind w:left="1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5.1​%</w:t>
            </w:r>
          </w:p>
        </w:tc>
        <w:tc>
          <w:tcPr>
            <w:tcW w:w="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51"/>
        </w:trPr>
        <w:tc>
          <w:tcPr>
            <w:tcW w:w="820" w:type="dxa"/>
            <w:vAlign w:val="bottom"/>
          </w:tcPr>
          <w:p>
            <w:pPr>
              <w:ind w:left="20"/>
              <w:spacing w:after="0"/>
              <w:rPr>
                <w:sz w:val="20"/>
                <w:szCs w:val="20"/>
                <w:color w:val="auto"/>
              </w:rPr>
            </w:pPr>
            <w:r>
              <w:rPr>
                <w:rFonts w:ascii="Arial" w:cs="Arial" w:eastAsia="Arial" w:hAnsi="Arial"/>
                <w:sz w:val="16"/>
                <w:szCs w:val="16"/>
                <w:color w:val="auto"/>
              </w:rPr>
              <w:t>Kris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8"/>
        </w:trPr>
        <w:tc>
          <w:tcPr>
            <w:tcW w:w="820" w:type="dxa"/>
            <w:vAlign w:val="bottom"/>
          </w:tcPr>
          <w:p>
            <w:pPr>
              <w:ind w:left="20"/>
              <w:spacing w:after="0"/>
              <w:rPr>
                <w:sz w:val="20"/>
                <w:szCs w:val="20"/>
                <w:color w:val="auto"/>
              </w:rPr>
            </w:pPr>
            <w:r>
              <w:rPr>
                <w:rFonts w:ascii="Arial" w:cs="Arial" w:eastAsia="Arial" w:hAnsi="Arial"/>
                <w:sz w:val="16"/>
                <w:szCs w:val="16"/>
                <w:color w:val="auto"/>
              </w:rPr>
              <w:t>​Sennesael</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1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6"/>
                <w:szCs w:val="16"/>
                <w:color w:val="auto"/>
              </w:rPr>
              <w:t>588,000​</w:t>
            </w:r>
          </w:p>
        </w:tc>
        <w:tc>
          <w:tcPr>
            <w:tcW w:w="400" w:type="dxa"/>
            <w:vAlign w:val="bottom"/>
          </w:tcPr>
          <w:p>
            <w:pPr>
              <w:jc w:val="center"/>
              <w:spacing w:after="0"/>
              <w:rPr>
                <w:sz w:val="20"/>
                <w:szCs w:val="20"/>
                <w:color w:val="auto"/>
              </w:rPr>
            </w:pPr>
            <w:r>
              <w:rPr>
                <w:rFonts w:ascii="Arial" w:cs="Arial" w:eastAsia="Arial" w:hAnsi="Arial"/>
                <w:sz w:val="16"/>
                <w:szCs w:val="16"/>
                <w:color w:val="auto"/>
              </w:rPr>
              <w:t>​ ​ ​</w:t>
            </w:r>
          </w:p>
        </w:tc>
        <w:tc>
          <w:tcPr>
            <w:tcW w:w="1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6"/>
                <w:szCs w:val="16"/>
                <w:color w:val="auto"/>
              </w:rPr>
              <w:t>560,000​</w:t>
            </w:r>
          </w:p>
        </w:tc>
        <w:tc>
          <w:tcPr>
            <w:tcW w:w="400" w:type="dxa"/>
            <w:vAlign w:val="bottom"/>
          </w:tcPr>
          <w:p>
            <w:pPr>
              <w:ind w:left="120"/>
              <w:spacing w:after="0"/>
              <w:rPr>
                <w:sz w:val="20"/>
                <w:szCs w:val="20"/>
                <w:color w:val="auto"/>
              </w:rPr>
            </w:pPr>
            <w:r>
              <w:rPr>
                <w:rFonts w:ascii="Arial" w:cs="Arial" w:eastAsia="Arial" w:hAnsi="Arial"/>
                <w:sz w:val="16"/>
                <w:szCs w:val="16"/>
                <w:color w:val="auto"/>
              </w:rPr>
              <w:t>​ ​ ​</w:t>
            </w:r>
          </w:p>
        </w:tc>
        <w:tc>
          <w:tcPr>
            <w:tcW w:w="580" w:type="dxa"/>
            <w:vAlign w:val="bottom"/>
          </w:tcPr>
          <w:p>
            <w:pPr>
              <w:ind w:left="1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5.0​%</w:t>
            </w:r>
          </w:p>
        </w:tc>
        <w:tc>
          <w:tcPr>
            <w:tcW w:w="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51"/>
        </w:trPr>
        <w:tc>
          <w:tcPr>
            <w:tcW w:w="820" w:type="dxa"/>
            <w:vAlign w:val="bottom"/>
          </w:tcPr>
          <w:p>
            <w:pPr>
              <w:ind w:left="20"/>
              <w:spacing w:after="0"/>
              <w:rPr>
                <w:sz w:val="20"/>
                <w:szCs w:val="20"/>
                <w:color w:val="auto"/>
              </w:rPr>
            </w:pPr>
            <w:r>
              <w:rPr>
                <w:rFonts w:ascii="Arial" w:cs="Arial" w:eastAsia="Arial" w:hAnsi="Arial"/>
                <w:sz w:val="16"/>
                <w:szCs w:val="16"/>
                <w:color w:val="auto"/>
              </w:rPr>
              <w:t>Reza</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8"/>
        </w:trPr>
        <w:tc>
          <w:tcPr>
            <w:tcW w:w="820" w:type="dxa"/>
            <w:vAlign w:val="bottom"/>
          </w:tcPr>
          <w:p>
            <w:pPr>
              <w:ind w:left="20"/>
              <w:spacing w:after="0"/>
              <w:rPr>
                <w:sz w:val="20"/>
                <w:szCs w:val="20"/>
                <w:color w:val="auto"/>
              </w:rPr>
            </w:pPr>
            <w:r>
              <w:rPr>
                <w:rFonts w:ascii="Arial" w:cs="Arial" w:eastAsia="Arial" w:hAnsi="Arial"/>
                <w:sz w:val="16"/>
                <w:szCs w:val="16"/>
                <w:color w:val="auto"/>
              </w:rPr>
              <w:t>​Kasnavi(1)</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1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6"/>
                <w:szCs w:val="16"/>
                <w:color w:val="auto"/>
              </w:rPr>
              <w:t>557,000​</w:t>
            </w:r>
          </w:p>
        </w:tc>
        <w:tc>
          <w:tcPr>
            <w:tcW w:w="400" w:type="dxa"/>
            <w:vAlign w:val="bottom"/>
          </w:tcPr>
          <w:p>
            <w:pPr>
              <w:jc w:val="center"/>
              <w:spacing w:after="0"/>
              <w:rPr>
                <w:sz w:val="20"/>
                <w:szCs w:val="20"/>
                <w:color w:val="auto"/>
              </w:rPr>
            </w:pPr>
            <w:r>
              <w:rPr>
                <w:rFonts w:ascii="Arial" w:cs="Arial" w:eastAsia="Arial" w:hAnsi="Arial"/>
                <w:sz w:val="16"/>
                <w:szCs w:val="16"/>
                <w:color w:val="auto"/>
              </w:rPr>
              <w:t>​ ​ ​</w:t>
            </w:r>
          </w:p>
        </w:tc>
        <w:tc>
          <w:tcPr>
            <w:tcW w:w="1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6"/>
                <w:szCs w:val="16"/>
                <w:color w:val="auto"/>
              </w:rPr>
              <w:t>525,000​</w:t>
            </w:r>
          </w:p>
        </w:tc>
        <w:tc>
          <w:tcPr>
            <w:tcW w:w="400" w:type="dxa"/>
            <w:vAlign w:val="bottom"/>
          </w:tcPr>
          <w:p>
            <w:pPr>
              <w:ind w:left="120"/>
              <w:spacing w:after="0"/>
              <w:rPr>
                <w:sz w:val="20"/>
                <w:szCs w:val="20"/>
                <w:color w:val="auto"/>
              </w:rPr>
            </w:pPr>
            <w:r>
              <w:rPr>
                <w:rFonts w:ascii="Arial" w:cs="Arial" w:eastAsia="Arial" w:hAnsi="Arial"/>
                <w:sz w:val="16"/>
                <w:szCs w:val="16"/>
                <w:color w:val="auto"/>
              </w:rPr>
              <w:t>​ ​ ​</w:t>
            </w:r>
          </w:p>
        </w:tc>
        <w:tc>
          <w:tcPr>
            <w:tcW w:w="580" w:type="dxa"/>
            <w:vAlign w:val="bottom"/>
          </w:tcPr>
          <w:p>
            <w:pPr>
              <w:ind w:left="1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6.1​%</w:t>
            </w:r>
          </w:p>
        </w:tc>
        <w:tc>
          <w:tcPr>
            <w:tcW w:w="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64"/>
        </w:trPr>
        <w:tc>
          <w:tcPr>
            <w:tcW w:w="820" w:type="dxa"/>
            <w:vAlign w:val="bottom"/>
          </w:tcPr>
          <w:p>
            <w:pPr>
              <w:ind w:left="20"/>
              <w:spacing w:after="0"/>
              <w:rPr>
                <w:sz w:val="20"/>
                <w:szCs w:val="20"/>
                <w:color w:val="auto"/>
              </w:rPr>
            </w:pPr>
            <w:r>
              <w:rPr>
                <w:rFonts w:ascii="Arial" w:cs="Arial" w:eastAsia="Arial" w:hAnsi="Arial"/>
                <w:sz w:val="16"/>
                <w:szCs w:val="16"/>
                <w:color w:val="auto"/>
              </w:rPr>
              <w:t>Carlos S.</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8"/>
        </w:trPr>
        <w:tc>
          <w:tcPr>
            <w:tcW w:w="820" w:type="dxa"/>
            <w:vAlign w:val="bottom"/>
          </w:tcPr>
          <w:p>
            <w:pPr>
              <w:ind w:left="20"/>
              <w:spacing w:after="0"/>
              <w:rPr>
                <w:sz w:val="20"/>
                <w:szCs w:val="20"/>
                <w:color w:val="auto"/>
              </w:rPr>
            </w:pPr>
            <w:r>
              <w:rPr>
                <w:rFonts w:ascii="Arial" w:cs="Arial" w:eastAsia="Arial" w:hAnsi="Arial"/>
                <w:sz w:val="16"/>
                <w:szCs w:val="16"/>
                <w:color w:val="auto"/>
              </w:rPr>
              <w:t>​Bori</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1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6"/>
                <w:szCs w:val="16"/>
                <w:color w:val="auto"/>
              </w:rPr>
              <w:t>520,000​</w:t>
            </w:r>
          </w:p>
        </w:tc>
        <w:tc>
          <w:tcPr>
            <w:tcW w:w="400" w:type="dxa"/>
            <w:vAlign w:val="bottom"/>
          </w:tcPr>
          <w:p>
            <w:pPr>
              <w:jc w:val="center"/>
              <w:spacing w:after="0"/>
              <w:rPr>
                <w:sz w:val="20"/>
                <w:szCs w:val="20"/>
                <w:color w:val="auto"/>
              </w:rPr>
            </w:pPr>
            <w:r>
              <w:rPr>
                <w:rFonts w:ascii="Arial" w:cs="Arial" w:eastAsia="Arial" w:hAnsi="Arial"/>
                <w:sz w:val="16"/>
                <w:szCs w:val="16"/>
                <w:color w:val="auto"/>
              </w:rPr>
              <w:t>​ ​ ​</w:t>
            </w:r>
          </w:p>
        </w:tc>
        <w:tc>
          <w:tcPr>
            <w:tcW w:w="1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6"/>
                <w:szCs w:val="16"/>
                <w:color w:val="auto"/>
              </w:rPr>
              <w:t>475,000​</w:t>
            </w:r>
          </w:p>
        </w:tc>
        <w:tc>
          <w:tcPr>
            <w:tcW w:w="400" w:type="dxa"/>
            <w:vAlign w:val="bottom"/>
          </w:tcPr>
          <w:p>
            <w:pPr>
              <w:ind w:left="120"/>
              <w:spacing w:after="0"/>
              <w:rPr>
                <w:sz w:val="20"/>
                <w:szCs w:val="20"/>
                <w:color w:val="auto"/>
              </w:rPr>
            </w:pPr>
            <w:r>
              <w:rPr>
                <w:rFonts w:ascii="Arial" w:cs="Arial" w:eastAsia="Arial" w:hAnsi="Arial"/>
                <w:sz w:val="16"/>
                <w:szCs w:val="16"/>
                <w:color w:val="auto"/>
              </w:rPr>
              <w:t>​ ​ ​</w:t>
            </w:r>
          </w:p>
        </w:tc>
        <w:tc>
          <w:tcPr>
            <w:tcW w:w="580" w:type="dxa"/>
            <w:vAlign w:val="bottom"/>
          </w:tcPr>
          <w:p>
            <w:pPr>
              <w:ind w:left="1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9.5​%</w:t>
            </w:r>
          </w:p>
        </w:tc>
        <w:tc>
          <w:tcPr>
            <w:tcW w:w="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64"/>
        </w:trPr>
        <w:tc>
          <w:tcPr>
            <w:tcW w:w="820" w:type="dxa"/>
            <w:vAlign w:val="bottom"/>
          </w:tcPr>
          <w:p>
            <w:pPr>
              <w:ind w:left="20"/>
              <w:spacing w:after="0"/>
              <w:rPr>
                <w:sz w:val="20"/>
                <w:szCs w:val="20"/>
                <w:color w:val="auto"/>
              </w:rPr>
            </w:pPr>
            <w:r>
              <w:rPr>
                <w:rFonts w:ascii="Arial" w:cs="Arial" w:eastAsia="Arial" w:hAnsi="Arial"/>
                <w:sz w:val="16"/>
                <w:szCs w:val="16"/>
                <w:color w:val="auto"/>
              </w:rPr>
              <w:t>Robert J.</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5"/>
        </w:trPr>
        <w:tc>
          <w:tcPr>
            <w:tcW w:w="820" w:type="dxa"/>
            <w:vAlign w:val="bottom"/>
          </w:tcPr>
          <w:p>
            <w:pPr>
              <w:ind w:left="20"/>
              <w:spacing w:after="0"/>
              <w:rPr>
                <w:sz w:val="20"/>
                <w:szCs w:val="20"/>
                <w:color w:val="auto"/>
              </w:rPr>
            </w:pPr>
            <w:r>
              <w:rPr>
                <w:rFonts w:ascii="Arial" w:cs="Arial" w:eastAsia="Arial" w:hAnsi="Arial"/>
                <w:sz w:val="16"/>
                <w:szCs w:val="16"/>
                <w:color w:val="auto"/>
              </w:rPr>
              <w:t>Terry​</w:t>
            </w:r>
          </w:p>
        </w:tc>
        <w:tc>
          <w:tcPr>
            <w:tcW w:w="260" w:type="dxa"/>
            <w:vAlign w:val="bottom"/>
          </w:tcPr>
          <w:p>
            <w:pPr>
              <w:ind w:left="60"/>
              <w:spacing w:after="0"/>
              <w:rPr>
                <w:sz w:val="20"/>
                <w:szCs w:val="20"/>
                <w:color w:val="auto"/>
              </w:rPr>
            </w:pPr>
            <w:r>
              <w:rPr>
                <w:rFonts w:ascii="Arial" w:cs="Arial" w:eastAsia="Arial" w:hAnsi="Arial"/>
                <w:sz w:val="16"/>
                <w:szCs w:val="16"/>
                <w:color w:val="auto"/>
              </w:rPr>
              <w:t>​ ​</w:t>
            </w:r>
          </w:p>
        </w:tc>
        <w:tc>
          <w:tcPr>
            <w:tcW w:w="160" w:type="dxa"/>
            <w:vAlign w:val="bottom"/>
          </w:tcPr>
          <w:p>
            <w:pPr>
              <w:ind w:left="1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7"/>
              <w:spacing w:after="0"/>
              <w:rPr>
                <w:sz w:val="20"/>
                <w:szCs w:val="20"/>
                <w:color w:val="auto"/>
              </w:rPr>
            </w:pPr>
            <w:r>
              <w:rPr>
                <w:rFonts w:ascii="Arial" w:cs="Arial" w:eastAsia="Arial" w:hAnsi="Arial"/>
                <w:sz w:val="16"/>
                <w:szCs w:val="16"/>
                <w:color w:val="auto"/>
              </w:rPr>
              <w:t>522,000​</w:t>
            </w:r>
          </w:p>
        </w:tc>
        <w:tc>
          <w:tcPr>
            <w:tcW w:w="400" w:type="dxa"/>
            <w:vAlign w:val="bottom"/>
          </w:tcPr>
          <w:p>
            <w:pPr>
              <w:jc w:val="center"/>
              <w:spacing w:after="0"/>
              <w:rPr>
                <w:sz w:val="20"/>
                <w:szCs w:val="20"/>
                <w:color w:val="auto"/>
              </w:rPr>
            </w:pPr>
            <w:r>
              <w:rPr>
                <w:rFonts w:ascii="Arial" w:cs="Arial" w:eastAsia="Arial" w:hAnsi="Arial"/>
                <w:sz w:val="16"/>
                <w:szCs w:val="16"/>
                <w:color w:val="auto"/>
              </w:rPr>
              <w:t>​ ​ ​</w:t>
            </w:r>
          </w:p>
        </w:tc>
        <w:tc>
          <w:tcPr>
            <w:tcW w:w="140" w:type="dxa"/>
            <w:vAlign w:val="bottom"/>
          </w:tcPr>
          <w:p>
            <w:pPr>
              <w:ind w:left="1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7"/>
              <w:spacing w:after="0"/>
              <w:rPr>
                <w:sz w:val="20"/>
                <w:szCs w:val="20"/>
                <w:color w:val="auto"/>
              </w:rPr>
            </w:pPr>
            <w:r>
              <w:rPr>
                <w:rFonts w:ascii="Arial" w:cs="Arial" w:eastAsia="Arial" w:hAnsi="Arial"/>
                <w:sz w:val="16"/>
                <w:szCs w:val="16"/>
                <w:color w:val="auto"/>
              </w:rPr>
              <w:t>492,000​</w:t>
            </w:r>
          </w:p>
        </w:tc>
        <w:tc>
          <w:tcPr>
            <w:tcW w:w="400" w:type="dxa"/>
            <w:vAlign w:val="bottom"/>
          </w:tcPr>
          <w:p>
            <w:pPr>
              <w:ind w:left="120"/>
              <w:spacing w:after="0"/>
              <w:rPr>
                <w:sz w:val="20"/>
                <w:szCs w:val="20"/>
                <w:color w:val="auto"/>
              </w:rPr>
            </w:pPr>
            <w:r>
              <w:rPr>
                <w:rFonts w:ascii="Arial" w:cs="Arial" w:eastAsia="Arial" w:hAnsi="Arial"/>
                <w:sz w:val="16"/>
                <w:szCs w:val="16"/>
                <w:color w:val="auto"/>
              </w:rPr>
              <w:t>​ ​ ​</w:t>
            </w:r>
          </w:p>
        </w:tc>
        <w:tc>
          <w:tcPr>
            <w:tcW w:w="580" w:type="dxa"/>
            <w:vAlign w:val="bottom"/>
          </w:tcPr>
          <w:p>
            <w:pPr>
              <w:ind w:left="100"/>
              <w:spacing w:after="0"/>
              <w:rPr>
                <w:sz w:val="20"/>
                <w:szCs w:val="20"/>
                <w:color w:val="auto"/>
              </w:rPr>
            </w:pPr>
            <w:r>
              <w:rPr>
                <w:rFonts w:ascii="Arial" w:cs="Arial" w:eastAsia="Arial" w:hAnsi="Arial"/>
                <w:sz w:val="16"/>
                <w:szCs w:val="16"/>
                <w:color w:val="auto"/>
              </w:rPr>
              <w:t>​6.1​%</w:t>
            </w:r>
          </w:p>
        </w:tc>
        <w:tc>
          <w:tcPr>
            <w:tcW w:w="80" w:type="dxa"/>
            <w:vAlign w:val="bottom"/>
          </w:tcPr>
          <w:p>
            <w:pPr>
              <w:jc w:val="center"/>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-1461770</wp:posOffset>
            </wp:positionV>
            <wp:extent cx="2846070" cy="291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46070" cy="29146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-878205</wp:posOffset>
            </wp:positionV>
            <wp:extent cx="2846070" cy="291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46070" cy="29146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-287020</wp:posOffset>
            </wp:positionV>
            <wp:extent cx="2846070" cy="291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46070" cy="291465"/>
                    </a:xfrm>
                    <a:prstGeom prst="rect">
                      <a:avLst/>
                    </a:prstGeom>
                    <a:noFill/>
                  </pic:spPr>
                </pic:pic>
              </a:graphicData>
            </a:graphic>
          </wp:anchor>
        </w:drawing>
      </w:r>
    </w:p>
    <w:p>
      <w:pPr>
        <w:spacing w:after="0" w:line="93" w:lineRule="exact"/>
        <w:rPr>
          <w:sz w:val="20"/>
          <w:szCs w:val="20"/>
          <w:color w:val="auto"/>
        </w:rPr>
      </w:pPr>
    </w:p>
    <w:p>
      <w:pPr>
        <w:ind w:left="1080" w:right="120" w:hanging="354"/>
        <w:spacing w:after="0" w:line="298" w:lineRule="auto"/>
        <w:tabs>
          <w:tab w:leader="none" w:pos="108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Mr. Kasnavi was not a Named Executive Officer prior to fiscal year 2022.</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Short-Term Incentives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Overview</w:t>
      </w:r>
    </w:p>
    <w:p>
      <w:pPr>
        <w:spacing w:after="0" w:line="159" w:lineRule="exact"/>
        <w:rPr>
          <w:sz w:val="20"/>
          <w:szCs w:val="20"/>
          <w:color w:val="auto"/>
        </w:rPr>
      </w:pPr>
    </w:p>
    <w:p>
      <w:pPr>
        <w:ind w:left="660" w:right="40"/>
        <w:spacing w:after="0" w:line="243" w:lineRule="auto"/>
        <w:rPr>
          <w:sz w:val="20"/>
          <w:szCs w:val="20"/>
          <w:color w:val="auto"/>
        </w:rPr>
      </w:pPr>
      <w:r>
        <w:rPr>
          <w:rFonts w:ascii="Arial" w:cs="Arial" w:eastAsia="Arial" w:hAnsi="Arial"/>
          <w:sz w:val="20"/>
          <w:szCs w:val="20"/>
          <w:color w:val="auto"/>
        </w:rPr>
        <w:t>Our short-term incentive compensation plan for executive officers is established annually by the Compensation Committee and is intended to motivate and reward executives by tying a significant portion of their total cash compensation to the Company’s achievement of pre-established performance goals that are generally one year or less in duration. The Compensation Committee believes that pre-established performance goals under the Company’s short-term incentive compensation plan for executive officers should generally be measured over a one-year performance period. Beginning with the Company’s fiscal year ended October 2, 2020 (“fiscal year 2020”) and continuing to the present, the Compensation Committee has established annual short-term compensation incentive plans with two six-month performance periods as a result of significant market uncertainties.</w:t>
      </w:r>
    </w:p>
    <w:p>
      <w:pPr>
        <w:spacing w:after="0" w:line="233" w:lineRule="exact"/>
        <w:rPr>
          <w:sz w:val="20"/>
          <w:szCs w:val="20"/>
          <w:color w:val="auto"/>
        </w:rPr>
      </w:pPr>
    </w:p>
    <w:p>
      <w:pPr>
        <w:ind w:left="660" w:right="360"/>
        <w:spacing w:after="0" w:line="272" w:lineRule="auto"/>
        <w:rPr>
          <w:sz w:val="20"/>
          <w:szCs w:val="20"/>
          <w:color w:val="auto"/>
        </w:rPr>
      </w:pPr>
      <w:r>
        <w:rPr>
          <w:rFonts w:ascii="Arial" w:cs="Arial" w:eastAsia="Arial" w:hAnsi="Arial"/>
          <w:sz w:val="19"/>
          <w:szCs w:val="19"/>
          <w:color w:val="auto"/>
        </w:rPr>
        <w:t>With respect to the Fiscal Year 2022 Executive Incentive Plan (the “Incentive Plan”) adopted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 Compensation Committee on December 15, 2021, the Compensation Committee determined that in light of continued uncertainties resulting from geopolitical concerns and global supply chain challenges affecting the Company and its customers, which made forecasting difficult, semi-annual performance periods would be appropriate for fiscal year 2022. Nevertheless, when the Compensation Committee set the performance goals for the second half of fiscal year 2022 in May 2022, it adopted the performance goals discussed when the Incentive Plan was first implemented in December 2021. The Compensation Committee has committed to returning to one-year performance periods for the short-term compensation incentive plan as soon as it determines that market conditions would allow the establishment of meaningful full-year performance goals.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Incentive Opportunities</w:t>
      </w:r>
    </w:p>
    <w:p>
      <w:pPr>
        <w:spacing w:after="0" w:line="172"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For each executive officer, short-term incentive compensation at the “target” level is designed to be near the median short-term incentive compensation of the Comparator Group. After reviewing Comparator Group data, the Compensation Committee determined that the target incentive under the Incentive Plan, as</w:t>
      </w:r>
    </w:p>
    <w:p>
      <w:pPr>
        <w:spacing w:after="0" w:line="4"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color w:val="auto"/>
        </w:rPr>
        <w:t>a percentage of base salary, for each of the Named Executive Officers should not be changed, as compared to the target incentives under the prior year’s short-term incentive plan.</w:t>
      </w:r>
    </w:p>
    <w:p>
      <w:pPr>
        <w:spacing w:after="0" w:line="207"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The following table shows the range of short-term incentive compensation that each Named Executive Officer could earn in fiscal year 2022 as a percentage of such executive officer’s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284607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46070" cy="16319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860" w:type="dxa"/>
            <w:vAlign w:val="bottom"/>
          </w:tcPr>
          <w:p>
            <w:pPr>
              <w:jc w:val="right"/>
              <w:ind w:right="1694"/>
              <w:spacing w:after="0"/>
              <w:rPr>
                <w:sz w:val="20"/>
                <w:szCs w:val="20"/>
                <w:color w:val="auto"/>
              </w:rPr>
            </w:pPr>
            <w:r>
              <w:rPr>
                <w:rFonts w:ascii="Arial" w:cs="Arial" w:eastAsia="Arial" w:hAnsi="Arial"/>
                <w:sz w:val="18"/>
                <w:szCs w:val="18"/>
                <w:color w:val="FFFFFF"/>
              </w:rPr>
              <w:t>​​</w:t>
            </w:r>
          </w:p>
        </w:tc>
        <w:tc>
          <w:tcPr>
            <w:tcW w:w="2660" w:type="dxa"/>
            <w:vAlign w:val="bottom"/>
            <w:gridSpan w:val="6"/>
          </w:tcPr>
          <w:p>
            <w:pPr>
              <w:ind w:left="60"/>
              <w:spacing w:after="0"/>
              <w:rPr>
                <w:sz w:val="20"/>
                <w:szCs w:val="20"/>
                <w:color w:val="auto"/>
              </w:rPr>
            </w:pPr>
            <w:r>
              <w:rPr>
                <w:rFonts w:ascii="Arial" w:cs="Arial" w:eastAsia="Arial" w:hAnsi="Arial"/>
                <w:sz w:val="18"/>
                <w:szCs w:val="18"/>
                <w:color w:val="FFFFFF"/>
              </w:rPr>
              <w:t>​​Threshold ​​Target ​​Maximum ​</w:t>
            </w:r>
          </w:p>
        </w:tc>
        <w:tc>
          <w:tcPr>
            <w:tcW w:w="0" w:type="dxa"/>
            <w:vAlign w:val="bottom"/>
          </w:tcPr>
          <w:p>
            <w:pPr>
              <w:spacing w:after="0"/>
              <w:rPr>
                <w:sz w:val="1"/>
                <w:szCs w:val="1"/>
                <w:color w:val="auto"/>
              </w:rPr>
            </w:pPr>
          </w:p>
        </w:tc>
      </w:tr>
      <w:tr>
        <w:trPr>
          <w:trHeight w:val="216"/>
        </w:trPr>
        <w:tc>
          <w:tcPr>
            <w:tcW w:w="186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3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560" w:type="dxa"/>
            <w:vAlign w:val="bottom"/>
          </w:tcPr>
          <w:p>
            <w:pPr>
              <w:ind w:left="1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80​%</w:t>
            </w:r>
          </w:p>
        </w:tc>
        <w:tc>
          <w:tcPr>
            <w:tcW w:w="28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4"/>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160​%</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320​%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860" w:type="dxa"/>
            <w:vAlign w:val="bottom"/>
          </w:tcPr>
          <w:p>
            <w:pPr>
              <w:jc w:val="right"/>
              <w:ind w:right="1694"/>
              <w:spacing w:after="0" w:line="54" w:lineRule="exact"/>
              <w:rPr>
                <w:sz w:val="20"/>
                <w:szCs w:val="20"/>
                <w:color w:val="auto"/>
              </w:rPr>
            </w:pPr>
            <w:r>
              <w:rPr>
                <w:rFonts w:ascii="Arial" w:cs="Arial" w:eastAsia="Arial" w:hAnsi="Arial"/>
                <w:sz w:val="6"/>
                <w:szCs w:val="6"/>
                <w:color w:val="auto"/>
              </w:rPr>
              <w:t>​</w:t>
            </w:r>
          </w:p>
        </w:tc>
        <w:tc>
          <w:tcPr>
            <w:tcW w:w="3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720" w:type="dxa"/>
            <w:vAlign w:val="bottom"/>
          </w:tcPr>
          <w:p>
            <w:pPr>
              <w:jc w:val="right"/>
              <w:ind w:right="64"/>
              <w:spacing w:after="0" w:line="54" w:lineRule="exact"/>
              <w:rPr>
                <w:sz w:val="20"/>
                <w:szCs w:val="20"/>
                <w:color w:val="auto"/>
              </w:rPr>
            </w:pPr>
            <w:r>
              <w:rPr>
                <w:rFonts w:ascii="Arial" w:cs="Arial" w:eastAsia="Arial" w:hAnsi="Arial"/>
                <w:sz w:val="6"/>
                <w:szCs w:val="6"/>
                <w:color w:val="auto"/>
              </w:rPr>
              <w:t>​​​</w:t>
            </w:r>
          </w:p>
        </w:tc>
        <w:tc>
          <w:tcPr>
            <w:tcW w:w="6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60"/>
              <w:spacing w:after="0"/>
              <w:rPr>
                <w:sz w:val="20"/>
                <w:szCs w:val="20"/>
                <w:color w:val="auto"/>
              </w:rPr>
            </w:pPr>
            <w:r>
              <w:rPr>
                <w:rFonts w:ascii="Arial" w:cs="Arial" w:eastAsia="Arial" w:hAnsi="Arial"/>
                <w:sz w:val="16"/>
                <w:szCs w:val="16"/>
                <w:color w:val="auto"/>
              </w:rPr>
              <w:t>Chief Financial Officer</w:t>
            </w:r>
          </w:p>
        </w:tc>
        <w:tc>
          <w:tcPr>
            <w:tcW w:w="3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560" w:type="dxa"/>
            <w:vAlign w:val="bottom"/>
          </w:tcPr>
          <w:p>
            <w:pPr>
              <w:ind w:left="1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50​%</w:t>
            </w:r>
          </w:p>
        </w:tc>
        <w:tc>
          <w:tcPr>
            <w:tcW w:w="28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4"/>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860" w:type="dxa"/>
            <w:vAlign w:val="bottom"/>
          </w:tcPr>
          <w:p>
            <w:pPr>
              <w:jc w:val="right"/>
              <w:ind w:right="1694"/>
              <w:spacing w:after="0" w:line="54" w:lineRule="exact"/>
              <w:rPr>
                <w:sz w:val="20"/>
                <w:szCs w:val="20"/>
                <w:color w:val="auto"/>
              </w:rPr>
            </w:pPr>
            <w:r>
              <w:rPr>
                <w:rFonts w:ascii="Arial" w:cs="Arial" w:eastAsia="Arial" w:hAnsi="Arial"/>
                <w:sz w:val="6"/>
                <w:szCs w:val="6"/>
                <w:color w:val="auto"/>
              </w:rPr>
              <w:t>​</w:t>
            </w:r>
          </w:p>
        </w:tc>
        <w:tc>
          <w:tcPr>
            <w:tcW w:w="3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720" w:type="dxa"/>
            <w:vAlign w:val="bottom"/>
          </w:tcPr>
          <w:p>
            <w:pPr>
              <w:jc w:val="right"/>
              <w:ind w:right="64"/>
              <w:spacing w:after="0" w:line="54" w:lineRule="exact"/>
              <w:rPr>
                <w:sz w:val="20"/>
                <w:szCs w:val="20"/>
                <w:color w:val="auto"/>
              </w:rPr>
            </w:pPr>
            <w:r>
              <w:rPr>
                <w:rFonts w:ascii="Arial" w:cs="Arial" w:eastAsia="Arial" w:hAnsi="Arial"/>
                <w:sz w:val="6"/>
                <w:szCs w:val="6"/>
                <w:color w:val="auto"/>
              </w:rPr>
              <w:t>​​​</w:t>
            </w:r>
          </w:p>
        </w:tc>
        <w:tc>
          <w:tcPr>
            <w:tcW w:w="6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860" w:type="dxa"/>
            <w:vAlign w:val="bottom"/>
          </w:tcPr>
          <w:p>
            <w:pPr>
              <w:ind w:left="60"/>
              <w:spacing w:after="0"/>
              <w:rPr>
                <w:sz w:val="20"/>
                <w:szCs w:val="20"/>
                <w:color w:val="auto"/>
              </w:rPr>
            </w:pPr>
            <w:r>
              <w:rPr>
                <w:rFonts w:ascii="Arial" w:cs="Arial" w:eastAsia="Arial" w:hAnsi="Arial"/>
                <w:sz w:val="16"/>
                <w:szCs w:val="16"/>
                <w:color w:val="auto"/>
              </w:rPr>
              <w:t>​Other Executive Officers</w:t>
            </w: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560" w:type="dxa"/>
            <w:vAlign w:val="bottom"/>
          </w:tcPr>
          <w:p>
            <w:pPr>
              <w:ind w:left="1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40​%</w:t>
            </w:r>
          </w:p>
        </w:tc>
        <w:tc>
          <w:tcPr>
            <w:tcW w:w="1000" w:type="dxa"/>
            <w:vAlign w:val="bottom"/>
            <w:gridSpan w:val="2"/>
          </w:tcPr>
          <w:p>
            <w:pPr>
              <w:jc w:val="right"/>
              <w:ind w:right="64"/>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80​%​​​</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160​%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-504825</wp:posOffset>
            </wp:positionV>
            <wp:extent cx="284607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4607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-161925</wp:posOffset>
            </wp:positionV>
            <wp:extent cx="2846070" cy="162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46070" cy="16256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Goals</w:t>
      </w:r>
    </w:p>
    <w:p>
      <w:pPr>
        <w:spacing w:after="0" w:line="172"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color w:val="auto"/>
        </w:rPr>
        <w:t>In December 2021 and May 2022, the Compensation Committee established performance goals for the applicable semi-annual performance period, with each executive eligible</w:t>
      </w:r>
    </w:p>
    <w:p>
      <w:pPr>
        <w:spacing w:after="0" w:line="200" w:lineRule="exact"/>
        <w:rPr>
          <w:sz w:val="20"/>
          <w:szCs w:val="20"/>
          <w:color w:val="auto"/>
        </w:rPr>
      </w:pPr>
    </w:p>
    <w:p>
      <w:pPr>
        <w:sectPr>
          <w:pgSz w:w="11900" w:h="16838" w:orient="portrait"/>
          <w:cols w:equalWidth="0" w:num="2">
            <w:col w:w="5180" w:space="400"/>
            <w:col w:w="4520"/>
          </w:cols>
          <w:pgMar w:left="580" w:top="132" w:right="1219" w:bottom="1440" w:gutter="0" w:footer="0" w:header="0"/>
        </w:sectPr>
      </w:pPr>
    </w:p>
    <w:p>
      <w:pPr>
        <w:spacing w:after="0" w:line="99"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ectPr>
          <w:pgSz w:w="11900" w:h="16838" w:orient="portrait"/>
          <w:cols w:equalWidth="0" w:num="1">
            <w:col w:w="10100"/>
          </w:cols>
          <w:pgMar w:left="580" w:top="132" w:right="121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auto"/>
        </w:rPr>
        <w:t>to earn up to half of his or her annual short-term incentive compensation with respect to each six-month period. Under the Incentive Plan, any unearned amounts with respect to the first performance period were to be forfeited and could not be earned later based on performance during the second performance period or full-year performance. Payments under the Incentive Plan were based on achieving revenue and non-GAAP operating income performance goals, each of which was weighted at 50% for each respective performance period. The non-GAAP operating income performance goal is based on the Company’s publicly disclosed non-GAAP operating income</w:t>
      </w:r>
      <w:r>
        <w:rPr>
          <w:rFonts w:ascii="Arial" w:cs="Arial" w:eastAsia="Arial" w:hAnsi="Arial"/>
          <w:sz w:val="30"/>
          <w:szCs w:val="30"/>
          <w:color w:val="auto"/>
          <w:vertAlign w:val="superscript"/>
        </w:rPr>
        <w:t>3</w:t>
      </w:r>
      <w:r>
        <w:rPr>
          <w:rFonts w:ascii="Arial" w:cs="Arial" w:eastAsia="Arial" w:hAnsi="Arial"/>
          <w:sz w:val="20"/>
          <w:szCs w:val="20"/>
          <w:color w:val="auto"/>
        </w:rPr>
        <w:t xml:space="preserve"> after accounting for any incentive award payments, including those to be made under the Incentive Plan.</w:t>
      </w:r>
    </w:p>
    <w:p>
      <w:pPr>
        <w:spacing w:after="0" w:line="233" w:lineRule="exact"/>
        <w:rPr>
          <w:sz w:val="20"/>
          <w:szCs w:val="20"/>
          <w:color w:val="auto"/>
        </w:rPr>
      </w:pPr>
    </w:p>
    <w:p>
      <w:pPr>
        <w:ind w:left="660"/>
        <w:spacing w:after="0" w:line="263" w:lineRule="auto"/>
        <w:rPr>
          <w:sz w:val="20"/>
          <w:szCs w:val="20"/>
          <w:color w:val="auto"/>
        </w:rPr>
      </w:pPr>
      <w:r>
        <w:rPr>
          <w:rFonts w:ascii="Arial" w:cs="Arial" w:eastAsia="Arial" w:hAnsi="Arial"/>
          <w:sz w:val="20"/>
          <w:szCs w:val="20"/>
          <w:color w:val="auto"/>
        </w:rPr>
        <w:t>The target level performance goals were established by the Compensation Committee under the Incentive Plan after reviewing the Company’s historical operating results and growth rates as well as the Company’s expected future results relative to peers and were designed to require significant effort and operational success on the part of our executives and the Company. The maximum level performance goals established by the Compensation Committee have historically been difficult to achieve and are designed to represent outstanding performance that the Compensation Committee believes should be rewarded.</w:t>
      </w:r>
    </w:p>
    <w:p>
      <w:pPr>
        <w:spacing w:after="0" w:line="211" w:lineRule="exact"/>
        <w:rPr>
          <w:sz w:val="20"/>
          <w:szCs w:val="20"/>
          <w:color w:val="auto"/>
        </w:rPr>
      </w:pPr>
    </w:p>
    <w:p>
      <w:pPr>
        <w:ind w:left="660"/>
        <w:spacing w:after="0" w:line="264" w:lineRule="auto"/>
        <w:rPr>
          <w:sz w:val="20"/>
          <w:szCs w:val="20"/>
          <w:color w:val="auto"/>
        </w:rPr>
      </w:pPr>
      <w:r>
        <w:rPr>
          <w:rFonts w:ascii="Arial" w:cs="Arial" w:eastAsia="Arial" w:hAnsi="Arial"/>
          <w:sz w:val="20"/>
          <w:szCs w:val="20"/>
          <w:color w:val="auto"/>
        </w:rPr>
        <w:t>As discussed above, for the second half of fiscal year 2022, the Compensation Committee adopted the performance goals discussed when the Incentive Plan was first implemented in December 2021. The Compensation Committee made this decision despite expectations for revenue and non-GAAP operating income during the second half of fiscal year 2022 that were lower than the Company’s original operating plan. This resulted in the performance goals being even more difficult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300990</wp:posOffset>
            </wp:positionV>
            <wp:extent cx="123444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The performance goals established under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Incentive Plan for fiscal year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2846070" cy="4800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46070" cy="480060"/>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restart"/>
          </w:tcPr>
          <w:p>
            <w:pPr>
              <w:jc w:val="right"/>
              <w:ind w:right="279"/>
              <w:spacing w:after="0"/>
              <w:rPr>
                <w:sz w:val="20"/>
                <w:szCs w:val="20"/>
                <w:color w:val="auto"/>
              </w:rPr>
            </w:pPr>
            <w:r>
              <w:rPr>
                <w:rFonts w:ascii="Arial" w:cs="Arial" w:eastAsia="Arial" w:hAnsi="Arial"/>
                <w:sz w:val="18"/>
                <w:szCs w:val="18"/>
                <w:color w:val="FFFFFF"/>
              </w:rPr>
              <w:t>Revenue</w:t>
            </w:r>
          </w:p>
        </w:tc>
        <w:tc>
          <w:tcPr>
            <w:tcW w:w="320" w:type="dxa"/>
            <w:vAlign w:val="bottom"/>
          </w:tcPr>
          <w:p>
            <w:pPr>
              <w:spacing w:after="0"/>
              <w:rPr>
                <w:sz w:val="19"/>
                <w:szCs w:val="19"/>
                <w:color w:val="auto"/>
              </w:rPr>
            </w:pPr>
          </w:p>
        </w:tc>
        <w:tc>
          <w:tcPr>
            <w:tcW w:w="1320" w:type="dxa"/>
            <w:vAlign w:val="bottom"/>
            <w:gridSpan w:val="4"/>
          </w:tcPr>
          <w:p>
            <w:pPr>
              <w:jc w:val="center"/>
              <w:ind w:right="39"/>
              <w:spacing w:after="0"/>
              <w:rPr>
                <w:sz w:val="20"/>
                <w:szCs w:val="20"/>
                <w:color w:val="auto"/>
              </w:rPr>
            </w:pPr>
            <w:r>
              <w:rPr>
                <w:rFonts w:ascii="Arial" w:cs="Arial" w:eastAsia="Arial" w:hAnsi="Arial"/>
                <w:sz w:val="18"/>
                <w:szCs w:val="18"/>
                <w:color w:val="FFFFFF"/>
                <w:w w:val="98"/>
              </w:rPr>
              <w:t>Non-GAAP</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080" w:type="dxa"/>
            <w:vAlign w:val="bottom"/>
          </w:tcPr>
          <w:p>
            <w:pPr>
              <w:jc w:val="right"/>
              <w:ind w:right="931"/>
              <w:spacing w:after="0"/>
              <w:rPr>
                <w:sz w:val="20"/>
                <w:szCs w:val="20"/>
                <w:color w:val="auto"/>
              </w:rPr>
            </w:pPr>
            <w:r>
              <w:rPr>
                <w:rFonts w:ascii="Arial" w:cs="Arial" w:eastAsia="Arial" w:hAnsi="Arial"/>
                <w:sz w:val="18"/>
                <w:szCs w:val="18"/>
                <w:color w:val="FFFFFF"/>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FFFFFF"/>
              </w:rPr>
              <w:t>​​</w:t>
            </w:r>
          </w:p>
        </w:tc>
        <w:tc>
          <w:tcPr>
            <w:tcW w:w="1400" w:type="dxa"/>
            <w:vAlign w:val="bottom"/>
            <w:gridSpan w:val="2"/>
            <w:vMerge w:val="continue"/>
          </w:tcPr>
          <w:p>
            <w:pPr>
              <w:spacing w:after="0"/>
              <w:rPr>
                <w:sz w:val="21"/>
                <w:szCs w:val="21"/>
                <w:color w:val="auto"/>
              </w:rPr>
            </w:pPr>
          </w:p>
        </w:tc>
        <w:tc>
          <w:tcPr>
            <w:tcW w:w="1780" w:type="dxa"/>
            <w:vAlign w:val="bottom"/>
            <w:gridSpan w:val="7"/>
          </w:tcPr>
          <w:p>
            <w:pPr>
              <w:jc w:val="center"/>
              <w:spacing w:after="0"/>
              <w:rPr>
                <w:sz w:val="20"/>
                <w:szCs w:val="20"/>
                <w:color w:val="auto"/>
              </w:rPr>
            </w:pPr>
            <w:r>
              <w:rPr>
                <w:rFonts w:ascii="Arial" w:cs="Arial" w:eastAsia="Arial" w:hAnsi="Arial"/>
                <w:sz w:val="18"/>
                <w:szCs w:val="18"/>
                <w:color w:val="FFFFFF"/>
              </w:rPr>
              <w:t>​​ Operating Income ​</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gridSpan w:val="9"/>
            <w:shd w:val="clear" w:color="auto" w:fill="FEFEF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Arial" w:cs="Arial" w:eastAsia="Arial" w:hAnsi="Arial"/>
                <w:sz w:val="18"/>
                <w:szCs w:val="18"/>
                <w:color w:val="FFFFFF"/>
              </w:rPr>
              <w:t>​</w:t>
            </w:r>
            <w:r>
              <w:rPr>
                <w:rFonts w:ascii="Arial" w:cs="Arial" w:eastAsia="Arial" w:hAnsi="Arial"/>
                <w:sz w:val="18"/>
                <w:szCs w:val="18"/>
                <w:color w:val="FFFFFF"/>
                <w:shd w:val="clear" w:color="auto" w:fill="0075A8"/>
              </w:rPr>
              <w:t>(in millions)</w:t>
            </w:r>
          </w:p>
        </w:tc>
        <w:tc>
          <w:tcPr>
            <w:tcW w:w="3440" w:type="dxa"/>
            <w:vAlign w:val="bottom"/>
            <w:gridSpan w:val="11"/>
          </w:tcPr>
          <w:p>
            <w:pPr>
              <w:ind w:left="140"/>
              <w:spacing w:after="0"/>
              <w:rPr>
                <w:sz w:val="20"/>
                <w:szCs w:val="20"/>
                <w:color w:val="auto"/>
              </w:rPr>
            </w:pPr>
            <w:r>
              <w:rPr>
                <w:rFonts w:ascii="Arial" w:cs="Arial" w:eastAsia="Arial" w:hAnsi="Arial"/>
                <w:sz w:val="18"/>
                <w:szCs w:val="18"/>
                <w:color w:val="FFFFFF"/>
                <w:shd w:val="clear" w:color="auto" w:fill="0075A8"/>
              </w:rPr>
              <w:t>​​1st Half ​​2nd Half ​​1st Half ​​ 2nd Half ​</w:t>
            </w:r>
          </w:p>
        </w:tc>
        <w:tc>
          <w:tcPr>
            <w:tcW w:w="0" w:type="dxa"/>
            <w:vAlign w:val="bottom"/>
          </w:tcPr>
          <w:p>
            <w:pPr>
              <w:spacing w:after="0"/>
              <w:rPr>
                <w:sz w:val="1"/>
                <w:szCs w:val="1"/>
                <w:color w:val="auto"/>
              </w:rPr>
            </w:pPr>
          </w:p>
        </w:tc>
      </w:tr>
      <w:tr>
        <w:trPr>
          <w:trHeight w:val="216"/>
        </w:trPr>
        <w:tc>
          <w:tcPr>
            <w:tcW w:w="1080" w:type="dxa"/>
            <w:vAlign w:val="bottom"/>
          </w:tcPr>
          <w:p>
            <w:pPr>
              <w:ind w:left="40"/>
              <w:spacing w:after="0"/>
              <w:rPr>
                <w:sz w:val="20"/>
                <w:szCs w:val="20"/>
                <w:color w:val="auto"/>
              </w:rPr>
            </w:pPr>
            <w:r>
              <w:rPr>
                <w:rFonts w:ascii="Arial" w:cs="Arial" w:eastAsia="Arial" w:hAnsi="Arial"/>
                <w:sz w:val="16"/>
                <w:szCs w:val="16"/>
                <w:color w:val="auto"/>
              </w:rPr>
              <w:t>Threshold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$2,485​</w:t>
            </w:r>
          </w:p>
        </w:tc>
        <w:tc>
          <w:tcPr>
            <w:tcW w:w="800" w:type="dxa"/>
            <w:vAlign w:val="bottom"/>
          </w:tcPr>
          <w:p>
            <w:pPr>
              <w:jc w:val="right"/>
              <w:spacing w:after="0"/>
              <w:rPr>
                <w:sz w:val="20"/>
                <w:szCs w:val="20"/>
                <w:color w:val="auto"/>
              </w:rPr>
            </w:pPr>
            <w:r>
              <w:rPr>
                <w:rFonts w:ascii="Arial" w:cs="Arial" w:eastAsia="Arial" w:hAnsi="Arial"/>
                <w:sz w:val="16"/>
                <w:szCs w:val="16"/>
                <w:color w:val="auto"/>
              </w:rPr>
              <w:t>$2,515​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927​</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420" w:type="dxa"/>
            <w:vAlign w:val="bottom"/>
          </w:tcPr>
          <w:p>
            <w:pPr>
              <w:ind w:left="80"/>
              <w:spacing w:after="0"/>
              <w:rPr>
                <w:sz w:val="20"/>
                <w:szCs w:val="20"/>
                <w:color w:val="auto"/>
              </w:rPr>
            </w:pPr>
            <w:r>
              <w:rPr>
                <w:rFonts w:ascii="Arial" w:cs="Arial" w:eastAsia="Arial" w:hAnsi="Arial"/>
                <w:sz w:val="16"/>
                <w:szCs w:val="16"/>
                <w:color w:val="auto"/>
              </w:rPr>
              <w:t>948​</w:t>
            </w:r>
          </w:p>
        </w:tc>
        <w:tc>
          <w:tcPr>
            <w:tcW w:w="14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080" w:type="dxa"/>
            <w:vAlign w:val="bottom"/>
          </w:tcPr>
          <w:p>
            <w:pPr>
              <w:jc w:val="right"/>
              <w:ind w:right="931"/>
              <w:spacing w:after="0" w:line="54" w:lineRule="exact"/>
              <w:rPr>
                <w:sz w:val="20"/>
                <w:szCs w:val="20"/>
                <w:color w:val="auto"/>
              </w:rPr>
            </w:pPr>
            <w:r>
              <w:rPr>
                <w:rFonts w:ascii="Arial" w:cs="Arial" w:eastAsia="Arial" w:hAnsi="Arial"/>
                <w:sz w:val="6"/>
                <w:szCs w:val="6"/>
                <w:color w:val="auto"/>
              </w:rPr>
              <w:t>​</w:t>
            </w:r>
          </w:p>
        </w:tc>
        <w:tc>
          <w:tcPr>
            <w:tcW w:w="860" w:type="dxa"/>
            <w:vAlign w:val="bottom"/>
            <w:gridSpan w:val="3"/>
          </w:tcPr>
          <w:p>
            <w:pPr>
              <w:jc w:val="right"/>
              <w:ind w:right="456"/>
              <w:spacing w:after="0" w:line="54" w:lineRule="exact"/>
              <w:rPr>
                <w:sz w:val="20"/>
                <w:szCs w:val="20"/>
                <w:color w:val="auto"/>
              </w:rPr>
            </w:pPr>
            <w:r>
              <w:rPr>
                <w:rFonts w:ascii="Arial" w:cs="Arial" w:eastAsia="Arial" w:hAnsi="Arial"/>
                <w:sz w:val="6"/>
                <w:szCs w:val="6"/>
                <w:color w:val="auto"/>
              </w:rPr>
              <w:t>​​ ​</w:t>
            </w:r>
          </w:p>
        </w:tc>
        <w:tc>
          <w:tcPr>
            <w:tcW w:w="800" w:type="dxa"/>
            <w:vAlign w:val="bottom"/>
          </w:tcPr>
          <w:p>
            <w:pPr>
              <w:jc w:val="right"/>
              <w:ind w:right="479"/>
              <w:spacing w:after="0" w:line="54" w:lineRule="exact"/>
              <w:rPr>
                <w:sz w:val="20"/>
                <w:szCs w:val="20"/>
                <w:color w:val="auto"/>
              </w:rPr>
            </w:pPr>
            <w:r>
              <w:rPr>
                <w:rFonts w:ascii="Arial" w:cs="Arial" w:eastAsia="Arial" w:hAnsi="Arial"/>
                <w:sz w:val="6"/>
                <w:szCs w:val="6"/>
                <w:color w:val="auto"/>
              </w:rPr>
              <w:t>​​​ ​</w:t>
            </w:r>
          </w:p>
        </w:tc>
        <w:tc>
          <w:tcPr>
            <w:tcW w:w="320" w:type="dxa"/>
            <w:vAlign w:val="bottom"/>
          </w:tcPr>
          <w:p>
            <w:pPr>
              <w:jc w:val="right"/>
              <w:spacing w:after="0" w:line="54" w:lineRule="exact"/>
              <w:rPr>
                <w:sz w:val="20"/>
                <w:szCs w:val="20"/>
                <w:color w:val="auto"/>
              </w:rPr>
            </w:pPr>
            <w:r>
              <w:rPr>
                <w:rFonts w:ascii="Arial" w:cs="Arial" w:eastAsia="Arial" w:hAnsi="Arial"/>
                <w:sz w:val="6"/>
                <w:szCs w:val="6"/>
                <w:color w:val="auto"/>
              </w:rPr>
              <w:t>​​​ ​</w:t>
            </w:r>
          </w:p>
        </w:tc>
        <w:tc>
          <w:tcPr>
            <w:tcW w:w="4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42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40"/>
              <w:spacing w:after="0"/>
              <w:rPr>
                <w:sz w:val="20"/>
                <w:szCs w:val="20"/>
                <w:color w:val="auto"/>
              </w:rPr>
            </w:pPr>
            <w:r>
              <w:rPr>
                <w:rFonts w:ascii="Arial" w:cs="Arial" w:eastAsia="Arial" w:hAnsi="Arial"/>
                <w:sz w:val="16"/>
                <w:szCs w:val="16"/>
                <w:color w:val="auto"/>
              </w:rPr>
              <w:t>Target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$2,715​</w:t>
            </w:r>
          </w:p>
        </w:tc>
        <w:tc>
          <w:tcPr>
            <w:tcW w:w="800" w:type="dxa"/>
            <w:vAlign w:val="bottom"/>
          </w:tcPr>
          <w:p>
            <w:pPr>
              <w:jc w:val="right"/>
              <w:spacing w:after="0"/>
              <w:rPr>
                <w:sz w:val="20"/>
                <w:szCs w:val="20"/>
                <w:color w:val="auto"/>
              </w:rPr>
            </w:pPr>
            <w:r>
              <w:rPr>
                <w:rFonts w:ascii="Arial" w:cs="Arial" w:eastAsia="Arial" w:hAnsi="Arial"/>
                <w:sz w:val="16"/>
                <w:szCs w:val="16"/>
                <w:color w:val="auto"/>
              </w:rPr>
              <w:t>$2,750​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1,027​</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40"/>
              <w:spacing w:after="0"/>
              <w:rPr>
                <w:sz w:val="20"/>
                <w:szCs w:val="20"/>
                <w:color w:val="auto"/>
              </w:rPr>
            </w:pPr>
            <w:r>
              <w:rPr>
                <w:rFonts w:ascii="Arial" w:cs="Arial" w:eastAsia="Arial" w:hAnsi="Arial"/>
                <w:sz w:val="16"/>
                <w:szCs w:val="16"/>
                <w:color w:val="auto"/>
              </w:rPr>
              <w:t>$1,053​</w:t>
            </w:r>
          </w:p>
        </w:tc>
        <w:tc>
          <w:tcPr>
            <w:tcW w:w="14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080" w:type="dxa"/>
            <w:vAlign w:val="bottom"/>
          </w:tcPr>
          <w:p>
            <w:pPr>
              <w:jc w:val="right"/>
              <w:ind w:right="931"/>
              <w:spacing w:after="0" w:line="54" w:lineRule="exact"/>
              <w:rPr>
                <w:sz w:val="20"/>
                <w:szCs w:val="20"/>
                <w:color w:val="auto"/>
              </w:rPr>
            </w:pPr>
            <w:r>
              <w:rPr>
                <w:rFonts w:ascii="Arial" w:cs="Arial" w:eastAsia="Arial" w:hAnsi="Arial"/>
                <w:sz w:val="6"/>
                <w:szCs w:val="6"/>
                <w:color w:val="auto"/>
              </w:rPr>
              <w:t>​</w:t>
            </w:r>
          </w:p>
        </w:tc>
        <w:tc>
          <w:tcPr>
            <w:tcW w:w="860" w:type="dxa"/>
            <w:vAlign w:val="bottom"/>
            <w:gridSpan w:val="3"/>
          </w:tcPr>
          <w:p>
            <w:pPr>
              <w:jc w:val="right"/>
              <w:ind w:right="456"/>
              <w:spacing w:after="0" w:line="54" w:lineRule="exact"/>
              <w:rPr>
                <w:sz w:val="20"/>
                <w:szCs w:val="20"/>
                <w:color w:val="auto"/>
              </w:rPr>
            </w:pPr>
            <w:r>
              <w:rPr>
                <w:rFonts w:ascii="Arial" w:cs="Arial" w:eastAsia="Arial" w:hAnsi="Arial"/>
                <w:sz w:val="6"/>
                <w:szCs w:val="6"/>
                <w:color w:val="auto"/>
              </w:rPr>
              <w:t>​​ ​</w:t>
            </w:r>
          </w:p>
        </w:tc>
        <w:tc>
          <w:tcPr>
            <w:tcW w:w="800" w:type="dxa"/>
            <w:vAlign w:val="bottom"/>
          </w:tcPr>
          <w:p>
            <w:pPr>
              <w:jc w:val="right"/>
              <w:ind w:right="479"/>
              <w:spacing w:after="0" w:line="54" w:lineRule="exact"/>
              <w:rPr>
                <w:sz w:val="20"/>
                <w:szCs w:val="20"/>
                <w:color w:val="auto"/>
              </w:rPr>
            </w:pPr>
            <w:r>
              <w:rPr>
                <w:rFonts w:ascii="Arial" w:cs="Arial" w:eastAsia="Arial" w:hAnsi="Arial"/>
                <w:sz w:val="6"/>
                <w:szCs w:val="6"/>
                <w:color w:val="auto"/>
              </w:rPr>
              <w:t>​​​ ​</w:t>
            </w:r>
          </w:p>
        </w:tc>
        <w:tc>
          <w:tcPr>
            <w:tcW w:w="320" w:type="dxa"/>
            <w:vAlign w:val="bottom"/>
          </w:tcPr>
          <w:p>
            <w:pPr>
              <w:jc w:val="right"/>
              <w:spacing w:after="0" w:line="54" w:lineRule="exact"/>
              <w:rPr>
                <w:sz w:val="20"/>
                <w:szCs w:val="20"/>
                <w:color w:val="auto"/>
              </w:rPr>
            </w:pPr>
            <w:r>
              <w:rPr>
                <w:rFonts w:ascii="Arial" w:cs="Arial" w:eastAsia="Arial" w:hAnsi="Arial"/>
                <w:sz w:val="6"/>
                <w:szCs w:val="6"/>
                <w:color w:val="auto"/>
              </w:rPr>
              <w:t>​​​ ​</w:t>
            </w:r>
          </w:p>
        </w:tc>
        <w:tc>
          <w:tcPr>
            <w:tcW w:w="4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42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80" w:type="dxa"/>
            <w:vAlign w:val="bottom"/>
          </w:tcPr>
          <w:p>
            <w:pPr>
              <w:ind w:left="40"/>
              <w:spacing w:after="0"/>
              <w:rPr>
                <w:sz w:val="20"/>
                <w:szCs w:val="20"/>
                <w:color w:val="auto"/>
              </w:rPr>
            </w:pPr>
            <w:r>
              <w:rPr>
                <w:rFonts w:ascii="Arial" w:cs="Arial" w:eastAsia="Arial" w:hAnsi="Arial"/>
                <w:sz w:val="16"/>
                <w:szCs w:val="16"/>
                <w:color w:val="auto"/>
              </w:rPr>
              <w:t>​Maximum</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 ​$2,790​</w:t>
            </w:r>
          </w:p>
        </w:tc>
        <w:tc>
          <w:tcPr>
            <w:tcW w:w="800" w:type="dxa"/>
            <w:vAlign w:val="bottom"/>
          </w:tcPr>
          <w:p>
            <w:pPr>
              <w:jc w:val="right"/>
              <w:spacing w:after="0"/>
              <w:rPr>
                <w:sz w:val="20"/>
                <w:szCs w:val="20"/>
                <w:color w:val="auto"/>
              </w:rPr>
            </w:pPr>
            <w:r>
              <w:rPr>
                <w:rFonts w:ascii="Arial" w:cs="Arial" w:eastAsia="Arial" w:hAnsi="Arial"/>
                <w:sz w:val="16"/>
                <w:szCs w:val="16"/>
                <w:color w:val="auto"/>
              </w:rPr>
              <w:t>​​​ ​$2,830​</w:t>
            </w:r>
          </w:p>
        </w:tc>
        <w:tc>
          <w:tcPr>
            <w:tcW w:w="320" w:type="dxa"/>
            <w:vAlign w:val="bottom"/>
          </w:tcPr>
          <w:p>
            <w:pPr>
              <w:jc w:val="right"/>
              <w:spacing w:after="0"/>
              <w:rPr>
                <w:sz w:val="20"/>
                <w:szCs w:val="20"/>
                <w:color w:val="auto"/>
              </w:rPr>
            </w:pPr>
            <w:r>
              <w:rPr>
                <w:rFonts w:ascii="Arial" w:cs="Arial" w:eastAsia="Arial" w:hAnsi="Arial"/>
                <w:sz w:val="16"/>
                <w:szCs w:val="16"/>
                <w:color w:val="auto"/>
              </w:rPr>
              <w:t>​​​ ​$</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1,062​ ​​​</w:t>
            </w:r>
          </w:p>
        </w:tc>
        <w:tc>
          <w:tcPr>
            <w:tcW w:w="760" w:type="dxa"/>
            <w:vAlign w:val="bottom"/>
            <w:gridSpan w:val="4"/>
          </w:tcPr>
          <w:p>
            <w:pPr>
              <w:ind w:left="40"/>
              <w:spacing w:after="0"/>
              <w:rPr>
                <w:sz w:val="20"/>
                <w:szCs w:val="20"/>
                <w:color w:val="auto"/>
              </w:rPr>
            </w:pPr>
            <w:r>
              <w:rPr>
                <w:rFonts w:ascii="Arial" w:cs="Arial" w:eastAsia="Arial" w:hAnsi="Arial"/>
                <w:sz w:val="16"/>
                <w:szCs w:val="16"/>
                <w:color w:val="auto"/>
              </w:rPr>
              <w:t>​$1,088​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-505460</wp:posOffset>
            </wp:positionV>
            <wp:extent cx="284607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4607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2846070"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46070" cy="163195"/>
                    </a:xfrm>
                    <a:prstGeom prst="rect">
                      <a:avLst/>
                    </a:prstGeom>
                    <a:noFill/>
                  </pic:spPr>
                </pic:pic>
              </a:graphicData>
            </a:graphic>
          </wp:anchor>
        </w:drawing>
      </w:r>
    </w:p>
    <w:p>
      <w:pPr>
        <w:spacing w:after="0" w:line="206"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The Incentive Plan stipulated that payouts to executives following the end of the fiscal year, under either of the metrics, were conditioned upon the Company achieving full-year non-GAAP operating income of  $1.1 billion.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Calculation of Incentive Plan Payments</w:t>
      </w:r>
    </w:p>
    <w:p>
      <w:pPr>
        <w:spacing w:after="0" w:line="172"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Under the Incentive Plan, upon completion of the first six months of the fiscal year, the Compensation Committee determined the extent to which the Company’s performance goals for the first performance period were attained, reviewed the CEO’s recommended payouts under the Incentive Plan, and approved the awards to be made under the Incentive Plan with respect to the first performance period. Upon completion of the fiscal year, the Compensation Committee completed the same process with respect to the second performance period. Payments with respect to the first performance period were capped at 100% of the first half target level attributable to the applicable metric, with amounts over the target level held back and paid after the end of the fiscal year upon certification that the Company had achieved its nominal level of non-GAAP operating income for the fiscal year.</w:t>
      </w:r>
    </w:p>
    <w:p>
      <w:pPr>
        <w:spacing w:after="0" w:line="209"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color w:val="auto"/>
        </w:rPr>
        <w:t>Achievement under the performance goals at the “threshold,” “target,” or “maximum” level corresponds to payment under the Incentive Plan at the “threshold,” “target,” or “maximum” percentage, as applicable, with such percentage multiplied by the executive’s base salary for the six-month period and then multiplied by the weighting assigned to that performance goal. The payout for achievement under the performance</w:t>
      </w:r>
    </w:p>
    <w:p>
      <w:pPr>
        <w:spacing w:after="0" w:line="200" w:lineRule="exact"/>
        <w:rPr>
          <w:sz w:val="20"/>
          <w:szCs w:val="20"/>
          <w:color w:val="auto"/>
        </w:rPr>
      </w:pPr>
    </w:p>
    <w:p>
      <w:pPr>
        <w:sectPr>
          <w:pgSz w:w="11900" w:h="16838" w:orient="portrait"/>
          <w:cols w:equalWidth="0" w:num="2">
            <w:col w:w="5120" w:space="460"/>
            <w:col w:w="4520"/>
          </w:cols>
          <w:pgMar w:left="580" w:top="132" w:right="1219" w:bottom="1440" w:gutter="0" w:footer="0" w:header="0"/>
          <w:type w:val="continuous"/>
        </w:sectPr>
      </w:pPr>
    </w:p>
    <w:p>
      <w:pPr>
        <w:spacing w:after="0" w:line="56" w:lineRule="exact"/>
        <w:rPr>
          <w:sz w:val="20"/>
          <w:szCs w:val="20"/>
          <w:color w:val="auto"/>
        </w:rPr>
      </w:pPr>
    </w:p>
    <w:p>
      <w:pPr>
        <w:ind w:left="1080" w:right="480" w:hanging="354"/>
        <w:spacing w:after="0" w:line="220" w:lineRule="auto"/>
        <w:tabs>
          <w:tab w:leader="none" w:pos="1080" w:val="left"/>
        </w:tabs>
        <w:numPr>
          <w:ilvl w:val="0"/>
          <w:numId w:val="46"/>
        </w:numPr>
        <w:rPr>
          <w:rFonts w:ascii="Arial" w:cs="Arial" w:eastAsia="Arial" w:hAnsi="Arial"/>
          <w:sz w:val="25"/>
          <w:szCs w:val="25"/>
          <w:i w:val="1"/>
          <w:iCs w:val="1"/>
          <w:color w:val="auto"/>
          <w:vertAlign w:val="superscript"/>
        </w:rPr>
      </w:pPr>
      <w:r>
        <w:rPr>
          <w:rFonts w:ascii="Arial" w:cs="Arial" w:eastAsia="Arial" w:hAnsi="Arial"/>
          <w:sz w:val="16"/>
          <w:szCs w:val="16"/>
          <w:i w:val="1"/>
          <w:iCs w:val="1"/>
          <w:color w:val="auto"/>
        </w:rPr>
        <w:t>Non-GAAP operating income typically excludes from GAAP operating income the following: share-based compensation expense, acquisition-related expenses, amortization of acquisition-related intangibles, settlements, gains, losses, and impairments and restructuring-related charges.</w:t>
      </w:r>
    </w:p>
    <w:p>
      <w:pPr>
        <w:spacing w:after="0" w:line="351"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jc w:val="both"/>
        <w:ind w:left="660" w:right="160"/>
        <w:spacing w:after="0" w:line="256" w:lineRule="auto"/>
        <w:rPr>
          <w:sz w:val="20"/>
          <w:szCs w:val="20"/>
          <w:color w:val="auto"/>
        </w:rPr>
      </w:pPr>
      <w:r>
        <w:rPr>
          <w:rFonts w:ascii="Arial" w:cs="Arial" w:eastAsia="Arial" w:hAnsi="Arial"/>
          <w:sz w:val="20"/>
          <w:szCs w:val="20"/>
          <w:color w:val="auto"/>
        </w:rPr>
        <w:t>goals between either the “threshold” and “target” levels or the “target” and “maximum” levels would be based on linear interpolation between the two relevant amounts.</w:t>
      </w:r>
    </w:p>
    <w:p>
      <w:pPr>
        <w:spacing w:after="0" w:line="207" w:lineRule="exact"/>
        <w:rPr>
          <w:sz w:val="20"/>
          <w:szCs w:val="20"/>
          <w:color w:val="auto"/>
        </w:rPr>
      </w:pPr>
    </w:p>
    <w:p>
      <w:pPr>
        <w:ind w:left="660"/>
        <w:spacing w:after="0" w:line="253" w:lineRule="auto"/>
        <w:rPr>
          <w:sz w:val="20"/>
          <w:szCs w:val="20"/>
          <w:color w:val="auto"/>
        </w:rPr>
      </w:pPr>
      <w:r>
        <w:rPr>
          <w:rFonts w:ascii="Arial" w:cs="Arial" w:eastAsia="Arial" w:hAnsi="Arial"/>
          <w:sz w:val="20"/>
          <w:szCs w:val="20"/>
          <w:color w:val="auto"/>
        </w:rPr>
        <w:t>Each executive’s payment under the Incentive Plan is calculated by evaluating achievement of each performance goal individually, determining the portion of the total eligible incentive payment earned with respect to each such performance goal, and totaling the resulting amounts. The Compensation Committee retained the discretion to make payments, upon consideration of recommendations by the Chief Executive Officer, even if the threshold performance goals were not met or if the nominal level of non-GAAP operating income was not met, or to make payments in excess of the maximum level if the Company’s performance exceeded the maximum performance goals. While the Compensation Committee believed it was appropriate to retain this discretion in order to make short-term incentive compensation awards in appropriate extraordinary circumstances, no such adjustments were actually made.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Fiscal Year Results</w:t>
      </w:r>
    </w:p>
    <w:p>
      <w:pPr>
        <w:spacing w:after="0" w:line="172" w:lineRule="exact"/>
        <w:rPr>
          <w:sz w:val="20"/>
          <w:szCs w:val="20"/>
          <w:color w:val="auto"/>
        </w:rPr>
      </w:pPr>
    </w:p>
    <w:p>
      <w:pPr>
        <w:ind w:left="660" w:right="20"/>
        <w:spacing w:after="0" w:line="253" w:lineRule="auto"/>
        <w:rPr>
          <w:sz w:val="20"/>
          <w:szCs w:val="20"/>
          <w:color w:val="auto"/>
        </w:rPr>
      </w:pPr>
      <w:r>
        <w:rPr>
          <w:rFonts w:ascii="Arial" w:cs="Arial" w:eastAsia="Arial" w:hAnsi="Arial"/>
          <w:sz w:val="20"/>
          <w:szCs w:val="20"/>
          <w:color w:val="auto"/>
        </w:rPr>
        <w:t>For the first half of fiscal year 2022, the Company’s revenue and non-GAAP operating income achieved were $2,846 million and $1,077 million, respectively, resulting in a short-term compensation award for each Named Executive Officer with respect to such performance period equal to his or her maximum payment level, or 200% of the target payment level. A payment of the target amount was made to each Named Executive Officer in May 2022, with the remainder held back for potential payment following the completion of the fiscal year. For the second half of fiscal year 2022, the Company’s revenue and non-GAAP operating income achieved were</w:t>
      </w:r>
    </w:p>
    <w:p>
      <w:pPr>
        <w:spacing w:after="0" w:line="8" w:lineRule="exact"/>
        <w:rPr>
          <w:sz w:val="20"/>
          <w:szCs w:val="20"/>
          <w:color w:val="auto"/>
        </w:rPr>
      </w:pPr>
    </w:p>
    <w:p>
      <w:pPr>
        <w:ind w:left="660" w:right="20"/>
        <w:spacing w:after="0" w:line="269" w:lineRule="auto"/>
        <w:rPr>
          <w:sz w:val="20"/>
          <w:szCs w:val="20"/>
          <w:color w:val="auto"/>
        </w:rPr>
      </w:pPr>
      <w:r>
        <w:rPr>
          <w:rFonts w:ascii="Arial" w:cs="Arial" w:eastAsia="Arial" w:hAnsi="Arial"/>
          <w:sz w:val="19"/>
          <w:szCs w:val="19"/>
          <w:color w:val="auto"/>
        </w:rPr>
        <w:t>$2,640 million and $968 million, respectively, resulting in a short-term compensation award for each Named Executive Officer with respect to such performance period equal to 68% of the target payment level. In November 2022, upon certifying that the nominal level of non-GAAP operating income had been achieved for the fiscal year, the Compensation Committee approved payment of the short-term incentive achieved with respect</w:t>
      </w:r>
    </w:p>
    <w:p>
      <w:pPr>
        <w:spacing w:after="0" w:line="200" w:lineRule="exact"/>
        <w:rPr>
          <w:sz w:val="20"/>
          <w:szCs w:val="20"/>
          <w:color w:val="auto"/>
        </w:rPr>
      </w:pPr>
    </w:p>
    <w:p>
      <w:pPr>
        <w:spacing w:after="0" w:line="248"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to the second performance period as well as payment of the remaining portion of the short-term incentive achieved with respect to the first performance period, which had been held back. The Compensation Committee did not exercise discretion, either upward or downward, to executives’ payments under the Incentive Plan.</w:t>
      </w:r>
    </w:p>
    <w:p>
      <w:pPr>
        <w:spacing w:after="0" w:line="213" w:lineRule="exact"/>
        <w:rPr>
          <w:sz w:val="20"/>
          <w:szCs w:val="20"/>
          <w:color w:val="auto"/>
        </w:rPr>
      </w:pPr>
    </w:p>
    <w:p>
      <w:pPr>
        <w:ind w:right="880"/>
        <w:spacing w:after="0" w:line="287" w:lineRule="auto"/>
        <w:rPr>
          <w:sz w:val="20"/>
          <w:szCs w:val="20"/>
          <w:color w:val="auto"/>
        </w:rPr>
      </w:pPr>
      <w:r>
        <w:rPr>
          <w:rFonts w:ascii="Arial" w:cs="Arial" w:eastAsia="Arial" w:hAnsi="Arial"/>
          <w:sz w:val="19"/>
          <w:szCs w:val="19"/>
          <w:color w:val="auto"/>
        </w:rPr>
        <w:t>The following table shows the Company’s achievement under the Incentive Plan: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020" w:type="dxa"/>
            <w:vAlign w:val="bottom"/>
            <w:vMerge w:val="restart"/>
          </w:tcPr>
          <w:p>
            <w:pPr>
              <w:jc w:val="right"/>
              <w:ind w:right="856"/>
              <w:spacing w:after="0"/>
              <w:rPr>
                <w:sz w:val="20"/>
                <w:szCs w:val="20"/>
                <w:color w:val="auto"/>
              </w:rPr>
            </w:pPr>
            <w:r>
              <w:rPr>
                <w:rFonts w:ascii="Arial" w:cs="Arial" w:eastAsia="Arial" w:hAnsi="Arial"/>
                <w:sz w:val="18"/>
                <w:szCs w:val="18"/>
                <w:color w:val="FFFFFF"/>
              </w:rPr>
              <w:t>​​</w:t>
            </w:r>
          </w:p>
        </w:tc>
        <w:tc>
          <w:tcPr>
            <w:tcW w:w="360" w:type="dxa"/>
            <w:vAlign w:val="bottom"/>
            <w:gridSpan w:val="2"/>
            <w:vMerge w:val="restart"/>
          </w:tcPr>
          <w:p>
            <w:pPr>
              <w:ind w:left="40"/>
              <w:spacing w:after="0"/>
              <w:rPr>
                <w:sz w:val="20"/>
                <w:szCs w:val="20"/>
                <w:color w:val="auto"/>
              </w:rPr>
            </w:pPr>
            <w:r>
              <w:rPr>
                <w:rFonts w:ascii="Arial" w:cs="Arial" w:eastAsia="Arial" w:hAnsi="Arial"/>
                <w:sz w:val="18"/>
                <w:szCs w:val="18"/>
                <w:color w:val="FFFFFF"/>
              </w:rPr>
              <w:t>​​</w:t>
            </w:r>
          </w:p>
        </w:tc>
        <w:tc>
          <w:tcPr>
            <w:tcW w:w="1240" w:type="dxa"/>
            <w:vAlign w:val="bottom"/>
            <w:gridSpan w:val="2"/>
            <w:vMerge w:val="restart"/>
          </w:tcPr>
          <w:p>
            <w:pPr>
              <w:jc w:val="center"/>
              <w:ind w:right="119"/>
              <w:spacing w:after="0"/>
              <w:rPr>
                <w:sz w:val="20"/>
                <w:szCs w:val="20"/>
                <w:color w:val="auto"/>
              </w:rPr>
            </w:pPr>
            <w:r>
              <w:rPr>
                <w:rFonts w:ascii="Arial" w:cs="Arial" w:eastAsia="Arial" w:hAnsi="Arial"/>
                <w:sz w:val="18"/>
                <w:szCs w:val="18"/>
                <w:color w:val="FFFFFF"/>
                <w:w w:val="99"/>
              </w:rPr>
              <w:t>Revenue</w:t>
            </w:r>
          </w:p>
        </w:tc>
        <w:tc>
          <w:tcPr>
            <w:tcW w:w="1760" w:type="dxa"/>
            <w:vAlign w:val="bottom"/>
            <w:gridSpan w:val="3"/>
            <w:vMerge w:val="restart"/>
          </w:tcPr>
          <w:p>
            <w:pPr>
              <w:ind w:left="40"/>
              <w:spacing w:after="0"/>
              <w:rPr>
                <w:sz w:val="20"/>
                <w:szCs w:val="20"/>
                <w:color w:val="auto"/>
              </w:rPr>
            </w:pPr>
            <w:r>
              <w:rPr>
                <w:rFonts w:ascii="Arial" w:cs="Arial" w:eastAsia="Arial" w:hAnsi="Arial"/>
                <w:sz w:val="35"/>
                <w:szCs w:val="35"/>
                <w:color w:val="FFFFFF"/>
                <w:vertAlign w:val="subscript"/>
              </w:rPr>
              <w:t>​​</w:t>
            </w:r>
            <w:r>
              <w:rPr>
                <w:rFonts w:ascii="Arial" w:cs="Arial" w:eastAsia="Arial" w:hAnsi="Arial"/>
                <w:sz w:val="18"/>
                <w:szCs w:val="18"/>
                <w:color w:val="FFFFFF"/>
              </w:rPr>
              <w:t xml:space="preserve"> Operating Income</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83"/>
        </w:trPr>
        <w:tc>
          <w:tcPr>
            <w:tcW w:w="102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760" w:type="dxa"/>
            <w:vAlign w:val="bottom"/>
            <w:gridSpan w:val="3"/>
            <w:vMerge w:val="continue"/>
          </w:tcPr>
          <w:p>
            <w:pPr>
              <w:spacing w:after="0"/>
              <w:rPr>
                <w:sz w:val="24"/>
                <w:szCs w:val="24"/>
                <w:color w:val="auto"/>
              </w:rPr>
            </w:pPr>
          </w:p>
        </w:tc>
        <w:tc>
          <w:tcPr>
            <w:tcW w:w="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75A8"/>
          </w:tcPr>
          <w:p>
            <w:pPr>
              <w:spacing w:after="0" w:line="20" w:lineRule="exact"/>
              <w:rPr>
                <w:sz w:val="1"/>
                <w:szCs w:val="1"/>
                <w:color w:val="auto"/>
              </w:rPr>
            </w:pPr>
          </w:p>
        </w:tc>
        <w:tc>
          <w:tcPr>
            <w:tcW w:w="3280" w:type="dxa"/>
            <w:vAlign w:val="bottom"/>
            <w:gridSpan w:val="6"/>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jc w:val="right"/>
              <w:spacing w:after="0"/>
              <w:rPr>
                <w:sz w:val="20"/>
                <w:szCs w:val="20"/>
                <w:color w:val="auto"/>
              </w:rPr>
            </w:pPr>
            <w:r>
              <w:rPr>
                <w:rFonts w:ascii="Arial" w:cs="Arial" w:eastAsia="Arial" w:hAnsi="Arial"/>
                <w:sz w:val="18"/>
                <w:szCs w:val="18"/>
                <w:color w:val="FFFFFF"/>
              </w:rPr>
              <w:t>​</w:t>
            </w:r>
            <w:r>
              <w:rPr>
                <w:rFonts w:ascii="Arial" w:cs="Arial" w:eastAsia="Arial" w:hAnsi="Arial"/>
                <w:sz w:val="18"/>
                <w:szCs w:val="18"/>
                <w:color w:val="FFFFFF"/>
                <w:shd w:val="clear" w:color="auto" w:fill="0075A8"/>
              </w:rPr>
              <w:t>(in millions)</w:t>
            </w:r>
          </w:p>
        </w:tc>
        <w:tc>
          <w:tcPr>
            <w:tcW w:w="3360" w:type="dxa"/>
            <w:vAlign w:val="bottom"/>
            <w:gridSpan w:val="7"/>
          </w:tcPr>
          <w:p>
            <w:pPr>
              <w:ind w:left="40"/>
              <w:spacing w:after="0"/>
              <w:rPr>
                <w:sz w:val="20"/>
                <w:szCs w:val="20"/>
                <w:color w:val="auto"/>
              </w:rPr>
            </w:pPr>
            <w:r>
              <w:rPr>
                <w:rFonts w:ascii="Arial" w:cs="Arial" w:eastAsia="Arial" w:hAnsi="Arial"/>
                <w:sz w:val="18"/>
                <w:szCs w:val="18"/>
                <w:color w:val="FFFFFF"/>
                <w:shd w:val="clear" w:color="auto" w:fill="0075A8"/>
              </w:rPr>
              <w:t>​​1st Half ​​2nd Half ​​1st Half ​​ 2nd Half</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FFFFFF"/>
                <w:shd w:val="clear" w:color="auto" w:fill="0075A8"/>
              </w:rPr>
              <w:t>​</w:t>
            </w:r>
          </w:p>
        </w:tc>
        <w:tc>
          <w:tcPr>
            <w:tcW w:w="0" w:type="dxa"/>
            <w:vAlign w:val="bottom"/>
          </w:tcPr>
          <w:p>
            <w:pPr>
              <w:spacing w:after="0"/>
              <w:rPr>
                <w:sz w:val="1"/>
                <w:szCs w:val="1"/>
                <w:color w:val="auto"/>
              </w:rPr>
            </w:pPr>
          </w:p>
        </w:tc>
      </w:tr>
      <w:tr>
        <w:trPr>
          <w:trHeight w:val="203"/>
        </w:trPr>
        <w:tc>
          <w:tcPr>
            <w:tcW w:w="1020" w:type="dxa"/>
            <w:vAlign w:val="bottom"/>
          </w:tcPr>
          <w:p>
            <w:pPr>
              <w:ind w:left="60"/>
              <w:spacing w:after="0"/>
              <w:rPr>
                <w:sz w:val="20"/>
                <w:szCs w:val="20"/>
                <w:color w:val="auto"/>
              </w:rPr>
            </w:pPr>
            <w:r>
              <w:rPr>
                <w:rFonts w:ascii="Arial" w:cs="Arial" w:eastAsia="Arial" w:hAnsi="Arial"/>
                <w:sz w:val="16"/>
                <w:szCs w:val="16"/>
                <w:color w:val="auto"/>
              </w:rPr>
              <w:t>Threshold</w:t>
            </w:r>
          </w:p>
        </w:tc>
        <w:tc>
          <w:tcPr>
            <w:tcW w:w="8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Arial" w:cs="Arial" w:eastAsia="Arial" w:hAnsi="Arial"/>
                <w:sz w:val="16"/>
                <w:szCs w:val="16"/>
                <w:color w:val="auto"/>
              </w:rPr>
              <w:t>$ 2,485​</w:t>
            </w:r>
          </w:p>
        </w:tc>
        <w:tc>
          <w:tcPr>
            <w:tcW w:w="720" w:type="dxa"/>
            <w:vAlign w:val="bottom"/>
          </w:tcPr>
          <w:p>
            <w:pPr>
              <w:ind w:left="100"/>
              <w:spacing w:after="0"/>
              <w:rPr>
                <w:sz w:val="20"/>
                <w:szCs w:val="20"/>
                <w:color w:val="auto"/>
              </w:rPr>
            </w:pPr>
            <w:r>
              <w:rPr>
                <w:rFonts w:ascii="Arial" w:cs="Arial" w:eastAsia="Arial" w:hAnsi="Arial"/>
                <w:sz w:val="16"/>
                <w:szCs w:val="16"/>
                <w:color w:val="auto"/>
              </w:rPr>
              <w:t>$ 2,515​</w:t>
            </w:r>
          </w:p>
        </w:tc>
        <w:tc>
          <w:tcPr>
            <w:tcW w:w="800" w:type="dxa"/>
            <w:vAlign w:val="bottom"/>
          </w:tcPr>
          <w:p>
            <w:pPr>
              <w:ind w:left="220"/>
              <w:spacing w:after="0"/>
              <w:rPr>
                <w:sz w:val="20"/>
                <w:szCs w:val="20"/>
                <w:color w:val="auto"/>
              </w:rPr>
            </w:pPr>
            <w:r>
              <w:rPr>
                <w:rFonts w:ascii="Arial" w:cs="Arial" w:eastAsia="Arial" w:hAnsi="Arial"/>
                <w:sz w:val="16"/>
                <w:szCs w:val="16"/>
                <w:color w:val="auto"/>
              </w:rPr>
              <w:t>$  927​</w:t>
            </w:r>
          </w:p>
        </w:tc>
        <w:tc>
          <w:tcPr>
            <w:tcW w:w="480" w:type="dxa"/>
            <w:vAlign w:val="bottom"/>
          </w:tcPr>
          <w:p>
            <w:pPr>
              <w:ind w:left="30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948​</w:t>
            </w: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020" w:type="dxa"/>
            <w:vAlign w:val="bottom"/>
          </w:tcPr>
          <w:p>
            <w:pPr>
              <w:jc w:val="right"/>
              <w:ind w:right="856"/>
              <w:spacing w:after="0" w:line="54" w:lineRule="exact"/>
              <w:rPr>
                <w:sz w:val="20"/>
                <w:szCs w:val="20"/>
                <w:color w:val="auto"/>
              </w:rPr>
            </w:pPr>
            <w:r>
              <w:rPr>
                <w:rFonts w:ascii="Arial" w:cs="Arial" w:eastAsia="Arial" w:hAnsi="Arial"/>
                <w:sz w:val="6"/>
                <w:szCs w:val="6"/>
                <w:color w:val="auto"/>
              </w:rPr>
              <w:t>​</w:t>
            </w:r>
          </w:p>
        </w:tc>
        <w:tc>
          <w:tcPr>
            <w:tcW w:w="360" w:type="dxa"/>
            <w:vAlign w:val="bottom"/>
            <w:gridSpan w:val="2"/>
          </w:tcPr>
          <w:p>
            <w:pPr>
              <w:ind w:left="80"/>
              <w:spacing w:after="0" w:line="54" w:lineRule="exact"/>
              <w:rPr>
                <w:sz w:val="20"/>
                <w:szCs w:val="20"/>
                <w:color w:val="auto"/>
              </w:rPr>
            </w:pPr>
            <w:r>
              <w:rPr>
                <w:rFonts w:ascii="Arial" w:cs="Arial" w:eastAsia="Arial" w:hAnsi="Arial"/>
                <w:sz w:val="6"/>
                <w:szCs w:val="6"/>
                <w:color w:val="auto"/>
              </w:rPr>
              <w:t>​ ​​</w:t>
            </w:r>
          </w:p>
        </w:tc>
        <w:tc>
          <w:tcPr>
            <w:tcW w:w="1240" w:type="dxa"/>
            <w:vAlign w:val="bottom"/>
            <w:gridSpan w:val="2"/>
          </w:tcPr>
          <w:p>
            <w:pPr>
              <w:jc w:val="center"/>
              <w:ind w:right="79"/>
              <w:spacing w:after="0" w:line="54" w:lineRule="exact"/>
              <w:rPr>
                <w:sz w:val="20"/>
                <w:szCs w:val="20"/>
                <w:color w:val="auto"/>
              </w:rPr>
            </w:pPr>
            <w:r>
              <w:rPr>
                <w:rFonts w:ascii="Arial" w:cs="Arial" w:eastAsia="Arial" w:hAnsi="Arial"/>
                <w:sz w:val="6"/>
                <w:szCs w:val="6"/>
                <w:color w:val="auto"/>
              </w:rPr>
              <w:t>​ ​ ​ ​</w:t>
            </w:r>
          </w:p>
        </w:tc>
        <w:tc>
          <w:tcPr>
            <w:tcW w:w="800" w:type="dxa"/>
            <w:vAlign w:val="bottom"/>
          </w:tcPr>
          <w:p>
            <w:pPr>
              <w:spacing w:after="0" w:line="54" w:lineRule="exact"/>
              <w:rPr>
                <w:sz w:val="20"/>
                <w:szCs w:val="20"/>
                <w:color w:val="auto"/>
              </w:rPr>
            </w:pPr>
            <w:r>
              <w:rPr>
                <w:rFonts w:ascii="Arial" w:cs="Arial" w:eastAsia="Arial" w:hAnsi="Arial"/>
                <w:sz w:val="6"/>
                <w:szCs w:val="6"/>
                <w:color w:val="auto"/>
              </w:rPr>
              <w:t>​ ​ ​ ​</w:t>
            </w:r>
          </w:p>
        </w:tc>
        <w:tc>
          <w:tcPr>
            <w:tcW w:w="480" w:type="dxa"/>
            <w:vAlign w:val="bottom"/>
          </w:tcPr>
          <w:p>
            <w:pPr>
              <w:ind w:left="20"/>
              <w:spacing w:after="0" w:line="54" w:lineRule="exact"/>
              <w:rPr>
                <w:sz w:val="20"/>
                <w:szCs w:val="20"/>
                <w:color w:val="auto"/>
              </w:rPr>
            </w:pPr>
            <w:r>
              <w:rPr>
                <w:rFonts w:ascii="Arial" w:cs="Arial" w:eastAsia="Arial" w:hAnsi="Arial"/>
                <w:sz w:val="6"/>
                <w:szCs w:val="6"/>
                <w:color w:val="auto"/>
              </w:rPr>
              <w:t>​ ​ ​ ​</w:t>
            </w:r>
          </w:p>
        </w:tc>
        <w:tc>
          <w:tcPr>
            <w:tcW w:w="48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60"/>
              <w:spacing w:after="0"/>
              <w:rPr>
                <w:sz w:val="20"/>
                <w:szCs w:val="20"/>
                <w:color w:val="auto"/>
              </w:rPr>
            </w:pPr>
            <w:r>
              <w:rPr>
                <w:rFonts w:ascii="Arial" w:cs="Arial" w:eastAsia="Arial" w:hAnsi="Arial"/>
                <w:sz w:val="16"/>
                <w:szCs w:val="16"/>
                <w:color w:val="auto"/>
              </w:rPr>
              <w:t>Target</w:t>
            </w:r>
          </w:p>
        </w:tc>
        <w:tc>
          <w:tcPr>
            <w:tcW w:w="8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Arial" w:cs="Arial" w:eastAsia="Arial" w:hAnsi="Arial"/>
                <w:sz w:val="16"/>
                <w:szCs w:val="16"/>
                <w:color w:val="auto"/>
              </w:rPr>
              <w:t>$ 2,715​</w:t>
            </w:r>
          </w:p>
        </w:tc>
        <w:tc>
          <w:tcPr>
            <w:tcW w:w="720" w:type="dxa"/>
            <w:vAlign w:val="bottom"/>
          </w:tcPr>
          <w:p>
            <w:pPr>
              <w:ind w:left="100"/>
              <w:spacing w:after="0"/>
              <w:rPr>
                <w:sz w:val="20"/>
                <w:szCs w:val="20"/>
                <w:color w:val="auto"/>
              </w:rPr>
            </w:pPr>
            <w:r>
              <w:rPr>
                <w:rFonts w:ascii="Arial" w:cs="Arial" w:eastAsia="Arial" w:hAnsi="Arial"/>
                <w:sz w:val="16"/>
                <w:szCs w:val="16"/>
                <w:color w:val="auto"/>
              </w:rPr>
              <w:t>$ 2,750​</w:t>
            </w:r>
          </w:p>
        </w:tc>
        <w:tc>
          <w:tcPr>
            <w:tcW w:w="800" w:type="dxa"/>
            <w:vAlign w:val="bottom"/>
          </w:tcPr>
          <w:p>
            <w:pPr>
              <w:ind w:left="220"/>
              <w:spacing w:after="0"/>
              <w:rPr>
                <w:sz w:val="20"/>
                <w:szCs w:val="20"/>
                <w:color w:val="auto"/>
              </w:rPr>
            </w:pPr>
            <w:r>
              <w:rPr>
                <w:rFonts w:ascii="Arial" w:cs="Arial" w:eastAsia="Arial" w:hAnsi="Arial"/>
                <w:sz w:val="16"/>
                <w:szCs w:val="16"/>
                <w:color w:val="auto"/>
              </w:rPr>
              <w:t>$ 1,027​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$ 1,053​</w:t>
            </w: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020" w:type="dxa"/>
            <w:vAlign w:val="bottom"/>
          </w:tcPr>
          <w:p>
            <w:pPr>
              <w:jc w:val="right"/>
              <w:ind w:right="856"/>
              <w:spacing w:after="0" w:line="54" w:lineRule="exact"/>
              <w:rPr>
                <w:sz w:val="20"/>
                <w:szCs w:val="20"/>
                <w:color w:val="auto"/>
              </w:rPr>
            </w:pPr>
            <w:r>
              <w:rPr>
                <w:rFonts w:ascii="Arial" w:cs="Arial" w:eastAsia="Arial" w:hAnsi="Arial"/>
                <w:sz w:val="6"/>
                <w:szCs w:val="6"/>
                <w:color w:val="auto"/>
              </w:rPr>
              <w:t>​</w:t>
            </w:r>
          </w:p>
        </w:tc>
        <w:tc>
          <w:tcPr>
            <w:tcW w:w="360" w:type="dxa"/>
            <w:vAlign w:val="bottom"/>
            <w:gridSpan w:val="2"/>
          </w:tcPr>
          <w:p>
            <w:pPr>
              <w:ind w:left="80"/>
              <w:spacing w:after="0" w:line="54" w:lineRule="exact"/>
              <w:rPr>
                <w:sz w:val="20"/>
                <w:szCs w:val="20"/>
                <w:color w:val="auto"/>
              </w:rPr>
            </w:pPr>
            <w:r>
              <w:rPr>
                <w:rFonts w:ascii="Arial" w:cs="Arial" w:eastAsia="Arial" w:hAnsi="Arial"/>
                <w:sz w:val="6"/>
                <w:szCs w:val="6"/>
                <w:color w:val="auto"/>
              </w:rPr>
              <w:t>​ ​​</w:t>
            </w:r>
          </w:p>
        </w:tc>
        <w:tc>
          <w:tcPr>
            <w:tcW w:w="1240" w:type="dxa"/>
            <w:vAlign w:val="bottom"/>
            <w:gridSpan w:val="2"/>
          </w:tcPr>
          <w:p>
            <w:pPr>
              <w:jc w:val="center"/>
              <w:ind w:right="79"/>
              <w:spacing w:after="0" w:line="54" w:lineRule="exact"/>
              <w:rPr>
                <w:sz w:val="20"/>
                <w:szCs w:val="20"/>
                <w:color w:val="auto"/>
              </w:rPr>
            </w:pPr>
            <w:r>
              <w:rPr>
                <w:rFonts w:ascii="Arial" w:cs="Arial" w:eastAsia="Arial" w:hAnsi="Arial"/>
                <w:sz w:val="6"/>
                <w:szCs w:val="6"/>
                <w:color w:val="auto"/>
              </w:rPr>
              <w:t>​ ​ ​ ​</w:t>
            </w:r>
          </w:p>
        </w:tc>
        <w:tc>
          <w:tcPr>
            <w:tcW w:w="800" w:type="dxa"/>
            <w:vAlign w:val="bottom"/>
          </w:tcPr>
          <w:p>
            <w:pPr>
              <w:spacing w:after="0" w:line="54" w:lineRule="exact"/>
              <w:rPr>
                <w:sz w:val="20"/>
                <w:szCs w:val="20"/>
                <w:color w:val="auto"/>
              </w:rPr>
            </w:pPr>
            <w:r>
              <w:rPr>
                <w:rFonts w:ascii="Arial" w:cs="Arial" w:eastAsia="Arial" w:hAnsi="Arial"/>
                <w:sz w:val="6"/>
                <w:szCs w:val="6"/>
                <w:color w:val="auto"/>
              </w:rPr>
              <w:t>​ ​ ​ ​</w:t>
            </w:r>
          </w:p>
        </w:tc>
        <w:tc>
          <w:tcPr>
            <w:tcW w:w="480" w:type="dxa"/>
            <w:vAlign w:val="bottom"/>
          </w:tcPr>
          <w:p>
            <w:pPr>
              <w:ind w:left="20"/>
              <w:spacing w:after="0" w:line="54" w:lineRule="exact"/>
              <w:rPr>
                <w:sz w:val="20"/>
                <w:szCs w:val="20"/>
                <w:color w:val="auto"/>
              </w:rPr>
            </w:pPr>
            <w:r>
              <w:rPr>
                <w:rFonts w:ascii="Arial" w:cs="Arial" w:eastAsia="Arial" w:hAnsi="Arial"/>
                <w:sz w:val="6"/>
                <w:szCs w:val="6"/>
                <w:color w:val="auto"/>
              </w:rPr>
              <w:t>​ ​ ​ ​</w:t>
            </w:r>
          </w:p>
        </w:tc>
        <w:tc>
          <w:tcPr>
            <w:tcW w:w="48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60"/>
              <w:spacing w:after="0"/>
              <w:rPr>
                <w:sz w:val="20"/>
                <w:szCs w:val="20"/>
                <w:color w:val="auto"/>
              </w:rPr>
            </w:pPr>
            <w:r>
              <w:rPr>
                <w:rFonts w:ascii="Arial" w:cs="Arial" w:eastAsia="Arial" w:hAnsi="Arial"/>
                <w:sz w:val="16"/>
                <w:szCs w:val="16"/>
                <w:color w:val="auto"/>
              </w:rPr>
              <w:t>Maximum</w:t>
            </w:r>
          </w:p>
        </w:tc>
        <w:tc>
          <w:tcPr>
            <w:tcW w:w="8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Arial" w:cs="Arial" w:eastAsia="Arial" w:hAnsi="Arial"/>
                <w:sz w:val="16"/>
                <w:szCs w:val="16"/>
                <w:color w:val="auto"/>
              </w:rPr>
              <w:t>$ 2,790​</w:t>
            </w:r>
          </w:p>
        </w:tc>
        <w:tc>
          <w:tcPr>
            <w:tcW w:w="720" w:type="dxa"/>
            <w:vAlign w:val="bottom"/>
          </w:tcPr>
          <w:p>
            <w:pPr>
              <w:ind w:left="100"/>
              <w:spacing w:after="0"/>
              <w:rPr>
                <w:sz w:val="20"/>
                <w:szCs w:val="20"/>
                <w:color w:val="auto"/>
              </w:rPr>
            </w:pPr>
            <w:r>
              <w:rPr>
                <w:rFonts w:ascii="Arial" w:cs="Arial" w:eastAsia="Arial" w:hAnsi="Arial"/>
                <w:sz w:val="16"/>
                <w:szCs w:val="16"/>
                <w:color w:val="auto"/>
              </w:rPr>
              <w:t>$ 2,830​</w:t>
            </w:r>
          </w:p>
        </w:tc>
        <w:tc>
          <w:tcPr>
            <w:tcW w:w="800" w:type="dxa"/>
            <w:vAlign w:val="bottom"/>
          </w:tcPr>
          <w:p>
            <w:pPr>
              <w:ind w:left="220"/>
              <w:spacing w:after="0"/>
              <w:rPr>
                <w:sz w:val="20"/>
                <w:szCs w:val="20"/>
                <w:color w:val="auto"/>
              </w:rPr>
            </w:pPr>
            <w:r>
              <w:rPr>
                <w:rFonts w:ascii="Arial" w:cs="Arial" w:eastAsia="Arial" w:hAnsi="Arial"/>
                <w:sz w:val="16"/>
                <w:szCs w:val="16"/>
                <w:color w:val="auto"/>
              </w:rPr>
              <w:t>$ 1,062​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$ 1,088​</w:t>
            </w: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020" w:type="dxa"/>
            <w:vAlign w:val="bottom"/>
          </w:tcPr>
          <w:p>
            <w:pPr>
              <w:jc w:val="right"/>
              <w:ind w:right="856"/>
              <w:spacing w:after="0" w:line="54" w:lineRule="exact"/>
              <w:rPr>
                <w:sz w:val="20"/>
                <w:szCs w:val="20"/>
                <w:color w:val="auto"/>
              </w:rPr>
            </w:pPr>
            <w:r>
              <w:rPr>
                <w:rFonts w:ascii="Arial" w:cs="Arial" w:eastAsia="Arial" w:hAnsi="Arial"/>
                <w:sz w:val="6"/>
                <w:szCs w:val="6"/>
                <w:color w:val="auto"/>
              </w:rPr>
              <w:t>​</w:t>
            </w:r>
          </w:p>
        </w:tc>
        <w:tc>
          <w:tcPr>
            <w:tcW w:w="360" w:type="dxa"/>
            <w:vAlign w:val="bottom"/>
            <w:gridSpan w:val="2"/>
          </w:tcPr>
          <w:p>
            <w:pPr>
              <w:ind w:left="80"/>
              <w:spacing w:after="0" w:line="54" w:lineRule="exact"/>
              <w:rPr>
                <w:sz w:val="20"/>
                <w:szCs w:val="20"/>
                <w:color w:val="auto"/>
              </w:rPr>
            </w:pPr>
            <w:r>
              <w:rPr>
                <w:rFonts w:ascii="Arial" w:cs="Arial" w:eastAsia="Arial" w:hAnsi="Arial"/>
                <w:sz w:val="6"/>
                <w:szCs w:val="6"/>
                <w:color w:val="auto"/>
              </w:rPr>
              <w:t>​ ​​</w:t>
            </w:r>
          </w:p>
        </w:tc>
        <w:tc>
          <w:tcPr>
            <w:tcW w:w="1240" w:type="dxa"/>
            <w:vAlign w:val="bottom"/>
            <w:gridSpan w:val="2"/>
          </w:tcPr>
          <w:p>
            <w:pPr>
              <w:jc w:val="center"/>
              <w:ind w:right="79"/>
              <w:spacing w:after="0" w:line="54" w:lineRule="exact"/>
              <w:rPr>
                <w:sz w:val="20"/>
                <w:szCs w:val="20"/>
                <w:color w:val="auto"/>
              </w:rPr>
            </w:pPr>
            <w:r>
              <w:rPr>
                <w:rFonts w:ascii="Arial" w:cs="Arial" w:eastAsia="Arial" w:hAnsi="Arial"/>
                <w:sz w:val="6"/>
                <w:szCs w:val="6"/>
                <w:color w:val="auto"/>
              </w:rPr>
              <w:t>​ ​ ​ ​</w:t>
            </w:r>
          </w:p>
        </w:tc>
        <w:tc>
          <w:tcPr>
            <w:tcW w:w="800" w:type="dxa"/>
            <w:vAlign w:val="bottom"/>
          </w:tcPr>
          <w:p>
            <w:pPr>
              <w:spacing w:after="0" w:line="54" w:lineRule="exact"/>
              <w:rPr>
                <w:sz w:val="20"/>
                <w:szCs w:val="20"/>
                <w:color w:val="auto"/>
              </w:rPr>
            </w:pPr>
            <w:r>
              <w:rPr>
                <w:rFonts w:ascii="Arial" w:cs="Arial" w:eastAsia="Arial" w:hAnsi="Arial"/>
                <w:sz w:val="6"/>
                <w:szCs w:val="6"/>
                <w:color w:val="auto"/>
              </w:rPr>
              <w:t>​ ​ ​ ​</w:t>
            </w:r>
          </w:p>
        </w:tc>
        <w:tc>
          <w:tcPr>
            <w:tcW w:w="480" w:type="dxa"/>
            <w:vAlign w:val="bottom"/>
          </w:tcPr>
          <w:p>
            <w:pPr>
              <w:ind w:left="20"/>
              <w:spacing w:after="0" w:line="54" w:lineRule="exact"/>
              <w:rPr>
                <w:sz w:val="20"/>
                <w:szCs w:val="20"/>
                <w:color w:val="auto"/>
              </w:rPr>
            </w:pPr>
            <w:r>
              <w:rPr>
                <w:rFonts w:ascii="Arial" w:cs="Arial" w:eastAsia="Arial" w:hAnsi="Arial"/>
                <w:sz w:val="6"/>
                <w:szCs w:val="6"/>
                <w:color w:val="auto"/>
              </w:rPr>
              <w:t>​ ​ ​ ​</w:t>
            </w:r>
          </w:p>
        </w:tc>
        <w:tc>
          <w:tcPr>
            <w:tcW w:w="48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60"/>
              <w:spacing w:after="0"/>
              <w:rPr>
                <w:sz w:val="20"/>
                <w:szCs w:val="20"/>
                <w:color w:val="auto"/>
              </w:rPr>
            </w:pPr>
            <w:r>
              <w:rPr>
                <w:rFonts w:ascii="Arial" w:cs="Arial" w:eastAsia="Arial" w:hAnsi="Arial"/>
                <w:sz w:val="16"/>
                <w:szCs w:val="16"/>
                <w:b w:val="1"/>
                <w:bCs w:val="1"/>
                <w:color w:val="auto"/>
              </w:rPr>
              <w:t>Achieved</w:t>
            </w:r>
          </w:p>
        </w:tc>
        <w:tc>
          <w:tcPr>
            <w:tcW w:w="8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Arial" w:cs="Arial" w:eastAsia="Arial" w:hAnsi="Arial"/>
                <w:sz w:val="16"/>
                <w:szCs w:val="16"/>
                <w:b w:val="1"/>
                <w:bCs w:val="1"/>
                <w:color w:val="auto"/>
              </w:rPr>
              <w:t>$ 2,846​</w:t>
            </w:r>
          </w:p>
        </w:tc>
        <w:tc>
          <w:tcPr>
            <w:tcW w:w="720" w:type="dxa"/>
            <w:vAlign w:val="bottom"/>
          </w:tcPr>
          <w:p>
            <w:pPr>
              <w:ind w:left="100"/>
              <w:spacing w:after="0"/>
              <w:rPr>
                <w:sz w:val="20"/>
                <w:szCs w:val="20"/>
                <w:color w:val="auto"/>
              </w:rPr>
            </w:pPr>
            <w:r>
              <w:rPr>
                <w:rFonts w:ascii="Arial" w:cs="Arial" w:eastAsia="Arial" w:hAnsi="Arial"/>
                <w:sz w:val="16"/>
                <w:szCs w:val="16"/>
                <w:b w:val="1"/>
                <w:bCs w:val="1"/>
                <w:color w:val="auto"/>
              </w:rPr>
              <w:t>$ 2,640​</w:t>
            </w:r>
          </w:p>
        </w:tc>
        <w:tc>
          <w:tcPr>
            <w:tcW w:w="800" w:type="dxa"/>
            <w:vAlign w:val="bottom"/>
          </w:tcPr>
          <w:p>
            <w:pPr>
              <w:ind w:left="220"/>
              <w:spacing w:after="0"/>
              <w:rPr>
                <w:sz w:val="20"/>
                <w:szCs w:val="20"/>
                <w:color w:val="auto"/>
              </w:rPr>
            </w:pPr>
            <w:r>
              <w:rPr>
                <w:rFonts w:ascii="Arial" w:cs="Arial" w:eastAsia="Arial" w:hAnsi="Arial"/>
                <w:sz w:val="16"/>
                <w:szCs w:val="16"/>
                <w:b w:val="1"/>
                <w:bCs w:val="1"/>
                <w:color w:val="auto"/>
              </w:rPr>
              <w:t>$ 1,077​</w:t>
            </w:r>
          </w:p>
        </w:tc>
        <w:tc>
          <w:tcPr>
            <w:tcW w:w="48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968​</w:t>
            </w: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81"/>
        </w:trPr>
        <w:tc>
          <w:tcPr>
            <w:tcW w:w="1020" w:type="dxa"/>
            <w:vAlign w:val="bottom"/>
          </w:tcPr>
          <w:p>
            <w:pPr>
              <w:jc w:val="right"/>
              <w:ind w:right="856"/>
              <w:spacing w:after="0" w:line="81" w:lineRule="exact"/>
              <w:rPr>
                <w:sz w:val="20"/>
                <w:szCs w:val="20"/>
                <w:color w:val="auto"/>
              </w:rPr>
            </w:pPr>
            <w:r>
              <w:rPr>
                <w:rFonts w:ascii="Arial" w:cs="Arial" w:eastAsia="Arial" w:hAnsi="Arial"/>
                <w:sz w:val="9"/>
                <w:szCs w:val="9"/>
                <w:b w:val="1"/>
                <w:bCs w:val="1"/>
                <w:color w:val="auto"/>
              </w:rPr>
              <w:t>​</w:t>
            </w:r>
          </w:p>
        </w:tc>
        <w:tc>
          <w:tcPr>
            <w:tcW w:w="36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w:t>
            </w:r>
          </w:p>
        </w:tc>
        <w:tc>
          <w:tcPr>
            <w:tcW w:w="1240" w:type="dxa"/>
            <w:vAlign w:val="bottom"/>
            <w:gridSpan w:val="2"/>
          </w:tcPr>
          <w:p>
            <w:pPr>
              <w:jc w:val="center"/>
              <w:ind w:right="79"/>
              <w:spacing w:after="0" w:line="81" w:lineRule="exact"/>
              <w:rPr>
                <w:sz w:val="20"/>
                <w:szCs w:val="20"/>
                <w:color w:val="auto"/>
              </w:rPr>
            </w:pPr>
            <w:r>
              <w:rPr>
                <w:rFonts w:ascii="Arial" w:cs="Arial" w:eastAsia="Arial" w:hAnsi="Arial"/>
                <w:sz w:val="9"/>
                <w:szCs w:val="9"/>
                <w:b w:val="1"/>
                <w:bCs w:val="1"/>
                <w:color w:val="auto"/>
              </w:rPr>
              <w:t>​​​​</w:t>
            </w:r>
          </w:p>
        </w:tc>
        <w:tc>
          <w:tcPr>
            <w:tcW w:w="800" w:type="dxa"/>
            <w:vAlign w:val="bottom"/>
          </w:tcPr>
          <w:p>
            <w:pPr>
              <w:spacing w:after="0" w:line="81" w:lineRule="exact"/>
              <w:rPr>
                <w:sz w:val="20"/>
                <w:szCs w:val="20"/>
                <w:color w:val="auto"/>
              </w:rPr>
            </w:pPr>
            <w:r>
              <w:rPr>
                <w:rFonts w:ascii="Arial" w:cs="Arial" w:eastAsia="Arial" w:hAnsi="Arial"/>
                <w:sz w:val="9"/>
                <w:szCs w:val="9"/>
                <w:b w:val="1"/>
                <w:bCs w:val="1"/>
                <w:color w:val="auto"/>
              </w:rPr>
              <w:t>​​​​</w:t>
            </w:r>
          </w:p>
        </w:tc>
        <w:tc>
          <w:tcPr>
            <w:tcW w:w="480" w:type="dxa"/>
            <w:vAlign w:val="bottom"/>
          </w:tcPr>
          <w:p>
            <w:pPr>
              <w:ind w:left="20"/>
              <w:spacing w:after="0" w:line="81" w:lineRule="exact"/>
              <w:rPr>
                <w:sz w:val="20"/>
                <w:szCs w:val="20"/>
                <w:color w:val="auto"/>
              </w:rPr>
            </w:pPr>
            <w:r>
              <w:rPr>
                <w:rFonts w:ascii="Arial" w:cs="Arial" w:eastAsia="Arial" w:hAnsi="Arial"/>
                <w:sz w:val="9"/>
                <w:szCs w:val="9"/>
                <w:b w:val="1"/>
                <w:bCs w:val="1"/>
                <w:color w:val="auto"/>
              </w:rPr>
              <w:t>​​​ ​</w:t>
            </w:r>
          </w:p>
        </w:tc>
        <w:tc>
          <w:tcPr>
            <w:tcW w:w="480" w:type="dxa"/>
            <w:vAlign w:val="bottom"/>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BFBFBF"/>
          </w:tcPr>
          <w:p>
            <w:pPr>
              <w:spacing w:after="0" w:line="20" w:lineRule="exact"/>
              <w:rPr>
                <w:sz w:val="1"/>
                <w:szCs w:val="1"/>
                <w:color w:val="auto"/>
              </w:rPr>
            </w:pPr>
          </w:p>
        </w:tc>
        <w:tc>
          <w:tcPr>
            <w:tcW w:w="80" w:type="dxa"/>
            <w:vAlign w:val="bottom"/>
            <w:shd w:val="clear" w:color="auto" w:fill="BFBFBF"/>
          </w:tcPr>
          <w:p>
            <w:pPr>
              <w:spacing w:after="0" w:line="20" w:lineRule="exact"/>
              <w:rPr>
                <w:sz w:val="1"/>
                <w:szCs w:val="1"/>
                <w:color w:val="auto"/>
              </w:rPr>
            </w:pPr>
          </w:p>
        </w:tc>
        <w:tc>
          <w:tcPr>
            <w:tcW w:w="280" w:type="dxa"/>
            <w:vAlign w:val="bottom"/>
            <w:shd w:val="clear" w:color="auto" w:fill="BFBFBF"/>
          </w:tcPr>
          <w:p>
            <w:pPr>
              <w:spacing w:after="0" w:line="20" w:lineRule="exact"/>
              <w:rPr>
                <w:sz w:val="1"/>
                <w:szCs w:val="1"/>
                <w:color w:val="auto"/>
              </w:rPr>
            </w:pPr>
          </w:p>
        </w:tc>
        <w:tc>
          <w:tcPr>
            <w:tcW w:w="520" w:type="dxa"/>
            <w:vAlign w:val="bottom"/>
            <w:shd w:val="clear" w:color="auto" w:fill="BFBFBF"/>
          </w:tcPr>
          <w:p>
            <w:pPr>
              <w:spacing w:after="0" w:line="20" w:lineRule="exact"/>
              <w:rPr>
                <w:sz w:val="1"/>
                <w:szCs w:val="1"/>
                <w:color w:val="auto"/>
              </w:rPr>
            </w:pPr>
          </w:p>
        </w:tc>
        <w:tc>
          <w:tcPr>
            <w:tcW w:w="720" w:type="dxa"/>
            <w:vAlign w:val="bottom"/>
            <w:shd w:val="clear" w:color="auto" w:fill="BFBFBF"/>
          </w:tcPr>
          <w:p>
            <w:pPr>
              <w:spacing w:after="0" w:line="20" w:lineRule="exact"/>
              <w:rPr>
                <w:sz w:val="1"/>
                <w:szCs w:val="1"/>
                <w:color w:val="auto"/>
              </w:rPr>
            </w:pPr>
          </w:p>
        </w:tc>
        <w:tc>
          <w:tcPr>
            <w:tcW w:w="800" w:type="dxa"/>
            <w:vAlign w:val="bottom"/>
            <w:shd w:val="clear" w:color="auto" w:fill="BFBFBF"/>
          </w:tcPr>
          <w:p>
            <w:pPr>
              <w:spacing w:after="0" w:line="20" w:lineRule="exact"/>
              <w:rPr>
                <w:sz w:val="1"/>
                <w:szCs w:val="1"/>
                <w:color w:val="auto"/>
              </w:rPr>
            </w:pPr>
          </w:p>
        </w:tc>
        <w:tc>
          <w:tcPr>
            <w:tcW w:w="480" w:type="dxa"/>
            <w:vAlign w:val="bottom"/>
            <w:shd w:val="clear" w:color="auto" w:fill="BFBFBF"/>
          </w:tcPr>
          <w:p>
            <w:pPr>
              <w:spacing w:after="0" w:line="20" w:lineRule="exact"/>
              <w:rPr>
                <w:sz w:val="1"/>
                <w:szCs w:val="1"/>
                <w:color w:val="auto"/>
              </w:rPr>
            </w:pPr>
          </w:p>
        </w:tc>
        <w:tc>
          <w:tcPr>
            <w:tcW w:w="48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-1036320</wp:posOffset>
            </wp:positionV>
            <wp:extent cx="2846070" cy="8489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46070" cy="84899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i w:val="1"/>
          <w:iCs w:val="1"/>
          <w:color w:val="0075A8"/>
        </w:rPr>
        <w:t>Long-Term Stock-Based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59"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The Compensation Committee generally makes long-term stock-based compensation awards to executive officers on an annual basis. Long-term stock-based compensation awards are intended to align the interests of our executive officers with those of our stockholders and to reward our executive officers for increases in stockholder value over periods of time greater than one year. It is the Company’s practice to make stock-based compensation awards to executive officers in November of each year at a prescheduled Compensation Committee meeting. For fiscal year 2022, the Compensation Committee made an annual stock-based compensation award to each of the Named Executive Officers on November 10, 2021, at a regularly scheduled Compensation Committee meeting.</w:t>
      </w:r>
    </w:p>
    <w:p>
      <w:pPr>
        <w:spacing w:after="0" w:line="172" w:lineRule="exact"/>
        <w:rPr>
          <w:sz w:val="20"/>
          <w:szCs w:val="20"/>
          <w:color w:val="auto"/>
        </w:rPr>
      </w:pPr>
    </w:p>
    <w:p>
      <w:pPr>
        <w:ind w:right="320"/>
        <w:spacing w:after="0" w:line="271" w:lineRule="auto"/>
        <w:rPr>
          <w:sz w:val="20"/>
          <w:szCs w:val="20"/>
          <w:color w:val="auto"/>
        </w:rPr>
      </w:pPr>
      <w:r>
        <w:rPr>
          <w:rFonts w:ascii="Arial" w:cs="Arial" w:eastAsia="Arial" w:hAnsi="Arial"/>
          <w:sz w:val="20"/>
          <w:szCs w:val="20"/>
          <w:b w:val="1"/>
          <w:bCs w:val="1"/>
          <w:color w:val="auto"/>
        </w:rPr>
        <w:t>Fiscal Year 2022 Stock-Based Compensation Awards</w:t>
      </w:r>
    </w:p>
    <w:p>
      <w:pPr>
        <w:spacing w:after="0" w:line="112"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In making annual stock-based compensation awards to executive officers for fiscal year 2022, the Compensation Committee first reviewed the Comparator Group grant data by executive position. The Compensation Committee used that data to inform its determination of a target dollar value for the long-term stock-based award for each executive officer, as set forth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231775</wp:posOffset>
            </wp:positionV>
            <wp:extent cx="780415" cy="2571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80415" cy="25717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2680"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171450</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40"/>
            <w:col w:w="4520"/>
          </w:cols>
          <w:pgMar w:left="580" w:top="132" w:right="121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p>
    <w:p>
      <w:pPr>
        <w:sectPr>
          <w:pgSz w:w="11900" w:h="16838" w:orient="portrait"/>
          <w:cols w:equalWidth="0" w:num="1">
            <w:col w:w="10720"/>
          </w:cols>
          <w:pgMar w:left="580" w:top="132" w:right="59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below, targeting awards for fiscal year 2022 that were competitive within the Comparator Group. Each executive officer was granted a performance share award (“PSA”) and a restricted stock unit (“RSU”) award equivalent to 60% and 40%, respectively, of the dollar value of the executive’s fiscal year 2022 stock-based award, calculating the number of shares subject to each award using the fair market value of the Company’s common stock on the date of such award and an assumption that the Company would achieve the “target”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660"/>
        <w:spacing w:after="0" w:line="254" w:lineRule="auto"/>
        <w:rPr>
          <w:sz w:val="20"/>
          <w:szCs w:val="20"/>
          <w:color w:val="auto"/>
        </w:rPr>
      </w:pPr>
      <w:r>
        <w:rPr>
          <w:rFonts w:ascii="Arial" w:cs="Arial" w:eastAsia="Arial" w:hAnsi="Arial"/>
          <w:sz w:val="20"/>
          <w:szCs w:val="20"/>
          <w:color w:val="auto"/>
        </w:rPr>
        <w:t>level of performance required to earn the PSA. The Compensation Committee’s rationale for awarding PSAs is to further align the executive’s interests with those of our stockholders by using equity awards that will vest only if the Company achieves pre-established performance goals, and we believe the Compensation Committee’s decision to award a portion of the PSAs subject to metrics measured over a multi-year performance period more closely aligns the executive’s interests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153670</wp:posOffset>
            </wp:positionV>
            <wp:extent cx="5974715" cy="420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74715" cy="420370"/>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5140" w:space="440"/>
            <w:col w:w="5140"/>
          </w:cols>
          <w:pgMar w:left="580" w:top="132" w:right="599" w:bottom="1440" w:gutter="0" w:footer="0" w:header="0"/>
          <w:type w:val="continuous"/>
        </w:sectPr>
      </w:pPr>
    </w:p>
    <w:p>
      <w:pPr>
        <w:spacing w:after="0" w:line="36"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FFFFFF"/>
                <w:w w:val="99"/>
              </w:rPr>
              <w:t>Number of Shares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gridSpan w:val="2"/>
          </w:tcPr>
          <w:p>
            <w:pPr>
              <w:ind w:left="140"/>
              <w:spacing w:after="0" w:line="202" w:lineRule="exact"/>
              <w:rPr>
                <w:sz w:val="20"/>
                <w:szCs w:val="20"/>
                <w:color w:val="auto"/>
              </w:rPr>
            </w:pPr>
            <w:r>
              <w:rPr>
                <w:rFonts w:ascii="Arial" w:cs="Arial" w:eastAsia="Arial" w:hAnsi="Arial"/>
                <w:sz w:val="18"/>
                <w:szCs w:val="18"/>
                <w:color w:val="FFFFFF"/>
              </w:rPr>
              <w:t>Value of FY22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2"/>
          </w:tcPr>
          <w:p>
            <w:pPr>
              <w:jc w:val="center"/>
              <w:spacing w:after="0" w:line="202" w:lineRule="exact"/>
              <w:rPr>
                <w:sz w:val="20"/>
                <w:szCs w:val="20"/>
                <w:color w:val="auto"/>
              </w:rPr>
            </w:pPr>
            <w:r>
              <w:rPr>
                <w:rFonts w:ascii="Arial" w:cs="Arial" w:eastAsia="Arial" w:hAnsi="Arial"/>
                <w:sz w:val="18"/>
                <w:szCs w:val="18"/>
                <w:color w:val="FFFFFF"/>
                <w:w w:val="99"/>
              </w:rPr>
              <w:t>Number of Shares Subject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16"/>
              <w:spacing w:after="0" w:line="202" w:lineRule="exact"/>
              <w:rPr>
                <w:sz w:val="20"/>
                <w:szCs w:val="20"/>
                <w:color w:val="auto"/>
              </w:rPr>
            </w:pPr>
            <w:r>
              <w:rPr>
                <w:rFonts w:ascii="Arial" w:cs="Arial" w:eastAsia="Arial" w:hAnsi="Arial"/>
                <w:sz w:val="18"/>
                <w:szCs w:val="18"/>
                <w:color w:val="FFFFFF"/>
                <w:w w:val="99"/>
              </w:rPr>
              <w:t>Subject to</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40" w:type="dxa"/>
            <w:vAlign w:val="bottom"/>
          </w:tcPr>
          <w:p>
            <w:pPr>
              <w:ind w:left="20"/>
              <w:spacing w:after="0"/>
              <w:rPr>
                <w:sz w:val="20"/>
                <w:szCs w:val="20"/>
                <w:color w:val="auto"/>
              </w:rPr>
            </w:pPr>
            <w:r>
              <w:rPr>
                <w:rFonts w:ascii="Arial" w:cs="Arial" w:eastAsia="Arial" w:hAnsi="Arial"/>
                <w:sz w:val="18"/>
                <w:szCs w:val="18"/>
                <w:color w:val="FFFFFF"/>
              </w:rPr>
              <w:t>​Name</w:t>
            </w:r>
          </w:p>
        </w:tc>
        <w:tc>
          <w:tcPr>
            <w:tcW w:w="820" w:type="dxa"/>
            <w:vAlign w:val="bottom"/>
          </w:tcPr>
          <w:p>
            <w:pPr>
              <w:ind w:left="600"/>
              <w:spacing w:after="0"/>
              <w:rPr>
                <w:sz w:val="20"/>
                <w:szCs w:val="20"/>
                <w:color w:val="auto"/>
              </w:rPr>
            </w:pPr>
            <w:r>
              <w:rPr>
                <w:rFonts w:ascii="Arial" w:cs="Arial" w:eastAsia="Arial" w:hAnsi="Arial"/>
                <w:sz w:val="18"/>
                <w:szCs w:val="18"/>
                <w:color w:val="FFFFFF"/>
              </w:rPr>
              <w:t>​</w:t>
            </w:r>
          </w:p>
        </w:tc>
        <w:tc>
          <w:tcPr>
            <w:tcW w:w="2000" w:type="dxa"/>
            <w:vAlign w:val="bottom"/>
            <w:gridSpan w:val="3"/>
          </w:tcPr>
          <w:p>
            <w:pPr>
              <w:ind w:left="60"/>
              <w:spacing w:after="0"/>
              <w:rPr>
                <w:sz w:val="20"/>
                <w:szCs w:val="20"/>
                <w:color w:val="auto"/>
              </w:rPr>
            </w:pPr>
            <w:r>
              <w:rPr>
                <w:rFonts w:ascii="Arial" w:cs="Arial" w:eastAsia="Arial" w:hAnsi="Arial"/>
                <w:sz w:val="18"/>
                <w:szCs w:val="18"/>
                <w:color w:val="FFFFFF"/>
              </w:rPr>
              <w:t>​ Stock-Based Award(1)</w:t>
            </w:r>
          </w:p>
        </w:tc>
        <w:tc>
          <w:tcPr>
            <w:tcW w:w="220" w:type="dxa"/>
            <w:vAlign w:val="bottom"/>
          </w:tcPr>
          <w:p>
            <w:pPr>
              <w:ind w:left="140"/>
              <w:spacing w:after="0"/>
              <w:rPr>
                <w:sz w:val="20"/>
                <w:szCs w:val="20"/>
                <w:color w:val="auto"/>
              </w:rPr>
            </w:pPr>
            <w:r>
              <w:rPr>
                <w:rFonts w:ascii="Arial" w:cs="Arial" w:eastAsia="Arial" w:hAnsi="Arial"/>
                <w:sz w:val="18"/>
                <w:szCs w:val="18"/>
                <w:color w:val="FFFFFF"/>
              </w:rPr>
              <w:t>​</w:t>
            </w:r>
          </w:p>
        </w:tc>
        <w:tc>
          <w:tcPr>
            <w:tcW w:w="280" w:type="dxa"/>
            <w:vAlign w:val="bottom"/>
          </w:tcPr>
          <w:p>
            <w:pPr>
              <w:ind w:left="180"/>
              <w:spacing w:after="0"/>
              <w:rPr>
                <w:sz w:val="20"/>
                <w:szCs w:val="20"/>
                <w:color w:val="auto"/>
              </w:rPr>
            </w:pPr>
            <w:r>
              <w:rPr>
                <w:rFonts w:ascii="Arial" w:cs="Arial" w:eastAsia="Arial" w:hAnsi="Arial"/>
                <w:sz w:val="18"/>
                <w:szCs w:val="18"/>
                <w:color w:val="FFFFFF"/>
              </w:rPr>
              <w:t>​</w:t>
            </w:r>
          </w:p>
        </w:tc>
        <w:tc>
          <w:tcPr>
            <w:tcW w:w="180" w:type="dxa"/>
            <w:vAlign w:val="bottom"/>
          </w:tcPr>
          <w:p>
            <w:pPr>
              <w:spacing w:after="0"/>
              <w:rPr>
                <w:sz w:val="21"/>
                <w:szCs w:val="21"/>
                <w:color w:val="auto"/>
              </w:rPr>
            </w:pPr>
          </w:p>
        </w:tc>
        <w:tc>
          <w:tcPr>
            <w:tcW w:w="2020" w:type="dxa"/>
            <w:vAlign w:val="bottom"/>
          </w:tcPr>
          <w:p>
            <w:pPr>
              <w:jc w:val="center"/>
              <w:ind w:right="38"/>
              <w:spacing w:after="0"/>
              <w:rPr>
                <w:sz w:val="20"/>
                <w:szCs w:val="20"/>
                <w:color w:val="auto"/>
              </w:rPr>
            </w:pPr>
            <w:r>
              <w:rPr>
                <w:rFonts w:ascii="Arial" w:cs="Arial" w:eastAsia="Arial" w:hAnsi="Arial"/>
                <w:sz w:val="18"/>
                <w:szCs w:val="18"/>
                <w:color w:val="FFFFFF"/>
                <w:w w:val="98"/>
              </w:rPr>
              <w:t>to PSAs, at Target(2)</w:t>
            </w:r>
          </w:p>
        </w:tc>
        <w:tc>
          <w:tcPr>
            <w:tcW w:w="260" w:type="dxa"/>
            <w:vAlign w:val="bottom"/>
          </w:tcPr>
          <w:p>
            <w:pPr>
              <w:ind w:left="160"/>
              <w:spacing w:after="0"/>
              <w:rPr>
                <w:sz w:val="20"/>
                <w:szCs w:val="20"/>
                <w:color w:val="auto"/>
              </w:rPr>
            </w:pPr>
            <w:r>
              <w:rPr>
                <w:rFonts w:ascii="Arial" w:cs="Arial" w:eastAsia="Arial" w:hAnsi="Arial"/>
                <w:sz w:val="18"/>
                <w:szCs w:val="18"/>
                <w:color w:val="FFFFFF"/>
              </w:rPr>
              <w:t>​</w:t>
            </w:r>
          </w:p>
        </w:tc>
        <w:tc>
          <w:tcPr>
            <w:tcW w:w="260" w:type="dxa"/>
            <w:vAlign w:val="bottom"/>
          </w:tcPr>
          <w:p>
            <w:pPr>
              <w:ind w:left="160"/>
              <w:spacing w:after="0"/>
              <w:rPr>
                <w:sz w:val="20"/>
                <w:szCs w:val="20"/>
                <w:color w:val="auto"/>
              </w:rPr>
            </w:pPr>
            <w:r>
              <w:rPr>
                <w:rFonts w:ascii="Arial" w:cs="Arial" w:eastAsia="Arial" w:hAnsi="Arial"/>
                <w:sz w:val="18"/>
                <w:szCs w:val="18"/>
                <w:color w:val="FFFFFF"/>
              </w:rPr>
              <w:t>​</w:t>
            </w:r>
          </w:p>
        </w:tc>
        <w:tc>
          <w:tcPr>
            <w:tcW w:w="240" w:type="dxa"/>
            <w:vAlign w:val="bottom"/>
          </w:tcPr>
          <w:p>
            <w:pPr>
              <w:spacing w:after="0"/>
              <w:rPr>
                <w:sz w:val="21"/>
                <w:szCs w:val="21"/>
                <w:color w:val="auto"/>
              </w:rPr>
            </w:pPr>
          </w:p>
        </w:tc>
        <w:tc>
          <w:tcPr>
            <w:tcW w:w="1320" w:type="dxa"/>
            <w:vAlign w:val="bottom"/>
          </w:tcPr>
          <w:p>
            <w:pPr>
              <w:jc w:val="center"/>
              <w:ind w:right="96"/>
              <w:spacing w:after="0"/>
              <w:rPr>
                <w:sz w:val="20"/>
                <w:szCs w:val="20"/>
                <w:color w:val="auto"/>
              </w:rPr>
            </w:pPr>
            <w:r>
              <w:rPr>
                <w:rFonts w:ascii="Arial" w:cs="Arial" w:eastAsia="Arial" w:hAnsi="Arial"/>
                <w:sz w:val="18"/>
                <w:szCs w:val="18"/>
                <w:color w:val="FFFFFF"/>
              </w:rPr>
              <w:t>RSUs(2)</w:t>
            </w:r>
          </w:p>
        </w:tc>
        <w:tc>
          <w:tcPr>
            <w:tcW w:w="100" w:type="dxa"/>
            <w:vAlign w:val="bottom"/>
          </w:tcPr>
          <w:p>
            <w:pPr>
              <w:jc w:val="right"/>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16"/>
        </w:trPr>
        <w:tc>
          <w:tcPr>
            <w:tcW w:w="1740" w:type="dxa"/>
            <w:vAlign w:val="bottom"/>
          </w:tcPr>
          <w:p>
            <w:pPr>
              <w:ind w:left="40"/>
              <w:spacing w:after="0"/>
              <w:rPr>
                <w:sz w:val="20"/>
                <w:szCs w:val="20"/>
                <w:color w:val="auto"/>
              </w:rPr>
            </w:pPr>
            <w:r>
              <w:rPr>
                <w:rFonts w:ascii="Arial" w:cs="Arial" w:eastAsia="Arial" w:hAnsi="Arial"/>
                <w:sz w:val="16"/>
                <w:szCs w:val="16"/>
                <w:color w:val="auto"/>
              </w:rPr>
              <w:t>Liam K. Griffin</w:t>
            </w:r>
          </w:p>
        </w:tc>
        <w:tc>
          <w:tcPr>
            <w:tcW w:w="820" w:type="dxa"/>
            <w:vAlign w:val="bottom"/>
            <w:vMerge w:val="restart"/>
          </w:tcPr>
          <w:p>
            <w:pPr>
              <w:ind w:left="74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1620" w:type="dxa"/>
            <w:vAlign w:val="bottom"/>
            <w:gridSpan w:val="2"/>
          </w:tcPr>
          <w:p>
            <w:pPr>
              <w:ind w:left="260"/>
              <w:spacing w:after="0"/>
              <w:rPr>
                <w:sz w:val="20"/>
                <w:szCs w:val="20"/>
                <w:color w:val="auto"/>
              </w:rPr>
            </w:pPr>
            <w:r>
              <w:rPr>
                <w:rFonts w:ascii="Arial" w:cs="Arial" w:eastAsia="Arial" w:hAnsi="Arial"/>
                <w:sz w:val="16"/>
                <w:szCs w:val="16"/>
                <w:color w:val="auto"/>
              </w:rPr>
              <w:t>$12,750,000​</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47,720​</w:t>
            </w: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right="76"/>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31,813​</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74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82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00" w:type="dxa"/>
            <w:vAlign w:val="bottom"/>
          </w:tcPr>
          <w:p>
            <w:pPr>
              <w:ind w:left="260"/>
              <w:spacing w:after="0" w:line="54" w:lineRule="exact"/>
              <w:rPr>
                <w:sz w:val="20"/>
                <w:szCs w:val="20"/>
                <w:color w:val="auto"/>
              </w:rPr>
            </w:pPr>
            <w:r>
              <w:rPr>
                <w:rFonts w:ascii="Arial" w:cs="Arial" w:eastAsia="Arial" w:hAnsi="Arial"/>
                <w:sz w:val="6"/>
                <w:szCs w:val="6"/>
                <w:color w:val="auto"/>
              </w:rPr>
              <w:t>​</w:t>
            </w:r>
          </w:p>
        </w:tc>
        <w:tc>
          <w:tcPr>
            <w:tcW w:w="1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2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40"/>
              <w:spacing w:after="0"/>
              <w:rPr>
                <w:sz w:val="20"/>
                <w:szCs w:val="20"/>
                <w:color w:val="auto"/>
              </w:rPr>
            </w:pPr>
            <w:r>
              <w:rPr>
                <w:rFonts w:ascii="Arial" w:cs="Arial" w:eastAsia="Arial" w:hAnsi="Arial"/>
                <w:sz w:val="16"/>
                <w:szCs w:val="16"/>
                <w:color w:val="auto"/>
              </w:rPr>
              <w:t>Kris Sennesael</w:t>
            </w:r>
          </w:p>
        </w:tc>
        <w:tc>
          <w:tcPr>
            <w:tcW w:w="820" w:type="dxa"/>
            <w:vAlign w:val="bottom"/>
            <w:vMerge w:val="restart"/>
          </w:tcPr>
          <w:p>
            <w:pPr>
              <w:ind w:left="74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1220" w:type="dxa"/>
            <w:vAlign w:val="bottom"/>
          </w:tcPr>
          <w:p>
            <w:pPr>
              <w:ind w:left="60"/>
              <w:spacing w:after="0"/>
              <w:rPr>
                <w:sz w:val="20"/>
                <w:szCs w:val="20"/>
                <w:color w:val="auto"/>
              </w:rPr>
            </w:pPr>
            <w:r>
              <w:rPr>
                <w:rFonts w:ascii="Arial" w:cs="Arial" w:eastAsia="Arial" w:hAnsi="Arial"/>
                <w:sz w:val="16"/>
                <w:szCs w:val="16"/>
                <w:color w:val="auto"/>
              </w:rPr>
              <w:t>4,025,000​</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15,064​</w:t>
            </w: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right="76"/>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10,043​</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74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82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00" w:type="dxa"/>
            <w:vAlign w:val="bottom"/>
          </w:tcPr>
          <w:p>
            <w:pPr>
              <w:ind w:left="260"/>
              <w:spacing w:after="0" w:line="54" w:lineRule="exact"/>
              <w:rPr>
                <w:sz w:val="20"/>
                <w:szCs w:val="20"/>
                <w:color w:val="auto"/>
              </w:rPr>
            </w:pPr>
            <w:r>
              <w:rPr>
                <w:rFonts w:ascii="Arial" w:cs="Arial" w:eastAsia="Arial" w:hAnsi="Arial"/>
                <w:sz w:val="6"/>
                <w:szCs w:val="6"/>
                <w:color w:val="auto"/>
              </w:rPr>
              <w:t>​</w:t>
            </w:r>
          </w:p>
        </w:tc>
        <w:tc>
          <w:tcPr>
            <w:tcW w:w="1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2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40"/>
              <w:spacing w:after="0"/>
              <w:rPr>
                <w:sz w:val="20"/>
                <w:szCs w:val="20"/>
                <w:color w:val="auto"/>
              </w:rPr>
            </w:pPr>
            <w:r>
              <w:rPr>
                <w:rFonts w:ascii="Arial" w:cs="Arial" w:eastAsia="Arial" w:hAnsi="Arial"/>
                <w:sz w:val="16"/>
                <w:szCs w:val="16"/>
                <w:color w:val="auto"/>
              </w:rPr>
              <w:t>Reza Kasnavi</w:t>
            </w:r>
          </w:p>
        </w:tc>
        <w:tc>
          <w:tcPr>
            <w:tcW w:w="820" w:type="dxa"/>
            <w:vAlign w:val="bottom"/>
            <w:vMerge w:val="restart"/>
          </w:tcPr>
          <w:p>
            <w:pPr>
              <w:ind w:left="74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1220" w:type="dxa"/>
            <w:vAlign w:val="bottom"/>
          </w:tcPr>
          <w:p>
            <w:pPr>
              <w:ind w:left="60"/>
              <w:spacing w:after="0"/>
              <w:rPr>
                <w:sz w:val="20"/>
                <w:szCs w:val="20"/>
                <w:color w:val="auto"/>
              </w:rPr>
            </w:pPr>
            <w:r>
              <w:rPr>
                <w:rFonts w:ascii="Arial" w:cs="Arial" w:eastAsia="Arial" w:hAnsi="Arial"/>
                <w:sz w:val="16"/>
                <w:szCs w:val="16"/>
                <w:color w:val="auto"/>
              </w:rPr>
              <w:t>3,910,000​</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14,634​</w:t>
            </w: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right="76"/>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9,756​</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74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82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00" w:type="dxa"/>
            <w:vAlign w:val="bottom"/>
          </w:tcPr>
          <w:p>
            <w:pPr>
              <w:ind w:left="260"/>
              <w:spacing w:after="0" w:line="54" w:lineRule="exact"/>
              <w:rPr>
                <w:sz w:val="20"/>
                <w:szCs w:val="20"/>
                <w:color w:val="auto"/>
              </w:rPr>
            </w:pPr>
            <w:r>
              <w:rPr>
                <w:rFonts w:ascii="Arial" w:cs="Arial" w:eastAsia="Arial" w:hAnsi="Arial"/>
                <w:sz w:val="6"/>
                <w:szCs w:val="6"/>
                <w:color w:val="auto"/>
              </w:rPr>
              <w:t>​</w:t>
            </w:r>
          </w:p>
        </w:tc>
        <w:tc>
          <w:tcPr>
            <w:tcW w:w="1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2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40"/>
              <w:spacing w:after="0"/>
              <w:rPr>
                <w:sz w:val="20"/>
                <w:szCs w:val="20"/>
                <w:color w:val="auto"/>
              </w:rPr>
            </w:pPr>
            <w:r>
              <w:rPr>
                <w:rFonts w:ascii="Arial" w:cs="Arial" w:eastAsia="Arial" w:hAnsi="Arial"/>
                <w:sz w:val="16"/>
                <w:szCs w:val="16"/>
                <w:color w:val="auto"/>
              </w:rPr>
              <w:t>Carlos S. Bori</w:t>
            </w:r>
          </w:p>
        </w:tc>
        <w:tc>
          <w:tcPr>
            <w:tcW w:w="820" w:type="dxa"/>
            <w:vAlign w:val="bottom"/>
            <w:vMerge w:val="restart"/>
          </w:tcPr>
          <w:p>
            <w:pPr>
              <w:ind w:left="74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1220" w:type="dxa"/>
            <w:vAlign w:val="bottom"/>
          </w:tcPr>
          <w:p>
            <w:pPr>
              <w:ind w:left="60"/>
              <w:spacing w:after="0"/>
              <w:rPr>
                <w:sz w:val="20"/>
                <w:szCs w:val="20"/>
                <w:color w:val="auto"/>
              </w:rPr>
            </w:pPr>
            <w:r>
              <w:rPr>
                <w:rFonts w:ascii="Arial" w:cs="Arial" w:eastAsia="Arial" w:hAnsi="Arial"/>
                <w:sz w:val="16"/>
                <w:szCs w:val="16"/>
                <w:color w:val="auto"/>
              </w:rPr>
              <w:t>3,910,000​</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14,634​</w:t>
            </w: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right="76"/>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9,756​</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74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82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00" w:type="dxa"/>
            <w:vAlign w:val="bottom"/>
          </w:tcPr>
          <w:p>
            <w:pPr>
              <w:ind w:left="260"/>
              <w:spacing w:after="0" w:line="54" w:lineRule="exact"/>
              <w:rPr>
                <w:sz w:val="20"/>
                <w:szCs w:val="20"/>
                <w:color w:val="auto"/>
              </w:rPr>
            </w:pPr>
            <w:r>
              <w:rPr>
                <w:rFonts w:ascii="Arial" w:cs="Arial" w:eastAsia="Arial" w:hAnsi="Arial"/>
                <w:sz w:val="6"/>
                <w:szCs w:val="6"/>
                <w:color w:val="auto"/>
              </w:rPr>
              <w:t>​</w:t>
            </w:r>
          </w:p>
        </w:tc>
        <w:tc>
          <w:tcPr>
            <w:tcW w:w="12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2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740" w:type="dxa"/>
            <w:vAlign w:val="bottom"/>
          </w:tcPr>
          <w:p>
            <w:pPr>
              <w:ind w:left="40"/>
              <w:spacing w:after="0"/>
              <w:rPr>
                <w:sz w:val="20"/>
                <w:szCs w:val="20"/>
                <w:color w:val="auto"/>
              </w:rPr>
            </w:pPr>
            <w:r>
              <w:rPr>
                <w:rFonts w:ascii="Arial" w:cs="Arial" w:eastAsia="Arial" w:hAnsi="Arial"/>
                <w:sz w:val="16"/>
                <w:szCs w:val="16"/>
                <w:color w:val="auto"/>
              </w:rPr>
              <w:t>​Robert J. Terry</w:t>
            </w:r>
          </w:p>
        </w:tc>
        <w:tc>
          <w:tcPr>
            <w:tcW w:w="820" w:type="dxa"/>
            <w:vAlign w:val="bottom"/>
          </w:tcPr>
          <w:p>
            <w:pPr>
              <w:ind w:left="740"/>
              <w:spacing w:after="0"/>
              <w:rPr>
                <w:sz w:val="20"/>
                <w:szCs w:val="20"/>
                <w:color w:val="auto"/>
              </w:rPr>
            </w:pPr>
            <w:r>
              <w:rPr>
                <w:rFonts w:ascii="Arial" w:cs="Arial" w:eastAsia="Arial" w:hAnsi="Arial"/>
                <w:sz w:val="16"/>
                <w:szCs w:val="16"/>
                <w:color w:val="auto"/>
              </w:rPr>
              <w:t>​</w:t>
            </w:r>
          </w:p>
        </w:tc>
        <w:tc>
          <w:tcPr>
            <w:tcW w:w="380" w:type="dxa"/>
            <w:vAlign w:val="bottom"/>
          </w:tcPr>
          <w:p>
            <w:pPr>
              <w:ind w:left="180"/>
              <w:spacing w:after="0"/>
              <w:rPr>
                <w:sz w:val="20"/>
                <w:szCs w:val="20"/>
                <w:color w:val="auto"/>
              </w:rPr>
            </w:pPr>
            <w:r>
              <w:rPr>
                <w:rFonts w:ascii="Arial" w:cs="Arial" w:eastAsia="Arial" w:hAnsi="Arial"/>
                <w:sz w:val="16"/>
                <w:szCs w:val="16"/>
                <w:color w:val="auto"/>
              </w:rPr>
              <w:t>​</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1220" w:type="dxa"/>
            <w:vAlign w:val="bottom"/>
          </w:tcPr>
          <w:p>
            <w:pPr>
              <w:ind w:left="60"/>
              <w:spacing w:after="0"/>
              <w:rPr>
                <w:sz w:val="20"/>
                <w:szCs w:val="20"/>
                <w:color w:val="auto"/>
              </w:rPr>
            </w:pPr>
            <w:r>
              <w:rPr>
                <w:rFonts w:ascii="Arial" w:cs="Arial" w:eastAsia="Arial" w:hAnsi="Arial"/>
                <w:sz w:val="16"/>
                <w:szCs w:val="16"/>
                <w:color w:val="auto"/>
              </w:rPr>
              <w:t>3,220,000​</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12,051​</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right="76"/>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8,034​</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-848360</wp:posOffset>
            </wp:positionV>
            <wp:extent cx="5974715"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-505460</wp:posOffset>
            </wp:positionV>
            <wp:extent cx="5974715"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-162560</wp:posOffset>
            </wp:positionV>
            <wp:extent cx="5974715"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87" w:lineRule="exact"/>
        <w:rPr>
          <w:sz w:val="20"/>
          <w:szCs w:val="20"/>
          <w:color w:val="auto"/>
        </w:rPr>
      </w:pPr>
    </w:p>
    <w:p>
      <w:pPr>
        <w:ind w:left="1080" w:right="700" w:hanging="354"/>
        <w:spacing w:after="0" w:line="264" w:lineRule="auto"/>
        <w:tabs>
          <w:tab w:leader="none" w:pos="108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The grant date fair values of these stock-based awards as disclosed further below in the “Summary Compensation Table” and the “Grants of Plan-Based Awards Table” differ from the values stated above due to the grant date fair value of the PSAs being computed using a Monte Carlo simulation to value the portion of the award related to TSR percentile ranking, in accordance with the provisions of ASC 718.</w:t>
      </w:r>
    </w:p>
    <w:p>
      <w:pPr>
        <w:ind w:left="1080" w:right="760" w:hanging="354"/>
        <w:spacing w:after="0" w:line="281" w:lineRule="auto"/>
        <w:tabs>
          <w:tab w:leader="none" w:pos="108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dollar value of the award, divided by $160.31 per share, which was the closing price of the Company’s common stock on the Nasdaq Global Select Market on November 10, 2021.</w:t>
      </w:r>
    </w:p>
    <w:p>
      <w:pPr>
        <w:sectPr>
          <w:pgSz w:w="11900" w:h="16838" w:orient="portrait"/>
          <w:cols w:equalWidth="0" w:num="1">
            <w:col w:w="10720"/>
          </w:cols>
          <w:pgMar w:left="580" w:top="132" w:right="599" w:bottom="1440" w:gutter="0" w:footer="0" w:header="0"/>
          <w:type w:val="continuous"/>
        </w:sectPr>
      </w:pPr>
    </w:p>
    <w:p>
      <w:pPr>
        <w:spacing w:after="0" w:line="79"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After setting award levels by position and evaluating our business needs for the attraction and retention of executives and employees as well as internal and external circumstances impacting the Company and its employees, the Compensation Committee also reviewed the Comparator Group data to set the aggregate number of shares of the Company’s common stock that would be made available for annual equity awards to eligible non-executive employees of the Company, as a percentage of the total number of the outstanding shares of the Company’s common stock.</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FY22 PSAs</w:t>
      </w:r>
    </w:p>
    <w:p>
      <w:pPr>
        <w:spacing w:after="0" w:line="172" w:lineRule="exact"/>
        <w:rPr>
          <w:sz w:val="20"/>
          <w:szCs w:val="20"/>
          <w:color w:val="auto"/>
        </w:rPr>
      </w:pPr>
    </w:p>
    <w:p>
      <w:pPr>
        <w:ind w:right="940"/>
        <w:spacing w:after="0" w:line="266" w:lineRule="auto"/>
        <w:rPr>
          <w:sz w:val="20"/>
          <w:szCs w:val="20"/>
          <w:color w:val="auto"/>
        </w:rPr>
      </w:pPr>
      <w:r>
        <w:rPr>
          <w:rFonts w:ascii="Arial" w:cs="Arial" w:eastAsia="Arial" w:hAnsi="Arial"/>
          <w:sz w:val="20"/>
          <w:szCs w:val="20"/>
          <w:color w:val="auto"/>
        </w:rPr>
        <w:t>The PSAs granted on November 10, 2021 (the “FY22 PSAs”), have both “performance” and “continued employment” conditions that must be met in order for the executive to receive shares underlying the award.</w:t>
      </w:r>
    </w:p>
    <w:p>
      <w:pPr>
        <w:spacing w:after="0" w:line="197" w:lineRule="exact"/>
        <w:rPr>
          <w:sz w:val="20"/>
          <w:szCs w:val="20"/>
          <w:color w:val="auto"/>
        </w:rPr>
      </w:pPr>
    </w:p>
    <w:p>
      <w:pPr>
        <w:ind w:right="680"/>
        <w:spacing w:after="0" w:line="266" w:lineRule="auto"/>
        <w:rPr>
          <w:sz w:val="20"/>
          <w:szCs w:val="20"/>
          <w:color w:val="auto"/>
        </w:rPr>
      </w:pPr>
      <w:r>
        <w:rPr>
          <w:rFonts w:ascii="Arial" w:cs="Arial" w:eastAsia="Arial" w:hAnsi="Arial"/>
          <w:sz w:val="20"/>
          <w:szCs w:val="20"/>
          <w:color w:val="auto"/>
        </w:rPr>
        <w:t>The “performance” condition of the FY22 PSAs compares the Company’s performance under three distinct metrics during the applicable performance period against a range of pre-established targets,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187325</wp:posOffset>
            </wp:positionV>
            <wp:extent cx="5974715" cy="548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74715" cy="548640"/>
                    </a:xfrm>
                    <a:prstGeom prst="rect">
                      <a:avLst/>
                    </a:prstGeom>
                    <a:noFill/>
                  </pic:spPr>
                </pic:pic>
              </a:graphicData>
            </a:graphic>
          </wp:anchor>
        </w:drawing>
      </w:r>
    </w:p>
    <w:p>
      <w:pPr>
        <w:spacing w:after="0" w:line="253" w:lineRule="exact"/>
        <w:rPr>
          <w:sz w:val="20"/>
          <w:szCs w:val="20"/>
          <w:color w:val="auto"/>
        </w:rPr>
      </w:pPr>
    </w:p>
    <w:p>
      <w:pPr>
        <w:sectPr>
          <w:pgSz w:w="11900" w:h="16838" w:orient="portrait"/>
          <w:cols w:equalWidth="0" w:num="2">
            <w:col w:w="5120" w:space="460"/>
            <w:col w:w="5140"/>
          </w:cols>
          <w:pgMar w:left="580" w:top="132" w:right="599" w:bottom="1440" w:gutter="0" w:footer="0" w:header="0"/>
          <w:type w:val="continuous"/>
        </w:sectPr>
      </w:pP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Percentage of</w:t>
      </w:r>
    </w:p>
    <w:p>
      <w:pPr>
        <w:jc w:val="center"/>
        <w:spacing w:after="0" w:line="234" w:lineRule="auto"/>
        <w:rPr>
          <w:sz w:val="20"/>
          <w:szCs w:val="20"/>
          <w:color w:val="auto"/>
        </w:rPr>
      </w:pPr>
      <w:r>
        <w:rPr>
          <w:rFonts w:ascii="Arial" w:cs="Arial" w:eastAsia="Arial" w:hAnsi="Arial"/>
          <w:sz w:val="18"/>
          <w:szCs w:val="18"/>
          <w:color w:val="FFFFFF"/>
        </w:rPr>
        <w:t>Aggregate</w:t>
      </w:r>
    </w:p>
    <w:tbl>
      <w:tblPr>
        <w:tblLayout w:type="fixed"/>
        <w:tblInd w:w="0" w:type="dxa"/>
        <w:tblCellMar>
          <w:top w:w="0" w:type="dxa"/>
          <w:left w:w="0" w:type="dxa"/>
          <w:bottom w:w="0" w:type="dxa"/>
          <w:right w:w="0" w:type="dxa"/>
        </w:tblCellMar>
      </w:tblPr>
      <w:tr>
        <w:trPr>
          <w:trHeight w:val="203"/>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center"/>
              <w:spacing w:after="0" w:line="203" w:lineRule="exact"/>
              <w:rPr>
                <w:sz w:val="20"/>
                <w:szCs w:val="20"/>
                <w:color w:val="auto"/>
              </w:rPr>
            </w:pPr>
            <w:r>
              <w:rPr>
                <w:rFonts w:ascii="Arial" w:cs="Arial" w:eastAsia="Arial" w:hAnsi="Arial"/>
                <w:sz w:val="18"/>
                <w:szCs w:val="18"/>
                <w:color w:val="FFFFFF"/>
                <w:w w:val="97"/>
              </w:rPr>
              <w:t>Target Level</w:t>
            </w:r>
          </w:p>
        </w:tc>
        <w:tc>
          <w:tcPr>
            <w:tcW w:w="420" w:type="dxa"/>
            <w:vAlign w:val="bottom"/>
          </w:tcPr>
          <w:p>
            <w:pPr>
              <w:spacing w:after="0"/>
              <w:rPr>
                <w:sz w:val="17"/>
                <w:szCs w:val="17"/>
                <w:color w:val="auto"/>
              </w:rPr>
            </w:pPr>
          </w:p>
        </w:tc>
        <w:tc>
          <w:tcPr>
            <w:tcW w:w="1580" w:type="dxa"/>
            <w:vAlign w:val="bottom"/>
          </w:tcPr>
          <w:p>
            <w:pPr>
              <w:jc w:val="center"/>
              <w:ind w:right="93"/>
              <w:spacing w:after="0" w:line="203" w:lineRule="exact"/>
              <w:rPr>
                <w:sz w:val="20"/>
                <w:szCs w:val="20"/>
                <w:color w:val="auto"/>
              </w:rPr>
            </w:pPr>
            <w:r>
              <w:rPr>
                <w:rFonts w:ascii="Arial" w:cs="Arial" w:eastAsia="Arial" w:hAnsi="Arial"/>
                <w:sz w:val="18"/>
                <w:szCs w:val="18"/>
                <w:color w:val="FFFFFF"/>
              </w:rPr>
              <w:t>Performance</w:t>
            </w:r>
          </w:p>
        </w:tc>
        <w:tc>
          <w:tcPr>
            <w:tcW w:w="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7"/>
        </w:trPr>
        <w:tc>
          <w:tcPr>
            <w:tcW w:w="6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FFFFFF"/>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FFFFFF"/>
              </w:rPr>
              <w:t>​ ​</w:t>
            </w:r>
          </w:p>
        </w:tc>
        <w:tc>
          <w:tcPr>
            <w:tcW w:w="1040" w:type="dxa"/>
            <w:vAlign w:val="bottom"/>
          </w:tcPr>
          <w:p>
            <w:pPr>
              <w:jc w:val="center"/>
              <w:spacing w:after="0"/>
              <w:rPr>
                <w:sz w:val="20"/>
                <w:szCs w:val="20"/>
                <w:color w:val="auto"/>
              </w:rPr>
            </w:pPr>
            <w:r>
              <w:rPr>
                <w:rFonts w:ascii="Arial" w:cs="Arial" w:eastAsia="Arial" w:hAnsi="Arial"/>
                <w:sz w:val="18"/>
                <w:szCs w:val="18"/>
                <w:color w:val="FFFFFF"/>
              </w:rPr>
              <w:t>Shares</w:t>
            </w:r>
          </w:p>
        </w:tc>
        <w:tc>
          <w:tcPr>
            <w:tcW w:w="420" w:type="dxa"/>
            <w:vAlign w:val="bottom"/>
          </w:tcPr>
          <w:p>
            <w:pPr>
              <w:jc w:val="center"/>
              <w:spacing w:after="0"/>
              <w:rPr>
                <w:sz w:val="20"/>
                <w:szCs w:val="20"/>
                <w:color w:val="auto"/>
              </w:rPr>
            </w:pPr>
            <w:r>
              <w:rPr>
                <w:rFonts w:ascii="Arial" w:cs="Arial" w:eastAsia="Arial" w:hAnsi="Arial"/>
                <w:sz w:val="18"/>
                <w:szCs w:val="18"/>
                <w:color w:val="FFFFFF"/>
              </w:rPr>
              <w:t>​ ​</w:t>
            </w:r>
          </w:p>
        </w:tc>
        <w:tc>
          <w:tcPr>
            <w:tcW w:w="1580" w:type="dxa"/>
            <w:vAlign w:val="bottom"/>
          </w:tcPr>
          <w:p>
            <w:pPr>
              <w:jc w:val="center"/>
              <w:ind w:right="93"/>
              <w:spacing w:after="0"/>
              <w:rPr>
                <w:sz w:val="20"/>
                <w:szCs w:val="20"/>
                <w:color w:val="auto"/>
              </w:rPr>
            </w:pPr>
            <w:r>
              <w:rPr>
                <w:rFonts w:ascii="Arial" w:cs="Arial" w:eastAsia="Arial" w:hAnsi="Arial"/>
                <w:sz w:val="18"/>
                <w:szCs w:val="18"/>
                <w:color w:val="FFFFFF"/>
                <w:w w:val="99"/>
              </w:rPr>
              <w:t>Period</w:t>
            </w:r>
          </w:p>
        </w:tc>
        <w:tc>
          <w:tcPr>
            <w:tcW w:w="980" w:type="dxa"/>
            <w:vAlign w:val="bottom"/>
          </w:tcPr>
          <w:p>
            <w:pPr>
              <w:ind w:left="20"/>
              <w:spacing w:after="0"/>
              <w:rPr>
                <w:sz w:val="20"/>
                <w:szCs w:val="20"/>
                <w:color w:val="auto"/>
              </w:rPr>
            </w:pPr>
            <w:r>
              <w:rPr>
                <w:rFonts w:ascii="Arial" w:cs="Arial" w:eastAsia="Arial" w:hAnsi="Arial"/>
                <w:sz w:val="18"/>
                <w:szCs w:val="18"/>
                <w:color w:val="FFFFFF"/>
              </w:rPr>
              <w:t>​ ​</w:t>
            </w:r>
          </w:p>
        </w:tc>
        <w:tc>
          <w:tcPr>
            <w:tcW w:w="1400" w:type="dxa"/>
            <w:vAlign w:val="bottom"/>
          </w:tcPr>
          <w:p>
            <w:pPr>
              <w:ind w:left="20"/>
              <w:spacing w:after="0"/>
              <w:rPr>
                <w:sz w:val="20"/>
                <w:szCs w:val="20"/>
                <w:color w:val="auto"/>
              </w:rPr>
            </w:pPr>
            <w:r>
              <w:rPr>
                <w:rFonts w:ascii="Arial" w:cs="Arial" w:eastAsia="Arial" w:hAnsi="Arial"/>
                <w:sz w:val="18"/>
                <w:szCs w:val="18"/>
                <w:color w:val="FFFFFF"/>
              </w:rPr>
              <w:t>Vesting</w:t>
            </w:r>
          </w:p>
        </w:tc>
        <w:tc>
          <w:tcPr>
            <w:tcW w:w="740" w:type="dxa"/>
            <w:vAlign w:val="bottom"/>
            <w:gridSpan w:val="2"/>
          </w:tcPr>
          <w:p>
            <w:pPr>
              <w:jc w:val="right"/>
              <w:ind w:right="559"/>
              <w:spacing w:after="0"/>
              <w:rPr>
                <w:sz w:val="20"/>
                <w:szCs w:val="20"/>
                <w:color w:val="auto"/>
              </w:rPr>
            </w:pPr>
            <w:r>
              <w:rPr>
                <w:rFonts w:ascii="Arial" w:cs="Arial" w:eastAsia="Arial" w:hAnsi="Arial"/>
                <w:sz w:val="18"/>
                <w:szCs w:val="18"/>
                <w:color w:val="FFFFFF"/>
              </w:rPr>
              <w:t>​</w:t>
            </w:r>
          </w:p>
        </w:tc>
      </w:tr>
      <w:tr>
        <w:trPr>
          <w:trHeight w:val="258"/>
        </w:trPr>
        <w:tc>
          <w:tcPr>
            <w:tcW w:w="660" w:type="dxa"/>
            <w:vAlign w:val="bottom"/>
          </w:tcPr>
          <w:p>
            <w:pPr>
              <w:spacing w:after="0"/>
              <w:rPr>
                <w:sz w:val="22"/>
                <w:szCs w:val="22"/>
                <w:color w:val="auto"/>
              </w:rPr>
            </w:pPr>
          </w:p>
        </w:tc>
        <w:tc>
          <w:tcPr>
            <w:tcW w:w="3520" w:type="dxa"/>
            <w:vAlign w:val="bottom"/>
            <w:gridSpan w:val="4"/>
            <w:shd w:val="clear" w:color="auto" w:fill="E5E5E5"/>
          </w:tcPr>
          <w:p>
            <w:pPr>
              <w:ind w:left="40"/>
              <w:spacing w:after="0"/>
              <w:rPr>
                <w:sz w:val="20"/>
                <w:szCs w:val="20"/>
                <w:color w:val="auto"/>
              </w:rPr>
            </w:pPr>
            <w:r>
              <w:rPr>
                <w:rFonts w:ascii="Arial" w:cs="Arial" w:eastAsia="Arial" w:hAnsi="Arial"/>
                <w:sz w:val="16"/>
                <w:szCs w:val="16"/>
                <w:color w:val="auto"/>
              </w:rPr>
              <w:t>Target Level Shares with Respect to Emerging</w:t>
            </w:r>
          </w:p>
        </w:tc>
        <w:tc>
          <w:tcPr>
            <w:tcW w:w="380" w:type="dxa"/>
            <w:vAlign w:val="bottom"/>
            <w:shd w:val="clear" w:color="auto" w:fill="E5E5E5"/>
          </w:tcPr>
          <w:p>
            <w:pPr>
              <w:spacing w:after="0"/>
              <w:rPr>
                <w:sz w:val="22"/>
                <w:szCs w:val="22"/>
                <w:color w:val="auto"/>
              </w:rPr>
            </w:pPr>
          </w:p>
        </w:tc>
        <w:tc>
          <w:tcPr>
            <w:tcW w:w="1040" w:type="dxa"/>
            <w:vAlign w:val="bottom"/>
            <w:shd w:val="clear" w:color="auto" w:fill="E5E5E5"/>
          </w:tcPr>
          <w:p>
            <w:pPr>
              <w:spacing w:after="0"/>
              <w:rPr>
                <w:sz w:val="22"/>
                <w:szCs w:val="22"/>
                <w:color w:val="auto"/>
              </w:rPr>
            </w:pPr>
          </w:p>
        </w:tc>
        <w:tc>
          <w:tcPr>
            <w:tcW w:w="420" w:type="dxa"/>
            <w:vAlign w:val="bottom"/>
            <w:shd w:val="clear" w:color="auto" w:fill="E5E5E5"/>
          </w:tcPr>
          <w:p>
            <w:pPr>
              <w:spacing w:after="0"/>
              <w:rPr>
                <w:sz w:val="22"/>
                <w:szCs w:val="22"/>
                <w:color w:val="auto"/>
              </w:rPr>
            </w:pPr>
          </w:p>
        </w:tc>
        <w:tc>
          <w:tcPr>
            <w:tcW w:w="1580" w:type="dxa"/>
            <w:vAlign w:val="bottom"/>
            <w:shd w:val="clear" w:color="auto" w:fill="E5E5E5"/>
          </w:tcPr>
          <w:p>
            <w:pPr>
              <w:spacing w:after="0"/>
              <w:rPr>
                <w:sz w:val="22"/>
                <w:szCs w:val="22"/>
                <w:color w:val="auto"/>
              </w:rPr>
            </w:pPr>
          </w:p>
        </w:tc>
        <w:tc>
          <w:tcPr>
            <w:tcW w:w="980" w:type="dxa"/>
            <w:vAlign w:val="bottom"/>
            <w:shd w:val="clear" w:color="auto" w:fill="E5E5E5"/>
          </w:tcPr>
          <w:p>
            <w:pPr>
              <w:spacing w:after="0"/>
              <w:rPr>
                <w:sz w:val="22"/>
                <w:szCs w:val="22"/>
                <w:color w:val="auto"/>
              </w:rPr>
            </w:pPr>
          </w:p>
        </w:tc>
        <w:tc>
          <w:tcPr>
            <w:tcW w:w="1400" w:type="dxa"/>
            <w:vAlign w:val="bottom"/>
            <w:shd w:val="clear" w:color="auto" w:fill="E5E5E5"/>
          </w:tcPr>
          <w:p>
            <w:pPr>
              <w:spacing w:after="0"/>
              <w:rPr>
                <w:sz w:val="22"/>
                <w:szCs w:val="22"/>
                <w:color w:val="auto"/>
              </w:rPr>
            </w:pPr>
          </w:p>
        </w:tc>
        <w:tc>
          <w:tcPr>
            <w:tcW w:w="80" w:type="dxa"/>
            <w:vAlign w:val="bottom"/>
            <w:shd w:val="clear" w:color="auto" w:fill="E5E5E5"/>
          </w:tcPr>
          <w:p>
            <w:pPr>
              <w:spacing w:after="0"/>
              <w:rPr>
                <w:sz w:val="22"/>
                <w:szCs w:val="22"/>
                <w:color w:val="auto"/>
              </w:rPr>
            </w:pPr>
          </w:p>
        </w:tc>
        <w:tc>
          <w:tcPr>
            <w:tcW w:w="660" w:type="dxa"/>
            <w:vAlign w:val="bottom"/>
          </w:tcPr>
          <w:p>
            <w:pPr>
              <w:spacing w:after="0"/>
              <w:rPr>
                <w:sz w:val="22"/>
                <w:szCs w:val="22"/>
                <w:color w:val="auto"/>
              </w:rPr>
            </w:pPr>
          </w:p>
        </w:tc>
      </w:tr>
      <w:tr>
        <w:trPr>
          <w:trHeight w:val="201"/>
        </w:trPr>
        <w:tc>
          <w:tcPr>
            <w:tcW w:w="660" w:type="dxa"/>
            <w:vAlign w:val="bottom"/>
          </w:tcPr>
          <w:p>
            <w:pPr>
              <w:spacing w:after="0"/>
              <w:rPr>
                <w:sz w:val="17"/>
                <w:szCs w:val="17"/>
                <w:color w:val="auto"/>
              </w:rPr>
            </w:pPr>
          </w:p>
        </w:tc>
        <w:tc>
          <w:tcPr>
            <w:tcW w:w="700" w:type="dxa"/>
            <w:vAlign w:val="bottom"/>
            <w:gridSpan w:val="2"/>
            <w:shd w:val="clear" w:color="auto" w:fill="E5E5E5"/>
          </w:tcPr>
          <w:p>
            <w:pPr>
              <w:ind w:left="40"/>
              <w:spacing w:after="0"/>
              <w:rPr>
                <w:sz w:val="20"/>
                <w:szCs w:val="20"/>
                <w:color w:val="auto"/>
              </w:rPr>
            </w:pPr>
            <w:r>
              <w:rPr>
                <w:rFonts w:ascii="Arial" w:cs="Arial" w:eastAsia="Arial" w:hAnsi="Arial"/>
                <w:sz w:val="16"/>
                <w:szCs w:val="16"/>
                <w:color w:val="auto"/>
                <w:w w:val="99"/>
              </w:rPr>
              <w:t>Revenue​</w:t>
            </w:r>
          </w:p>
        </w:tc>
        <w:tc>
          <w:tcPr>
            <w:tcW w:w="2820" w:type="dxa"/>
            <w:vAlign w:val="bottom"/>
            <w:gridSpan w:val="2"/>
            <w:shd w:val="clear" w:color="auto" w:fill="E5E5E5"/>
          </w:tcPr>
          <w:p>
            <w:pPr>
              <w:ind w:left="20"/>
              <w:spacing w:after="0"/>
              <w:rPr>
                <w:sz w:val="20"/>
                <w:szCs w:val="20"/>
                <w:color w:val="auto"/>
              </w:rPr>
            </w:pPr>
            <w:r>
              <w:rPr>
                <w:rFonts w:ascii="Arial" w:cs="Arial" w:eastAsia="Arial" w:hAnsi="Arial"/>
                <w:sz w:val="16"/>
                <w:szCs w:val="16"/>
                <w:color w:val="auto"/>
              </w:rPr>
              <w:t>Growth Metric</w:t>
            </w:r>
            <w:r>
              <w:rPr>
                <w:rFonts w:ascii="Arial" w:cs="Arial" w:eastAsia="Arial" w:hAnsi="Arial"/>
                <w:sz w:val="16"/>
                <w:szCs w:val="16"/>
                <w:color w:val="0075A8"/>
              </w:rPr>
              <w:t>(1)</w:t>
            </w:r>
          </w:p>
        </w:tc>
        <w:tc>
          <w:tcPr>
            <w:tcW w:w="380" w:type="dxa"/>
            <w:vAlign w:val="bottom"/>
            <w:shd w:val="clear" w:color="auto" w:fill="E5E5E5"/>
          </w:tcPr>
          <w:p>
            <w:pPr>
              <w:ind w:left="200"/>
              <w:spacing w:after="0"/>
              <w:rPr>
                <w:sz w:val="20"/>
                <w:szCs w:val="20"/>
                <w:color w:val="auto"/>
              </w:rPr>
            </w:pPr>
            <w:r>
              <w:rPr>
                <w:rFonts w:ascii="Arial" w:cs="Arial" w:eastAsia="Arial" w:hAnsi="Arial"/>
                <w:sz w:val="16"/>
                <w:szCs w:val="16"/>
                <w:color w:val="auto"/>
              </w:rPr>
              <w:t>​ ​</w:t>
            </w:r>
          </w:p>
        </w:tc>
        <w:tc>
          <w:tcPr>
            <w:tcW w:w="1040" w:type="dxa"/>
            <w:vAlign w:val="bottom"/>
            <w:shd w:val="clear" w:color="auto" w:fill="E5E5E5"/>
          </w:tcPr>
          <w:p>
            <w:pPr>
              <w:ind w:left="420"/>
              <w:spacing w:after="0"/>
              <w:rPr>
                <w:sz w:val="20"/>
                <w:szCs w:val="20"/>
                <w:color w:val="auto"/>
              </w:rPr>
            </w:pPr>
            <w:r>
              <w:rPr>
                <w:rFonts w:ascii="Arial" w:cs="Arial" w:eastAsia="Arial" w:hAnsi="Arial"/>
                <w:sz w:val="16"/>
                <w:szCs w:val="16"/>
                <w:color w:val="auto"/>
              </w:rPr>
              <w:t>​25​%</w:t>
            </w:r>
          </w:p>
        </w:tc>
        <w:tc>
          <w:tcPr>
            <w:tcW w:w="4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 ​ ​</w:t>
            </w:r>
          </w:p>
        </w:tc>
        <w:tc>
          <w:tcPr>
            <w:tcW w:w="1580" w:type="dxa"/>
            <w:vAlign w:val="bottom"/>
            <w:shd w:val="clear" w:color="auto" w:fill="E5E5E5"/>
          </w:tcPr>
          <w:p>
            <w:pPr>
              <w:jc w:val="center"/>
              <w:ind w:right="93"/>
              <w:spacing w:after="0"/>
              <w:rPr>
                <w:sz w:val="20"/>
                <w:szCs w:val="20"/>
                <w:color w:val="auto"/>
              </w:rPr>
            </w:pPr>
            <w:r>
              <w:rPr>
                <w:rFonts w:ascii="Arial" w:cs="Arial" w:eastAsia="Arial" w:hAnsi="Arial"/>
                <w:sz w:val="16"/>
                <w:szCs w:val="16"/>
                <w:color w:val="auto"/>
                <w:w w:val="99"/>
              </w:rPr>
              <w:t>Fiscal Year 2022</w:t>
            </w:r>
          </w:p>
        </w:tc>
        <w:tc>
          <w:tcPr>
            <w:tcW w:w="238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 ​ 100% at the End of Year Two</w:t>
            </w:r>
          </w:p>
        </w:tc>
        <w:tc>
          <w:tcPr>
            <w:tcW w:w="80" w:type="dxa"/>
            <w:vAlign w:val="bottom"/>
            <w:shd w:val="clear" w:color="auto" w:fill="E5E5E5"/>
          </w:tcPr>
          <w:p>
            <w:pPr>
              <w:spacing w:after="0"/>
              <w:rPr>
                <w:sz w:val="17"/>
                <w:szCs w:val="17"/>
                <w:color w:val="auto"/>
              </w:rPr>
            </w:pPr>
          </w:p>
        </w:tc>
        <w:tc>
          <w:tcPr>
            <w:tcW w:w="660" w:type="dxa"/>
            <w:vAlign w:val="bottom"/>
          </w:tcPr>
          <w:p>
            <w:pPr>
              <w:jc w:val="right"/>
              <w:ind w:right="539"/>
              <w:spacing w:after="0"/>
              <w:rPr>
                <w:sz w:val="20"/>
                <w:szCs w:val="20"/>
                <w:color w:val="auto"/>
              </w:rPr>
            </w:pPr>
            <w:r>
              <w:rPr>
                <w:rFonts w:ascii="Arial" w:cs="Arial" w:eastAsia="Arial" w:hAnsi="Arial"/>
                <w:sz w:val="16"/>
                <w:szCs w:val="16"/>
                <w:color w:val="auto"/>
              </w:rPr>
              <w:t>​</w:t>
            </w:r>
          </w:p>
        </w:tc>
      </w:tr>
      <w:tr>
        <w:trPr>
          <w:trHeight w:val="258"/>
        </w:trPr>
        <w:tc>
          <w:tcPr>
            <w:tcW w:w="660" w:type="dxa"/>
            <w:vAlign w:val="bottom"/>
          </w:tcPr>
          <w:p>
            <w:pPr>
              <w:spacing w:after="0"/>
              <w:rPr>
                <w:sz w:val="22"/>
                <w:szCs w:val="22"/>
                <w:color w:val="auto"/>
              </w:rPr>
            </w:pPr>
          </w:p>
        </w:tc>
        <w:tc>
          <w:tcPr>
            <w:tcW w:w="3520" w:type="dxa"/>
            <w:vAlign w:val="bottom"/>
            <w:gridSpan w:val="4"/>
          </w:tcPr>
          <w:p>
            <w:pPr>
              <w:ind w:left="40"/>
              <w:spacing w:after="0"/>
              <w:rPr>
                <w:sz w:val="20"/>
                <w:szCs w:val="20"/>
                <w:color w:val="auto"/>
              </w:rPr>
            </w:pPr>
            <w:r>
              <w:rPr>
                <w:rFonts w:ascii="Arial" w:cs="Arial" w:eastAsia="Arial" w:hAnsi="Arial"/>
                <w:sz w:val="16"/>
                <w:szCs w:val="16"/>
                <w:color w:val="auto"/>
              </w:rPr>
              <w:t>Target Level Shares with Respect to EBITDA</w:t>
            </w: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198"/>
        </w:trPr>
        <w:tc>
          <w:tcPr>
            <w:tcW w:w="66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rPr>
              <w:t>Margin​</w:t>
            </w:r>
          </w:p>
        </w:tc>
        <w:tc>
          <w:tcPr>
            <w:tcW w:w="2960" w:type="dxa"/>
            <w:vAlign w:val="bottom"/>
            <w:gridSpan w:val="3"/>
          </w:tcPr>
          <w:p>
            <w:pPr>
              <w:ind w:left="20"/>
              <w:spacing w:after="0"/>
              <w:rPr>
                <w:sz w:val="20"/>
                <w:szCs w:val="20"/>
                <w:color w:val="auto"/>
              </w:rPr>
            </w:pPr>
            <w:r>
              <w:rPr>
                <w:rFonts w:ascii="Arial" w:cs="Arial" w:eastAsia="Arial" w:hAnsi="Arial"/>
                <w:sz w:val="16"/>
                <w:szCs w:val="16"/>
                <w:color w:val="auto"/>
              </w:rPr>
              <w:t>Percentile Ranking Metric</w:t>
            </w:r>
            <w:r>
              <w:rPr>
                <w:rFonts w:ascii="Arial" w:cs="Arial" w:eastAsia="Arial" w:hAnsi="Arial"/>
                <w:sz w:val="16"/>
                <w:szCs w:val="16"/>
                <w:color w:val="0075A8"/>
              </w:rPr>
              <w:t>(2)</w:t>
            </w:r>
          </w:p>
        </w:tc>
        <w:tc>
          <w:tcPr>
            <w:tcW w:w="380" w:type="dxa"/>
            <w:vAlign w:val="bottom"/>
          </w:tcPr>
          <w:p>
            <w:pPr>
              <w:ind w:left="200"/>
              <w:spacing w:after="0"/>
              <w:rPr>
                <w:sz w:val="20"/>
                <w:szCs w:val="20"/>
                <w:color w:val="auto"/>
              </w:rPr>
            </w:pPr>
            <w:r>
              <w:rPr>
                <w:rFonts w:ascii="Arial" w:cs="Arial" w:eastAsia="Arial" w:hAnsi="Arial"/>
                <w:sz w:val="16"/>
                <w:szCs w:val="16"/>
                <w:color w:val="auto"/>
              </w:rPr>
              <w:t>​ ​</w:t>
            </w:r>
          </w:p>
        </w:tc>
        <w:tc>
          <w:tcPr>
            <w:tcW w:w="1040" w:type="dxa"/>
            <w:vAlign w:val="bottom"/>
          </w:tcPr>
          <w:p>
            <w:pPr>
              <w:ind w:left="420"/>
              <w:spacing w:after="0"/>
              <w:rPr>
                <w:sz w:val="20"/>
                <w:szCs w:val="20"/>
                <w:color w:val="auto"/>
              </w:rPr>
            </w:pPr>
            <w:r>
              <w:rPr>
                <w:rFonts w:ascii="Arial" w:cs="Arial" w:eastAsia="Arial" w:hAnsi="Arial"/>
                <w:sz w:val="16"/>
                <w:szCs w:val="16"/>
                <w:color w:val="auto"/>
              </w:rPr>
              <w:t>​25​%</w:t>
            </w:r>
          </w:p>
        </w:tc>
        <w:tc>
          <w:tcPr>
            <w:tcW w:w="2000" w:type="dxa"/>
            <w:vAlign w:val="bottom"/>
            <w:gridSpan w:val="2"/>
          </w:tcPr>
          <w:p>
            <w:pPr>
              <w:ind w:left="40"/>
              <w:spacing w:after="0"/>
              <w:rPr>
                <w:sz w:val="20"/>
                <w:szCs w:val="20"/>
                <w:color w:val="auto"/>
              </w:rPr>
            </w:pPr>
            <w:r>
              <w:rPr>
                <w:rFonts w:ascii="Arial" w:cs="Arial" w:eastAsia="Arial" w:hAnsi="Arial"/>
                <w:sz w:val="16"/>
                <w:szCs w:val="16"/>
                <w:color w:val="auto"/>
              </w:rPr>
              <w:t>​ ​ ​Fiscal Years 2022-2023</w:t>
            </w:r>
          </w:p>
        </w:tc>
        <w:tc>
          <w:tcPr>
            <w:tcW w:w="2380" w:type="dxa"/>
            <w:vAlign w:val="bottom"/>
            <w:gridSpan w:val="2"/>
          </w:tcPr>
          <w:p>
            <w:pPr>
              <w:ind w:left="80"/>
              <w:spacing w:after="0"/>
              <w:rPr>
                <w:sz w:val="20"/>
                <w:szCs w:val="20"/>
                <w:color w:val="auto"/>
              </w:rPr>
            </w:pPr>
            <w:r>
              <w:rPr>
                <w:rFonts w:ascii="Arial" w:cs="Arial" w:eastAsia="Arial" w:hAnsi="Arial"/>
                <w:sz w:val="16"/>
                <w:szCs w:val="16"/>
                <w:color w:val="auto"/>
              </w:rPr>
              <w:t>​ ​ 100% at the End of Year Two</w:t>
            </w:r>
          </w:p>
        </w:tc>
        <w:tc>
          <w:tcPr>
            <w:tcW w:w="80" w:type="dxa"/>
            <w:vAlign w:val="bottom"/>
          </w:tcPr>
          <w:p>
            <w:pPr>
              <w:spacing w:after="0"/>
              <w:rPr>
                <w:sz w:val="17"/>
                <w:szCs w:val="17"/>
                <w:color w:val="auto"/>
              </w:rPr>
            </w:pPr>
          </w:p>
        </w:tc>
        <w:tc>
          <w:tcPr>
            <w:tcW w:w="660" w:type="dxa"/>
            <w:vAlign w:val="bottom"/>
          </w:tcPr>
          <w:p>
            <w:pPr>
              <w:jc w:val="right"/>
              <w:ind w:right="539"/>
              <w:spacing w:after="0"/>
              <w:rPr>
                <w:sz w:val="20"/>
                <w:szCs w:val="20"/>
                <w:color w:val="auto"/>
              </w:rPr>
            </w:pPr>
            <w:r>
              <w:rPr>
                <w:rFonts w:ascii="Arial" w:cs="Arial" w:eastAsia="Arial" w:hAnsi="Arial"/>
                <w:sz w:val="16"/>
                <w:szCs w:val="16"/>
                <w:color w:val="auto"/>
              </w:rPr>
              <w:t>​</w:t>
            </w:r>
          </w:p>
        </w:tc>
      </w:tr>
      <w:tr>
        <w:trPr>
          <w:trHeight w:val="261"/>
        </w:trPr>
        <w:tc>
          <w:tcPr>
            <w:tcW w:w="660" w:type="dxa"/>
            <w:vAlign w:val="bottom"/>
          </w:tcPr>
          <w:p>
            <w:pPr>
              <w:spacing w:after="0"/>
              <w:rPr>
                <w:sz w:val="22"/>
                <w:szCs w:val="22"/>
                <w:color w:val="auto"/>
              </w:rPr>
            </w:pPr>
          </w:p>
        </w:tc>
        <w:tc>
          <w:tcPr>
            <w:tcW w:w="3520" w:type="dxa"/>
            <w:vAlign w:val="bottom"/>
            <w:gridSpan w:val="4"/>
            <w:shd w:val="clear" w:color="auto" w:fill="E5E5E5"/>
          </w:tcPr>
          <w:p>
            <w:pPr>
              <w:ind w:left="40"/>
              <w:spacing w:after="0"/>
              <w:rPr>
                <w:sz w:val="20"/>
                <w:szCs w:val="20"/>
                <w:color w:val="auto"/>
              </w:rPr>
            </w:pPr>
            <w:r>
              <w:rPr>
                <w:rFonts w:ascii="Arial" w:cs="Arial" w:eastAsia="Arial" w:hAnsi="Arial"/>
                <w:sz w:val="16"/>
                <w:szCs w:val="16"/>
                <w:color w:val="auto"/>
              </w:rPr>
              <w:t>Target Level Shares with Respect to TSR</w:t>
            </w:r>
          </w:p>
        </w:tc>
        <w:tc>
          <w:tcPr>
            <w:tcW w:w="380" w:type="dxa"/>
            <w:vAlign w:val="bottom"/>
            <w:shd w:val="clear" w:color="auto" w:fill="E5E5E5"/>
          </w:tcPr>
          <w:p>
            <w:pPr>
              <w:spacing w:after="0"/>
              <w:rPr>
                <w:sz w:val="22"/>
                <w:szCs w:val="22"/>
                <w:color w:val="auto"/>
              </w:rPr>
            </w:pPr>
          </w:p>
        </w:tc>
        <w:tc>
          <w:tcPr>
            <w:tcW w:w="1040" w:type="dxa"/>
            <w:vAlign w:val="bottom"/>
            <w:shd w:val="clear" w:color="auto" w:fill="E5E5E5"/>
          </w:tcPr>
          <w:p>
            <w:pPr>
              <w:spacing w:after="0"/>
              <w:rPr>
                <w:sz w:val="22"/>
                <w:szCs w:val="22"/>
                <w:color w:val="auto"/>
              </w:rPr>
            </w:pPr>
          </w:p>
        </w:tc>
        <w:tc>
          <w:tcPr>
            <w:tcW w:w="420" w:type="dxa"/>
            <w:vAlign w:val="bottom"/>
            <w:shd w:val="clear" w:color="auto" w:fill="E5E5E5"/>
          </w:tcPr>
          <w:p>
            <w:pPr>
              <w:spacing w:after="0"/>
              <w:rPr>
                <w:sz w:val="22"/>
                <w:szCs w:val="22"/>
                <w:color w:val="auto"/>
              </w:rPr>
            </w:pPr>
          </w:p>
        </w:tc>
        <w:tc>
          <w:tcPr>
            <w:tcW w:w="1580" w:type="dxa"/>
            <w:vAlign w:val="bottom"/>
            <w:shd w:val="clear" w:color="auto" w:fill="E5E5E5"/>
          </w:tcPr>
          <w:p>
            <w:pPr>
              <w:spacing w:after="0"/>
              <w:rPr>
                <w:sz w:val="22"/>
                <w:szCs w:val="22"/>
                <w:color w:val="auto"/>
              </w:rPr>
            </w:pPr>
          </w:p>
        </w:tc>
        <w:tc>
          <w:tcPr>
            <w:tcW w:w="980" w:type="dxa"/>
            <w:vAlign w:val="bottom"/>
            <w:shd w:val="clear" w:color="auto" w:fill="E5E5E5"/>
          </w:tcPr>
          <w:p>
            <w:pPr>
              <w:spacing w:after="0"/>
              <w:rPr>
                <w:sz w:val="22"/>
                <w:szCs w:val="22"/>
                <w:color w:val="auto"/>
              </w:rPr>
            </w:pPr>
          </w:p>
        </w:tc>
        <w:tc>
          <w:tcPr>
            <w:tcW w:w="1400" w:type="dxa"/>
            <w:vAlign w:val="bottom"/>
            <w:shd w:val="clear" w:color="auto" w:fill="E5E5E5"/>
          </w:tcPr>
          <w:p>
            <w:pPr>
              <w:spacing w:after="0"/>
              <w:rPr>
                <w:sz w:val="22"/>
                <w:szCs w:val="22"/>
                <w:color w:val="auto"/>
              </w:rPr>
            </w:pPr>
          </w:p>
        </w:tc>
        <w:tc>
          <w:tcPr>
            <w:tcW w:w="80" w:type="dxa"/>
            <w:vAlign w:val="bottom"/>
            <w:shd w:val="clear" w:color="auto" w:fill="E5E5E5"/>
          </w:tcPr>
          <w:p>
            <w:pPr>
              <w:spacing w:after="0"/>
              <w:rPr>
                <w:sz w:val="22"/>
                <w:szCs w:val="22"/>
                <w:color w:val="auto"/>
              </w:rPr>
            </w:pPr>
          </w:p>
        </w:tc>
        <w:tc>
          <w:tcPr>
            <w:tcW w:w="660" w:type="dxa"/>
            <w:vAlign w:val="bottom"/>
          </w:tcPr>
          <w:p>
            <w:pPr>
              <w:spacing w:after="0"/>
              <w:rPr>
                <w:sz w:val="22"/>
                <w:szCs w:val="22"/>
                <w:color w:val="auto"/>
              </w:rPr>
            </w:pPr>
          </w:p>
        </w:tc>
      </w:tr>
      <w:tr>
        <w:trPr>
          <w:trHeight w:val="201"/>
        </w:trPr>
        <w:tc>
          <w:tcPr>
            <w:tcW w:w="660" w:type="dxa"/>
            <w:vAlign w:val="bottom"/>
          </w:tcPr>
          <w:p>
            <w:pPr>
              <w:spacing w:after="0"/>
              <w:rPr>
                <w:sz w:val="17"/>
                <w:szCs w:val="17"/>
                <w:color w:val="auto"/>
              </w:rPr>
            </w:pPr>
          </w:p>
        </w:tc>
        <w:tc>
          <w:tcPr>
            <w:tcW w:w="780" w:type="dxa"/>
            <w:vAlign w:val="bottom"/>
            <w:gridSpan w:val="3"/>
            <w:shd w:val="clear" w:color="auto" w:fill="E5E5E5"/>
          </w:tcPr>
          <w:p>
            <w:pPr>
              <w:ind w:left="40"/>
              <w:spacing w:after="0"/>
              <w:rPr>
                <w:sz w:val="20"/>
                <w:szCs w:val="20"/>
                <w:color w:val="auto"/>
              </w:rPr>
            </w:pPr>
            <w:r>
              <w:rPr>
                <w:rFonts w:ascii="Arial" w:cs="Arial" w:eastAsia="Arial" w:hAnsi="Arial"/>
                <w:sz w:val="16"/>
                <w:szCs w:val="16"/>
                <w:color w:val="auto"/>
              </w:rPr>
              <w:t>Percentile​</w:t>
            </w:r>
          </w:p>
        </w:tc>
        <w:tc>
          <w:tcPr>
            <w:tcW w:w="2740" w:type="dxa"/>
            <w:vAlign w:val="bottom"/>
            <w:shd w:val="clear" w:color="auto" w:fill="E5E5E5"/>
          </w:tcPr>
          <w:p>
            <w:pPr>
              <w:ind w:left="20"/>
              <w:spacing w:after="0"/>
              <w:rPr>
                <w:sz w:val="20"/>
                <w:szCs w:val="20"/>
                <w:color w:val="auto"/>
              </w:rPr>
            </w:pPr>
            <w:r>
              <w:rPr>
                <w:rFonts w:ascii="Arial" w:cs="Arial" w:eastAsia="Arial" w:hAnsi="Arial"/>
                <w:sz w:val="16"/>
                <w:szCs w:val="16"/>
                <w:color w:val="auto"/>
              </w:rPr>
              <w:t>Ranking Metric</w:t>
            </w:r>
            <w:r>
              <w:rPr>
                <w:rFonts w:ascii="Arial" w:cs="Arial" w:eastAsia="Arial" w:hAnsi="Arial"/>
                <w:sz w:val="16"/>
                <w:szCs w:val="16"/>
                <w:color w:val="0075A8"/>
              </w:rPr>
              <w:t>(3)</w:t>
            </w:r>
          </w:p>
        </w:tc>
        <w:tc>
          <w:tcPr>
            <w:tcW w:w="380" w:type="dxa"/>
            <w:vAlign w:val="bottom"/>
            <w:shd w:val="clear" w:color="auto" w:fill="E5E5E5"/>
          </w:tcPr>
          <w:p>
            <w:pPr>
              <w:ind w:left="200"/>
              <w:spacing w:after="0"/>
              <w:rPr>
                <w:sz w:val="20"/>
                <w:szCs w:val="20"/>
                <w:color w:val="auto"/>
              </w:rPr>
            </w:pPr>
            <w:r>
              <w:rPr>
                <w:rFonts w:ascii="Arial" w:cs="Arial" w:eastAsia="Arial" w:hAnsi="Arial"/>
                <w:sz w:val="16"/>
                <w:szCs w:val="16"/>
                <w:color w:val="auto"/>
              </w:rPr>
              <w:t>​ ​</w:t>
            </w:r>
          </w:p>
        </w:tc>
        <w:tc>
          <w:tcPr>
            <w:tcW w:w="1040" w:type="dxa"/>
            <w:vAlign w:val="bottom"/>
            <w:shd w:val="clear" w:color="auto" w:fill="E5E5E5"/>
          </w:tcPr>
          <w:p>
            <w:pPr>
              <w:ind w:left="420"/>
              <w:spacing w:after="0"/>
              <w:rPr>
                <w:sz w:val="20"/>
                <w:szCs w:val="20"/>
                <w:color w:val="auto"/>
              </w:rPr>
            </w:pPr>
            <w:r>
              <w:rPr>
                <w:rFonts w:ascii="Arial" w:cs="Arial" w:eastAsia="Arial" w:hAnsi="Arial"/>
                <w:sz w:val="16"/>
                <w:szCs w:val="16"/>
                <w:color w:val="auto"/>
              </w:rPr>
              <w:t>​50​%</w:t>
            </w:r>
          </w:p>
        </w:tc>
        <w:tc>
          <w:tcPr>
            <w:tcW w:w="2000" w:type="dxa"/>
            <w:vAlign w:val="bottom"/>
            <w:gridSpan w:val="2"/>
            <w:shd w:val="clear" w:color="auto" w:fill="E5E5E5"/>
          </w:tcPr>
          <w:p>
            <w:pPr>
              <w:ind w:left="40"/>
              <w:spacing w:after="0"/>
              <w:rPr>
                <w:sz w:val="20"/>
                <w:szCs w:val="20"/>
                <w:color w:val="auto"/>
              </w:rPr>
            </w:pPr>
            <w:r>
              <w:rPr>
                <w:rFonts w:ascii="Arial" w:cs="Arial" w:eastAsia="Arial" w:hAnsi="Arial"/>
                <w:sz w:val="16"/>
                <w:szCs w:val="16"/>
                <w:color w:val="auto"/>
              </w:rPr>
              <w:t>​ ​ ​Fiscal Years 2022-2024</w:t>
            </w:r>
          </w:p>
        </w:tc>
        <w:tc>
          <w:tcPr>
            <w:tcW w:w="2460" w:type="dxa"/>
            <w:vAlign w:val="bottom"/>
            <w:gridSpan w:val="3"/>
            <w:shd w:val="clear" w:color="auto" w:fill="E5E5E5"/>
          </w:tcPr>
          <w:p>
            <w:pPr>
              <w:ind w:left="80"/>
              <w:spacing w:after="0"/>
              <w:rPr>
                <w:sz w:val="20"/>
                <w:szCs w:val="20"/>
                <w:color w:val="auto"/>
              </w:rPr>
            </w:pPr>
            <w:r>
              <w:rPr>
                <w:rFonts w:ascii="Arial" w:cs="Arial" w:eastAsia="Arial" w:hAnsi="Arial"/>
                <w:sz w:val="16"/>
                <w:szCs w:val="16"/>
                <w:color w:val="auto"/>
              </w:rPr>
              <w:t>​ ​100% at the End of Year Three</w:t>
            </w:r>
          </w:p>
        </w:tc>
        <w:tc>
          <w:tcPr>
            <w:tcW w:w="660" w:type="dxa"/>
            <w:vAlign w:val="bottom"/>
          </w:tcPr>
          <w:p>
            <w:pPr>
              <w:jc w:val="right"/>
              <w:ind w:right="539"/>
              <w:spacing w:after="0"/>
              <w:rPr>
                <w:sz w:val="20"/>
                <w:szCs w:val="20"/>
                <w:color w:val="auto"/>
              </w:rPr>
            </w:pPr>
            <w:r>
              <w:rPr>
                <w:rFonts w:ascii="Arial" w:cs="Arial" w:eastAsia="Arial" w:hAnsi="Arial"/>
                <w:sz w:val="16"/>
                <w:szCs w:val="16"/>
                <w:color w:val="auto"/>
              </w:rPr>
              <w:t>​</w:t>
            </w:r>
          </w:p>
        </w:tc>
      </w:tr>
      <w:tr>
        <w:trPr>
          <w:trHeight w:val="669"/>
        </w:trPr>
        <w:tc>
          <w:tcPr>
            <w:tcW w:w="6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ind w:left="72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80" w:type="dxa"/>
            <w:vAlign w:val="bottom"/>
          </w:tcPr>
          <w:p>
            <w:pPr>
              <w:ind w:left="660"/>
              <w:spacing w:after="0"/>
              <w:rPr>
                <w:sz w:val="20"/>
                <w:szCs w:val="20"/>
                <w:color w:val="auto"/>
              </w:rPr>
            </w:pPr>
            <w:r>
              <w:rPr>
                <w:rFonts w:ascii="Arial" w:cs="Arial" w:eastAsia="Arial" w:hAnsi="Arial"/>
                <w:sz w:val="16"/>
                <w:szCs w:val="16"/>
                <w:color w:val="auto"/>
              </w:rPr>
              <w:t>​   ​</w:t>
            </w:r>
          </w:p>
        </w:tc>
        <w:tc>
          <w:tcPr>
            <w:tcW w:w="2140" w:type="dxa"/>
            <w:vAlign w:val="bottom"/>
            <w:gridSpan w:val="3"/>
          </w:tcPr>
          <w:p>
            <w:pPr>
              <w:jc w:val="right"/>
              <w:ind w:right="539"/>
              <w:spacing w:after="0"/>
              <w:rPr>
                <w:sz w:val="20"/>
                <w:szCs w:val="20"/>
                <w:color w:val="auto"/>
              </w:rPr>
            </w:pPr>
            <w:r>
              <w:rPr>
                <w:rFonts w:ascii="Arial" w:cs="Arial" w:eastAsia="Arial" w:hAnsi="Arial"/>
                <w:sz w:val="16"/>
                <w:szCs w:val="16"/>
                <w:color w:val="auto"/>
              </w:rPr>
              <w:t>Proxy Statement​</w:t>
            </w:r>
          </w:p>
        </w:tc>
      </w:tr>
      <w:tr>
        <w:trPr>
          <w:trHeight w:val="310"/>
        </w:trPr>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-402590</wp:posOffset>
            </wp:positionV>
            <wp:extent cx="779780" cy="2571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80" w:right="640" w:hanging="354"/>
        <w:spacing w:after="0" w:line="264" w:lineRule="auto"/>
        <w:tabs>
          <w:tab w:leader="none" w:pos="108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The emerging revenue growth metric measures the Company’s year-over-year revenue growth in certain key product categories, each of which represents an identified longer-term growth market for the Company.</w:t>
      </w:r>
    </w:p>
    <w:p>
      <w:pPr>
        <w:ind w:left="1080" w:right="60" w:hanging="354"/>
        <w:spacing w:after="0" w:line="248" w:lineRule="auto"/>
        <w:tabs>
          <w:tab w:leader="none" w:pos="108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The EBITDA margin percentile ranking metric measures the Company’s EBITDA margin achieved relative to the companies in our FY22 Peer Group during a two-year performance period comprising the Company’s fiscal years 2022 and 2023. For purposes of the EBITDA margin percentile ranking metric, EBITDA margin is calculated by dividing EBITDA by revenue for the applicable period, where EBITDA is defined as non-GAAP operating income, plus depreciation and amortization, for the applicable period. With respect to the Company and each FY22 Peer Group company, EBITDA and revenue are calculated based on publicly reported financial information for the applicable period (which for the FY22 Peer Group companies consists of the eight-quarter period that ends closest to, but not later than, October 1, 2023).</w:t>
      </w:r>
      <w:r>
        <w:rPr>
          <w:rFonts w:ascii="Arial" w:cs="Arial" w:eastAsia="Arial" w:hAnsi="Arial"/>
          <w:sz w:val="25"/>
          <w:szCs w:val="25"/>
          <w:i w:val="1"/>
          <w:iCs w:val="1"/>
          <w:color w:val="auto"/>
          <w:vertAlign w:val="superscript"/>
        </w:rPr>
        <w:t>4</w:t>
      </w:r>
      <w:r>
        <w:rPr>
          <w:rFonts w:ascii="Arial" w:cs="Arial" w:eastAsia="Arial" w:hAnsi="Arial"/>
          <w:sz w:val="16"/>
          <w:szCs w:val="16"/>
          <w:i w:val="1"/>
          <w:iCs w:val="1"/>
          <w:color w:val="auto"/>
        </w:rPr>
        <w:t xml:space="preserve"> When calculating the Company’s EBITDA margin, the impact of any acquisition or disposition occurring within the performance period is excluded if the revenue attributable to such acquisition or disposition exceeds $50 million during such period.</w:t>
      </w:r>
    </w:p>
    <w:p>
      <w:pPr>
        <w:spacing w:after="0" w:line="4" w:lineRule="exact"/>
        <w:rPr>
          <w:rFonts w:ascii="Arial" w:cs="Arial" w:eastAsia="Arial" w:hAnsi="Arial"/>
          <w:sz w:val="16"/>
          <w:szCs w:val="16"/>
          <w:i w:val="1"/>
          <w:iCs w:val="1"/>
          <w:color w:val="auto"/>
        </w:rPr>
      </w:pPr>
    </w:p>
    <w:p>
      <w:pPr>
        <w:ind w:left="1080" w:right="140" w:hanging="354"/>
        <w:spacing w:after="0" w:line="261" w:lineRule="auto"/>
        <w:tabs>
          <w:tab w:leader="none" w:pos="108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The TSR percentile ranking metric measures the Company’s percentile ranking achieved with respect to its peer group. The peer group for purposes of the TSR percentile ranking metric includes each of the companies in the Philadelphia Semiconductor Index as of November 10, 2021, but excludes any such company that during the three-year performance period is acquired by or merged with (or enters into an agreement to be acquired by or merged with) another entity. For purposes of the PSA award, TSR for the Company and for each company in the peer group is calculated using a starting price and ending price, which consist of the average of the closing prices for each trading day during the sixty (60) consecutive calendar days ending on, and including, the last trading day before the measurement period begins and the last trading day of the measurement period, respectively, assuming dividend reinvestment and adjusting for stock splits, as applicable.</w:t>
      </w:r>
    </w:p>
    <w:p>
      <w:pPr>
        <w:sectPr>
          <w:pgSz w:w="11900" w:h="16838" w:orient="portrait"/>
          <w:cols w:equalWidth="0" w:num="1">
            <w:col w:w="10100"/>
          </w:cols>
          <w:pgMar w:left="580" w:top="132" w:right="1219" w:bottom="1440" w:gutter="0" w:footer="0" w:header="0"/>
        </w:sectPr>
      </w:pPr>
    </w:p>
    <w:p>
      <w:pPr>
        <w:spacing w:after="0" w:line="86" w:lineRule="exact"/>
        <w:rPr>
          <w:sz w:val="20"/>
          <w:szCs w:val="20"/>
          <w:color w:val="auto"/>
        </w:rPr>
      </w:pPr>
    </w:p>
    <w:p>
      <w:pPr>
        <w:ind w:left="660" w:right="20"/>
        <w:spacing w:after="0" w:line="244" w:lineRule="auto"/>
        <w:rPr>
          <w:sz w:val="20"/>
          <w:szCs w:val="20"/>
          <w:color w:val="auto"/>
        </w:rPr>
      </w:pPr>
      <w:r>
        <w:rPr>
          <w:rFonts w:ascii="Arial" w:cs="Arial" w:eastAsia="Arial" w:hAnsi="Arial"/>
          <w:sz w:val="20"/>
          <w:szCs w:val="20"/>
          <w:color w:val="auto"/>
        </w:rPr>
        <w:t>The semiconductor industry generally and, in particular, many of the markets into which the Company sells its connectivity products, are characterized by constant and rapid technological change, continuous product evolution, and short product life cycles, including annual product refreshes in some cases. Recognizing that a significant driver of long-term growth is our ability to identify and execute on emerging revenue growth opportunities, the Compensation Committee retained emerging revenue growth as a key metric and determined that 25% of the target value under the FY22 PSAs should continue to be measured based on a one-year performance period.</w:t>
      </w:r>
    </w:p>
    <w:p>
      <w:pPr>
        <w:spacing w:after="0" w:line="219" w:lineRule="exact"/>
        <w:rPr>
          <w:sz w:val="20"/>
          <w:szCs w:val="20"/>
          <w:color w:val="auto"/>
        </w:rPr>
      </w:pPr>
    </w:p>
    <w:p>
      <w:pPr>
        <w:ind w:left="660"/>
        <w:spacing w:after="0" w:line="244" w:lineRule="auto"/>
        <w:rPr>
          <w:sz w:val="20"/>
          <w:szCs w:val="20"/>
          <w:color w:val="auto"/>
        </w:rPr>
      </w:pPr>
      <w:r>
        <w:rPr>
          <w:rFonts w:ascii="Arial" w:cs="Arial" w:eastAsia="Arial" w:hAnsi="Arial"/>
          <w:sz w:val="20"/>
          <w:szCs w:val="20"/>
          <w:color w:val="auto"/>
        </w:rPr>
        <w:t>Specifically, the Compensation Committee retained emerging revenue growth as a one-year metric appropriate for focusing our management team on long-term value creation, given that revenue growth over the next several years is highly dependent on executing in certain product categories that have higher growth potential. In light of stockholder feedback following the 2021 Annual Meeting of Stockholders, the Compensation Committee determined that shares earned pursuant to the emerging revenue growth metric would not vest until the two-year</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anniversary of the grant date. For the FY22 PSAs, the Compensation Committee determined, in part in response to stockholder feedback, to replace the one-year design win metric used in PSAs granted in fiscal years 2020 and 2021 with a two-year EBITDA margin percentile ranking metric that measures our performance relative to our FY22 Peer Group. The previously used design win metric measured our success in achieving specific product design wins with a key customer that were governed by contractual confidentiality obligations, so we could not publicly disclose threshold, target and maximum performance goals for that metric. The EBITDA margin percentile ranking metric provides enhanced transparency because the threshold, target and maximum performance goals can be clearly disclosed. To incentivize above-median performance, the Compensation Committee set the target percentile for the EBITDA margin percentile ranking metric at the 55</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percentile of our FY22 Peer Group. As in</w:t>
      </w:r>
    </w:p>
    <w:p>
      <w:pPr>
        <w:spacing w:after="0" w:line="7" w:lineRule="exact"/>
        <w:rPr>
          <w:sz w:val="20"/>
          <w:szCs w:val="20"/>
          <w:color w:val="auto"/>
        </w:rPr>
      </w:pPr>
    </w:p>
    <w:p>
      <w:pPr>
        <w:ind w:right="240"/>
        <w:spacing w:after="0" w:line="255" w:lineRule="auto"/>
        <w:rPr>
          <w:sz w:val="20"/>
          <w:szCs w:val="20"/>
          <w:color w:val="auto"/>
        </w:rPr>
      </w:pPr>
      <w:r>
        <w:rPr>
          <w:rFonts w:ascii="Arial" w:cs="Arial" w:eastAsia="Arial" w:hAnsi="Arial"/>
          <w:sz w:val="20"/>
          <w:szCs w:val="20"/>
          <w:color w:val="auto"/>
        </w:rPr>
        <w:t>prior years, the remaining half of the target value under the FY22 PSAs was based on three-year TSR percentile ranking, which the Compensation Committee believed provides an appropriate balance to the one-year and two-year measurement periods.</w:t>
      </w:r>
    </w:p>
    <w:p>
      <w:pPr>
        <w:spacing w:after="0" w:line="200" w:lineRule="exact"/>
        <w:rPr>
          <w:sz w:val="20"/>
          <w:szCs w:val="20"/>
          <w:color w:val="auto"/>
        </w:rPr>
      </w:pPr>
    </w:p>
    <w:p>
      <w:pPr>
        <w:sectPr>
          <w:pgSz w:w="11900" w:h="16838" w:orient="portrait"/>
          <w:cols w:equalWidth="0" w:num="2">
            <w:col w:w="5120" w:space="460"/>
            <w:col w:w="4520"/>
          </w:cols>
          <w:pgMar w:left="580" w:top="132" w:right="1219" w:bottom="1440" w:gutter="0" w:footer="0" w:header="0"/>
          <w:type w:val="continuous"/>
        </w:sectPr>
      </w:pPr>
    </w:p>
    <w:p>
      <w:pPr>
        <w:spacing w:after="0" w:line="35" w:lineRule="exact"/>
        <w:rPr>
          <w:sz w:val="20"/>
          <w:szCs w:val="20"/>
          <w:color w:val="auto"/>
        </w:rPr>
      </w:pPr>
    </w:p>
    <w:p>
      <w:pPr>
        <w:ind w:left="660" w:right="1280"/>
        <w:spacing w:after="0" w:line="275" w:lineRule="auto"/>
        <w:rPr>
          <w:sz w:val="20"/>
          <w:szCs w:val="20"/>
          <w:color w:val="auto"/>
        </w:rPr>
      </w:pPr>
      <w:r>
        <w:rPr>
          <w:rFonts w:ascii="Arial" w:cs="Arial" w:eastAsia="Arial" w:hAnsi="Arial"/>
          <w:sz w:val="20"/>
          <w:szCs w:val="20"/>
          <w:color w:val="auto"/>
        </w:rPr>
        <w:t>The specific pre-established performance goals under the emerging revenue growth, EBITDA margin percentile ranking and TSR percentile ranking metrics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53340</wp:posOffset>
            </wp:positionV>
            <wp:extent cx="12344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8" w:lineRule="exact"/>
        <w:rPr>
          <w:sz w:val="20"/>
          <w:szCs w:val="20"/>
          <w:color w:val="auto"/>
        </w:rPr>
      </w:pPr>
    </w:p>
    <w:p>
      <w:pPr>
        <w:ind w:left="1080" w:right="260" w:hanging="354"/>
        <w:spacing w:after="0" w:line="220" w:lineRule="auto"/>
        <w:tabs>
          <w:tab w:leader="none" w:pos="1080" w:val="left"/>
        </w:tabs>
        <w:numPr>
          <w:ilvl w:val="0"/>
          <w:numId w:val="49"/>
        </w:numPr>
        <w:rPr>
          <w:rFonts w:ascii="Arial" w:cs="Arial" w:eastAsia="Arial" w:hAnsi="Arial"/>
          <w:sz w:val="25"/>
          <w:szCs w:val="25"/>
          <w:i w:val="1"/>
          <w:iCs w:val="1"/>
          <w:color w:val="auto"/>
          <w:vertAlign w:val="superscript"/>
        </w:rPr>
      </w:pPr>
      <w:r>
        <w:rPr>
          <w:rFonts w:ascii="Arial" w:cs="Arial" w:eastAsia="Arial" w:hAnsi="Arial"/>
          <w:sz w:val="16"/>
          <w:szCs w:val="16"/>
          <w:i w:val="1"/>
          <w:iCs w:val="1"/>
          <w:color w:val="auto"/>
        </w:rPr>
        <w:t>When calculating the EBITDA margin percentile ranking, the performance of a company in the FY22 Peer Group will be included if during the performance period such company in the FY22 Peer Group publicly reports quarterly financial results for at least six consecutive quarters out of the eight applicable quarters.</w:t>
      </w:r>
    </w:p>
    <w:p>
      <w:pPr>
        <w:spacing w:after="0" w:line="338"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391795</wp:posOffset>
            </wp:positionV>
            <wp:extent cx="5974715"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FFFFFF"/>
              </w:rPr>
              <w:t>​Company Metric</w:t>
            </w:r>
          </w:p>
        </w:tc>
        <w:tc>
          <w:tcPr>
            <w:tcW w:w="4640" w:type="dxa"/>
            <w:vAlign w:val="bottom"/>
            <w:gridSpan w:val="10"/>
          </w:tcPr>
          <w:p>
            <w:pPr>
              <w:ind w:left="1720"/>
              <w:spacing w:after="0"/>
              <w:rPr>
                <w:sz w:val="20"/>
                <w:szCs w:val="20"/>
                <w:color w:val="auto"/>
              </w:rPr>
            </w:pPr>
            <w:r>
              <w:rPr>
                <w:rFonts w:ascii="Arial" w:cs="Arial" w:eastAsia="Arial" w:hAnsi="Arial"/>
                <w:sz w:val="18"/>
                <w:szCs w:val="18"/>
                <w:color w:val="FFFFFF"/>
              </w:rPr>
              <w:t>​ ​ Threshold ​ ​ Target ​ ​ Maximum ​</w:t>
            </w:r>
          </w:p>
        </w:tc>
        <w:tc>
          <w:tcPr>
            <w:tcW w:w="0" w:type="dxa"/>
            <w:vAlign w:val="bottom"/>
          </w:tcPr>
          <w:p>
            <w:pPr>
              <w:spacing w:after="0"/>
              <w:rPr>
                <w:sz w:val="1"/>
                <w:szCs w:val="1"/>
                <w:color w:val="auto"/>
              </w:rPr>
            </w:pPr>
          </w:p>
        </w:tc>
      </w:tr>
      <w:tr>
        <w:trPr>
          <w:trHeight w:val="203"/>
        </w:trPr>
        <w:tc>
          <w:tcPr>
            <w:tcW w:w="4800" w:type="dxa"/>
            <w:vAlign w:val="bottom"/>
          </w:tcPr>
          <w:p>
            <w:pPr>
              <w:ind w:left="40"/>
              <w:spacing w:after="0"/>
              <w:rPr>
                <w:sz w:val="20"/>
                <w:szCs w:val="20"/>
                <w:color w:val="auto"/>
              </w:rPr>
            </w:pPr>
            <w:r>
              <w:rPr>
                <w:rFonts w:ascii="Arial" w:cs="Arial" w:eastAsia="Arial" w:hAnsi="Arial"/>
                <w:sz w:val="16"/>
                <w:szCs w:val="16"/>
                <w:color w:val="auto"/>
              </w:rPr>
              <w:t>1​-year Emerging Revenue Growth (%)</w:t>
            </w:r>
          </w:p>
        </w:tc>
        <w:tc>
          <w:tcPr>
            <w:tcW w:w="2060" w:type="dxa"/>
            <w:vAlign w:val="bottom"/>
          </w:tcPr>
          <w:p>
            <w:pPr>
              <w:ind w:left="1780"/>
              <w:spacing w:after="0"/>
              <w:rPr>
                <w:sz w:val="20"/>
                <w:szCs w:val="20"/>
                <w:color w:val="auto"/>
              </w:rPr>
            </w:pPr>
            <w:r>
              <w:rPr>
                <w:rFonts w:ascii="Arial" w:cs="Arial" w:eastAsia="Arial" w:hAnsi="Arial"/>
                <w:sz w:val="16"/>
                <w:szCs w:val="16"/>
                <w:color w:val="auto"/>
              </w:rPr>
              <w:t>​ ​</w:t>
            </w:r>
          </w:p>
        </w:tc>
        <w:tc>
          <w:tcPr>
            <w:tcW w:w="600" w:type="dxa"/>
            <w:vAlign w:val="bottom"/>
          </w:tcPr>
          <w:p>
            <w:pPr>
              <w:ind w:left="140"/>
              <w:spacing w:after="0"/>
              <w:rPr>
                <w:sz w:val="20"/>
                <w:szCs w:val="20"/>
                <w:color w:val="auto"/>
              </w:rPr>
            </w:pPr>
            <w:r>
              <w:rPr>
                <w:rFonts w:ascii="Arial" w:cs="Arial" w:eastAsia="Arial" w:hAnsi="Arial"/>
                <w:sz w:val="16"/>
                <w:szCs w:val="16"/>
                <w:color w:val="auto"/>
              </w:rPr>
              <w:t>​2.5​%</w:t>
            </w:r>
          </w:p>
        </w:tc>
        <w:tc>
          <w:tcPr>
            <w:tcW w:w="1200" w:type="dxa"/>
            <w:vAlign w:val="bottom"/>
            <w:gridSpan w:val="4"/>
          </w:tcPr>
          <w:p>
            <w:pPr>
              <w:jc w:val="right"/>
              <w:ind w:right="24"/>
              <w:spacing w:after="0"/>
              <w:rPr>
                <w:sz w:val="20"/>
                <w:szCs w:val="20"/>
                <w:color w:val="auto"/>
              </w:rPr>
            </w:pPr>
            <w:r>
              <w:rPr>
                <w:rFonts w:ascii="Arial" w:cs="Arial" w:eastAsia="Arial" w:hAnsi="Arial"/>
                <w:sz w:val="16"/>
                <w:szCs w:val="16"/>
                <w:color w:val="auto"/>
              </w:rPr>
              <w:t>​ ​ ​ ​10.0​%​ ​ ​</w:t>
            </w:r>
          </w:p>
        </w:tc>
        <w:tc>
          <w:tcPr>
            <w:tcW w:w="640" w:type="dxa"/>
            <w:vAlign w:val="bottom"/>
            <w:gridSpan w:val="2"/>
          </w:tcPr>
          <w:p>
            <w:pPr>
              <w:ind w:left="100"/>
              <w:spacing w:after="0"/>
              <w:rPr>
                <w:sz w:val="20"/>
                <w:szCs w:val="20"/>
                <w:color w:val="auto"/>
              </w:rPr>
            </w:pPr>
            <w:r>
              <w:rPr>
                <w:rFonts w:ascii="Arial" w:cs="Arial" w:eastAsia="Arial" w:hAnsi="Arial"/>
                <w:sz w:val="16"/>
                <w:szCs w:val="16"/>
                <w:color w:val="auto"/>
              </w:rPr>
              <w:t>​20.0​%</w:t>
            </w:r>
          </w:p>
        </w:tc>
        <w:tc>
          <w:tcPr>
            <w:tcW w:w="1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4800" w:type="dxa"/>
            <w:vAlign w:val="bottom"/>
            <w:vMerge w:val="restart"/>
          </w:tcPr>
          <w:p>
            <w:pPr>
              <w:ind w:left="40"/>
              <w:spacing w:after="0"/>
              <w:rPr>
                <w:sz w:val="20"/>
                <w:szCs w:val="20"/>
                <w:color w:val="auto"/>
              </w:rPr>
            </w:pPr>
            <w:r>
              <w:rPr>
                <w:rFonts w:ascii="Arial" w:cs="Arial" w:eastAsia="Arial" w:hAnsi="Arial"/>
                <w:sz w:val="16"/>
                <w:szCs w:val="16"/>
                <w:color w:val="auto"/>
              </w:rPr>
              <w:t>2​-year EBITDA Margin Percentile Ranking</w:t>
            </w:r>
          </w:p>
        </w:tc>
        <w:tc>
          <w:tcPr>
            <w:tcW w:w="2060" w:type="dxa"/>
            <w:vAlign w:val="bottom"/>
            <w:vMerge w:val="restart"/>
          </w:tcPr>
          <w:p>
            <w:pPr>
              <w:ind w:left="1780"/>
              <w:spacing w:after="0"/>
              <w:rPr>
                <w:sz w:val="20"/>
                <w:szCs w:val="20"/>
                <w:color w:val="auto"/>
              </w:rPr>
            </w:pPr>
            <w:r>
              <w:rPr>
                <w:rFonts w:ascii="Arial" w:cs="Arial" w:eastAsia="Arial" w:hAnsi="Arial"/>
                <w:sz w:val="16"/>
                <w:szCs w:val="16"/>
                <w:color w:val="auto"/>
              </w:rPr>
              <w:t>​ ​</w:t>
            </w:r>
          </w:p>
        </w:tc>
        <w:tc>
          <w:tcPr>
            <w:tcW w:w="600" w:type="dxa"/>
            <w:vAlign w:val="bottom"/>
          </w:tcPr>
          <w:p>
            <w:pPr>
              <w:ind w:left="380"/>
              <w:spacing w:after="0" w:line="108" w:lineRule="exact"/>
              <w:rPr>
                <w:sz w:val="20"/>
                <w:szCs w:val="20"/>
                <w:color w:val="auto"/>
              </w:rPr>
            </w:pPr>
            <w:r>
              <w:rPr>
                <w:rFonts w:ascii="Arial" w:cs="Arial" w:eastAsia="Arial" w:hAnsi="Arial"/>
                <w:sz w:val="10"/>
                <w:szCs w:val="10"/>
                <w:color w:val="auto"/>
              </w:rPr>
              <w:t>th</w:t>
            </w:r>
          </w:p>
        </w:tc>
        <w:tc>
          <w:tcPr>
            <w:tcW w:w="500" w:type="dxa"/>
            <w:vAlign w:val="bottom"/>
            <w:gridSpan w:val="2"/>
            <w:vMerge w:val="restart"/>
          </w:tcPr>
          <w:p>
            <w:pPr>
              <w:jc w:val="right"/>
              <w:spacing w:after="0"/>
              <w:rPr>
                <w:sz w:val="20"/>
                <w:szCs w:val="20"/>
                <w:color w:val="auto"/>
              </w:rPr>
            </w:pPr>
            <w:r>
              <w:rPr>
                <w:rFonts w:ascii="Arial" w:cs="Arial" w:eastAsia="Arial" w:hAnsi="Arial"/>
                <w:sz w:val="16"/>
                <w:szCs w:val="16"/>
                <w:color w:val="auto"/>
              </w:rPr>
              <w:t>​ ​ ​ ​</w:t>
            </w:r>
          </w:p>
        </w:tc>
        <w:tc>
          <w:tcPr>
            <w:tcW w:w="320" w:type="dxa"/>
            <w:vAlign w:val="bottom"/>
          </w:tcPr>
          <w:p>
            <w:pPr>
              <w:ind w:left="220"/>
              <w:spacing w:after="0" w:line="108" w:lineRule="exact"/>
              <w:rPr>
                <w:sz w:val="20"/>
                <w:szCs w:val="20"/>
                <w:color w:val="auto"/>
              </w:rPr>
            </w:pPr>
            <w:r>
              <w:rPr>
                <w:rFonts w:ascii="Arial" w:cs="Arial" w:eastAsia="Arial" w:hAnsi="Arial"/>
                <w:sz w:val="10"/>
                <w:szCs w:val="10"/>
                <w:color w:val="auto"/>
                <w:w w:val="95"/>
              </w:rPr>
              <w:t>th</w:t>
            </w:r>
          </w:p>
        </w:tc>
        <w:tc>
          <w:tcPr>
            <w:tcW w:w="380" w:type="dxa"/>
            <w:vAlign w:val="bottom"/>
          </w:tcPr>
          <w:p>
            <w:pPr>
              <w:spacing w:after="0"/>
              <w:rPr>
                <w:sz w:val="9"/>
                <w:szCs w:val="9"/>
                <w:color w:val="auto"/>
              </w:rPr>
            </w:pP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440" w:type="dxa"/>
            <w:vAlign w:val="bottom"/>
          </w:tcPr>
          <w:p>
            <w:pPr>
              <w:ind w:left="240"/>
              <w:spacing w:after="0" w:line="108" w:lineRule="exact"/>
              <w:rPr>
                <w:sz w:val="20"/>
                <w:szCs w:val="20"/>
                <w:color w:val="auto"/>
              </w:rPr>
            </w:pPr>
            <w:r>
              <w:rPr>
                <w:rFonts w:ascii="Arial" w:cs="Arial" w:eastAsia="Arial" w:hAnsi="Arial"/>
                <w:sz w:val="10"/>
                <w:szCs w:val="10"/>
                <w:color w:val="auto"/>
              </w:rPr>
              <w:t>th</w:t>
            </w:r>
          </w:p>
        </w:tc>
        <w:tc>
          <w:tcPr>
            <w:tcW w:w="14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480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600" w:type="dxa"/>
            <w:vAlign w:val="bottom"/>
          </w:tcPr>
          <w:p>
            <w:pPr>
              <w:ind w:left="140"/>
              <w:spacing w:after="0" w:line="108" w:lineRule="exact"/>
              <w:rPr>
                <w:sz w:val="20"/>
                <w:szCs w:val="20"/>
                <w:color w:val="auto"/>
              </w:rPr>
            </w:pPr>
            <w:r>
              <w:rPr>
                <w:rFonts w:ascii="Arial" w:cs="Arial" w:eastAsia="Arial" w:hAnsi="Arial"/>
                <w:sz w:val="12"/>
                <w:szCs w:val="12"/>
                <w:color w:val="auto"/>
              </w:rPr>
              <w:t>​25​</w:t>
            </w:r>
          </w:p>
        </w:tc>
        <w:tc>
          <w:tcPr>
            <w:tcW w:w="500" w:type="dxa"/>
            <w:vAlign w:val="bottom"/>
            <w:gridSpan w:val="2"/>
            <w:vMerge w:val="continue"/>
          </w:tcPr>
          <w:p>
            <w:pPr>
              <w:spacing w:after="0"/>
              <w:rPr>
                <w:sz w:val="9"/>
                <w:szCs w:val="9"/>
                <w:color w:val="auto"/>
              </w:rPr>
            </w:pPr>
          </w:p>
        </w:tc>
        <w:tc>
          <w:tcPr>
            <w:tcW w:w="700" w:type="dxa"/>
            <w:vAlign w:val="bottom"/>
            <w:gridSpan w:val="2"/>
          </w:tcPr>
          <w:p>
            <w:pPr>
              <w:jc w:val="right"/>
              <w:ind w:right="24"/>
              <w:spacing w:after="0" w:line="108" w:lineRule="exact"/>
              <w:rPr>
                <w:sz w:val="20"/>
                <w:szCs w:val="20"/>
                <w:color w:val="auto"/>
              </w:rPr>
            </w:pPr>
            <w:r>
              <w:rPr>
                <w:rFonts w:ascii="Arial" w:cs="Arial" w:eastAsia="Arial" w:hAnsi="Arial"/>
                <w:sz w:val="12"/>
                <w:szCs w:val="12"/>
                <w:color w:val="auto"/>
              </w:rPr>
              <w:t>55​ ​ ​ ​</w:t>
            </w:r>
          </w:p>
        </w:tc>
        <w:tc>
          <w:tcPr>
            <w:tcW w:w="200" w:type="dxa"/>
            <w:vAlign w:val="bottom"/>
            <w:vMerge w:val="continue"/>
          </w:tcPr>
          <w:p>
            <w:pPr>
              <w:spacing w:after="0"/>
              <w:rPr>
                <w:sz w:val="9"/>
                <w:szCs w:val="9"/>
                <w:color w:val="auto"/>
              </w:rPr>
            </w:pPr>
          </w:p>
        </w:tc>
        <w:tc>
          <w:tcPr>
            <w:tcW w:w="440" w:type="dxa"/>
            <w:vAlign w:val="bottom"/>
          </w:tcPr>
          <w:p>
            <w:pPr>
              <w:ind w:left="60"/>
              <w:spacing w:after="0" w:line="108" w:lineRule="exact"/>
              <w:rPr>
                <w:sz w:val="20"/>
                <w:szCs w:val="20"/>
                <w:color w:val="auto"/>
              </w:rPr>
            </w:pPr>
            <w:r>
              <w:rPr>
                <w:rFonts w:ascii="Arial" w:cs="Arial" w:eastAsia="Arial" w:hAnsi="Arial"/>
                <w:sz w:val="12"/>
                <w:szCs w:val="12"/>
                <w:color w:val="auto"/>
              </w:rPr>
              <w:t>75​</w:t>
            </w:r>
          </w:p>
        </w:tc>
        <w:tc>
          <w:tcPr>
            <w:tcW w:w="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00" w:type="dxa"/>
            <w:vAlign w:val="bottom"/>
            <w:vMerge w:val="restart"/>
          </w:tcPr>
          <w:p>
            <w:pPr>
              <w:ind w:left="40"/>
              <w:spacing w:after="0"/>
              <w:rPr>
                <w:sz w:val="20"/>
                <w:szCs w:val="20"/>
                <w:color w:val="auto"/>
              </w:rPr>
            </w:pPr>
            <w:r>
              <w:rPr>
                <w:rFonts w:ascii="Arial" w:cs="Arial" w:eastAsia="Arial" w:hAnsi="Arial"/>
                <w:sz w:val="16"/>
                <w:szCs w:val="16"/>
                <w:color w:val="auto"/>
              </w:rPr>
              <w:t>3-year TSR Percentile Ranking</w:t>
            </w:r>
          </w:p>
        </w:tc>
        <w:tc>
          <w:tcPr>
            <w:tcW w:w="2060" w:type="dxa"/>
            <w:vAlign w:val="bottom"/>
          </w:tcPr>
          <w:p>
            <w:pPr>
              <w:spacing w:after="0"/>
              <w:rPr>
                <w:sz w:val="9"/>
                <w:szCs w:val="9"/>
                <w:color w:val="auto"/>
              </w:rPr>
            </w:pPr>
          </w:p>
        </w:tc>
        <w:tc>
          <w:tcPr>
            <w:tcW w:w="600" w:type="dxa"/>
            <w:vAlign w:val="bottom"/>
          </w:tcPr>
          <w:p>
            <w:pPr>
              <w:ind w:left="380"/>
              <w:spacing w:after="0" w:line="108" w:lineRule="exact"/>
              <w:rPr>
                <w:sz w:val="20"/>
                <w:szCs w:val="20"/>
                <w:color w:val="auto"/>
              </w:rPr>
            </w:pPr>
            <w:r>
              <w:rPr>
                <w:rFonts w:ascii="Arial" w:cs="Arial" w:eastAsia="Arial" w:hAnsi="Arial"/>
                <w:sz w:val="10"/>
                <w:szCs w:val="10"/>
                <w:color w:val="auto"/>
              </w:rPr>
              <w:t>th</w:t>
            </w:r>
          </w:p>
        </w:tc>
        <w:tc>
          <w:tcPr>
            <w:tcW w:w="3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ind w:left="220"/>
              <w:spacing w:after="0" w:line="108" w:lineRule="exact"/>
              <w:rPr>
                <w:sz w:val="20"/>
                <w:szCs w:val="20"/>
                <w:color w:val="auto"/>
              </w:rPr>
            </w:pPr>
            <w:r>
              <w:rPr>
                <w:rFonts w:ascii="Arial" w:cs="Arial" w:eastAsia="Arial" w:hAnsi="Arial"/>
                <w:sz w:val="10"/>
                <w:szCs w:val="10"/>
                <w:color w:val="auto"/>
                <w:w w:val="95"/>
              </w:rPr>
              <w:t>th</w:t>
            </w:r>
          </w:p>
        </w:tc>
        <w:tc>
          <w:tcPr>
            <w:tcW w:w="380" w:type="dxa"/>
            <w:vAlign w:val="bottom"/>
          </w:tcPr>
          <w:p>
            <w:pPr>
              <w:spacing w:after="0"/>
              <w:rPr>
                <w:sz w:val="9"/>
                <w:szCs w:val="9"/>
                <w:color w:val="auto"/>
              </w:rPr>
            </w:pPr>
          </w:p>
        </w:tc>
        <w:tc>
          <w:tcPr>
            <w:tcW w:w="2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ind w:left="240"/>
              <w:spacing w:after="0" w:line="108" w:lineRule="exact"/>
              <w:rPr>
                <w:sz w:val="20"/>
                <w:szCs w:val="20"/>
                <w:color w:val="auto"/>
              </w:rPr>
            </w:pPr>
            <w:r>
              <w:rPr>
                <w:rFonts w:ascii="Arial" w:cs="Arial" w:eastAsia="Arial" w:hAnsi="Arial"/>
                <w:sz w:val="10"/>
                <w:szCs w:val="10"/>
                <w:color w:val="auto"/>
              </w:rPr>
              <w:t>th</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800" w:type="dxa"/>
            <w:vAlign w:val="bottom"/>
            <w:vMerge w:val="continue"/>
          </w:tcPr>
          <w:p>
            <w:pPr>
              <w:spacing w:after="0"/>
              <w:rPr>
                <w:sz w:val="7"/>
                <w:szCs w:val="7"/>
                <w:color w:val="auto"/>
              </w:rPr>
            </w:pPr>
          </w:p>
        </w:tc>
        <w:tc>
          <w:tcPr>
            <w:tcW w:w="2060" w:type="dxa"/>
            <w:vAlign w:val="bottom"/>
            <w:vMerge w:val="restart"/>
          </w:tcPr>
          <w:p>
            <w:pPr>
              <w:ind w:left="1780"/>
              <w:spacing w:after="0" w:line="135" w:lineRule="exact"/>
              <w:rPr>
                <w:sz w:val="20"/>
                <w:szCs w:val="20"/>
                <w:color w:val="auto"/>
              </w:rPr>
            </w:pPr>
            <w:r>
              <w:rPr>
                <w:rFonts w:ascii="Arial" w:cs="Arial" w:eastAsia="Arial" w:hAnsi="Arial"/>
                <w:sz w:val="15"/>
                <w:szCs w:val="15"/>
                <w:color w:val="auto"/>
              </w:rPr>
              <w:t>​ ​</w:t>
            </w:r>
          </w:p>
        </w:tc>
        <w:tc>
          <w:tcPr>
            <w:tcW w:w="600" w:type="dxa"/>
            <w:vAlign w:val="bottom"/>
          </w:tcPr>
          <w:p>
            <w:pPr>
              <w:ind w:left="140"/>
              <w:spacing w:after="0" w:line="81" w:lineRule="exact"/>
              <w:rPr>
                <w:sz w:val="20"/>
                <w:szCs w:val="20"/>
                <w:color w:val="auto"/>
              </w:rPr>
            </w:pPr>
            <w:r>
              <w:rPr>
                <w:rFonts w:ascii="Arial" w:cs="Arial" w:eastAsia="Arial" w:hAnsi="Arial"/>
                <w:sz w:val="9"/>
                <w:szCs w:val="9"/>
                <w:b w:val="1"/>
                <w:bCs w:val="1"/>
                <w:color w:val="auto"/>
              </w:rPr>
              <w:t>​</w:t>
            </w:r>
            <w:r>
              <w:rPr>
                <w:rFonts w:ascii="Arial" w:cs="Arial" w:eastAsia="Arial" w:hAnsi="Arial"/>
                <w:sz w:val="9"/>
                <w:szCs w:val="9"/>
                <w:color w:val="auto"/>
              </w:rPr>
              <w:t>25​</w:t>
            </w:r>
          </w:p>
        </w:tc>
        <w:tc>
          <w:tcPr>
            <w:tcW w:w="380" w:type="dxa"/>
            <w:vAlign w:val="bottom"/>
            <w:vMerge w:val="restart"/>
          </w:tcPr>
          <w:p>
            <w:pPr>
              <w:ind w:left="80"/>
              <w:spacing w:after="0" w:line="135" w:lineRule="exact"/>
              <w:rPr>
                <w:sz w:val="20"/>
                <w:szCs w:val="20"/>
                <w:color w:val="auto"/>
              </w:rPr>
            </w:pPr>
            <w:r>
              <w:rPr>
                <w:rFonts w:ascii="Arial" w:cs="Arial" w:eastAsia="Arial" w:hAnsi="Arial"/>
                <w:sz w:val="15"/>
                <w:szCs w:val="15"/>
                <w:color w:val="auto"/>
              </w:rPr>
              <w:t>​ ​ ​</w:t>
            </w:r>
          </w:p>
        </w:tc>
        <w:tc>
          <w:tcPr>
            <w:tcW w:w="120" w:type="dxa"/>
            <w:vAlign w:val="bottom"/>
            <w:vMerge w:val="continue"/>
          </w:tcPr>
          <w:p>
            <w:pPr>
              <w:spacing w:after="0"/>
              <w:rPr>
                <w:sz w:val="7"/>
                <w:szCs w:val="7"/>
                <w:color w:val="auto"/>
              </w:rPr>
            </w:pPr>
          </w:p>
        </w:tc>
        <w:tc>
          <w:tcPr>
            <w:tcW w:w="320" w:type="dxa"/>
            <w:vAlign w:val="bottom"/>
          </w:tcPr>
          <w:p>
            <w:pPr>
              <w:ind w:left="40"/>
              <w:spacing w:after="0" w:line="81" w:lineRule="exact"/>
              <w:rPr>
                <w:sz w:val="20"/>
                <w:szCs w:val="20"/>
                <w:color w:val="auto"/>
              </w:rPr>
            </w:pPr>
            <w:r>
              <w:rPr>
                <w:rFonts w:ascii="Arial" w:cs="Arial" w:eastAsia="Arial" w:hAnsi="Arial"/>
                <w:sz w:val="9"/>
                <w:szCs w:val="9"/>
                <w:color w:val="auto"/>
              </w:rPr>
              <w:t>55​</w:t>
            </w:r>
          </w:p>
        </w:tc>
        <w:tc>
          <w:tcPr>
            <w:tcW w:w="380" w:type="dxa"/>
            <w:vAlign w:val="bottom"/>
            <w:vMerge w:val="restart"/>
          </w:tcPr>
          <w:p>
            <w:pPr>
              <w:jc w:val="right"/>
              <w:ind w:right="24"/>
              <w:spacing w:after="0" w:line="135" w:lineRule="exact"/>
              <w:rPr>
                <w:sz w:val="20"/>
                <w:szCs w:val="20"/>
                <w:color w:val="auto"/>
              </w:rPr>
            </w:pPr>
            <w:r>
              <w:rPr>
                <w:rFonts w:ascii="Arial" w:cs="Arial" w:eastAsia="Arial" w:hAnsi="Arial"/>
                <w:sz w:val="15"/>
                <w:szCs w:val="15"/>
                <w:color w:val="auto"/>
              </w:rPr>
              <w:t>​ ​ ​</w:t>
            </w:r>
          </w:p>
        </w:tc>
        <w:tc>
          <w:tcPr>
            <w:tcW w:w="200" w:type="dxa"/>
            <w:vAlign w:val="bottom"/>
            <w:vMerge w:val="continue"/>
          </w:tcPr>
          <w:p>
            <w:pPr>
              <w:spacing w:after="0"/>
              <w:rPr>
                <w:sz w:val="7"/>
                <w:szCs w:val="7"/>
                <w:color w:val="auto"/>
              </w:rPr>
            </w:pPr>
          </w:p>
        </w:tc>
        <w:tc>
          <w:tcPr>
            <w:tcW w:w="440" w:type="dxa"/>
            <w:vAlign w:val="bottom"/>
          </w:tcPr>
          <w:p>
            <w:pPr>
              <w:ind w:left="60"/>
              <w:spacing w:after="0" w:line="81" w:lineRule="exact"/>
              <w:rPr>
                <w:sz w:val="20"/>
                <w:szCs w:val="20"/>
                <w:color w:val="auto"/>
              </w:rPr>
            </w:pPr>
            <w:r>
              <w:rPr>
                <w:rFonts w:ascii="Arial" w:cs="Arial" w:eastAsia="Arial" w:hAnsi="Arial"/>
                <w:sz w:val="9"/>
                <w:szCs w:val="9"/>
                <w:color w:val="auto"/>
              </w:rPr>
              <w:t>90​</w:t>
            </w:r>
          </w:p>
        </w:tc>
        <w:tc>
          <w:tcPr>
            <w:tcW w:w="140" w:type="dxa"/>
            <w:vAlign w:val="bottom"/>
            <w:gridSpan w:val="2"/>
            <w:vMerge w:val="restart"/>
          </w:tcPr>
          <w:p>
            <w:pPr>
              <w:ind w:left="40"/>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480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20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BFBFBF"/>
          </w:tcPr>
          <w:p>
            <w:pPr>
              <w:spacing w:after="0" w:line="20" w:lineRule="exact"/>
              <w:rPr>
                <w:sz w:val="1"/>
                <w:szCs w:val="1"/>
                <w:color w:val="auto"/>
              </w:rPr>
            </w:pPr>
          </w:p>
        </w:tc>
        <w:tc>
          <w:tcPr>
            <w:tcW w:w="2060" w:type="dxa"/>
            <w:vAlign w:val="bottom"/>
            <w:shd w:val="clear" w:color="auto" w:fill="BFBFBF"/>
          </w:tcPr>
          <w:p>
            <w:pPr>
              <w:spacing w:after="0" w:line="20" w:lineRule="exact"/>
              <w:rPr>
                <w:sz w:val="1"/>
                <w:szCs w:val="1"/>
                <w:color w:val="auto"/>
              </w:rPr>
            </w:pPr>
          </w:p>
        </w:tc>
        <w:tc>
          <w:tcPr>
            <w:tcW w:w="600" w:type="dxa"/>
            <w:vAlign w:val="bottom"/>
            <w:shd w:val="clear" w:color="auto" w:fill="BFBFBF"/>
          </w:tcPr>
          <w:p>
            <w:pPr>
              <w:spacing w:after="0" w:line="20" w:lineRule="exact"/>
              <w:rPr>
                <w:sz w:val="1"/>
                <w:szCs w:val="1"/>
                <w:color w:val="auto"/>
              </w:rPr>
            </w:pPr>
          </w:p>
        </w:tc>
        <w:tc>
          <w:tcPr>
            <w:tcW w:w="38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320" w:type="dxa"/>
            <w:vAlign w:val="bottom"/>
            <w:shd w:val="clear" w:color="auto" w:fill="BFBFBF"/>
          </w:tcPr>
          <w:p>
            <w:pPr>
              <w:spacing w:after="0" w:line="20" w:lineRule="exact"/>
              <w:rPr>
                <w:sz w:val="1"/>
                <w:szCs w:val="1"/>
                <w:color w:val="auto"/>
              </w:rPr>
            </w:pPr>
          </w:p>
        </w:tc>
        <w:tc>
          <w:tcPr>
            <w:tcW w:w="38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44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-427990</wp:posOffset>
            </wp:positionV>
            <wp:extent cx="597471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74715" cy="1289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-162560</wp:posOffset>
            </wp:positionV>
            <wp:extent cx="5974715"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206" w:lineRule="exact"/>
        <w:rPr>
          <w:sz w:val="20"/>
          <w:szCs w:val="20"/>
          <w:color w:val="auto"/>
        </w:rPr>
      </w:pPr>
    </w:p>
    <w:p>
      <w:pPr>
        <w:ind w:left="660" w:right="300"/>
        <w:spacing w:after="0" w:line="256" w:lineRule="auto"/>
        <w:rPr>
          <w:sz w:val="20"/>
          <w:szCs w:val="20"/>
          <w:color w:val="auto"/>
        </w:rPr>
      </w:pPr>
      <w:r>
        <w:rPr>
          <w:rFonts w:ascii="Arial" w:cs="Arial" w:eastAsia="Arial" w:hAnsi="Arial"/>
          <w:sz w:val="20"/>
          <w:szCs w:val="20"/>
          <w:color w:val="auto"/>
        </w:rPr>
        <w:t>As with the Incentive Plan, the pre-established targets under the FY22 PSAs were established by the Compensation Committee after reviewing the Company’s historical operating results and growth rates as well as the Company’s expected future results relative to peers and were designed to require significant effort and operational success on the part of our executives and the Company:</w:t>
      </w:r>
    </w:p>
    <w:p>
      <w:pPr>
        <w:spacing w:after="0" w:line="193" w:lineRule="exact"/>
        <w:rPr>
          <w:sz w:val="20"/>
          <w:szCs w:val="20"/>
          <w:color w:val="auto"/>
        </w:rPr>
      </w:pPr>
    </w:p>
    <w:p>
      <w:pPr>
        <w:ind w:left="840" w:hanging="186"/>
        <w:spacing w:after="0"/>
        <w:tabs>
          <w:tab w:leader="none" w:pos="8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Emerging Revenue Growth Metric:  The target level was set at 10%, representing above-market annual</w:t>
      </w:r>
    </w:p>
    <w:p>
      <w:pPr>
        <w:spacing w:after="0" w:line="26" w:lineRule="exact"/>
        <w:rPr>
          <w:rFonts w:ascii="Arial" w:cs="Arial" w:eastAsia="Arial" w:hAnsi="Arial"/>
          <w:sz w:val="20"/>
          <w:szCs w:val="20"/>
          <w:color w:val="auto"/>
        </w:rPr>
      </w:pPr>
    </w:p>
    <w:p>
      <w:pPr>
        <w:ind w:left="840" w:right="240"/>
        <w:spacing w:after="0" w:line="276" w:lineRule="auto"/>
        <w:rPr>
          <w:rFonts w:ascii="Arial" w:cs="Arial" w:eastAsia="Arial" w:hAnsi="Arial"/>
          <w:sz w:val="20"/>
          <w:szCs w:val="20"/>
          <w:color w:val="auto"/>
        </w:rPr>
      </w:pPr>
      <w:r>
        <w:rPr>
          <w:rFonts w:ascii="Arial" w:cs="Arial" w:eastAsia="Arial" w:hAnsi="Arial"/>
          <w:sz w:val="19"/>
          <w:szCs w:val="19"/>
          <w:color w:val="auto"/>
        </w:rPr>
        <w:t>growth, the maximum level was set at 20%, which the Compensation Committee believed represented outstanding performance that would be difficult to achieve, and the threshold level was set at 2.5% as a result of continued market uncertainties related to the COVID-19 pandemic. The threshold, target and</w:t>
      </w:r>
    </w:p>
    <w:p>
      <w:pPr>
        <w:spacing w:after="0" w:line="2" w:lineRule="exact"/>
        <w:rPr>
          <w:rFonts w:ascii="Arial" w:cs="Arial" w:eastAsia="Arial" w:hAnsi="Arial"/>
          <w:sz w:val="20"/>
          <w:szCs w:val="20"/>
          <w:color w:val="auto"/>
        </w:rPr>
      </w:pPr>
    </w:p>
    <w:p>
      <w:pPr>
        <w:ind w:left="840" w:right="120"/>
        <w:spacing w:after="0" w:line="276" w:lineRule="auto"/>
        <w:rPr>
          <w:rFonts w:ascii="Arial" w:cs="Arial" w:eastAsia="Arial" w:hAnsi="Arial"/>
          <w:sz w:val="20"/>
          <w:szCs w:val="20"/>
          <w:color w:val="auto"/>
        </w:rPr>
      </w:pPr>
      <w:r>
        <w:rPr>
          <w:rFonts w:ascii="Arial" w:cs="Arial" w:eastAsia="Arial" w:hAnsi="Arial"/>
          <w:sz w:val="19"/>
          <w:szCs w:val="19"/>
          <w:color w:val="auto"/>
        </w:rPr>
        <w:t>maximum levels vary year to year as a result of the composition of what, as part of the Company’s product portfolio, comprises emerging revenue. For fiscal year 2022, emerging revenue growth was based on driving growth in the following key product categories: automotive, BAW-enabled device (i.e., a</w:t>
      </w:r>
    </w:p>
    <w:p>
      <w:pPr>
        <w:spacing w:after="0" w:line="2" w:lineRule="exact"/>
        <w:rPr>
          <w:rFonts w:ascii="Arial" w:cs="Arial" w:eastAsia="Arial" w:hAnsi="Arial"/>
          <w:sz w:val="20"/>
          <w:szCs w:val="20"/>
          <w:color w:val="auto"/>
        </w:rPr>
      </w:pPr>
    </w:p>
    <w:p>
      <w:pPr>
        <w:ind w:left="840" w:right="200"/>
        <w:spacing w:after="0" w:line="262" w:lineRule="auto"/>
        <w:rPr>
          <w:rFonts w:ascii="Arial" w:cs="Arial" w:eastAsia="Arial" w:hAnsi="Arial"/>
          <w:sz w:val="20"/>
          <w:szCs w:val="20"/>
          <w:color w:val="auto"/>
        </w:rPr>
      </w:pPr>
      <w:r>
        <w:rPr>
          <w:rFonts w:ascii="Arial" w:cs="Arial" w:eastAsia="Arial" w:hAnsi="Arial"/>
          <w:sz w:val="20"/>
          <w:szCs w:val="20"/>
          <w:color w:val="auto"/>
        </w:rPr>
        <w:t>product containing at least one bulk acoustic wave filter) and audio device products, as well as products sold by Mixed Signal Solutions (i.e., the Infrastructure and Automotive business that the Company acquired from Silicon Laboratories, Inc. in July 2021) (“MSS”).</w:t>
      </w:r>
    </w:p>
    <w:p>
      <w:pPr>
        <w:spacing w:after="0" w:line="2" w:lineRule="exact"/>
        <w:rPr>
          <w:rFonts w:ascii="Arial" w:cs="Arial" w:eastAsia="Arial" w:hAnsi="Arial"/>
          <w:sz w:val="20"/>
          <w:szCs w:val="20"/>
          <w:color w:val="auto"/>
        </w:rPr>
      </w:pPr>
    </w:p>
    <w:p>
      <w:pPr>
        <w:ind w:left="840" w:right="340" w:hanging="186"/>
        <w:spacing w:after="0" w:line="223" w:lineRule="auto"/>
        <w:tabs>
          <w:tab w:leader="none" w:pos="8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EBITDA Margin Percentile Ranking Metric: The Compensation Committee set the target percentile at the 55</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percentile of the FY22 Peer Group in order to further incentivize above-median performance.</w:t>
      </w:r>
    </w:p>
    <w:p>
      <w:pPr>
        <w:ind w:left="840" w:hanging="186"/>
        <w:spacing w:after="0"/>
        <w:tabs>
          <w:tab w:leader="none" w:pos="8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TSR Percentile Ranking Metric:  Consistent with the prior year’s award, the Compensation Committee</w:t>
      </w:r>
    </w:p>
    <w:p>
      <w:pPr>
        <w:spacing w:after="0" w:line="26" w:lineRule="exact"/>
        <w:rPr>
          <w:rFonts w:ascii="Arial" w:cs="Arial" w:eastAsia="Arial" w:hAnsi="Arial"/>
          <w:sz w:val="20"/>
          <w:szCs w:val="20"/>
          <w:color w:val="auto"/>
        </w:rPr>
      </w:pPr>
    </w:p>
    <w:p>
      <w:pPr>
        <w:ind w:left="840" w:right="240"/>
        <w:spacing w:after="0" w:line="261" w:lineRule="auto"/>
        <w:rPr>
          <w:rFonts w:ascii="Arial" w:cs="Arial" w:eastAsia="Arial" w:hAnsi="Arial"/>
          <w:sz w:val="20"/>
          <w:szCs w:val="20"/>
          <w:color w:val="auto"/>
        </w:rPr>
      </w:pPr>
      <w:r>
        <w:rPr>
          <w:rFonts w:ascii="Arial" w:cs="Arial" w:eastAsia="Arial" w:hAnsi="Arial"/>
          <w:sz w:val="20"/>
          <w:szCs w:val="20"/>
          <w:color w:val="auto"/>
        </w:rPr>
        <w:t>set the target percentile at the 55th percentile of the applicable peer group in order to further incentivize above-median performance.</w:t>
      </w:r>
    </w:p>
    <w:p>
      <w:pPr>
        <w:spacing w:after="0" w:line="215" w:lineRule="exact"/>
        <w:rPr>
          <w:sz w:val="20"/>
          <w:szCs w:val="20"/>
          <w:color w:val="auto"/>
        </w:rPr>
      </w:pPr>
    </w:p>
    <w:p>
      <w:pPr>
        <w:ind w:left="660" w:right="200"/>
        <w:spacing w:after="0" w:line="257" w:lineRule="auto"/>
        <w:rPr>
          <w:sz w:val="20"/>
          <w:szCs w:val="20"/>
          <w:color w:val="auto"/>
        </w:rPr>
      </w:pPr>
      <w:r>
        <w:rPr>
          <w:rFonts w:ascii="Arial" w:cs="Arial" w:eastAsia="Arial" w:hAnsi="Arial"/>
          <w:sz w:val="20"/>
          <w:szCs w:val="20"/>
          <w:color w:val="auto"/>
        </w:rPr>
        <w:t>The number of shares issuable under the FY22 PSAs corresponds to the level of achievement of the performance goals, as follows (subject to linear interpolation for amounts between “threshold” and “target” or “target” and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150495</wp:posOffset>
            </wp:positionV>
            <wp:extent cx="26035" cy="3086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035" cy="308610"/>
                    </a:xfrm>
                    <a:prstGeom prst="rect">
                      <a:avLst/>
                    </a:prstGeom>
                    <a:noFill/>
                  </pic:spPr>
                </pic:pic>
              </a:graphicData>
            </a:graphic>
          </wp:anchor>
        </w:drawing>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6480" w:type="dxa"/>
            <w:vAlign w:val="bottom"/>
            <w:shd w:val="clear" w:color="auto" w:fill="0075A8"/>
          </w:tcPr>
          <w:p>
            <w:pPr>
              <w:jc w:val="right"/>
              <w:ind w:right="6316"/>
              <w:spacing w:after="0"/>
              <w:rPr>
                <w:sz w:val="20"/>
                <w:szCs w:val="20"/>
                <w:color w:val="auto"/>
              </w:rPr>
            </w:pPr>
            <w:r>
              <w:rPr>
                <w:rFonts w:ascii="Arial" w:cs="Arial" w:eastAsia="Arial" w:hAnsi="Arial"/>
                <w:sz w:val="18"/>
                <w:szCs w:val="18"/>
                <w:color w:val="FFFFFF"/>
              </w:rPr>
              <w:t>​​</w:t>
            </w:r>
          </w:p>
        </w:tc>
        <w:tc>
          <w:tcPr>
            <w:tcW w:w="400" w:type="dxa"/>
            <w:vAlign w:val="bottom"/>
            <w:shd w:val="clear" w:color="auto" w:fill="0075A8"/>
          </w:tcPr>
          <w:p>
            <w:pPr>
              <w:spacing w:after="0"/>
              <w:rPr>
                <w:sz w:val="20"/>
                <w:szCs w:val="20"/>
                <w:color w:val="auto"/>
              </w:rPr>
            </w:pPr>
            <w:r>
              <w:rPr>
                <w:rFonts w:ascii="Arial" w:cs="Arial" w:eastAsia="Arial" w:hAnsi="Arial"/>
                <w:sz w:val="18"/>
                <w:szCs w:val="18"/>
                <w:color w:val="FFFFFF"/>
              </w:rPr>
              <w:t>​ ​</w:t>
            </w:r>
          </w:p>
        </w:tc>
        <w:tc>
          <w:tcPr>
            <w:tcW w:w="2400" w:type="dxa"/>
            <w:vAlign w:val="bottom"/>
            <w:gridSpan w:val="3"/>
            <w:shd w:val="clear" w:color="auto" w:fill="0075A8"/>
          </w:tcPr>
          <w:p>
            <w:pPr>
              <w:jc w:val="center"/>
              <w:ind w:right="19"/>
              <w:spacing w:after="0"/>
              <w:rPr>
                <w:sz w:val="20"/>
                <w:szCs w:val="20"/>
                <w:color w:val="auto"/>
              </w:rPr>
            </w:pPr>
            <w:r>
              <w:rPr>
                <w:rFonts w:ascii="Arial" w:cs="Arial" w:eastAsia="Arial" w:hAnsi="Arial"/>
                <w:sz w:val="18"/>
                <w:szCs w:val="18"/>
                <w:color w:val="FFFFFF"/>
                <w:w w:val="99"/>
              </w:rPr>
              <w:t>Performance Achieved</w:t>
            </w:r>
          </w:p>
        </w:tc>
        <w:tc>
          <w:tcPr>
            <w:tcW w:w="120" w:type="dxa"/>
            <w:vAlign w:val="bottom"/>
            <w:shd w:val="clear" w:color="auto" w:fill="0075A8"/>
          </w:tcPr>
          <w:p>
            <w:pPr>
              <w:ind w:left="60"/>
              <w:spacing w:after="0"/>
              <w:rPr>
                <w:sz w:val="20"/>
                <w:szCs w:val="20"/>
                <w:color w:val="auto"/>
              </w:rPr>
            </w:pPr>
            <w:r>
              <w:rPr>
                <w:rFonts w:ascii="Arial" w:cs="Arial" w:eastAsia="Arial" w:hAnsi="Arial"/>
                <w:sz w:val="18"/>
                <w:szCs w:val="18"/>
                <w:color w:val="FFFFFF"/>
              </w:rPr>
              <w:t>​</w:t>
            </w:r>
          </w:p>
        </w:tc>
        <w:tc>
          <w:tcPr>
            <w:tcW w:w="40" w:type="dxa"/>
            <w:vAlign w:val="bottom"/>
          </w:tcPr>
          <w:p>
            <w:pPr>
              <w:spacing w:after="0"/>
              <w:rPr>
                <w:sz w:val="23"/>
                <w:szCs w:val="23"/>
                <w:color w:val="auto"/>
              </w:rPr>
            </w:pPr>
          </w:p>
        </w:tc>
      </w:tr>
      <w:tr>
        <w:trPr>
          <w:trHeight w:val="216"/>
        </w:trPr>
        <w:tc>
          <w:tcPr>
            <w:tcW w:w="6480" w:type="dxa"/>
            <w:vAlign w:val="bottom"/>
          </w:tcPr>
          <w:p>
            <w:pPr>
              <w:jc w:val="right"/>
              <w:ind w:right="6316"/>
              <w:spacing w:after="0"/>
              <w:rPr>
                <w:sz w:val="20"/>
                <w:szCs w:val="20"/>
                <w:color w:val="auto"/>
              </w:rPr>
            </w:pPr>
            <w:r>
              <w:rPr>
                <w:rFonts w:ascii="Arial" w:cs="Arial" w:eastAsia="Arial" w:hAnsi="Arial"/>
                <w:sz w:val="18"/>
                <w:szCs w:val="18"/>
                <w:color w:val="FFFFFF"/>
              </w:rPr>
              <w:t>​​</w:t>
            </w:r>
          </w:p>
        </w:tc>
        <w:tc>
          <w:tcPr>
            <w:tcW w:w="2960" w:type="dxa"/>
            <w:vAlign w:val="bottom"/>
            <w:gridSpan w:val="6"/>
          </w:tcPr>
          <w:p>
            <w:pPr>
              <w:ind w:left="60"/>
              <w:spacing w:after="0"/>
              <w:rPr>
                <w:sz w:val="20"/>
                <w:szCs w:val="20"/>
                <w:color w:val="auto"/>
              </w:rPr>
            </w:pPr>
            <w:r>
              <w:rPr>
                <w:rFonts w:ascii="Arial" w:cs="Arial" w:eastAsia="Arial" w:hAnsi="Arial"/>
                <w:sz w:val="18"/>
                <w:szCs w:val="18"/>
                <w:color w:val="FFFFFF"/>
              </w:rPr>
              <w:t>​ ​Threshold ​ ​Target ​ ​ Maximum ​</w:t>
            </w:r>
          </w:p>
        </w:tc>
      </w:tr>
      <w:tr>
        <w:trPr>
          <w:trHeight w:val="203"/>
        </w:trPr>
        <w:tc>
          <w:tcPr>
            <w:tcW w:w="6480" w:type="dxa"/>
            <w:vAlign w:val="bottom"/>
          </w:tcPr>
          <w:p>
            <w:pPr>
              <w:ind w:left="40"/>
              <w:spacing w:after="0"/>
              <w:rPr>
                <w:sz w:val="20"/>
                <w:szCs w:val="20"/>
                <w:color w:val="auto"/>
              </w:rPr>
            </w:pPr>
            <w:r>
              <w:rPr>
                <w:rFonts w:ascii="Arial" w:cs="Arial" w:eastAsia="Arial" w:hAnsi="Arial"/>
                <w:sz w:val="16"/>
                <w:szCs w:val="16"/>
                <w:color w:val="auto"/>
              </w:rPr>
              <w:t>%​ of Target Level Shares Earned with Respect to Emerging Revenue Growth Metric</w:t>
            </w:r>
          </w:p>
        </w:tc>
        <w:tc>
          <w:tcPr>
            <w:tcW w:w="400" w:type="dxa"/>
            <w:vAlign w:val="bottom"/>
          </w:tcPr>
          <w:p>
            <w:pPr>
              <w:ind w:left="120"/>
              <w:spacing w:after="0"/>
              <w:rPr>
                <w:sz w:val="20"/>
                <w:szCs w:val="20"/>
                <w:color w:val="auto"/>
              </w:rPr>
            </w:pPr>
            <w:r>
              <w:rPr>
                <w:rFonts w:ascii="Arial" w:cs="Arial" w:eastAsia="Arial" w:hAnsi="Arial"/>
                <w:sz w:val="16"/>
                <w:szCs w:val="16"/>
                <w:color w:val="auto"/>
              </w:rPr>
              <w:t>​ ​</w:t>
            </w:r>
          </w:p>
        </w:tc>
        <w:tc>
          <w:tcPr>
            <w:tcW w:w="580" w:type="dxa"/>
            <w:vAlign w:val="bottom"/>
          </w:tcPr>
          <w:p>
            <w:pPr>
              <w:ind w:left="140"/>
              <w:spacing w:after="0"/>
              <w:rPr>
                <w:sz w:val="20"/>
                <w:szCs w:val="20"/>
                <w:color w:val="auto"/>
              </w:rPr>
            </w:pPr>
            <w:r>
              <w:rPr>
                <w:rFonts w:ascii="Arial" w:cs="Arial" w:eastAsia="Arial" w:hAnsi="Arial"/>
                <w:sz w:val="16"/>
                <w:szCs w:val="16"/>
                <w:color w:val="auto"/>
              </w:rPr>
              <w:t>​50​%</w:t>
            </w:r>
          </w:p>
        </w:tc>
        <w:tc>
          <w:tcPr>
            <w:tcW w:w="1200" w:type="dxa"/>
            <w:vAlign w:val="bottom"/>
          </w:tcPr>
          <w:p>
            <w:pPr>
              <w:jc w:val="center"/>
              <w:spacing w:after="0"/>
              <w:rPr>
                <w:sz w:val="20"/>
                <w:szCs w:val="20"/>
                <w:color w:val="auto"/>
              </w:rPr>
            </w:pPr>
            <w:r>
              <w:rPr>
                <w:rFonts w:ascii="Arial" w:cs="Arial" w:eastAsia="Arial" w:hAnsi="Arial"/>
                <w:sz w:val="16"/>
                <w:szCs w:val="16"/>
                <w:color w:val="auto"/>
              </w:rPr>
              <w:t>​ ​ ​ ​100​%​ ​ ​</w:t>
            </w:r>
          </w:p>
        </w:tc>
        <w:tc>
          <w:tcPr>
            <w:tcW w:w="620" w:type="dxa"/>
            <w:vAlign w:val="bottom"/>
          </w:tcPr>
          <w:p>
            <w:pPr>
              <w:ind w:left="120"/>
              <w:spacing w:after="0"/>
              <w:rPr>
                <w:sz w:val="20"/>
                <w:szCs w:val="20"/>
                <w:color w:val="auto"/>
              </w:rPr>
            </w:pPr>
            <w:r>
              <w:rPr>
                <w:rFonts w:ascii="Arial" w:cs="Arial" w:eastAsia="Arial" w:hAnsi="Arial"/>
                <w:sz w:val="16"/>
                <w:szCs w:val="16"/>
                <w:color w:val="auto"/>
              </w:rPr>
              <w:t>​200​%</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rPr>
              <w:t>​​</w:t>
            </w:r>
          </w:p>
        </w:tc>
      </w:tr>
      <w:tr>
        <w:trPr>
          <w:trHeight w:val="218"/>
        </w:trPr>
        <w:tc>
          <w:tcPr>
            <w:tcW w:w="6480" w:type="dxa"/>
            <w:vAlign w:val="bottom"/>
          </w:tcPr>
          <w:p>
            <w:pPr>
              <w:ind w:left="40"/>
              <w:spacing w:after="0"/>
              <w:rPr>
                <w:sz w:val="20"/>
                <w:szCs w:val="20"/>
                <w:color w:val="auto"/>
              </w:rPr>
            </w:pPr>
            <w:r>
              <w:rPr>
                <w:rFonts w:ascii="Arial" w:cs="Arial" w:eastAsia="Arial" w:hAnsi="Arial"/>
                <w:sz w:val="16"/>
                <w:szCs w:val="16"/>
                <w:color w:val="auto"/>
              </w:rPr>
              <w:t>% of Target Level Shares Earned with Respect to EBITDA Margin Percentile Ranking</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1"/>
        </w:trPr>
        <w:tc>
          <w:tcPr>
            <w:tcW w:w="6480" w:type="dxa"/>
            <w:vAlign w:val="bottom"/>
          </w:tcPr>
          <w:p>
            <w:pPr>
              <w:ind w:left="40"/>
              <w:spacing w:after="0"/>
              <w:rPr>
                <w:sz w:val="20"/>
                <w:szCs w:val="20"/>
                <w:color w:val="auto"/>
              </w:rPr>
            </w:pPr>
            <w:r>
              <w:rPr>
                <w:rFonts w:ascii="Arial" w:cs="Arial" w:eastAsia="Arial" w:hAnsi="Arial"/>
                <w:sz w:val="16"/>
                <w:szCs w:val="16"/>
                <w:color w:val="auto"/>
              </w:rPr>
              <w:t>Metric​</w:t>
            </w:r>
          </w:p>
        </w:tc>
        <w:tc>
          <w:tcPr>
            <w:tcW w:w="400" w:type="dxa"/>
            <w:vAlign w:val="bottom"/>
          </w:tcPr>
          <w:p>
            <w:pPr>
              <w:ind w:left="120"/>
              <w:spacing w:after="0"/>
              <w:rPr>
                <w:sz w:val="20"/>
                <w:szCs w:val="20"/>
                <w:color w:val="auto"/>
              </w:rPr>
            </w:pPr>
            <w:r>
              <w:rPr>
                <w:rFonts w:ascii="Arial" w:cs="Arial" w:eastAsia="Arial" w:hAnsi="Arial"/>
                <w:sz w:val="16"/>
                <w:szCs w:val="16"/>
                <w:color w:val="auto"/>
              </w:rPr>
              <w:t>​ ​</w:t>
            </w:r>
          </w:p>
        </w:tc>
        <w:tc>
          <w:tcPr>
            <w:tcW w:w="580" w:type="dxa"/>
            <w:vAlign w:val="bottom"/>
          </w:tcPr>
          <w:p>
            <w:pPr>
              <w:ind w:left="140"/>
              <w:spacing w:after="0"/>
              <w:rPr>
                <w:sz w:val="20"/>
                <w:szCs w:val="20"/>
                <w:color w:val="auto"/>
              </w:rPr>
            </w:pPr>
            <w:r>
              <w:rPr>
                <w:rFonts w:ascii="Arial" w:cs="Arial" w:eastAsia="Arial" w:hAnsi="Arial"/>
                <w:sz w:val="16"/>
                <w:szCs w:val="16"/>
                <w:color w:val="auto"/>
              </w:rPr>
              <w:t>​50​%</w:t>
            </w:r>
          </w:p>
        </w:tc>
        <w:tc>
          <w:tcPr>
            <w:tcW w:w="1200" w:type="dxa"/>
            <w:vAlign w:val="bottom"/>
          </w:tcPr>
          <w:p>
            <w:pPr>
              <w:jc w:val="center"/>
              <w:spacing w:after="0"/>
              <w:rPr>
                <w:sz w:val="20"/>
                <w:szCs w:val="20"/>
                <w:color w:val="auto"/>
              </w:rPr>
            </w:pPr>
            <w:r>
              <w:rPr>
                <w:rFonts w:ascii="Arial" w:cs="Arial" w:eastAsia="Arial" w:hAnsi="Arial"/>
                <w:sz w:val="16"/>
                <w:szCs w:val="16"/>
                <w:color w:val="auto"/>
              </w:rPr>
              <w:t>​ ​ ​ ​100​%​ ​ ​</w:t>
            </w:r>
          </w:p>
        </w:tc>
        <w:tc>
          <w:tcPr>
            <w:tcW w:w="620" w:type="dxa"/>
            <w:vAlign w:val="bottom"/>
          </w:tcPr>
          <w:p>
            <w:pPr>
              <w:ind w:left="120"/>
              <w:spacing w:after="0"/>
              <w:rPr>
                <w:sz w:val="20"/>
                <w:szCs w:val="20"/>
                <w:color w:val="auto"/>
              </w:rPr>
            </w:pPr>
            <w:r>
              <w:rPr>
                <w:rFonts w:ascii="Arial" w:cs="Arial" w:eastAsia="Arial" w:hAnsi="Arial"/>
                <w:sz w:val="16"/>
                <w:szCs w:val="16"/>
                <w:color w:val="auto"/>
              </w:rPr>
              <w:t>​200​%</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rPr>
              <w:t>​​</w:t>
            </w:r>
          </w:p>
        </w:tc>
      </w:tr>
      <w:tr>
        <w:trPr>
          <w:trHeight w:val="230"/>
        </w:trPr>
        <w:tc>
          <w:tcPr>
            <w:tcW w:w="6480" w:type="dxa"/>
            <w:vAlign w:val="bottom"/>
          </w:tcPr>
          <w:p>
            <w:pPr>
              <w:ind w:left="40"/>
              <w:spacing w:after="0"/>
              <w:rPr>
                <w:sz w:val="20"/>
                <w:szCs w:val="20"/>
                <w:color w:val="auto"/>
              </w:rPr>
            </w:pPr>
            <w:r>
              <w:rPr>
                <w:rFonts w:ascii="Arial" w:cs="Arial" w:eastAsia="Arial" w:hAnsi="Arial"/>
                <w:sz w:val="16"/>
                <w:szCs w:val="16"/>
                <w:color w:val="auto"/>
              </w:rPr>
              <w:t>​% of Target Level Shares Earned with Respect to TSR Percentile Ranking Metric</w:t>
            </w:r>
          </w:p>
        </w:tc>
        <w:tc>
          <w:tcPr>
            <w:tcW w:w="400" w:type="dxa"/>
            <w:vAlign w:val="bottom"/>
          </w:tcPr>
          <w:p>
            <w:pPr>
              <w:ind w:left="120"/>
              <w:spacing w:after="0"/>
              <w:rPr>
                <w:sz w:val="20"/>
                <w:szCs w:val="20"/>
                <w:color w:val="auto"/>
              </w:rPr>
            </w:pPr>
            <w:r>
              <w:rPr>
                <w:rFonts w:ascii="Arial" w:cs="Arial" w:eastAsia="Arial" w:hAnsi="Arial"/>
                <w:sz w:val="16"/>
                <w:szCs w:val="16"/>
                <w:color w:val="auto"/>
              </w:rPr>
              <w:t>​ ​</w:t>
            </w:r>
          </w:p>
        </w:tc>
        <w:tc>
          <w:tcPr>
            <w:tcW w:w="580" w:type="dxa"/>
            <w:vAlign w:val="bottom"/>
          </w:tcPr>
          <w:p>
            <w:pPr>
              <w:ind w:left="1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50​%</w:t>
            </w:r>
          </w:p>
        </w:tc>
        <w:tc>
          <w:tcPr>
            <w:tcW w:w="1200" w:type="dxa"/>
            <w:vAlign w:val="bottom"/>
          </w:tcPr>
          <w:p>
            <w:pPr>
              <w:jc w:val="center"/>
              <w:spacing w:after="0"/>
              <w:rPr>
                <w:sz w:val="20"/>
                <w:szCs w:val="20"/>
                <w:color w:val="auto"/>
              </w:rPr>
            </w:pPr>
            <w:r>
              <w:rPr>
                <w:rFonts w:ascii="Arial" w:cs="Arial" w:eastAsia="Arial" w:hAnsi="Arial"/>
                <w:sz w:val="16"/>
                <w:szCs w:val="16"/>
                <w:color w:val="auto"/>
              </w:rPr>
              <w:t xml:space="preserve">​ ​ ​ </w:t>
            </w:r>
            <w:r>
              <w:rPr>
                <w:rFonts w:ascii="Arial" w:cs="Arial" w:eastAsia="Arial" w:hAnsi="Arial"/>
                <w:sz w:val="16"/>
                <w:szCs w:val="16"/>
                <w:b w:val="1"/>
                <w:bCs w:val="1"/>
                <w:color w:val="auto"/>
              </w:rPr>
              <w:t>​</w:t>
            </w:r>
            <w:r>
              <w:rPr>
                <w:rFonts w:ascii="Arial" w:cs="Arial" w:eastAsia="Arial" w:hAnsi="Arial"/>
                <w:sz w:val="16"/>
                <w:szCs w:val="16"/>
                <w:color w:val="auto"/>
              </w:rPr>
              <w:t>100​%​ ​ ​</w:t>
            </w:r>
          </w:p>
        </w:tc>
        <w:tc>
          <w:tcPr>
            <w:tcW w:w="620" w:type="dxa"/>
            <w:vAlign w:val="bottom"/>
          </w:tcPr>
          <w:p>
            <w:pPr>
              <w:ind w:left="1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300​%</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-685165</wp:posOffset>
            </wp:positionV>
            <wp:extent cx="5974715" cy="274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74715" cy="27432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-145415</wp:posOffset>
            </wp:positionV>
            <wp:extent cx="5974715" cy="146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​40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right="40"/>
        <w:spacing w:after="0" w:line="257" w:lineRule="auto"/>
        <w:rPr>
          <w:sz w:val="20"/>
          <w:szCs w:val="20"/>
          <w:color w:val="auto"/>
        </w:rPr>
      </w:pPr>
      <w:r>
        <w:rPr>
          <w:rFonts w:ascii="Arial" w:cs="Arial" w:eastAsia="Arial" w:hAnsi="Arial"/>
          <w:sz w:val="20"/>
          <w:szCs w:val="20"/>
          <w:color w:val="auto"/>
        </w:rPr>
        <w:t>The “continued employment” condition of the FY22 PSAs provides that, to the extent that the performance goals are met, the shares earned under such metrics would vest as follows (provided, in each case, that the executive remains employed by the Company through each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150495</wp:posOffset>
            </wp:positionV>
            <wp:extent cx="26035" cy="3600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035" cy="360045"/>
                    </a:xfrm>
                    <a:prstGeom prst="rect">
                      <a:avLst/>
                    </a:prstGeom>
                    <a:noFill/>
                  </pic:spPr>
                </pic:pic>
              </a:graphicData>
            </a:graphic>
          </wp:anchor>
        </w:drawing>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297"/>
        </w:trPr>
        <w:tc>
          <w:tcPr>
            <w:tcW w:w="6760" w:type="dxa"/>
            <w:vAlign w:val="bottom"/>
            <w:shd w:val="clear" w:color="auto" w:fill="0075A8"/>
          </w:tcPr>
          <w:p>
            <w:pPr>
              <w:jc w:val="right"/>
              <w:ind w:right="6611"/>
              <w:spacing w:after="0"/>
              <w:rPr>
                <w:sz w:val="20"/>
                <w:szCs w:val="20"/>
                <w:color w:val="auto"/>
              </w:rPr>
            </w:pPr>
            <w:r>
              <w:rPr>
                <w:rFonts w:ascii="Arial" w:cs="Arial" w:eastAsia="Arial" w:hAnsi="Arial"/>
                <w:sz w:val="18"/>
                <w:szCs w:val="18"/>
                <w:color w:val="FFFFFF"/>
              </w:rPr>
              <w:t>​​</w:t>
            </w:r>
          </w:p>
        </w:tc>
        <w:tc>
          <w:tcPr>
            <w:tcW w:w="220" w:type="dxa"/>
            <w:vAlign w:val="bottom"/>
            <w:gridSpan w:val="2"/>
            <w:shd w:val="clear" w:color="auto" w:fill="0075A8"/>
          </w:tcPr>
          <w:p>
            <w:pPr>
              <w:jc w:val="right"/>
              <w:spacing w:after="0"/>
              <w:rPr>
                <w:sz w:val="20"/>
                <w:szCs w:val="20"/>
                <w:color w:val="auto"/>
              </w:rPr>
            </w:pPr>
            <w:r>
              <w:rPr>
                <w:rFonts w:ascii="Arial" w:cs="Arial" w:eastAsia="Arial" w:hAnsi="Arial"/>
                <w:sz w:val="18"/>
                <w:szCs w:val="18"/>
                <w:color w:val="FFFFFF"/>
              </w:rPr>
              <w:t>​ ​</w:t>
            </w:r>
          </w:p>
        </w:tc>
        <w:tc>
          <w:tcPr>
            <w:tcW w:w="2360" w:type="dxa"/>
            <w:vAlign w:val="bottom"/>
            <w:gridSpan w:val="6"/>
            <w:shd w:val="clear" w:color="auto" w:fill="0075A8"/>
          </w:tcPr>
          <w:p>
            <w:pPr>
              <w:ind w:left="40"/>
              <w:spacing w:after="0"/>
              <w:rPr>
                <w:sz w:val="20"/>
                <w:szCs w:val="20"/>
                <w:color w:val="auto"/>
              </w:rPr>
            </w:pPr>
            <w:r>
              <w:rPr>
                <w:rFonts w:ascii="Arial" w:cs="Arial" w:eastAsia="Arial" w:hAnsi="Arial"/>
                <w:sz w:val="18"/>
                <w:szCs w:val="18"/>
                <w:color w:val="FFFFFF"/>
                <w:w w:val="99"/>
              </w:rPr>
              <w:t>Anniversary of Grant Date(1)</w:t>
            </w:r>
          </w:p>
        </w:tc>
        <w:tc>
          <w:tcPr>
            <w:tcW w:w="60" w:type="dxa"/>
            <w:vAlign w:val="bottom"/>
            <w:shd w:val="clear" w:color="auto" w:fill="0075A8"/>
          </w:tcPr>
          <w:p>
            <w:pPr>
              <w:spacing w:after="0"/>
              <w:rPr>
                <w:sz w:val="20"/>
                <w:szCs w:val="20"/>
                <w:color w:val="auto"/>
              </w:rPr>
            </w:pPr>
            <w:r>
              <w:rPr>
                <w:rFonts w:ascii="Arial" w:cs="Arial" w:eastAsia="Arial" w:hAnsi="Arial"/>
                <w:sz w:val="18"/>
                <w:szCs w:val="18"/>
                <w:color w:val="FFFFFF"/>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tcPr>
          <w:p>
            <w:pPr>
              <w:jc w:val="right"/>
              <w:ind w:right="6611"/>
              <w:spacing w:after="0"/>
              <w:rPr>
                <w:sz w:val="20"/>
                <w:szCs w:val="20"/>
                <w:color w:val="auto"/>
              </w:rPr>
            </w:pPr>
            <w:r>
              <w:rPr>
                <w:rFonts w:ascii="Arial" w:cs="Arial" w:eastAsia="Arial" w:hAnsi="Arial"/>
                <w:sz w:val="18"/>
                <w:szCs w:val="18"/>
                <w:color w:val="FFFFFF"/>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FFFFFF"/>
              </w:rPr>
              <w:t>​ ​</w:t>
            </w:r>
          </w:p>
        </w:tc>
        <w:tc>
          <w:tcPr>
            <w:tcW w:w="80" w:type="dxa"/>
            <w:vAlign w:val="bottom"/>
          </w:tcPr>
          <w:p>
            <w:pPr>
              <w:spacing w:after="0"/>
              <w:rPr>
                <w:sz w:val="23"/>
                <w:szCs w:val="23"/>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FFFFFF"/>
              </w:rPr>
              <w:t>Two Year</w:t>
            </w:r>
          </w:p>
        </w:tc>
        <w:tc>
          <w:tcPr>
            <w:tcW w:w="280" w:type="dxa"/>
            <w:vAlign w:val="bottom"/>
          </w:tcPr>
          <w:p>
            <w:pPr>
              <w:ind w:left="120"/>
              <w:spacing w:after="0"/>
              <w:rPr>
                <w:sz w:val="20"/>
                <w:szCs w:val="20"/>
                <w:color w:val="auto"/>
              </w:rPr>
            </w:pPr>
            <w:r>
              <w:rPr>
                <w:rFonts w:ascii="Arial" w:cs="Arial" w:eastAsia="Arial" w:hAnsi="Arial"/>
                <w:sz w:val="18"/>
                <w:szCs w:val="18"/>
                <w:color w:val="FFFFFF"/>
              </w:rPr>
              <w:t>​ ​</w:t>
            </w:r>
          </w:p>
        </w:tc>
        <w:tc>
          <w:tcPr>
            <w:tcW w:w="100" w:type="dxa"/>
            <w:vAlign w:val="bottom"/>
          </w:tcPr>
          <w:p>
            <w:pPr>
              <w:spacing w:after="0"/>
              <w:rPr>
                <w:sz w:val="23"/>
                <w:szCs w:val="23"/>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FFFFFF"/>
              </w:rPr>
              <w:t>Three Year</w:t>
            </w:r>
          </w:p>
        </w:tc>
        <w:tc>
          <w:tcPr>
            <w:tcW w:w="100" w:type="dxa"/>
            <w:vAlign w:val="bottom"/>
            <w:gridSpan w:val="2"/>
          </w:tcPr>
          <w:p>
            <w:pPr>
              <w:ind w:left="4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03"/>
        </w:trPr>
        <w:tc>
          <w:tcPr>
            <w:tcW w:w="6760" w:type="dxa"/>
            <w:vAlign w:val="bottom"/>
          </w:tcPr>
          <w:p>
            <w:pPr>
              <w:ind w:left="40"/>
              <w:spacing w:after="0"/>
              <w:rPr>
                <w:sz w:val="20"/>
                <w:szCs w:val="20"/>
                <w:color w:val="auto"/>
              </w:rPr>
            </w:pPr>
            <w:r>
              <w:rPr>
                <w:rFonts w:ascii="Arial" w:cs="Arial" w:eastAsia="Arial" w:hAnsi="Arial"/>
                <w:sz w:val="16"/>
                <w:szCs w:val="16"/>
                <w:color w:val="auto"/>
              </w:rPr>
              <w:t>% of Shares Earned with Respect to Emerging Revenue Growth Metric</w:t>
            </w: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2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w:t>
            </w:r>
          </w:p>
        </w:tc>
        <w:tc>
          <w:tcPr>
            <w:tcW w:w="28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0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760" w:type="dxa"/>
            <w:vAlign w:val="bottom"/>
          </w:tcPr>
          <w:p>
            <w:pPr>
              <w:jc w:val="right"/>
              <w:ind w:right="6611"/>
              <w:spacing w:after="0" w:line="54"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0"/>
              <w:spacing w:after="0"/>
              <w:rPr>
                <w:sz w:val="20"/>
                <w:szCs w:val="20"/>
                <w:color w:val="auto"/>
              </w:rPr>
            </w:pPr>
            <w:r>
              <w:rPr>
                <w:rFonts w:ascii="Arial" w:cs="Arial" w:eastAsia="Arial" w:hAnsi="Arial"/>
                <w:sz w:val="16"/>
                <w:szCs w:val="16"/>
                <w:color w:val="auto"/>
              </w:rPr>
              <w:t>% of Shares Earned with Respect to EBITDA Margin Percentile Ranking Metric</w:t>
            </w: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2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w:t>
            </w:r>
          </w:p>
        </w:tc>
        <w:tc>
          <w:tcPr>
            <w:tcW w:w="28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0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760" w:type="dxa"/>
            <w:vAlign w:val="bottom"/>
          </w:tcPr>
          <w:p>
            <w:pPr>
              <w:jc w:val="right"/>
              <w:ind w:right="6611"/>
              <w:spacing w:after="0" w:line="54"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760" w:type="dxa"/>
            <w:vAlign w:val="bottom"/>
          </w:tcPr>
          <w:p>
            <w:pPr>
              <w:ind w:left="40"/>
              <w:spacing w:after="0"/>
              <w:rPr>
                <w:sz w:val="20"/>
                <w:szCs w:val="20"/>
                <w:color w:val="auto"/>
              </w:rPr>
            </w:pPr>
            <w:r>
              <w:rPr>
                <w:rFonts w:ascii="Arial" w:cs="Arial" w:eastAsia="Arial" w:hAnsi="Arial"/>
                <w:sz w:val="16"/>
                <w:szCs w:val="16"/>
                <w:color w:val="auto"/>
              </w:rPr>
              <w:t>​% of Shares Earned with Respect to TSR Percentile Ranking Metric</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860" w:type="dxa"/>
            <w:vAlign w:val="bottom"/>
          </w:tcPr>
          <w:p>
            <w:pPr>
              <w:ind w:left="280"/>
              <w:spacing w:after="0"/>
              <w:rPr>
                <w:sz w:val="20"/>
                <w:szCs w:val="20"/>
                <w:color w:val="auto"/>
              </w:rPr>
            </w:pPr>
            <w:r>
              <w:rPr>
                <w:rFonts w:ascii="Arial" w:cs="Arial" w:eastAsia="Arial" w:hAnsi="Arial"/>
                <w:sz w:val="16"/>
                <w:szCs w:val="16"/>
                <w:color w:val="auto"/>
              </w:rPr>
              <w:t>​   ​</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 ​ ​</w:t>
            </w:r>
          </w:p>
        </w:tc>
        <w:tc>
          <w:tcPr>
            <w:tcW w:w="1040" w:type="dxa"/>
            <w:vAlign w:val="bottom"/>
            <w:gridSpan w:val="2"/>
          </w:tcPr>
          <w:p>
            <w:pPr>
              <w:ind w:left="3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w:t>
            </w:r>
          </w:p>
        </w:tc>
        <w:tc>
          <w:tcPr>
            <w:tcW w:w="100" w:type="dxa"/>
            <w:vAlign w:val="bottom"/>
            <w:gridSpan w:val="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-676275</wp:posOffset>
            </wp:positionV>
            <wp:extent cx="5974715" cy="3429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74715" cy="34290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-162560</wp:posOffset>
            </wp:positionV>
            <wp:extent cx="5974715" cy="163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87" w:lineRule="exact"/>
        <w:rPr>
          <w:sz w:val="20"/>
          <w:szCs w:val="20"/>
          <w:color w:val="auto"/>
        </w:rPr>
      </w:pPr>
    </w:p>
    <w:p>
      <w:pPr>
        <w:ind w:left="1080" w:right="280" w:hanging="354"/>
        <w:spacing w:after="0" w:line="281" w:lineRule="auto"/>
        <w:tabs>
          <w:tab w:leader="none" w:pos="108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In the event of termination by reason of death or permanent disability, the holder of an FY22 PSA (or the holder’s estate) would receive any earned but unissued shares that would have been issuable thereunder during the remaining term of the award.</w:t>
      </w:r>
    </w:p>
    <w:p>
      <w:pPr>
        <w:sectPr>
          <w:pgSz w:w="11900" w:h="16838" w:orient="portrait"/>
          <w:cols w:equalWidth="0" w:num="1">
            <w:col w:w="10100"/>
          </w:cols>
          <w:pgMar w:left="580" w:top="132" w:right="1219" w:bottom="1440" w:gutter="0" w:footer="0" w:header="0"/>
        </w:sectPr>
      </w:pPr>
    </w:p>
    <w:p>
      <w:pPr>
        <w:spacing w:after="0" w:line="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During fiscal year 2021, the base period against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which fiscal year 2022 emerging revenue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performance was measured, the Company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achieved revenue in the specified key product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categories of  $1,387 million. The base period</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emerging revenue included revenue from the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automotive, BAW-enabled device and audio</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product categories, as well as revenue generated</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MSS, which was acquired by the Company in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July 2021, including MSS’s revenue during fiscal</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year 2021 that preceded the acquisition. During</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fiscal year 2022, the Company achieved revenue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the specified key product categories of</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$2,205 million, representing emerging revenue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growth of 59%, which exceeds the “maximum”</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level of performance. This growth was driven by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strong performance in the BAW-enabled and MSS</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product categories. This resulted in the Company</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achieving 200% of the target level of shares for</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such metric. The shares earned under this metric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will be issued in November 2023, provided that the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Named Executive Officer meets the continued</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employment condition.</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440"/>
        <w:spacing w:after="0" w:line="257" w:lineRule="auto"/>
        <w:rPr>
          <w:sz w:val="20"/>
          <w:szCs w:val="20"/>
          <w:color w:val="auto"/>
        </w:rPr>
      </w:pPr>
      <w:r>
        <w:rPr>
          <w:rFonts w:ascii="Arial" w:cs="Arial" w:eastAsia="Arial" w:hAnsi="Arial"/>
          <w:sz w:val="20"/>
          <w:szCs w:val="20"/>
          <w:b w:val="1"/>
          <w:bCs w:val="1"/>
          <w:color w:val="auto"/>
        </w:rPr>
        <w:t>Outstanding PSAs at the End of Fiscal Year 2022</w:t>
      </w:r>
    </w:p>
    <w:p>
      <w:pPr>
        <w:spacing w:after="0" w:line="98"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auto"/>
        </w:rPr>
        <w:t>As summarized in the table below of the annual PSA grants made to Named Executive Officers since our fiscal year ended September 28, 2018 (“fiscal year 2018”) (the first year in which the Compensation Committee awarded PSAs subject to a metric measured over a three-year performance period), achievement of the TSR percentile ranking metric under the FY22 PSAs, which is subject to a three-year performance period, will be determined following the conclusion of the Company’s fiscal year ending September 27, 2024 (“fiscal year 2024”). During the three-year performance period under the fiscal year 2020 PSAs comprising the Company’s fiscal years 2020, 2021, and 2022, the Company achieved a TSR of 37% resulting in its ranking in the 23</w:t>
      </w:r>
      <w:r>
        <w:rPr>
          <w:rFonts w:ascii="Arial" w:cs="Arial" w:eastAsia="Arial" w:hAnsi="Arial"/>
          <w:sz w:val="30"/>
          <w:szCs w:val="30"/>
          <w:color w:val="auto"/>
          <w:vertAlign w:val="superscript"/>
        </w:rPr>
        <w:t>rd</w:t>
      </w:r>
      <w:r>
        <w:rPr>
          <w:rFonts w:ascii="Arial" w:cs="Arial" w:eastAsia="Arial" w:hAnsi="Arial"/>
          <w:sz w:val="20"/>
          <w:szCs w:val="20"/>
          <w:color w:val="auto"/>
        </w:rPr>
        <w:t xml:space="preserve"> percentile against the applicable peer group. As a result of failing to achieve the threshold TSR percentile ranking metric, no shares were earned by the Named Executive Officers with respect to such metric, and all PSAs with respect to such metric were cancelled.</w:t>
      </w:r>
    </w:p>
    <w:p>
      <w:pPr>
        <w:spacing w:after="0" w:line="258" w:lineRule="exact"/>
        <w:rPr>
          <w:sz w:val="20"/>
          <w:szCs w:val="20"/>
          <w:color w:val="auto"/>
        </w:rPr>
      </w:pPr>
    </w:p>
    <w:p>
      <w:pPr>
        <w:sectPr>
          <w:pgSz w:w="11900" w:h="16838" w:orient="portrait"/>
          <w:cols w:equalWidth="0" w:num="2">
            <w:col w:w="5080" w:space="500"/>
            <w:col w:w="4520"/>
          </w:cols>
          <w:pgMar w:left="580" w:top="132"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391795</wp:posOffset>
            </wp:positionV>
            <wp:extent cx="5974715" cy="291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FFFFFF"/>
              </w:rPr>
              <w:t>Performance</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FFFFFF"/>
                <w:w w:val="99"/>
              </w:rPr>
              <w:t>Achieved</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460" w:type="dxa"/>
            <w:vAlign w:val="bottom"/>
          </w:tcPr>
          <w:p>
            <w:pPr>
              <w:ind w:left="20"/>
              <w:spacing w:after="0"/>
              <w:rPr>
                <w:sz w:val="20"/>
                <w:szCs w:val="20"/>
                <w:color w:val="auto"/>
              </w:rPr>
            </w:pPr>
            <w:r>
              <w:rPr>
                <w:rFonts w:ascii="Arial" w:cs="Arial" w:eastAsia="Arial" w:hAnsi="Arial"/>
                <w:sz w:val="18"/>
                <w:szCs w:val="18"/>
                <w:color w:val="FFFFFF"/>
              </w:rPr>
              <w:t>​PSA Fiscal Year</w:t>
            </w:r>
          </w:p>
        </w:tc>
        <w:tc>
          <w:tcPr>
            <w:tcW w:w="200" w:type="dxa"/>
            <w:vAlign w:val="bottom"/>
          </w:tcPr>
          <w:p>
            <w:pPr>
              <w:ind w:left="80"/>
              <w:spacing w:after="0"/>
              <w:rPr>
                <w:sz w:val="20"/>
                <w:szCs w:val="20"/>
                <w:color w:val="auto"/>
              </w:rPr>
            </w:pPr>
            <w:r>
              <w:rPr>
                <w:rFonts w:ascii="Arial" w:cs="Arial" w:eastAsia="Arial" w:hAnsi="Arial"/>
                <w:sz w:val="18"/>
                <w:szCs w:val="18"/>
                <w:color w:val="FFFFFF"/>
              </w:rPr>
              <w:t>​</w:t>
            </w:r>
          </w:p>
        </w:tc>
        <w:tc>
          <w:tcPr>
            <w:tcW w:w="1100" w:type="dxa"/>
            <w:vAlign w:val="bottom"/>
            <w:gridSpan w:val="2"/>
          </w:tcPr>
          <w:p>
            <w:pPr>
              <w:ind w:left="60"/>
              <w:spacing w:after="0"/>
              <w:rPr>
                <w:sz w:val="20"/>
                <w:szCs w:val="20"/>
                <w:color w:val="auto"/>
              </w:rPr>
            </w:pPr>
            <w:r>
              <w:rPr>
                <w:rFonts w:ascii="Arial" w:cs="Arial" w:eastAsia="Arial" w:hAnsi="Arial"/>
                <w:sz w:val="18"/>
                <w:szCs w:val="18"/>
                <w:color w:val="FFFFFF"/>
              </w:rPr>
              <w:t>​ Grant Date</w:t>
            </w:r>
          </w:p>
        </w:tc>
        <w:tc>
          <w:tcPr>
            <w:tcW w:w="160" w:type="dxa"/>
            <w:vAlign w:val="bottom"/>
          </w:tcPr>
          <w:p>
            <w:pPr>
              <w:ind w:left="40"/>
              <w:spacing w:after="0"/>
              <w:rPr>
                <w:sz w:val="20"/>
                <w:szCs w:val="20"/>
                <w:color w:val="auto"/>
              </w:rPr>
            </w:pPr>
            <w:r>
              <w:rPr>
                <w:rFonts w:ascii="Arial" w:cs="Arial" w:eastAsia="Arial" w:hAnsi="Arial"/>
                <w:sz w:val="18"/>
                <w:szCs w:val="18"/>
                <w:color w:val="FFFFFF"/>
              </w:rPr>
              <w:t>​</w:t>
            </w:r>
          </w:p>
        </w:tc>
        <w:tc>
          <w:tcPr>
            <w:tcW w:w="220" w:type="dxa"/>
            <w:vAlign w:val="bottom"/>
          </w:tcPr>
          <w:p>
            <w:pPr>
              <w:ind w:left="80"/>
              <w:spacing w:after="0"/>
              <w:rPr>
                <w:sz w:val="20"/>
                <w:szCs w:val="20"/>
                <w:color w:val="auto"/>
              </w:rPr>
            </w:pPr>
            <w:r>
              <w:rPr>
                <w:rFonts w:ascii="Arial" w:cs="Arial" w:eastAsia="Arial" w:hAnsi="Arial"/>
                <w:sz w:val="18"/>
                <w:szCs w:val="18"/>
                <w:color w:val="FFFFFF"/>
              </w:rPr>
              <w:t>​</w:t>
            </w:r>
          </w:p>
        </w:tc>
        <w:tc>
          <w:tcPr>
            <w:tcW w:w="2520" w:type="dxa"/>
            <w:vAlign w:val="bottom"/>
          </w:tcPr>
          <w:p>
            <w:pPr>
              <w:jc w:val="center"/>
              <w:spacing w:after="0"/>
              <w:rPr>
                <w:sz w:val="20"/>
                <w:szCs w:val="20"/>
                <w:color w:val="auto"/>
              </w:rPr>
            </w:pPr>
            <w:r>
              <w:rPr>
                <w:rFonts w:ascii="Arial" w:cs="Arial" w:eastAsia="Arial" w:hAnsi="Arial"/>
                <w:sz w:val="18"/>
                <w:szCs w:val="18"/>
                <w:color w:val="FFFFFF"/>
                <w:w w:val="97"/>
              </w:rPr>
              <w:t>Metric</w:t>
            </w:r>
          </w:p>
        </w:tc>
        <w:tc>
          <w:tcPr>
            <w:tcW w:w="180" w:type="dxa"/>
            <w:vAlign w:val="bottom"/>
          </w:tcPr>
          <w:p>
            <w:pPr>
              <w:ind w:left="60"/>
              <w:spacing w:after="0"/>
              <w:rPr>
                <w:sz w:val="20"/>
                <w:szCs w:val="20"/>
                <w:color w:val="auto"/>
              </w:rPr>
            </w:pPr>
            <w:r>
              <w:rPr>
                <w:rFonts w:ascii="Arial" w:cs="Arial" w:eastAsia="Arial" w:hAnsi="Arial"/>
                <w:sz w:val="18"/>
                <w:szCs w:val="18"/>
                <w:color w:val="FFFFFF"/>
              </w:rPr>
              <w:t>​</w:t>
            </w:r>
          </w:p>
        </w:tc>
        <w:tc>
          <w:tcPr>
            <w:tcW w:w="140" w:type="dxa"/>
            <w:vAlign w:val="bottom"/>
          </w:tcPr>
          <w:p>
            <w:pPr>
              <w:ind w:left="60"/>
              <w:spacing w:after="0"/>
              <w:rPr>
                <w:sz w:val="20"/>
                <w:szCs w:val="20"/>
                <w:color w:val="auto"/>
              </w:rPr>
            </w:pPr>
            <w:r>
              <w:rPr>
                <w:rFonts w:ascii="Arial" w:cs="Arial" w:eastAsia="Arial" w:hAnsi="Arial"/>
                <w:sz w:val="18"/>
                <w:szCs w:val="18"/>
                <w:color w:val="FFFFFF"/>
              </w:rPr>
              <w:t>​</w:t>
            </w:r>
          </w:p>
        </w:tc>
        <w:tc>
          <w:tcPr>
            <w:tcW w:w="1100" w:type="dxa"/>
            <w:vAlign w:val="bottom"/>
          </w:tcPr>
          <w:p>
            <w:pPr>
              <w:jc w:val="center"/>
              <w:spacing w:after="0"/>
              <w:rPr>
                <w:sz w:val="20"/>
                <w:szCs w:val="20"/>
                <w:color w:val="auto"/>
              </w:rPr>
            </w:pPr>
            <w:r>
              <w:rPr>
                <w:rFonts w:ascii="Arial" w:cs="Arial" w:eastAsia="Arial" w:hAnsi="Arial"/>
                <w:sz w:val="18"/>
                <w:szCs w:val="18"/>
                <w:color w:val="FFFFFF"/>
                <w:w w:val="99"/>
              </w:rPr>
              <w:t>Period</w:t>
            </w:r>
          </w:p>
        </w:tc>
        <w:tc>
          <w:tcPr>
            <w:tcW w:w="180" w:type="dxa"/>
            <w:vAlign w:val="bottom"/>
          </w:tcPr>
          <w:p>
            <w:pPr>
              <w:ind w:left="60"/>
              <w:spacing w:after="0"/>
              <w:rPr>
                <w:sz w:val="20"/>
                <w:szCs w:val="20"/>
                <w:color w:val="auto"/>
              </w:rPr>
            </w:pPr>
            <w:r>
              <w:rPr>
                <w:rFonts w:ascii="Arial" w:cs="Arial" w:eastAsia="Arial" w:hAnsi="Arial"/>
                <w:sz w:val="18"/>
                <w:szCs w:val="18"/>
                <w:color w:val="FFFFFF"/>
              </w:rPr>
              <w:t>​</w:t>
            </w:r>
          </w:p>
        </w:tc>
        <w:tc>
          <w:tcPr>
            <w:tcW w:w="360" w:type="dxa"/>
            <w:vAlign w:val="bottom"/>
          </w:tcPr>
          <w:p>
            <w:pPr>
              <w:ind w:left="60"/>
              <w:spacing w:after="0"/>
              <w:rPr>
                <w:sz w:val="20"/>
                <w:szCs w:val="20"/>
                <w:color w:val="auto"/>
              </w:rPr>
            </w:pPr>
            <w:r>
              <w:rPr>
                <w:rFonts w:ascii="Arial" w:cs="Arial" w:eastAsia="Arial" w:hAnsi="Arial"/>
                <w:sz w:val="18"/>
                <w:szCs w:val="18"/>
                <w:color w:val="FFFFFF"/>
              </w:rPr>
              <w:t>​</w:t>
            </w:r>
          </w:p>
        </w:tc>
        <w:tc>
          <w:tcPr>
            <w:tcW w:w="1520" w:type="dxa"/>
            <w:vAlign w:val="bottom"/>
          </w:tcPr>
          <w:p>
            <w:pPr>
              <w:jc w:val="center"/>
              <w:spacing w:after="0"/>
              <w:rPr>
                <w:sz w:val="20"/>
                <w:szCs w:val="20"/>
                <w:color w:val="auto"/>
              </w:rPr>
            </w:pPr>
            <w:r>
              <w:rPr>
                <w:rFonts w:ascii="Arial" w:cs="Arial" w:eastAsia="Arial" w:hAnsi="Arial"/>
                <w:sz w:val="18"/>
                <w:szCs w:val="18"/>
                <w:color w:val="FFFFFF"/>
                <w:w w:val="98"/>
              </w:rPr>
              <w:t>(% of Target)</w:t>
            </w:r>
          </w:p>
        </w:tc>
        <w:tc>
          <w:tcPr>
            <w:tcW w:w="280" w:type="dxa"/>
            <w:vAlign w:val="bottom"/>
            <w:gridSpan w:val="2"/>
          </w:tcPr>
          <w:p>
            <w:pPr>
              <w:ind w:left="24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45"/>
        </w:trPr>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​FY18</w:t>
            </w:r>
          </w:p>
        </w:tc>
        <w:tc>
          <w:tcPr>
            <w:tcW w:w="2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11/7/2017</w:t>
            </w:r>
          </w:p>
        </w:tc>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2520" w:type="dxa"/>
            <w:vAlign w:val="bottom"/>
          </w:tcPr>
          <w:p>
            <w:pPr>
              <w:jc w:val="center"/>
              <w:spacing w:after="0"/>
              <w:rPr>
                <w:sz w:val="20"/>
                <w:szCs w:val="20"/>
                <w:color w:val="auto"/>
              </w:rPr>
            </w:pPr>
            <w:r>
              <w:rPr>
                <w:rFonts w:ascii="Arial" w:cs="Arial" w:eastAsia="Arial" w:hAnsi="Arial"/>
                <w:sz w:val="16"/>
                <w:szCs w:val="16"/>
                <w:color w:val="auto"/>
              </w:rPr>
              <w:t>Non-GAAP EBITDA Growth</w:t>
            </w:r>
          </w:p>
        </w:tc>
        <w:tc>
          <w:tcPr>
            <w:tcW w:w="18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1100" w:type="dxa"/>
            <w:vAlign w:val="bottom"/>
          </w:tcPr>
          <w:p>
            <w:pPr>
              <w:jc w:val="center"/>
              <w:spacing w:after="0"/>
              <w:rPr>
                <w:sz w:val="20"/>
                <w:szCs w:val="20"/>
                <w:color w:val="auto"/>
              </w:rPr>
            </w:pPr>
            <w:r>
              <w:rPr>
                <w:rFonts w:ascii="Arial" w:cs="Arial" w:eastAsia="Arial" w:hAnsi="Arial"/>
                <w:sz w:val="16"/>
                <w:szCs w:val="16"/>
                <w:color w:val="auto"/>
              </w:rPr>
              <w:t>FY18</w:t>
            </w:r>
          </w:p>
        </w:tc>
        <w:tc>
          <w:tcPr>
            <w:tcW w:w="18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rPr>
              <w:t>99.8%</w:t>
            </w:r>
          </w:p>
        </w:tc>
        <w:tc>
          <w:tcPr>
            <w:tcW w:w="280" w:type="dxa"/>
            <w:vAlign w:val="bottom"/>
            <w:gridSpan w:val="2"/>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4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520" w:type="dxa"/>
            <w:vAlign w:val="bottom"/>
          </w:tcPr>
          <w:p>
            <w:pPr>
              <w:jc w:val="center"/>
              <w:spacing w:after="0"/>
              <w:rPr>
                <w:sz w:val="20"/>
                <w:szCs w:val="20"/>
                <w:color w:val="auto"/>
              </w:rPr>
            </w:pPr>
            <w:r>
              <w:rPr>
                <w:rFonts w:ascii="Arial" w:cs="Arial" w:eastAsia="Arial" w:hAnsi="Arial"/>
                <w:sz w:val="16"/>
                <w:szCs w:val="16"/>
                <w:color w:val="auto"/>
              </w:rPr>
              <w:t>3-year TSR Percentile Ranking</w:t>
            </w:r>
          </w:p>
        </w:tc>
        <w:tc>
          <w:tcPr>
            <w:tcW w:w="1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FY18 — FY20</w:t>
            </w:r>
          </w:p>
        </w:tc>
        <w:tc>
          <w:tcPr>
            <w:tcW w:w="18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0%</w:t>
            </w:r>
          </w:p>
        </w:tc>
        <w:tc>
          <w:tcPr>
            <w:tcW w:w="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​FY19</w:t>
            </w:r>
          </w:p>
        </w:tc>
        <w:tc>
          <w:tcPr>
            <w:tcW w:w="2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11/6/2018</w:t>
            </w:r>
          </w:p>
        </w:tc>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2520" w:type="dxa"/>
            <w:vAlign w:val="bottom"/>
          </w:tcPr>
          <w:p>
            <w:pPr>
              <w:jc w:val="center"/>
              <w:spacing w:after="0"/>
              <w:rPr>
                <w:sz w:val="20"/>
                <w:szCs w:val="20"/>
                <w:color w:val="auto"/>
              </w:rPr>
            </w:pPr>
            <w:r>
              <w:rPr>
                <w:rFonts w:ascii="Arial" w:cs="Arial" w:eastAsia="Arial" w:hAnsi="Arial"/>
                <w:sz w:val="16"/>
                <w:szCs w:val="16"/>
                <w:color w:val="auto"/>
              </w:rPr>
              <w:t>Non-GAAP EBITDA Growth</w:t>
            </w:r>
          </w:p>
        </w:tc>
        <w:tc>
          <w:tcPr>
            <w:tcW w:w="18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1100" w:type="dxa"/>
            <w:vAlign w:val="bottom"/>
          </w:tcPr>
          <w:p>
            <w:pPr>
              <w:jc w:val="center"/>
              <w:spacing w:after="0"/>
              <w:rPr>
                <w:sz w:val="20"/>
                <w:szCs w:val="20"/>
                <w:color w:val="auto"/>
              </w:rPr>
            </w:pPr>
            <w:r>
              <w:rPr>
                <w:rFonts w:ascii="Arial" w:cs="Arial" w:eastAsia="Arial" w:hAnsi="Arial"/>
                <w:sz w:val="16"/>
                <w:szCs w:val="16"/>
                <w:color w:val="auto"/>
              </w:rPr>
              <w:t>FY19</w:t>
            </w:r>
          </w:p>
        </w:tc>
        <w:tc>
          <w:tcPr>
            <w:tcW w:w="18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rPr>
              <w:t>0%</w:t>
            </w:r>
          </w:p>
        </w:tc>
        <w:tc>
          <w:tcPr>
            <w:tcW w:w="280" w:type="dxa"/>
            <w:vAlign w:val="bottom"/>
            <w:gridSpan w:val="2"/>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4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520" w:type="dxa"/>
            <w:vAlign w:val="bottom"/>
          </w:tcPr>
          <w:p>
            <w:pPr>
              <w:jc w:val="center"/>
              <w:spacing w:after="0"/>
              <w:rPr>
                <w:sz w:val="20"/>
                <w:szCs w:val="20"/>
                <w:color w:val="auto"/>
              </w:rPr>
            </w:pPr>
            <w:r>
              <w:rPr>
                <w:rFonts w:ascii="Arial" w:cs="Arial" w:eastAsia="Arial" w:hAnsi="Arial"/>
                <w:sz w:val="16"/>
                <w:szCs w:val="16"/>
                <w:color w:val="auto"/>
              </w:rPr>
              <w:t>3-year TSR Percentile Ranking</w:t>
            </w:r>
          </w:p>
        </w:tc>
        <w:tc>
          <w:tcPr>
            <w:tcW w:w="1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FY19 — FY21</w:t>
            </w:r>
          </w:p>
        </w:tc>
        <w:tc>
          <w:tcPr>
            <w:tcW w:w="18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74.1%</w:t>
            </w:r>
          </w:p>
        </w:tc>
        <w:tc>
          <w:tcPr>
            <w:tcW w:w="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460" w:type="dxa"/>
            <w:vAlign w:val="bottom"/>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960" w:type="dxa"/>
            <w:vAlign w:val="bottom"/>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2520" w:type="dxa"/>
            <w:vAlign w:val="bottom"/>
          </w:tcPr>
          <w:p>
            <w:pPr>
              <w:jc w:val="center"/>
              <w:spacing w:after="0"/>
              <w:rPr>
                <w:sz w:val="20"/>
                <w:szCs w:val="20"/>
                <w:color w:val="auto"/>
              </w:rPr>
            </w:pPr>
            <w:r>
              <w:rPr>
                <w:rFonts w:ascii="Arial" w:cs="Arial" w:eastAsia="Arial" w:hAnsi="Arial"/>
                <w:sz w:val="16"/>
                <w:szCs w:val="16"/>
                <w:color w:val="auto"/>
              </w:rPr>
              <w:t>Emerging Revenue Growth</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1100" w:type="dxa"/>
            <w:vAlign w:val="bottom"/>
          </w:tcPr>
          <w:p>
            <w:pPr>
              <w:jc w:val="center"/>
              <w:spacing w:after="0"/>
              <w:rPr>
                <w:sz w:val="20"/>
                <w:szCs w:val="20"/>
                <w:color w:val="auto"/>
              </w:rPr>
            </w:pPr>
            <w:r>
              <w:rPr>
                <w:rFonts w:ascii="Arial" w:cs="Arial" w:eastAsia="Arial" w:hAnsi="Arial"/>
                <w:sz w:val="16"/>
                <w:szCs w:val="16"/>
                <w:color w:val="auto"/>
              </w:rPr>
              <w:t>FY20</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rPr>
              <w:t>200%</w:t>
            </w:r>
          </w:p>
        </w:tc>
        <w:tc>
          <w:tcPr>
            <w:tcW w:w="2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​FY20</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960" w:type="dxa"/>
            <w:vAlign w:val="bottom"/>
          </w:tcPr>
          <w:p>
            <w:pPr>
              <w:jc w:val="center"/>
              <w:spacing w:after="0"/>
              <w:rPr>
                <w:sz w:val="20"/>
                <w:szCs w:val="20"/>
                <w:color w:val="auto"/>
              </w:rPr>
            </w:pPr>
            <w:r>
              <w:rPr>
                <w:rFonts w:ascii="Arial" w:cs="Arial" w:eastAsia="Arial" w:hAnsi="Arial"/>
                <w:sz w:val="16"/>
                <w:szCs w:val="16"/>
                <w:color w:val="auto"/>
              </w:rPr>
              <w:t>11/5/2019</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2520" w:type="dxa"/>
            <w:vAlign w:val="bottom"/>
          </w:tcPr>
          <w:p>
            <w:pPr>
              <w:jc w:val="center"/>
              <w:ind w:right="18"/>
              <w:spacing w:after="0"/>
              <w:rPr>
                <w:sz w:val="20"/>
                <w:szCs w:val="20"/>
                <w:color w:val="auto"/>
              </w:rPr>
            </w:pPr>
            <w:r>
              <w:rPr>
                <w:rFonts w:ascii="Arial" w:cs="Arial" w:eastAsia="Arial" w:hAnsi="Arial"/>
                <w:sz w:val="16"/>
                <w:szCs w:val="16"/>
                <w:color w:val="auto"/>
              </w:rPr>
              <w:t>Design Wins</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1100" w:type="dxa"/>
            <w:vAlign w:val="bottom"/>
          </w:tcPr>
          <w:p>
            <w:pPr>
              <w:jc w:val="center"/>
              <w:spacing w:after="0"/>
              <w:rPr>
                <w:sz w:val="20"/>
                <w:szCs w:val="20"/>
                <w:color w:val="auto"/>
              </w:rPr>
            </w:pPr>
            <w:r>
              <w:rPr>
                <w:rFonts w:ascii="Arial" w:cs="Arial" w:eastAsia="Arial" w:hAnsi="Arial"/>
                <w:sz w:val="16"/>
                <w:szCs w:val="16"/>
                <w:color w:val="auto"/>
              </w:rPr>
              <w:t>FY20</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rPr>
              <w:t>200%</w:t>
            </w:r>
          </w:p>
        </w:tc>
        <w:tc>
          <w:tcPr>
            <w:tcW w:w="2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960" w:type="dxa"/>
            <w:vAlign w:val="bottom"/>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   3-year TSR Percentile Ranking</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60"/>
              <w:spacing w:after="0"/>
              <w:rPr>
                <w:sz w:val="20"/>
                <w:szCs w:val="20"/>
                <w:color w:val="auto"/>
              </w:rPr>
            </w:pPr>
            <w:r>
              <w:rPr>
                <w:rFonts w:ascii="Arial" w:cs="Arial" w:eastAsia="Arial" w:hAnsi="Arial"/>
                <w:sz w:val="16"/>
                <w:szCs w:val="16"/>
                <w:color w:val="auto"/>
              </w:rPr>
              <w:t>​ FY20 — FY22</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rPr>
              <w:t>0%</w:t>
            </w:r>
          </w:p>
        </w:tc>
        <w:tc>
          <w:tcPr>
            <w:tcW w:w="2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960" w:type="dxa"/>
            <w:vAlign w:val="bottom"/>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2520" w:type="dxa"/>
            <w:vAlign w:val="bottom"/>
          </w:tcPr>
          <w:p>
            <w:pPr>
              <w:jc w:val="center"/>
              <w:spacing w:after="0"/>
              <w:rPr>
                <w:sz w:val="20"/>
                <w:szCs w:val="20"/>
                <w:color w:val="auto"/>
              </w:rPr>
            </w:pPr>
            <w:r>
              <w:rPr>
                <w:rFonts w:ascii="Arial" w:cs="Arial" w:eastAsia="Arial" w:hAnsi="Arial"/>
                <w:sz w:val="16"/>
                <w:szCs w:val="16"/>
                <w:color w:val="auto"/>
              </w:rPr>
              <w:t>Emerging Revenue Growth</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1100" w:type="dxa"/>
            <w:vAlign w:val="bottom"/>
          </w:tcPr>
          <w:p>
            <w:pPr>
              <w:jc w:val="center"/>
              <w:spacing w:after="0"/>
              <w:rPr>
                <w:sz w:val="20"/>
                <w:szCs w:val="20"/>
                <w:color w:val="auto"/>
              </w:rPr>
            </w:pPr>
            <w:r>
              <w:rPr>
                <w:rFonts w:ascii="Arial" w:cs="Arial" w:eastAsia="Arial" w:hAnsi="Arial"/>
                <w:sz w:val="16"/>
                <w:szCs w:val="16"/>
                <w:color w:val="auto"/>
              </w:rPr>
              <w:t>FY21</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rPr>
              <w:t>200%</w:t>
            </w:r>
          </w:p>
        </w:tc>
        <w:tc>
          <w:tcPr>
            <w:tcW w:w="2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​FY21</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11/11/2020</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2520" w:type="dxa"/>
            <w:vAlign w:val="bottom"/>
          </w:tcPr>
          <w:p>
            <w:pPr>
              <w:jc w:val="center"/>
              <w:ind w:right="18"/>
              <w:spacing w:after="0"/>
              <w:rPr>
                <w:sz w:val="20"/>
                <w:szCs w:val="20"/>
                <w:color w:val="auto"/>
              </w:rPr>
            </w:pPr>
            <w:r>
              <w:rPr>
                <w:rFonts w:ascii="Arial" w:cs="Arial" w:eastAsia="Arial" w:hAnsi="Arial"/>
                <w:sz w:val="16"/>
                <w:szCs w:val="16"/>
                <w:color w:val="auto"/>
              </w:rPr>
              <w:t>Design Wins</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1100" w:type="dxa"/>
            <w:vAlign w:val="bottom"/>
          </w:tcPr>
          <w:p>
            <w:pPr>
              <w:jc w:val="center"/>
              <w:spacing w:after="0"/>
              <w:rPr>
                <w:sz w:val="20"/>
                <w:szCs w:val="20"/>
                <w:color w:val="auto"/>
              </w:rPr>
            </w:pPr>
            <w:r>
              <w:rPr>
                <w:rFonts w:ascii="Arial" w:cs="Arial" w:eastAsia="Arial" w:hAnsi="Arial"/>
                <w:sz w:val="16"/>
                <w:szCs w:val="16"/>
                <w:color w:val="auto"/>
              </w:rPr>
              <w:t>FY21</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rPr>
              <w:t>200%</w:t>
            </w:r>
          </w:p>
        </w:tc>
        <w:tc>
          <w:tcPr>
            <w:tcW w:w="2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960" w:type="dxa"/>
            <w:vAlign w:val="bottom"/>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   3-year TSR Percentile Ranking</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60"/>
              <w:spacing w:after="0"/>
              <w:rPr>
                <w:sz w:val="20"/>
                <w:szCs w:val="20"/>
                <w:color w:val="auto"/>
              </w:rPr>
            </w:pPr>
            <w:r>
              <w:rPr>
                <w:rFonts w:ascii="Arial" w:cs="Arial" w:eastAsia="Arial" w:hAnsi="Arial"/>
                <w:sz w:val="16"/>
                <w:szCs w:val="16"/>
                <w:color w:val="auto"/>
              </w:rPr>
              <w:t>​ FY21 — FY23</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2160" w:type="dxa"/>
            <w:vAlign w:val="bottom"/>
            <w:gridSpan w:val="4"/>
          </w:tcPr>
          <w:p>
            <w:pPr>
              <w:ind w:left="60"/>
              <w:spacing w:after="0"/>
              <w:rPr>
                <w:sz w:val="20"/>
                <w:szCs w:val="20"/>
                <w:color w:val="auto"/>
              </w:rPr>
            </w:pPr>
            <w:r>
              <w:rPr>
                <w:rFonts w:ascii="Arial" w:cs="Arial" w:eastAsia="Arial" w:hAnsi="Arial"/>
                <w:sz w:val="16"/>
                <w:szCs w:val="16"/>
                <w:color w:val="auto"/>
              </w:rPr>
              <w:t>​ Perf. Period in Progress</w:t>
            </w:r>
            <w:r>
              <w:rPr>
                <w:rFonts w:ascii="Arial" w:cs="Arial" w:eastAsia="Arial" w:hAnsi="Arial"/>
                <w:sz w:val="16"/>
                <w:szCs w:val="16"/>
                <w:color w:val="0075A8"/>
              </w:rPr>
              <w:t>(1)</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84"/>
        </w:trPr>
        <w:tc>
          <w:tcPr>
            <w:tcW w:w="1460" w:type="dxa"/>
            <w:vAlign w:val="bottom"/>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960" w:type="dxa"/>
            <w:vAlign w:val="bottom"/>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2520" w:type="dxa"/>
            <w:vAlign w:val="bottom"/>
          </w:tcPr>
          <w:p>
            <w:pPr>
              <w:jc w:val="center"/>
              <w:spacing w:after="0"/>
              <w:rPr>
                <w:sz w:val="20"/>
                <w:szCs w:val="20"/>
                <w:color w:val="auto"/>
              </w:rPr>
            </w:pPr>
            <w:r>
              <w:rPr>
                <w:rFonts w:ascii="Arial" w:cs="Arial" w:eastAsia="Arial" w:hAnsi="Arial"/>
                <w:sz w:val="16"/>
                <w:szCs w:val="16"/>
                <w:color w:val="auto"/>
              </w:rPr>
              <w:t>Emerging Revenue Growth</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1100" w:type="dxa"/>
            <w:vAlign w:val="bottom"/>
          </w:tcPr>
          <w:p>
            <w:pPr>
              <w:jc w:val="center"/>
              <w:spacing w:after="0"/>
              <w:rPr>
                <w:sz w:val="20"/>
                <w:szCs w:val="20"/>
                <w:color w:val="auto"/>
              </w:rPr>
            </w:pPr>
            <w:r>
              <w:rPr>
                <w:rFonts w:ascii="Arial" w:cs="Arial" w:eastAsia="Arial" w:hAnsi="Arial"/>
                <w:sz w:val="16"/>
                <w:szCs w:val="16"/>
                <w:color w:val="auto"/>
              </w:rPr>
              <w:t>FY22</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60"/>
              <w:spacing w:after="0"/>
              <w:rPr>
                <w:sz w:val="20"/>
                <w:szCs w:val="20"/>
                <w:color w:val="auto"/>
              </w:rPr>
            </w:pPr>
            <w:r>
              <w:rPr>
                <w:rFonts w:ascii="Arial" w:cs="Arial" w:eastAsia="Arial" w:hAnsi="Arial"/>
                <w:sz w:val="16"/>
                <w:szCs w:val="16"/>
                <w:color w:val="auto"/>
              </w:rPr>
              <w:t>​</w:t>
            </w:r>
          </w:p>
        </w:tc>
        <w:tc>
          <w:tcPr>
            <w:tcW w:w="1520" w:type="dxa"/>
            <w:vAlign w:val="bottom"/>
          </w:tcPr>
          <w:p>
            <w:pPr>
              <w:jc w:val="center"/>
              <w:spacing w:after="0"/>
              <w:rPr>
                <w:sz w:val="20"/>
                <w:szCs w:val="20"/>
                <w:color w:val="auto"/>
              </w:rPr>
            </w:pPr>
            <w:r>
              <w:rPr>
                <w:rFonts w:ascii="Arial" w:cs="Arial" w:eastAsia="Arial" w:hAnsi="Arial"/>
                <w:sz w:val="16"/>
                <w:szCs w:val="16"/>
                <w:color w:val="auto"/>
              </w:rPr>
              <w:t>200%</w:t>
            </w:r>
          </w:p>
        </w:tc>
        <w:tc>
          <w:tcPr>
            <w:tcW w:w="2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460" w:type="dxa"/>
            <w:vAlign w:val="bottom"/>
          </w:tcPr>
          <w:p>
            <w:pPr>
              <w:ind w:left="20"/>
              <w:spacing w:after="0"/>
              <w:rPr>
                <w:sz w:val="20"/>
                <w:szCs w:val="20"/>
                <w:color w:val="auto"/>
              </w:rPr>
            </w:pPr>
            <w:r>
              <w:rPr>
                <w:rFonts w:ascii="Arial" w:cs="Arial" w:eastAsia="Arial" w:hAnsi="Arial"/>
                <w:sz w:val="16"/>
                <w:szCs w:val="16"/>
                <w:color w:val="auto"/>
              </w:rPr>
              <w:t>​FY22</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11/10/2021</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 EBITDA Margin Percentile Ranking</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60"/>
              <w:spacing w:after="0"/>
              <w:rPr>
                <w:sz w:val="20"/>
                <w:szCs w:val="20"/>
                <w:color w:val="auto"/>
              </w:rPr>
            </w:pPr>
            <w:r>
              <w:rPr>
                <w:rFonts w:ascii="Arial" w:cs="Arial" w:eastAsia="Arial" w:hAnsi="Arial"/>
                <w:sz w:val="16"/>
                <w:szCs w:val="16"/>
                <w:color w:val="auto"/>
              </w:rPr>
              <w:t>​ FY22 — FY23</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2160" w:type="dxa"/>
            <w:vAlign w:val="bottom"/>
            <w:gridSpan w:val="4"/>
          </w:tcPr>
          <w:p>
            <w:pPr>
              <w:ind w:left="60"/>
              <w:spacing w:after="0"/>
              <w:rPr>
                <w:sz w:val="20"/>
                <w:szCs w:val="20"/>
                <w:color w:val="auto"/>
              </w:rPr>
            </w:pPr>
            <w:r>
              <w:rPr>
                <w:rFonts w:ascii="Arial" w:cs="Arial" w:eastAsia="Arial" w:hAnsi="Arial"/>
                <w:sz w:val="16"/>
                <w:szCs w:val="16"/>
                <w:color w:val="auto"/>
              </w:rPr>
              <w:t>​ Perf. Period in Progress</w:t>
            </w:r>
            <w:r>
              <w:rPr>
                <w:rFonts w:ascii="Arial" w:cs="Arial" w:eastAsia="Arial" w:hAnsi="Arial"/>
                <w:sz w:val="16"/>
                <w:szCs w:val="16"/>
                <w:color w:val="0075A8"/>
              </w:rPr>
              <w:t>(2)</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93"/>
        </w:trPr>
        <w:tc>
          <w:tcPr>
            <w:tcW w:w="1460" w:type="dxa"/>
            <w:vAlign w:val="bottom"/>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960" w:type="dxa"/>
            <w:vAlign w:val="bottom"/>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2740" w:type="dxa"/>
            <w:vAlign w:val="bottom"/>
            <w:gridSpan w:val="2"/>
          </w:tcPr>
          <w:p>
            <w:pPr>
              <w:ind w:left="80"/>
              <w:spacing w:after="0"/>
              <w:rPr>
                <w:sz w:val="20"/>
                <w:szCs w:val="20"/>
                <w:color w:val="auto"/>
              </w:rPr>
            </w:pPr>
            <w:r>
              <w:rPr>
                <w:rFonts w:ascii="Arial" w:cs="Arial" w:eastAsia="Arial" w:hAnsi="Arial"/>
                <w:sz w:val="16"/>
                <w:szCs w:val="16"/>
                <w:color w:val="auto"/>
              </w:rPr>
              <w:t>​   3-year TSR Percentile Ranking</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60"/>
              <w:spacing w:after="0"/>
              <w:rPr>
                <w:sz w:val="20"/>
                <w:szCs w:val="20"/>
                <w:color w:val="auto"/>
              </w:rPr>
            </w:pPr>
            <w:r>
              <w:rPr>
                <w:rFonts w:ascii="Arial" w:cs="Arial" w:eastAsia="Arial" w:hAnsi="Arial"/>
                <w:sz w:val="16"/>
                <w:szCs w:val="16"/>
                <w:color w:val="auto"/>
              </w:rPr>
              <w:t>​ FY22 — FY24</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2160" w:type="dxa"/>
            <w:vAlign w:val="bottom"/>
            <w:gridSpan w:val="4"/>
          </w:tcPr>
          <w:p>
            <w:pPr>
              <w:ind w:left="60"/>
              <w:spacing w:after="0"/>
              <w:rPr>
                <w:sz w:val="20"/>
                <w:szCs w:val="20"/>
                <w:color w:val="auto"/>
              </w:rPr>
            </w:pPr>
            <w:r>
              <w:rPr>
                <w:rFonts w:ascii="Arial" w:cs="Arial" w:eastAsia="Arial" w:hAnsi="Arial"/>
                <w:sz w:val="16"/>
                <w:szCs w:val="16"/>
                <w:color w:val="auto"/>
              </w:rPr>
              <w:t>​ Perf. Period in Progress</w:t>
            </w:r>
            <w:r>
              <w:rPr>
                <w:rFonts w:ascii="Arial" w:cs="Arial" w:eastAsia="Arial" w:hAnsi="Arial"/>
                <w:sz w:val="16"/>
                <w:szCs w:val="16"/>
                <w:color w:val="0075A8"/>
              </w:rPr>
              <w:t>(3)</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3"/>
        </w:trPr>
        <w:tc>
          <w:tcPr>
            <w:tcW w:w="1460" w:type="dxa"/>
            <w:vAlign w:val="bottom"/>
            <w:shd w:val="clear" w:color="auto" w:fill="BFBFBF"/>
          </w:tcPr>
          <w:p>
            <w:pPr>
              <w:spacing w:after="0"/>
              <w:rPr>
                <w:sz w:val="2"/>
                <w:szCs w:val="2"/>
                <w:color w:val="auto"/>
              </w:rPr>
            </w:pPr>
          </w:p>
        </w:tc>
        <w:tc>
          <w:tcPr>
            <w:tcW w:w="200" w:type="dxa"/>
            <w:vAlign w:val="bottom"/>
            <w:shd w:val="clear" w:color="auto" w:fill="BFBFBF"/>
          </w:tcPr>
          <w:p>
            <w:pPr>
              <w:spacing w:after="0"/>
              <w:rPr>
                <w:sz w:val="2"/>
                <w:szCs w:val="2"/>
                <w:color w:val="auto"/>
              </w:rPr>
            </w:pPr>
          </w:p>
        </w:tc>
        <w:tc>
          <w:tcPr>
            <w:tcW w:w="140" w:type="dxa"/>
            <w:vAlign w:val="bottom"/>
            <w:shd w:val="clear" w:color="auto" w:fill="BFBFBF"/>
          </w:tcPr>
          <w:p>
            <w:pPr>
              <w:spacing w:after="0"/>
              <w:rPr>
                <w:sz w:val="2"/>
                <w:szCs w:val="2"/>
                <w:color w:val="auto"/>
              </w:rPr>
            </w:pPr>
          </w:p>
        </w:tc>
        <w:tc>
          <w:tcPr>
            <w:tcW w:w="960" w:type="dxa"/>
            <w:vAlign w:val="bottom"/>
            <w:shd w:val="clear" w:color="auto" w:fill="BFBFBF"/>
          </w:tcPr>
          <w:p>
            <w:pPr>
              <w:spacing w:after="0"/>
              <w:rPr>
                <w:sz w:val="2"/>
                <w:szCs w:val="2"/>
                <w:color w:val="auto"/>
              </w:rPr>
            </w:pPr>
          </w:p>
        </w:tc>
        <w:tc>
          <w:tcPr>
            <w:tcW w:w="160" w:type="dxa"/>
            <w:vAlign w:val="bottom"/>
            <w:shd w:val="clear" w:color="auto" w:fill="BFBFBF"/>
          </w:tcPr>
          <w:p>
            <w:pPr>
              <w:spacing w:after="0"/>
              <w:rPr>
                <w:sz w:val="2"/>
                <w:szCs w:val="2"/>
                <w:color w:val="auto"/>
              </w:rPr>
            </w:pPr>
          </w:p>
        </w:tc>
        <w:tc>
          <w:tcPr>
            <w:tcW w:w="220" w:type="dxa"/>
            <w:vAlign w:val="bottom"/>
            <w:shd w:val="clear" w:color="auto" w:fill="BFBFBF"/>
          </w:tcPr>
          <w:p>
            <w:pPr>
              <w:spacing w:after="0"/>
              <w:rPr>
                <w:sz w:val="2"/>
                <w:szCs w:val="2"/>
                <w:color w:val="auto"/>
              </w:rPr>
            </w:pPr>
          </w:p>
        </w:tc>
        <w:tc>
          <w:tcPr>
            <w:tcW w:w="2520" w:type="dxa"/>
            <w:vAlign w:val="bottom"/>
            <w:shd w:val="clear" w:color="auto" w:fill="BFBFBF"/>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140" w:type="dxa"/>
            <w:vAlign w:val="bottom"/>
            <w:shd w:val="clear" w:color="auto" w:fill="BFBFBF"/>
          </w:tcPr>
          <w:p>
            <w:pPr>
              <w:spacing w:after="0"/>
              <w:rPr>
                <w:sz w:val="2"/>
                <w:szCs w:val="2"/>
                <w:color w:val="auto"/>
              </w:rPr>
            </w:pPr>
          </w:p>
        </w:tc>
        <w:tc>
          <w:tcPr>
            <w:tcW w:w="1100" w:type="dxa"/>
            <w:vAlign w:val="bottom"/>
            <w:shd w:val="clear" w:color="auto" w:fill="BFBFBF"/>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360" w:type="dxa"/>
            <w:vAlign w:val="bottom"/>
            <w:shd w:val="clear" w:color="auto" w:fill="BFBFBF"/>
          </w:tcPr>
          <w:p>
            <w:pPr>
              <w:spacing w:after="0"/>
              <w:rPr>
                <w:sz w:val="2"/>
                <w:szCs w:val="2"/>
                <w:color w:val="auto"/>
              </w:rPr>
            </w:pPr>
          </w:p>
        </w:tc>
        <w:tc>
          <w:tcPr>
            <w:tcW w:w="1520" w:type="dxa"/>
            <w:vAlign w:val="bottom"/>
            <w:shd w:val="clear" w:color="auto" w:fill="BFBFBF"/>
          </w:tcPr>
          <w:p>
            <w:pPr>
              <w:spacing w:after="0"/>
              <w:rPr>
                <w:sz w:val="2"/>
                <w:szCs w:val="2"/>
                <w:color w:val="auto"/>
              </w:rPr>
            </w:pPr>
          </w:p>
        </w:tc>
        <w:tc>
          <w:tcPr>
            <w:tcW w:w="260" w:type="dxa"/>
            <w:vAlign w:val="bottom"/>
            <w:shd w:val="clear" w:color="auto" w:fill="BFBFB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-2219325</wp:posOffset>
            </wp:positionV>
            <wp:extent cx="5974715" cy="3003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74715" cy="3003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-1619250</wp:posOffset>
            </wp:positionV>
            <wp:extent cx="5974715" cy="5397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74715" cy="5397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-539115</wp:posOffset>
            </wp:positionV>
            <wp:extent cx="5974715" cy="5314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74715" cy="531495"/>
                    </a:xfrm>
                    <a:prstGeom prst="rect">
                      <a:avLst/>
                    </a:prstGeom>
                    <a:noFill/>
                  </pic:spPr>
                </pic:pic>
              </a:graphicData>
            </a:graphic>
          </wp:anchor>
        </w:drawing>
      </w:r>
    </w:p>
    <w:p>
      <w:pPr>
        <w:spacing w:after="0" w:line="74" w:lineRule="exact"/>
        <w:rPr>
          <w:sz w:val="20"/>
          <w:szCs w:val="20"/>
          <w:color w:val="auto"/>
        </w:rPr>
      </w:pPr>
    </w:p>
    <w:p>
      <w:pPr>
        <w:ind w:left="1080" w:right="220" w:hanging="354"/>
        <w:spacing w:after="0" w:line="264" w:lineRule="auto"/>
        <w:tabs>
          <w:tab w:leader="none" w:pos="108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As of January 20, 2023, performance under this metric during the applicable performance period was below the “threshold” level of performance.</w:t>
      </w:r>
    </w:p>
    <w:p>
      <w:pPr>
        <w:ind w:left="1080" w:right="280" w:hanging="354"/>
        <w:spacing w:after="0" w:line="272" w:lineRule="auto"/>
        <w:tabs>
          <w:tab w:leader="none" w:pos="108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As of January 20, 2023, performance under this metric during the applicable performance period was between the “target” and “maximum” levels of performance.</w:t>
      </w:r>
    </w:p>
    <w:p>
      <w:pPr>
        <w:spacing w:after="0" w:line="1" w:lineRule="exact"/>
        <w:rPr>
          <w:rFonts w:ascii="Arial" w:cs="Arial" w:eastAsia="Arial" w:hAnsi="Arial"/>
          <w:sz w:val="16"/>
          <w:szCs w:val="16"/>
          <w:i w:val="1"/>
          <w:iCs w:val="1"/>
          <w:color w:val="auto"/>
        </w:rPr>
      </w:pPr>
    </w:p>
    <w:p>
      <w:pPr>
        <w:ind w:left="1080" w:right="220" w:hanging="354"/>
        <w:spacing w:after="0" w:line="298" w:lineRule="auto"/>
        <w:tabs>
          <w:tab w:leader="none" w:pos="108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As of January 20, 2023, performance under this metric during the applicable performance period was below the “threshold” level of performance.</w:t>
      </w:r>
    </w:p>
    <w:p>
      <w:pPr>
        <w:sectPr>
          <w:pgSz w:w="11900" w:h="16838" w:orient="portrait"/>
          <w:cols w:equalWidth="0" w:num="1">
            <w:col w:w="10100"/>
          </w:cols>
          <w:pgMar w:left="580" w:top="132" w:right="1219" w:bottom="1440" w:gutter="0" w:footer="0" w:header="0"/>
        </w:sectPr>
      </w:pP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Other Compensation and Benefits</w:t>
      </w:r>
    </w:p>
    <w:p>
      <w:pPr>
        <w:spacing w:after="0" w:line="150" w:lineRule="exact"/>
        <w:rPr>
          <w:sz w:val="20"/>
          <w:szCs w:val="20"/>
          <w:color w:val="auto"/>
        </w:rPr>
      </w:pPr>
    </w:p>
    <w:p>
      <w:pPr>
        <w:ind w:left="660"/>
        <w:spacing w:after="0" w:line="258" w:lineRule="auto"/>
        <w:rPr>
          <w:sz w:val="20"/>
          <w:szCs w:val="20"/>
          <w:color w:val="auto"/>
        </w:rPr>
      </w:pPr>
      <w:r>
        <w:rPr>
          <w:rFonts w:ascii="Arial" w:cs="Arial" w:eastAsia="Arial" w:hAnsi="Arial"/>
          <w:sz w:val="19"/>
          <w:szCs w:val="19"/>
          <w:color w:val="auto"/>
        </w:rPr>
        <w:t>We provide other benefits to our executive officers that are intended to be part of a competitive overall compensation program and are not tied to any company performance criteria. Consistent with our objective of having compensation programs that are considered fair to our employees, executive officers are eligible to participate in the Company’s medical, dental, vision, life, and disability insurance plans, as well as the Company’s 401(k) Savings and Retirement Plan and Employee Stock Purchase Plan, under the same terms as such benefits are offered to other benefits-eligible employees. We do not provide executive officers with any enhanced retirement benefits (i.e., executive officers are subject to the same limits on contributions as other employees, as we do not offer any supplemental executive retirement plan or other similar non-qualified deferred compensation plan), and they are eligible for 401(k) company-match contributions under the same terms as other employees.</w:t>
      </w:r>
    </w:p>
    <w:p>
      <w:pPr>
        <w:spacing w:after="0" w:line="200" w:lineRule="exact"/>
        <w:rPr>
          <w:sz w:val="20"/>
          <w:szCs w:val="20"/>
          <w:color w:val="auto"/>
        </w:rPr>
      </w:pPr>
    </w:p>
    <w:p>
      <w:pPr>
        <w:spacing w:after="0" w:line="246" w:lineRule="exact"/>
        <w:rPr>
          <w:sz w:val="20"/>
          <w:szCs w:val="20"/>
          <w:color w:val="auto"/>
        </w:rPr>
      </w:pPr>
    </w:p>
    <w:p>
      <w:pPr>
        <w:ind w:left="660" w:right="40"/>
        <w:spacing w:after="0" w:line="256" w:lineRule="auto"/>
        <w:rPr>
          <w:sz w:val="20"/>
          <w:szCs w:val="20"/>
          <w:color w:val="auto"/>
        </w:rPr>
      </w:pPr>
      <w:r>
        <w:rPr>
          <w:rFonts w:ascii="Arial" w:cs="Arial" w:eastAsia="Arial" w:hAnsi="Arial"/>
          <w:sz w:val="20"/>
          <w:szCs w:val="20"/>
          <w:color w:val="auto"/>
        </w:rPr>
        <w:t>We offered executives the opportunity to participate in a reimbursement program for fiscal year 2022 providing up to an aggregate of $20,000 to each executive for the purchase of</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financial planning services, estate planning services, personal tax planning and preparation services, and/or an executive physical. No tax gross-up was provided for such reimbursements. In fiscal year 2022, each of the Named Executive Officers received reimbursement in connection with such services.</w:t>
      </w:r>
    </w:p>
    <w:p>
      <w:pPr>
        <w:spacing w:after="0" w:line="248" w:lineRule="exact"/>
        <w:rPr>
          <w:sz w:val="20"/>
          <w:szCs w:val="20"/>
          <w:color w:val="auto"/>
        </w:rPr>
      </w:pPr>
    </w:p>
    <w:p>
      <w:pPr>
        <w:ind w:right="760"/>
        <w:spacing w:after="0" w:line="298" w:lineRule="auto"/>
        <w:rPr>
          <w:sz w:val="20"/>
          <w:szCs w:val="20"/>
          <w:color w:val="auto"/>
        </w:rPr>
      </w:pPr>
      <w:r>
        <w:rPr>
          <w:rFonts w:ascii="Arial" w:cs="Arial" w:eastAsia="Arial" w:hAnsi="Arial"/>
          <w:sz w:val="23"/>
          <w:szCs w:val="23"/>
          <w:b w:val="1"/>
          <w:bCs w:val="1"/>
          <w:i w:val="1"/>
          <w:iCs w:val="1"/>
          <w:color w:val="auto"/>
        </w:rPr>
        <w:t>Severance and Change-in-Control Benefits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None of our executive officers, including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Named Executive Officers, has an employment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 that provides a specific term of</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employment with the Company. Accordingly,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employment of any such employee may be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terminated at any time. We do provide certain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benefits to our Named Executive Officers upon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certain qualifying terminations of employment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in connection with terminations of employment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under certain circumstances following a change in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control. A description of the material terms of our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severance and change-in-control arrangements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with the Named Executive Officers can be found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immediately below and further below under</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Potential Payments Upon Termination or Change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 Control.</w:t>
      </w: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5140" w:space="440"/>
            <w:col w:w="4520"/>
          </w:cols>
          <w:pgMar w:left="580" w:top="132" w:right="1219" w:bottom="1440" w:gutter="0" w:footer="0" w:header="0"/>
          <w:type w:val="continuous"/>
        </w:sectPr>
      </w:pPr>
    </w:p>
    <w:p>
      <w:pPr>
        <w:spacing w:after="0" w:line="167"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ectPr>
          <w:pgSz w:w="11900" w:h="16838" w:orient="portrait"/>
          <w:cols w:equalWidth="0" w:num="1">
            <w:col w:w="10100"/>
          </w:cols>
          <w:pgMar w:left="580" w:top="132" w:right="121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660" w:right="40"/>
        <w:spacing w:after="0" w:line="257" w:lineRule="auto"/>
        <w:rPr>
          <w:sz w:val="20"/>
          <w:szCs w:val="20"/>
          <w:color w:val="auto"/>
        </w:rPr>
      </w:pPr>
      <w:r>
        <w:rPr>
          <w:rFonts w:ascii="Arial" w:cs="Arial" w:eastAsia="Arial" w:hAnsi="Arial"/>
          <w:sz w:val="19"/>
          <w:szCs w:val="19"/>
          <w:color w:val="auto"/>
        </w:rPr>
        <w:t>The Compensation Committee believes that severance protections can play a valuable role in recruiting and retaining superior talent. Severance and other termination benefits are an effective way to offer executives financial security to incent them to forego an opportunity with another company. These agreements also protect the Company as the Named Executive Officers are bound by non-solicit covenants for a period of twelve (12) months after termination of employment. Outside of the change-in-control context, each Named Executive Officer is entitled to severance benefits if his or her employment is involuntarily terminated by the Company without cause and, in the case of the Chief Executive Officer, if he terminates his own employment for good reason (as defined in the Chief Executive Officer’s change-in-control agreement). The level of each Named Executive Officer’s cash severance or other termination benefit is generally tied to his or her annual base salary and short-term incentive amounts.</w:t>
      </w:r>
    </w:p>
    <w:p>
      <w:pPr>
        <w:spacing w:after="0" w:line="217" w:lineRule="exact"/>
        <w:rPr>
          <w:sz w:val="20"/>
          <w:szCs w:val="20"/>
          <w:color w:val="auto"/>
        </w:rPr>
      </w:pPr>
    </w:p>
    <w:p>
      <w:pPr>
        <w:ind w:left="660"/>
        <w:spacing w:after="0" w:line="245" w:lineRule="auto"/>
        <w:rPr>
          <w:sz w:val="20"/>
          <w:szCs w:val="20"/>
          <w:color w:val="auto"/>
        </w:rPr>
      </w:pPr>
      <w:r>
        <w:rPr>
          <w:rFonts w:ascii="Arial" w:cs="Arial" w:eastAsia="Arial" w:hAnsi="Arial"/>
          <w:sz w:val="20"/>
          <w:szCs w:val="20"/>
          <w:color w:val="auto"/>
        </w:rPr>
        <w:t>Additionally, each Named Executive Officer would receive enhanced severance benefits and accelerated vesting of equity awards if his or her employment were terminated under certain circumstances in connection with a change in control of the Company. These benefits are described in detail further below under “</w:t>
      </w:r>
      <w:r>
        <w:rPr>
          <w:rFonts w:ascii="Arial" w:cs="Arial" w:eastAsia="Arial" w:hAnsi="Arial"/>
          <w:sz w:val="20"/>
          <w:szCs w:val="20"/>
          <w:i w:val="1"/>
          <w:iCs w:val="1"/>
          <w:color w:val="auto"/>
        </w:rPr>
        <w:t>Potential</w:t>
      </w:r>
      <w:r>
        <w:rPr>
          <w:rFonts w:ascii="Arial" w:cs="Arial" w:eastAsia="Arial" w:hAnsi="Arial"/>
          <w:sz w:val="20"/>
          <w:szCs w:val="20"/>
          <w:color w:val="auto"/>
        </w:rPr>
        <w:t xml:space="preserve"> </w:t>
      </w:r>
      <w:r>
        <w:rPr>
          <w:rFonts w:ascii="Arial" w:cs="Arial" w:eastAsia="Arial" w:hAnsi="Arial"/>
          <w:sz w:val="20"/>
          <w:szCs w:val="20"/>
          <w:i w:val="1"/>
          <w:iCs w:val="1"/>
          <w:color w:val="auto"/>
        </w:rPr>
        <w:t>Payments Upon Termination or Change in Control.</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Compensation Committee believes these enhanced severance benefits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311785</wp:posOffset>
            </wp:positionV>
            <wp:extent cx="5974715" cy="291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accelerated vesting are appropriate because the occurrence, or potential occurrence, of a change-in-control transaction would likely create uncertainty regarding the continued 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In addition, the vesting protection helps assure the Named Executive Officers that they will not lose the expected value of their equity awards because of a change in control of the Company.</w:t>
      </w:r>
    </w:p>
    <w:p>
      <w:pPr>
        <w:spacing w:after="0" w:line="253" w:lineRule="exact"/>
        <w:rPr>
          <w:sz w:val="20"/>
          <w:szCs w:val="20"/>
          <w:color w:val="auto"/>
        </w:rPr>
      </w:pPr>
    </w:p>
    <w:p>
      <w:pPr>
        <w:ind w:right="640"/>
        <w:spacing w:after="0" w:line="273" w:lineRule="auto"/>
        <w:rPr>
          <w:sz w:val="20"/>
          <w:szCs w:val="20"/>
          <w:color w:val="auto"/>
        </w:rPr>
      </w:pPr>
      <w:r>
        <w:rPr>
          <w:rFonts w:ascii="Arial" w:cs="Arial" w:eastAsia="Arial" w:hAnsi="Arial"/>
          <w:sz w:val="23"/>
          <w:szCs w:val="23"/>
          <w:b w:val="1"/>
          <w:bCs w:val="1"/>
          <w:i w:val="1"/>
          <w:iCs w:val="1"/>
          <w:color w:val="auto"/>
        </w:rPr>
        <w:t>Executive Officer Stock Ownership Requirements</w:t>
      </w:r>
    </w:p>
    <w:p>
      <w:pPr>
        <w:spacing w:after="0" w:line="80"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 xml:space="preserve">We have adopted executive officer stock ownership guidelines with the objective of more closely aligning the interests of our executive officers with those of our stockholders. Under the executive officer stock ownership guidelines, our Named Executive Officers are each required to hold the </w:t>
      </w:r>
      <w:r>
        <w:rPr>
          <w:rFonts w:ascii="Arial" w:cs="Arial" w:eastAsia="Arial" w:hAnsi="Arial"/>
          <w:sz w:val="20"/>
          <w:szCs w:val="20"/>
          <w:i w:val="1"/>
          <w:iCs w:val="1"/>
          <w:color w:val="auto"/>
        </w:rPr>
        <w:t>lower</w:t>
      </w:r>
      <w:r>
        <w:rPr>
          <w:rFonts w:ascii="Arial" w:cs="Arial" w:eastAsia="Arial" w:hAnsi="Arial"/>
          <w:sz w:val="20"/>
          <w:szCs w:val="20"/>
          <w:color w:val="auto"/>
        </w:rPr>
        <w:t xml:space="preserve"> of  (a) the number of shares with a fair market value equal to the applicable multiple of such executive’s current base salary, or (b) the applicable number of shares, each as set forth in the table below. All of our Named Executive Officers are in compliance with the executive officer stock ownership guidelines as of the date hereof.</w:t>
      </w:r>
    </w:p>
    <w:p>
      <w:pPr>
        <w:spacing w:after="0" w:line="200" w:lineRule="exact"/>
        <w:rPr>
          <w:sz w:val="20"/>
          <w:szCs w:val="20"/>
          <w:color w:val="auto"/>
        </w:rPr>
      </w:pPr>
    </w:p>
    <w:p>
      <w:pPr>
        <w:sectPr>
          <w:pgSz w:w="11900" w:h="16838" w:orient="portrait"/>
          <w:cols w:equalWidth="0" w:num="2">
            <w:col w:w="5140" w:space="440"/>
            <w:col w:w="4520"/>
          </w:cols>
          <w:pgMar w:left="580" w:top="132" w:right="1219" w:bottom="1440" w:gutter="0" w:footer="0" w:header="0"/>
          <w:type w:val="continuous"/>
        </w:sectPr>
      </w:pPr>
    </w:p>
    <w:p>
      <w:pPr>
        <w:spacing w:after="0" w:line="54"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8"/>
                <w:szCs w:val="18"/>
                <w:color w:val="FFFFFF"/>
              </w:rPr>
              <w:t>Multiple of Annual</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FFFFFF"/>
              </w:rPr>
              <w:t>​ ​Shares ​</w:t>
            </w:r>
          </w:p>
        </w:tc>
        <w:tc>
          <w:tcPr>
            <w:tcW w:w="0" w:type="dxa"/>
            <w:vAlign w:val="bottom"/>
          </w:tcPr>
          <w:p>
            <w:pPr>
              <w:spacing w:after="0"/>
              <w:rPr>
                <w:sz w:val="1"/>
                <w:szCs w:val="1"/>
                <w:color w:val="auto"/>
              </w:rPr>
            </w:pPr>
          </w:p>
        </w:tc>
      </w:tr>
      <w:tr>
        <w:trPr>
          <w:trHeight w:val="230"/>
        </w:trPr>
        <w:tc>
          <w:tcPr>
            <w:tcW w:w="5360" w:type="dxa"/>
            <w:vAlign w:val="bottom"/>
          </w:tcPr>
          <w:p>
            <w:pPr>
              <w:jc w:val="right"/>
              <w:ind w:right="5218"/>
              <w:spacing w:after="0"/>
              <w:rPr>
                <w:sz w:val="20"/>
                <w:szCs w:val="20"/>
                <w:color w:val="auto"/>
              </w:rPr>
            </w:pPr>
            <w:r>
              <w:rPr>
                <w:rFonts w:ascii="Arial" w:cs="Arial" w:eastAsia="Arial" w:hAnsi="Arial"/>
                <w:sz w:val="18"/>
                <w:szCs w:val="18"/>
                <w:color w:val="FFFFFF"/>
              </w:rPr>
              <w:t>​​</w:t>
            </w:r>
          </w:p>
        </w:tc>
        <w:tc>
          <w:tcPr>
            <w:tcW w:w="1640" w:type="dxa"/>
            <w:vAlign w:val="bottom"/>
          </w:tcPr>
          <w:p>
            <w:pPr>
              <w:jc w:val="center"/>
              <w:ind w:left="1398"/>
              <w:spacing w:after="0"/>
              <w:rPr>
                <w:sz w:val="20"/>
                <w:szCs w:val="20"/>
                <w:color w:val="auto"/>
              </w:rPr>
            </w:pPr>
            <w:r>
              <w:rPr>
                <w:rFonts w:ascii="Arial" w:cs="Arial" w:eastAsia="Arial" w:hAnsi="Arial"/>
                <w:sz w:val="18"/>
                <w:szCs w:val="18"/>
                <w:color w:val="FFFFFF"/>
              </w:rPr>
              <w:t>​ ​</w:t>
            </w:r>
          </w:p>
        </w:tc>
        <w:tc>
          <w:tcPr>
            <w:tcW w:w="60" w:type="dxa"/>
            <w:vAlign w:val="bottom"/>
          </w:tcPr>
          <w:p>
            <w:pPr>
              <w:spacing w:after="0"/>
              <w:rPr>
                <w:sz w:val="20"/>
                <w:szCs w:val="20"/>
                <w:color w:val="auto"/>
              </w:rPr>
            </w:pPr>
          </w:p>
        </w:tc>
        <w:tc>
          <w:tcPr>
            <w:tcW w:w="1460" w:type="dxa"/>
            <w:vAlign w:val="bottom"/>
          </w:tcPr>
          <w:p>
            <w:pPr>
              <w:ind w:left="120"/>
              <w:spacing w:after="0"/>
              <w:rPr>
                <w:sz w:val="20"/>
                <w:szCs w:val="20"/>
                <w:color w:val="auto"/>
              </w:rPr>
            </w:pPr>
            <w:r>
              <w:rPr>
                <w:rFonts w:ascii="Arial" w:cs="Arial" w:eastAsia="Arial" w:hAnsi="Arial"/>
                <w:sz w:val="18"/>
                <w:szCs w:val="18"/>
                <w:color w:val="FFFFFF"/>
              </w:rPr>
              <w:t>Base Salary(1)</w:t>
            </w: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40"/>
              <w:spacing w:after="0"/>
              <w:rPr>
                <w:sz w:val="20"/>
                <w:szCs w:val="20"/>
                <w:color w:val="auto"/>
              </w:rPr>
            </w:pPr>
            <w:r>
              <w:rPr>
                <w:rFonts w:ascii="Arial" w:cs="Arial" w:eastAsia="Arial" w:hAnsi="Arial"/>
                <w:sz w:val="16"/>
                <w:szCs w:val="16"/>
                <w:color w:val="auto"/>
              </w:rPr>
              <w:t>Chief Executive Officer</w:t>
            </w:r>
          </w:p>
        </w:tc>
        <w:tc>
          <w:tcPr>
            <w:tcW w:w="1640" w:type="dxa"/>
            <w:vAlign w:val="bottom"/>
            <w:vMerge w:val="restart"/>
          </w:tcPr>
          <w:p>
            <w:pPr>
              <w:jc w:val="center"/>
              <w:ind w:left="1398"/>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ind w:left="6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6​</w:t>
            </w:r>
          </w:p>
        </w:tc>
        <w:tc>
          <w:tcPr>
            <w:tcW w:w="92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96,900​</w:t>
            </w:r>
          </w:p>
        </w:tc>
        <w:tc>
          <w:tcPr>
            <w:tcW w:w="0" w:type="dxa"/>
            <w:vAlign w:val="bottom"/>
          </w:tcPr>
          <w:p>
            <w:pPr>
              <w:spacing w:after="0"/>
              <w:rPr>
                <w:sz w:val="1"/>
                <w:szCs w:val="1"/>
                <w:color w:val="auto"/>
              </w:rPr>
            </w:pPr>
          </w:p>
        </w:tc>
      </w:tr>
      <w:tr>
        <w:trPr>
          <w:trHeight w:val="54"/>
        </w:trPr>
        <w:tc>
          <w:tcPr>
            <w:tcW w:w="5360" w:type="dxa"/>
            <w:vAlign w:val="bottom"/>
          </w:tcPr>
          <w:p>
            <w:pPr>
              <w:jc w:val="right"/>
              <w:ind w:right="5218"/>
              <w:spacing w:after="0" w:line="54" w:lineRule="exact"/>
              <w:rPr>
                <w:sz w:val="20"/>
                <w:szCs w:val="20"/>
                <w:color w:val="auto"/>
              </w:rPr>
            </w:pPr>
            <w:r>
              <w:rPr>
                <w:rFonts w:ascii="Arial" w:cs="Arial" w:eastAsia="Arial" w:hAnsi="Arial"/>
                <w:sz w:val="6"/>
                <w:szCs w:val="6"/>
                <w:color w:val="auto"/>
              </w:rPr>
              <w:t>​</w:t>
            </w:r>
          </w:p>
        </w:tc>
        <w:tc>
          <w:tcPr>
            <w:tcW w:w="16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560" w:type="dxa"/>
            <w:vAlign w:val="bottom"/>
          </w:tcPr>
          <w:p>
            <w:pPr>
              <w:ind w:left="40"/>
              <w:spacing w:after="0" w:line="54" w:lineRule="exact"/>
              <w:rPr>
                <w:sz w:val="20"/>
                <w:szCs w:val="20"/>
                <w:color w:val="auto"/>
              </w:rPr>
            </w:pPr>
            <w:r>
              <w:rPr>
                <w:rFonts w:ascii="Arial" w:cs="Arial" w:eastAsia="Arial" w:hAnsi="Arial"/>
                <w:sz w:val="6"/>
                <w:szCs w:val="6"/>
                <w:color w:val="auto"/>
              </w:rPr>
              <w:t>​ ​ ​</w:t>
            </w:r>
          </w:p>
        </w:tc>
        <w:tc>
          <w:tcPr>
            <w:tcW w:w="3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1640" w:type="dxa"/>
            <w:vAlign w:val="bottom"/>
            <w:vMerge w:val="restart"/>
          </w:tcPr>
          <w:p>
            <w:pPr>
              <w:jc w:val="center"/>
              <w:ind w:left="1398"/>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ind w:left="6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w:t>
            </w:r>
          </w:p>
        </w:tc>
        <w:tc>
          <w:tcPr>
            <w:tcW w:w="92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21,000​</w:t>
            </w:r>
          </w:p>
        </w:tc>
        <w:tc>
          <w:tcPr>
            <w:tcW w:w="0" w:type="dxa"/>
            <w:vAlign w:val="bottom"/>
          </w:tcPr>
          <w:p>
            <w:pPr>
              <w:spacing w:after="0"/>
              <w:rPr>
                <w:sz w:val="1"/>
                <w:szCs w:val="1"/>
                <w:color w:val="auto"/>
              </w:rPr>
            </w:pPr>
          </w:p>
        </w:tc>
      </w:tr>
      <w:tr>
        <w:trPr>
          <w:trHeight w:val="54"/>
        </w:trPr>
        <w:tc>
          <w:tcPr>
            <w:tcW w:w="5360" w:type="dxa"/>
            <w:vAlign w:val="bottom"/>
          </w:tcPr>
          <w:p>
            <w:pPr>
              <w:jc w:val="right"/>
              <w:ind w:right="5218"/>
              <w:spacing w:after="0" w:line="54" w:lineRule="exact"/>
              <w:rPr>
                <w:sz w:val="20"/>
                <w:szCs w:val="20"/>
                <w:color w:val="auto"/>
              </w:rPr>
            </w:pPr>
            <w:r>
              <w:rPr>
                <w:rFonts w:ascii="Arial" w:cs="Arial" w:eastAsia="Arial" w:hAnsi="Arial"/>
                <w:sz w:val="6"/>
                <w:szCs w:val="6"/>
                <w:color w:val="auto"/>
              </w:rPr>
              <w:t>​</w:t>
            </w:r>
          </w:p>
        </w:tc>
        <w:tc>
          <w:tcPr>
            <w:tcW w:w="16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560" w:type="dxa"/>
            <w:vAlign w:val="bottom"/>
          </w:tcPr>
          <w:p>
            <w:pPr>
              <w:ind w:left="40"/>
              <w:spacing w:after="0" w:line="54" w:lineRule="exact"/>
              <w:rPr>
                <w:sz w:val="20"/>
                <w:szCs w:val="20"/>
                <w:color w:val="auto"/>
              </w:rPr>
            </w:pPr>
            <w:r>
              <w:rPr>
                <w:rFonts w:ascii="Arial" w:cs="Arial" w:eastAsia="Arial" w:hAnsi="Arial"/>
                <w:sz w:val="6"/>
                <w:szCs w:val="6"/>
                <w:color w:val="auto"/>
              </w:rPr>
              <w:t>​ ​ ​</w:t>
            </w:r>
          </w:p>
        </w:tc>
        <w:tc>
          <w:tcPr>
            <w:tcW w:w="3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40"/>
              <w:spacing w:after="0"/>
              <w:rPr>
                <w:sz w:val="20"/>
                <w:szCs w:val="20"/>
                <w:color w:val="auto"/>
              </w:rPr>
            </w:pPr>
            <w:r>
              <w:rPr>
                <w:rFonts w:ascii="Arial" w:cs="Arial" w:eastAsia="Arial" w:hAnsi="Arial"/>
                <w:sz w:val="16"/>
                <w:szCs w:val="16"/>
                <w:color w:val="auto"/>
              </w:rPr>
              <w:t>Senior Vice President, Technology and Manufacturing</w:t>
            </w:r>
          </w:p>
        </w:tc>
        <w:tc>
          <w:tcPr>
            <w:tcW w:w="1640" w:type="dxa"/>
            <w:vAlign w:val="bottom"/>
            <w:vMerge w:val="restart"/>
          </w:tcPr>
          <w:p>
            <w:pPr>
              <w:jc w:val="center"/>
              <w:ind w:left="1398"/>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ind w:left="6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w:t>
            </w:r>
          </w:p>
        </w:tc>
        <w:tc>
          <w:tcPr>
            <w:tcW w:w="92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19,900​</w:t>
            </w:r>
          </w:p>
        </w:tc>
        <w:tc>
          <w:tcPr>
            <w:tcW w:w="0" w:type="dxa"/>
            <w:vAlign w:val="bottom"/>
          </w:tcPr>
          <w:p>
            <w:pPr>
              <w:spacing w:after="0"/>
              <w:rPr>
                <w:sz w:val="1"/>
                <w:szCs w:val="1"/>
                <w:color w:val="auto"/>
              </w:rPr>
            </w:pPr>
          </w:p>
        </w:tc>
      </w:tr>
      <w:tr>
        <w:trPr>
          <w:trHeight w:val="54"/>
        </w:trPr>
        <w:tc>
          <w:tcPr>
            <w:tcW w:w="5360" w:type="dxa"/>
            <w:vAlign w:val="bottom"/>
          </w:tcPr>
          <w:p>
            <w:pPr>
              <w:jc w:val="right"/>
              <w:ind w:right="5218"/>
              <w:spacing w:after="0" w:line="54" w:lineRule="exact"/>
              <w:rPr>
                <w:sz w:val="20"/>
                <w:szCs w:val="20"/>
                <w:color w:val="auto"/>
              </w:rPr>
            </w:pPr>
            <w:r>
              <w:rPr>
                <w:rFonts w:ascii="Arial" w:cs="Arial" w:eastAsia="Arial" w:hAnsi="Arial"/>
                <w:sz w:val="6"/>
                <w:szCs w:val="6"/>
                <w:color w:val="auto"/>
              </w:rPr>
              <w:t>​</w:t>
            </w:r>
          </w:p>
        </w:tc>
        <w:tc>
          <w:tcPr>
            <w:tcW w:w="16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560" w:type="dxa"/>
            <w:vAlign w:val="bottom"/>
          </w:tcPr>
          <w:p>
            <w:pPr>
              <w:ind w:left="40"/>
              <w:spacing w:after="0" w:line="54" w:lineRule="exact"/>
              <w:rPr>
                <w:sz w:val="20"/>
                <w:szCs w:val="20"/>
                <w:color w:val="auto"/>
              </w:rPr>
            </w:pPr>
            <w:r>
              <w:rPr>
                <w:rFonts w:ascii="Arial" w:cs="Arial" w:eastAsia="Arial" w:hAnsi="Arial"/>
                <w:sz w:val="6"/>
                <w:szCs w:val="6"/>
                <w:color w:val="auto"/>
              </w:rPr>
              <w:t>​ ​ ​</w:t>
            </w:r>
          </w:p>
        </w:tc>
        <w:tc>
          <w:tcPr>
            <w:tcW w:w="3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40"/>
              <w:spacing w:after="0"/>
              <w:rPr>
                <w:sz w:val="20"/>
                <w:szCs w:val="20"/>
                <w:color w:val="auto"/>
              </w:rPr>
            </w:pPr>
            <w:r>
              <w:rPr>
                <w:rFonts w:ascii="Arial" w:cs="Arial" w:eastAsia="Arial" w:hAnsi="Arial"/>
                <w:sz w:val="16"/>
                <w:szCs w:val="16"/>
                <w:color w:val="auto"/>
              </w:rPr>
              <w:t>Senior Vice President, Sales and Marketing</w:t>
            </w:r>
          </w:p>
        </w:tc>
        <w:tc>
          <w:tcPr>
            <w:tcW w:w="1640" w:type="dxa"/>
            <w:vAlign w:val="bottom"/>
            <w:vMerge w:val="restart"/>
          </w:tcPr>
          <w:p>
            <w:pPr>
              <w:jc w:val="center"/>
              <w:ind w:left="1398"/>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ind w:left="6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w:t>
            </w:r>
          </w:p>
        </w:tc>
        <w:tc>
          <w:tcPr>
            <w:tcW w:w="92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18,600​</w:t>
            </w:r>
          </w:p>
        </w:tc>
        <w:tc>
          <w:tcPr>
            <w:tcW w:w="0" w:type="dxa"/>
            <w:vAlign w:val="bottom"/>
          </w:tcPr>
          <w:p>
            <w:pPr>
              <w:spacing w:after="0"/>
              <w:rPr>
                <w:sz w:val="1"/>
                <w:szCs w:val="1"/>
                <w:color w:val="auto"/>
              </w:rPr>
            </w:pPr>
          </w:p>
        </w:tc>
      </w:tr>
      <w:tr>
        <w:trPr>
          <w:trHeight w:val="54"/>
        </w:trPr>
        <w:tc>
          <w:tcPr>
            <w:tcW w:w="5360" w:type="dxa"/>
            <w:vAlign w:val="bottom"/>
          </w:tcPr>
          <w:p>
            <w:pPr>
              <w:jc w:val="right"/>
              <w:ind w:right="5218"/>
              <w:spacing w:after="0" w:line="54" w:lineRule="exact"/>
              <w:rPr>
                <w:sz w:val="20"/>
                <w:szCs w:val="20"/>
                <w:color w:val="auto"/>
              </w:rPr>
            </w:pPr>
            <w:r>
              <w:rPr>
                <w:rFonts w:ascii="Arial" w:cs="Arial" w:eastAsia="Arial" w:hAnsi="Arial"/>
                <w:sz w:val="6"/>
                <w:szCs w:val="6"/>
                <w:color w:val="auto"/>
              </w:rPr>
              <w:t>​</w:t>
            </w:r>
          </w:p>
        </w:tc>
        <w:tc>
          <w:tcPr>
            <w:tcW w:w="16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560" w:type="dxa"/>
            <w:vAlign w:val="bottom"/>
          </w:tcPr>
          <w:p>
            <w:pPr>
              <w:ind w:left="40"/>
              <w:spacing w:after="0" w:line="54" w:lineRule="exact"/>
              <w:rPr>
                <w:sz w:val="20"/>
                <w:szCs w:val="20"/>
                <w:color w:val="auto"/>
              </w:rPr>
            </w:pPr>
            <w:r>
              <w:rPr>
                <w:rFonts w:ascii="Arial" w:cs="Arial" w:eastAsia="Arial" w:hAnsi="Arial"/>
                <w:sz w:val="6"/>
                <w:szCs w:val="6"/>
                <w:color w:val="auto"/>
              </w:rPr>
              <w:t>​ ​ ​</w:t>
            </w:r>
          </w:p>
        </w:tc>
        <w:tc>
          <w:tcPr>
            <w:tcW w:w="3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57"/>
        </w:trPr>
        <w:tc>
          <w:tcPr>
            <w:tcW w:w="5360" w:type="dxa"/>
            <w:vAlign w:val="bottom"/>
          </w:tcPr>
          <w:p>
            <w:pPr>
              <w:ind w:left="40"/>
              <w:spacing w:after="0"/>
              <w:rPr>
                <w:sz w:val="20"/>
                <w:szCs w:val="20"/>
                <w:color w:val="auto"/>
              </w:rPr>
            </w:pPr>
            <w:r>
              <w:rPr>
                <w:rFonts w:ascii="Arial" w:cs="Arial" w:eastAsia="Arial" w:hAnsi="Arial"/>
                <w:sz w:val="16"/>
                <w:szCs w:val="16"/>
                <w:color w:val="auto"/>
              </w:rPr>
              <w:t>​Senior Vice President and General Counsel</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460" w:type="dxa"/>
            <w:vAlign w:val="bottom"/>
          </w:tcPr>
          <w:p>
            <w:pPr>
              <w:ind w:left="6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 ​</w:t>
            </w:r>
            <w:r>
              <w:rPr>
                <w:rFonts w:ascii="Arial" w:cs="Arial" w:eastAsia="Arial" w:hAnsi="Arial"/>
                <w:sz w:val="16"/>
                <w:szCs w:val="16"/>
                <w:b w:val="1"/>
                <w:bCs w:val="1"/>
                <w:color w:val="auto"/>
              </w:rPr>
              <w:t>​</w:t>
            </w:r>
            <w:r>
              <w:rPr>
                <w:rFonts w:ascii="Arial" w:cs="Arial" w:eastAsia="Arial" w:hAnsi="Arial"/>
                <w:sz w:val="16"/>
                <w:szCs w:val="16"/>
                <w:color w:val="auto"/>
              </w:rPr>
              <w:t>18,600​​​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-848360</wp:posOffset>
            </wp:positionV>
            <wp:extent cx="5974715"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-505460</wp:posOffset>
            </wp:positionV>
            <wp:extent cx="5974715"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-162560</wp:posOffset>
            </wp:positionV>
            <wp:extent cx="5974715"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101" w:lineRule="exact"/>
        <w:rPr>
          <w:sz w:val="20"/>
          <w:szCs w:val="20"/>
          <w:color w:val="auto"/>
        </w:rPr>
      </w:pPr>
    </w:p>
    <w:p>
      <w:pPr>
        <w:ind w:left="1080" w:right="100" w:hanging="354"/>
        <w:spacing w:after="0" w:line="269" w:lineRule="auto"/>
        <w:tabs>
          <w:tab w:leader="none" w:pos="108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For purposes of the executive officer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w:t>
      </w:r>
    </w:p>
    <w:p>
      <w:pPr>
        <w:sectPr>
          <w:pgSz w:w="11900" w:h="16838" w:orient="portrait"/>
          <w:cols w:equalWidth="0" w:num="1">
            <w:col w:w="10100"/>
          </w:cols>
          <w:pgMar w:left="580" w:top="132" w:right="1219" w:bottom="1440" w:gutter="0" w:footer="0" w:header="0"/>
          <w:type w:val="continuous"/>
        </w:sectPr>
      </w:pPr>
    </w:p>
    <w:p>
      <w:pPr>
        <w:spacing w:after="0" w:line="57" w:lineRule="exact"/>
        <w:rPr>
          <w:sz w:val="20"/>
          <w:szCs w:val="20"/>
          <w:color w:val="auto"/>
        </w:rPr>
      </w:pPr>
    </w:p>
    <w:p>
      <w:pPr>
        <w:ind w:left="660" w:right="220"/>
        <w:spacing w:after="0" w:line="298" w:lineRule="auto"/>
        <w:rPr>
          <w:sz w:val="20"/>
          <w:szCs w:val="20"/>
          <w:color w:val="auto"/>
        </w:rPr>
      </w:pPr>
      <w:r>
        <w:rPr>
          <w:rFonts w:ascii="Arial" w:cs="Arial" w:eastAsia="Arial" w:hAnsi="Arial"/>
          <w:sz w:val="23"/>
          <w:szCs w:val="23"/>
          <w:b w:val="1"/>
          <w:bCs w:val="1"/>
          <w:i w:val="1"/>
          <w:iCs w:val="1"/>
          <w:color w:val="auto"/>
        </w:rPr>
        <w:t>Executive Compensation Recoupment Policy (“Clawback”)</w:t>
      </w:r>
    </w:p>
    <w:p>
      <w:pPr>
        <w:spacing w:after="0" w:line="65" w:lineRule="exact"/>
        <w:rPr>
          <w:sz w:val="20"/>
          <w:szCs w:val="20"/>
          <w:color w:val="auto"/>
        </w:rPr>
      </w:pPr>
    </w:p>
    <w:p>
      <w:pPr>
        <w:ind w:left="660"/>
        <w:spacing w:after="0" w:line="275" w:lineRule="auto"/>
        <w:rPr>
          <w:sz w:val="20"/>
          <w:szCs w:val="20"/>
          <w:color w:val="auto"/>
        </w:rPr>
      </w:pPr>
      <w:r>
        <w:rPr>
          <w:rFonts w:ascii="Arial" w:cs="Arial" w:eastAsia="Arial" w:hAnsi="Arial"/>
          <w:sz w:val="20"/>
          <w:szCs w:val="20"/>
          <w:color w:val="auto"/>
        </w:rPr>
        <w:t>In March 2022, the Company adopted an executive compensation recoupment policy that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applies to both cash and equity incentive compensation for executive officers. Under this policy, if we are required to prepare an accounting restatement for one or more periods due to material noncompliance with any financial</w:t>
      </w:r>
    </w:p>
    <w:p>
      <w:pPr>
        <w:spacing w:after="0" w:line="200" w:lineRule="exact"/>
        <w:rPr>
          <w:sz w:val="20"/>
          <w:szCs w:val="20"/>
          <w:color w:val="auto"/>
        </w:rPr>
      </w:pPr>
    </w:p>
    <w:p>
      <w:pPr>
        <w:sectPr>
          <w:pgSz w:w="11900" w:h="16838" w:orient="portrait"/>
          <w:cols w:equalWidth="0" w:num="2">
            <w:col w:w="5140" w:space="440"/>
            <w:col w:w="4520"/>
          </w:cols>
          <w:pgMar w:left="580" w:top="132" w:right="1219" w:bottom="1440" w:gutter="0" w:footer="0" w:header="0"/>
          <w:type w:val="continuous"/>
        </w:sectPr>
      </w:pPr>
    </w:p>
    <w:p>
      <w:pPr>
        <w:spacing w:after="0" w:line="127"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05" w:lineRule="exact"/>
        <w:rPr>
          <w:sz w:val="20"/>
          <w:szCs w:val="20"/>
          <w:color w:val="auto"/>
        </w:rPr>
      </w:pPr>
    </w:p>
    <w:p>
      <w:pPr>
        <w:ind w:left="660"/>
        <w:spacing w:after="0" w:line="263" w:lineRule="auto"/>
        <w:rPr>
          <w:sz w:val="20"/>
          <w:szCs w:val="20"/>
          <w:color w:val="auto"/>
        </w:rPr>
      </w:pPr>
      <w:r>
        <w:rPr>
          <w:rFonts w:ascii="Arial" w:cs="Arial" w:eastAsia="Arial" w:hAnsi="Arial"/>
          <w:sz w:val="20"/>
          <w:szCs w:val="20"/>
          <w:color w:val="auto"/>
        </w:rPr>
        <w:t>reporting requirement under the U.S. federal securities laws, the Board or a committee of independent directors authorized by the Board will investigate the circumstances to determine whether an act or omission of a current or former executive officer, involving fraud or intentional misconduct, contributed to the circumstances resulting in the restatement. Following the investigation, we may require repayment of certain incentive-based compensation received by the executive officer in the three-year period preceding restatement. The Company is planning to adopt an updated executive compensation recoupment policy that will be in compliance with SEC rules and the new Nasdaq rules (once such rules become effective).</w:t>
      </w:r>
    </w:p>
    <w:p>
      <w:pPr>
        <w:spacing w:after="0" w:line="254" w:lineRule="exact"/>
        <w:rPr>
          <w:sz w:val="20"/>
          <w:szCs w:val="20"/>
          <w:color w:val="auto"/>
        </w:rPr>
      </w:pPr>
    </w:p>
    <w:p>
      <w:pPr>
        <w:ind w:left="660" w:right="500"/>
        <w:spacing w:after="0" w:line="286" w:lineRule="auto"/>
        <w:rPr>
          <w:sz w:val="20"/>
          <w:szCs w:val="20"/>
          <w:color w:val="auto"/>
        </w:rPr>
      </w:pPr>
      <w:r>
        <w:rPr>
          <w:rFonts w:ascii="Arial" w:cs="Arial" w:eastAsia="Arial" w:hAnsi="Arial"/>
          <w:sz w:val="23"/>
          <w:szCs w:val="23"/>
          <w:b w:val="1"/>
          <w:bCs w:val="1"/>
          <w:i w:val="1"/>
          <w:iCs w:val="1"/>
          <w:color w:val="auto"/>
        </w:rPr>
        <w:t>Prohibition on Hedging and Certain Other Transactions</w:t>
      </w:r>
    </w:p>
    <w:p>
      <w:pPr>
        <w:spacing w:after="0" w:line="65" w:lineRule="exact"/>
        <w:rPr>
          <w:sz w:val="20"/>
          <w:szCs w:val="20"/>
          <w:color w:val="auto"/>
        </w:rPr>
      </w:pPr>
    </w:p>
    <w:p>
      <w:pPr>
        <w:ind w:left="660" w:right="100"/>
        <w:spacing w:after="0" w:line="273" w:lineRule="auto"/>
        <w:rPr>
          <w:sz w:val="20"/>
          <w:szCs w:val="20"/>
          <w:color w:val="auto"/>
        </w:rPr>
      </w:pPr>
      <w:r>
        <w:rPr>
          <w:rFonts w:ascii="Arial" w:cs="Arial" w:eastAsia="Arial" w:hAnsi="Arial"/>
          <w:sz w:val="19"/>
          <w:szCs w:val="19"/>
          <w:color w:val="auto"/>
        </w:rPr>
        <w:t>We prohibit our directors, officers, and employees (or any of their designees) from directly or indirectly engaging in the following transactions with respect to securities of the Company:</w:t>
      </w:r>
    </w:p>
    <w:p>
      <w:pPr>
        <w:spacing w:after="0" w:line="194" w:lineRule="exact"/>
        <w:rPr>
          <w:sz w:val="20"/>
          <w:szCs w:val="20"/>
          <w:color w:val="auto"/>
        </w:rPr>
      </w:pPr>
    </w:p>
    <w:p>
      <w:pPr>
        <w:ind w:left="840" w:right="220" w:hanging="186"/>
        <w:spacing w:after="0" w:line="267" w:lineRule="auto"/>
        <w:tabs>
          <w:tab w:leader="none" w:pos="8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selling short, including short sales “against the box”;</w:t>
      </w:r>
    </w:p>
    <w:p>
      <w:pPr>
        <w:spacing w:after="0" w:line="1" w:lineRule="exact"/>
        <w:rPr>
          <w:rFonts w:ascii="Arial" w:cs="Arial" w:eastAsia="Arial" w:hAnsi="Arial"/>
          <w:sz w:val="20"/>
          <w:szCs w:val="20"/>
          <w:color w:val="auto"/>
        </w:rPr>
      </w:pPr>
    </w:p>
    <w:p>
      <w:pPr>
        <w:ind w:left="840" w:hanging="186"/>
        <w:spacing w:after="0"/>
        <w:tabs>
          <w:tab w:leader="none" w:pos="8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buying or selling put or call options;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3" w:hanging="183"/>
        <w:spacing w:after="0"/>
        <w:tabs>
          <w:tab w:leader="none" w:pos="183" w:val="left"/>
        </w:tabs>
        <w:numPr>
          <w:ilvl w:val="0"/>
          <w:numId w:val="55"/>
        </w:numPr>
        <w:rPr>
          <w:rFonts w:ascii="Arial" w:cs="Arial" w:eastAsia="Arial" w:hAnsi="Arial"/>
          <w:sz w:val="20"/>
          <w:szCs w:val="20"/>
          <w:color w:val="auto"/>
        </w:rPr>
      </w:pPr>
      <w:r>
        <w:rPr>
          <w:rFonts w:ascii="Arial" w:cs="Arial" w:eastAsia="Arial" w:hAnsi="Arial"/>
          <w:sz w:val="20"/>
          <w:szCs w:val="20"/>
          <w:color w:val="auto"/>
        </w:rPr>
        <w:t>purchasing financial instruments (including</w:t>
      </w:r>
    </w:p>
    <w:p>
      <w:pPr>
        <w:spacing w:after="0" w:line="26" w:lineRule="exact"/>
        <w:rPr>
          <w:rFonts w:ascii="Arial" w:cs="Arial" w:eastAsia="Arial" w:hAnsi="Arial"/>
          <w:sz w:val="20"/>
          <w:szCs w:val="20"/>
          <w:color w:val="auto"/>
        </w:rPr>
      </w:pPr>
    </w:p>
    <w:p>
      <w:pPr>
        <w:ind w:left="183" w:right="60"/>
        <w:spacing w:after="0" w:line="274" w:lineRule="auto"/>
        <w:rPr>
          <w:rFonts w:ascii="Arial" w:cs="Arial" w:eastAsia="Arial" w:hAnsi="Arial"/>
          <w:sz w:val="20"/>
          <w:szCs w:val="20"/>
          <w:color w:val="auto"/>
        </w:rPr>
      </w:pPr>
      <w:r>
        <w:rPr>
          <w:rFonts w:ascii="Arial" w:cs="Arial" w:eastAsia="Arial" w:hAnsi="Arial"/>
          <w:sz w:val="19"/>
          <w:szCs w:val="19"/>
          <w:color w:val="auto"/>
        </w:rPr>
        <w:t>prepaid variable forward contracts, equity swaps, collars, and exchange funds), or otherwise</w:t>
      </w:r>
    </w:p>
    <w:p>
      <w:pPr>
        <w:jc w:val="both"/>
        <w:ind w:left="183" w:right="100"/>
        <w:spacing w:after="0" w:line="276" w:lineRule="auto"/>
        <w:rPr>
          <w:rFonts w:ascii="Arial" w:cs="Arial" w:eastAsia="Arial" w:hAnsi="Arial"/>
          <w:sz w:val="20"/>
          <w:szCs w:val="20"/>
          <w:color w:val="auto"/>
        </w:rPr>
      </w:pPr>
      <w:r>
        <w:rPr>
          <w:rFonts w:ascii="Arial" w:cs="Arial" w:eastAsia="Arial" w:hAnsi="Arial"/>
          <w:sz w:val="19"/>
          <w:szCs w:val="19"/>
          <w:color w:val="auto"/>
        </w:rPr>
        <w:t>engaging in transactions, that hedge or offset, or are designed to hedge or offset, any decrease in the market value of securities of the Company,</w:t>
      </w:r>
    </w:p>
    <w:p>
      <w:pPr>
        <w:spacing w:after="0" w:line="2" w:lineRule="exact"/>
        <w:rPr>
          <w:rFonts w:ascii="Arial" w:cs="Arial" w:eastAsia="Arial" w:hAnsi="Arial"/>
          <w:sz w:val="20"/>
          <w:szCs w:val="20"/>
          <w:color w:val="auto"/>
        </w:rPr>
      </w:pPr>
    </w:p>
    <w:p>
      <w:pPr>
        <w:ind w:left="183" w:right="420"/>
        <w:spacing w:after="0" w:line="264" w:lineRule="auto"/>
        <w:rPr>
          <w:rFonts w:ascii="Arial" w:cs="Arial" w:eastAsia="Arial" w:hAnsi="Arial"/>
          <w:sz w:val="20"/>
          <w:szCs w:val="20"/>
          <w:color w:val="auto"/>
        </w:rPr>
      </w:pPr>
      <w:r>
        <w:rPr>
          <w:rFonts w:ascii="Arial" w:cs="Arial" w:eastAsia="Arial" w:hAnsi="Arial"/>
          <w:sz w:val="20"/>
          <w:szCs w:val="20"/>
          <w:color w:val="auto"/>
        </w:rPr>
        <w:t>whether through the use of traded securities, privately negotiated derivative securities, or synthetic financial instruments.</w:t>
      </w:r>
    </w:p>
    <w:p>
      <w:pPr>
        <w:spacing w:after="0" w:line="200" w:lineRule="exact"/>
        <w:rPr>
          <w:sz w:val="20"/>
          <w:szCs w:val="20"/>
          <w:color w:val="auto"/>
        </w:rPr>
      </w:pPr>
    </w:p>
    <w:p>
      <w:pPr>
        <w:ind w:left="3" w:right="180"/>
        <w:spacing w:after="0" w:line="260" w:lineRule="auto"/>
        <w:rPr>
          <w:sz w:val="20"/>
          <w:szCs w:val="20"/>
          <w:color w:val="auto"/>
        </w:rPr>
      </w:pPr>
      <w:r>
        <w:rPr>
          <w:rFonts w:ascii="Arial" w:cs="Arial" w:eastAsia="Arial" w:hAnsi="Arial"/>
          <w:sz w:val="19"/>
          <w:szCs w:val="19"/>
          <w:color w:val="auto"/>
        </w:rPr>
        <w:t>In addition, we prohibit our directors, officers, and employees from purchasing Company securities on margin, borrowing against Company securities held in a margin account, or pledging Company securities as collateral for a loan.</w:t>
      </w:r>
    </w:p>
    <w:p>
      <w:pPr>
        <w:spacing w:after="0" w:line="241" w:lineRule="exact"/>
        <w:rPr>
          <w:sz w:val="20"/>
          <w:szCs w:val="20"/>
          <w:color w:val="auto"/>
        </w:rPr>
      </w:pPr>
    </w:p>
    <w:p>
      <w:pPr>
        <w:ind w:left="3" w:right="60"/>
        <w:spacing w:after="0" w:line="273" w:lineRule="auto"/>
        <w:rPr>
          <w:sz w:val="20"/>
          <w:szCs w:val="20"/>
          <w:color w:val="auto"/>
        </w:rPr>
      </w:pPr>
      <w:r>
        <w:rPr>
          <w:rFonts w:ascii="Arial" w:cs="Arial" w:eastAsia="Arial" w:hAnsi="Arial"/>
          <w:sz w:val="23"/>
          <w:szCs w:val="23"/>
          <w:b w:val="1"/>
          <w:bCs w:val="1"/>
          <w:i w:val="1"/>
          <w:iCs w:val="1"/>
          <w:color w:val="auto"/>
        </w:rPr>
        <w:t>Compliance with Internal Revenue Code Section 162(m)</w:t>
      </w:r>
    </w:p>
    <w:p>
      <w:pPr>
        <w:spacing w:after="0" w:line="80" w:lineRule="exact"/>
        <w:rPr>
          <w:sz w:val="20"/>
          <w:szCs w:val="20"/>
          <w:color w:val="auto"/>
        </w:rPr>
      </w:pPr>
    </w:p>
    <w:p>
      <w:pPr>
        <w:ind w:left="3" w:right="60"/>
        <w:spacing w:after="0" w:line="245" w:lineRule="auto"/>
        <w:rPr>
          <w:sz w:val="20"/>
          <w:szCs w:val="20"/>
          <w:color w:val="auto"/>
        </w:rPr>
      </w:pPr>
      <w:r>
        <w:rPr>
          <w:rFonts w:ascii="Arial" w:cs="Arial" w:eastAsia="Arial" w:hAnsi="Arial"/>
          <w:sz w:val="20"/>
          <w:szCs w:val="20"/>
          <w:color w:val="auto"/>
        </w:rPr>
        <w:t>For fiscal year 2022, the Company will be unable to deduct compensation in excess of  $1 million paid to certain executive officers, as specified under Section 162(m) of the Internal Revenue Code (“IRC”). The Compensation Committee uses its judgment to authorize compensation payments that may be subject to the limit when the Compensation Committee believes such payments are appropriate and in the best interests of the Company and its stockholders.</w:t>
      </w:r>
    </w:p>
    <w:p>
      <w:pPr>
        <w:spacing w:after="0" w:line="200" w:lineRule="exact"/>
        <w:rPr>
          <w:sz w:val="20"/>
          <w:szCs w:val="20"/>
          <w:color w:val="auto"/>
        </w:rPr>
      </w:pPr>
    </w:p>
    <w:p>
      <w:pPr>
        <w:sectPr>
          <w:pgSz w:w="11900" w:h="16838" w:orient="portrait"/>
          <w:cols w:equalWidth="0" w:num="2">
            <w:col w:w="5100" w:space="477"/>
            <w:col w:w="4523"/>
          </w:cols>
          <w:pgMar w:left="580" w:top="132"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Compensation Tables for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Summary Compensation Table</w:t>
      </w:r>
    </w:p>
    <w:p>
      <w:pPr>
        <w:spacing w:after="0" w:line="161" w:lineRule="exact"/>
        <w:rPr>
          <w:sz w:val="20"/>
          <w:szCs w:val="20"/>
          <w:color w:val="auto"/>
        </w:rPr>
      </w:pPr>
    </w:p>
    <w:p>
      <w:pPr>
        <w:ind w:left="660" w:right="280"/>
        <w:spacing w:after="0" w:line="257" w:lineRule="auto"/>
        <w:rPr>
          <w:sz w:val="20"/>
          <w:szCs w:val="20"/>
          <w:color w:val="auto"/>
        </w:rPr>
      </w:pPr>
      <w:r>
        <w:rPr>
          <w:rFonts w:ascii="Arial" w:cs="Arial" w:eastAsia="Arial" w:hAnsi="Arial"/>
          <w:sz w:val="20"/>
          <w:szCs w:val="20"/>
          <w:color w:val="auto"/>
        </w:rPr>
        <w:t>The following table summarizes compensation earned by, or awarded or paid to, our Named Executive Officers for fiscal year 2022, fiscal year 2021, and our fiscal year ended September 27, 2020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150495</wp:posOffset>
            </wp:positionV>
            <wp:extent cx="5974715" cy="5740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74715" cy="574040"/>
                    </a:xfrm>
                    <a:prstGeom prst="rect">
                      <a:avLst/>
                    </a:prstGeom>
                    <a:noFill/>
                  </pic:spPr>
                </pic:pic>
              </a:graphicData>
            </a:graphic>
          </wp:anchor>
        </w:drawing>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FFFFFF"/>
              </w:rPr>
              <w:t>Non-Equity</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6"/>
                <w:szCs w:val="16"/>
                <w:color w:val="FFFFFF"/>
                <w:w w:val="99"/>
              </w:rPr>
              <w:t>Incentive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6"/>
                <w:szCs w:val="16"/>
                <w:color w:val="FFFFFF"/>
                <w:w w:val="99"/>
              </w:rPr>
              <w:t>Stock</w:t>
            </w:r>
          </w:p>
        </w:tc>
        <w:tc>
          <w:tcPr>
            <w:tcW w:w="24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6"/>
                <w:szCs w:val="16"/>
                <w:color w:val="FFFFFF"/>
                <w:w w:val="99"/>
              </w:rPr>
              <w:t>Plan</w:t>
            </w:r>
          </w:p>
        </w:tc>
        <w:tc>
          <w:tcPr>
            <w:tcW w:w="18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6"/>
                <w:szCs w:val="16"/>
                <w:color w:val="FFFFFF"/>
                <w:w w:val="99"/>
              </w:rPr>
              <w:t>All Other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6"/>
                <w:szCs w:val="16"/>
                <w:color w:val="FFFFFF"/>
              </w:rPr>
              <w:t>Awards</w:t>
            </w:r>
          </w:p>
        </w:tc>
        <w:tc>
          <w:tcPr>
            <w:tcW w:w="24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6"/>
                <w:szCs w:val="16"/>
                <w:color w:val="FFFFFF"/>
              </w:rPr>
              <w:t>Compensation</w:t>
            </w:r>
          </w:p>
        </w:tc>
        <w:tc>
          <w:tcPr>
            <w:tcW w:w="18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6"/>
                <w:szCs w:val="16"/>
                <w:color w:val="FFFFFF"/>
              </w:rPr>
              <w:t>Compensation</w:t>
            </w:r>
          </w:p>
        </w:tc>
        <w:tc>
          <w:tcPr>
            <w:tcW w:w="220" w:type="dxa"/>
            <w:vAlign w:val="bottom"/>
          </w:tcPr>
          <w:p>
            <w:pPr>
              <w:spacing w:after="0"/>
              <w:rPr>
                <w:sz w:val="14"/>
                <w:szCs w:val="14"/>
                <w:color w:val="auto"/>
              </w:rPr>
            </w:pPr>
          </w:p>
        </w:tc>
        <w:tc>
          <w:tcPr>
            <w:tcW w:w="900" w:type="dxa"/>
            <w:vAlign w:val="bottom"/>
          </w:tcPr>
          <w:p>
            <w:pPr>
              <w:ind w:left="280"/>
              <w:spacing w:after="0" w:line="162" w:lineRule="exact"/>
              <w:rPr>
                <w:sz w:val="20"/>
                <w:szCs w:val="20"/>
                <w:color w:val="auto"/>
              </w:rPr>
            </w:pPr>
            <w:r>
              <w:rPr>
                <w:rFonts w:ascii="Arial" w:cs="Arial" w:eastAsia="Arial" w:hAnsi="Arial"/>
                <w:sz w:val="16"/>
                <w:szCs w:val="16"/>
                <w:color w:val="FFFFFF"/>
              </w:rPr>
              <w:t>Total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20" w:type="dxa"/>
            <w:vAlign w:val="bottom"/>
            <w:gridSpan w:val="2"/>
          </w:tcPr>
          <w:p>
            <w:pPr>
              <w:ind w:left="40"/>
              <w:spacing w:after="0"/>
              <w:rPr>
                <w:sz w:val="20"/>
                <w:szCs w:val="20"/>
                <w:color w:val="auto"/>
              </w:rPr>
            </w:pPr>
            <w:r>
              <w:rPr>
                <w:rFonts w:ascii="Arial" w:cs="Arial" w:eastAsia="Arial" w:hAnsi="Arial"/>
                <w:sz w:val="16"/>
                <w:szCs w:val="16"/>
                <w:color w:val="FFFFFF"/>
              </w:rPr>
              <w:t>​ Name and Principal Position</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FFFFFF"/>
              </w:rPr>
              <w:t>​ ​</w:t>
            </w:r>
          </w:p>
        </w:tc>
        <w:tc>
          <w:tcPr>
            <w:tcW w:w="660" w:type="dxa"/>
            <w:vAlign w:val="bottom"/>
          </w:tcPr>
          <w:p>
            <w:pPr>
              <w:ind w:left="160"/>
              <w:spacing w:after="0"/>
              <w:rPr>
                <w:sz w:val="20"/>
                <w:szCs w:val="20"/>
                <w:color w:val="auto"/>
              </w:rPr>
            </w:pPr>
            <w:r>
              <w:rPr>
                <w:rFonts w:ascii="Arial" w:cs="Arial" w:eastAsia="Arial" w:hAnsi="Arial"/>
                <w:sz w:val="16"/>
                <w:szCs w:val="16"/>
                <w:color w:val="FFFFFF"/>
              </w:rPr>
              <w:t>Year</w:t>
            </w:r>
          </w:p>
        </w:tc>
        <w:tc>
          <w:tcPr>
            <w:tcW w:w="360" w:type="dxa"/>
            <w:vAlign w:val="bottom"/>
          </w:tcPr>
          <w:p>
            <w:pPr>
              <w:ind w:left="160"/>
              <w:spacing w:after="0"/>
              <w:rPr>
                <w:sz w:val="20"/>
                <w:szCs w:val="20"/>
                <w:color w:val="auto"/>
              </w:rPr>
            </w:pPr>
            <w:r>
              <w:rPr>
                <w:rFonts w:ascii="Arial" w:cs="Arial" w:eastAsia="Arial" w:hAnsi="Arial"/>
                <w:sz w:val="16"/>
                <w:szCs w:val="16"/>
                <w:color w:val="FFFFFF"/>
              </w:rPr>
              <w:t>​ ​</w:t>
            </w:r>
          </w:p>
        </w:tc>
        <w:tc>
          <w:tcPr>
            <w:tcW w:w="880" w:type="dxa"/>
            <w:vAlign w:val="bottom"/>
          </w:tcPr>
          <w:p>
            <w:pPr>
              <w:ind w:left="80"/>
              <w:spacing w:after="0"/>
              <w:rPr>
                <w:sz w:val="20"/>
                <w:szCs w:val="20"/>
                <w:color w:val="auto"/>
              </w:rPr>
            </w:pPr>
            <w:r>
              <w:rPr>
                <w:rFonts w:ascii="Arial" w:cs="Arial" w:eastAsia="Arial" w:hAnsi="Arial"/>
                <w:sz w:val="16"/>
                <w:szCs w:val="16"/>
                <w:color w:val="FFFFFF"/>
              </w:rPr>
              <w:t>Salary ($)</w:t>
            </w:r>
          </w:p>
        </w:tc>
        <w:tc>
          <w:tcPr>
            <w:tcW w:w="280" w:type="dxa"/>
            <w:vAlign w:val="bottom"/>
          </w:tcPr>
          <w:p>
            <w:pPr>
              <w:ind w:left="80"/>
              <w:spacing w:after="0"/>
              <w:rPr>
                <w:sz w:val="20"/>
                <w:szCs w:val="20"/>
                <w:color w:val="auto"/>
              </w:rPr>
            </w:pPr>
            <w:r>
              <w:rPr>
                <w:rFonts w:ascii="Arial" w:cs="Arial" w:eastAsia="Arial" w:hAnsi="Arial"/>
                <w:sz w:val="16"/>
                <w:szCs w:val="16"/>
                <w:color w:val="FFFFFF"/>
              </w:rPr>
              <w:t>​ ​</w:t>
            </w:r>
          </w:p>
        </w:tc>
        <w:tc>
          <w:tcPr>
            <w:tcW w:w="900" w:type="dxa"/>
            <w:vAlign w:val="bottom"/>
          </w:tcPr>
          <w:p>
            <w:pPr>
              <w:jc w:val="center"/>
              <w:spacing w:after="0"/>
              <w:rPr>
                <w:sz w:val="20"/>
                <w:szCs w:val="20"/>
                <w:color w:val="auto"/>
              </w:rPr>
            </w:pPr>
            <w:r>
              <w:rPr>
                <w:rFonts w:ascii="Arial" w:cs="Arial" w:eastAsia="Arial" w:hAnsi="Arial"/>
                <w:sz w:val="16"/>
                <w:szCs w:val="16"/>
                <w:color w:val="FFFFFF"/>
              </w:rPr>
              <w:t>($)(1)</w:t>
            </w:r>
          </w:p>
        </w:tc>
        <w:tc>
          <w:tcPr>
            <w:tcW w:w="240" w:type="dxa"/>
            <w:vAlign w:val="bottom"/>
          </w:tcPr>
          <w:p>
            <w:pPr>
              <w:ind w:left="80"/>
              <w:spacing w:after="0"/>
              <w:rPr>
                <w:sz w:val="20"/>
                <w:szCs w:val="20"/>
                <w:color w:val="auto"/>
              </w:rPr>
            </w:pPr>
            <w:r>
              <w:rPr>
                <w:rFonts w:ascii="Arial" w:cs="Arial" w:eastAsia="Arial" w:hAnsi="Arial"/>
                <w:sz w:val="16"/>
                <w:szCs w:val="16"/>
                <w:color w:val="FFFFFF"/>
              </w:rPr>
              <w:t>​ ​</w:t>
            </w:r>
          </w:p>
        </w:tc>
        <w:tc>
          <w:tcPr>
            <w:tcW w:w="1080" w:type="dxa"/>
            <w:vAlign w:val="bottom"/>
          </w:tcPr>
          <w:p>
            <w:pPr>
              <w:jc w:val="center"/>
              <w:spacing w:after="0"/>
              <w:rPr>
                <w:sz w:val="20"/>
                <w:szCs w:val="20"/>
                <w:color w:val="auto"/>
              </w:rPr>
            </w:pPr>
            <w:r>
              <w:rPr>
                <w:rFonts w:ascii="Arial" w:cs="Arial" w:eastAsia="Arial" w:hAnsi="Arial"/>
                <w:sz w:val="16"/>
                <w:szCs w:val="16"/>
                <w:color w:val="FFFFFF"/>
              </w:rPr>
              <w:t>($)(2)</w:t>
            </w:r>
          </w:p>
        </w:tc>
        <w:tc>
          <w:tcPr>
            <w:tcW w:w="180" w:type="dxa"/>
            <w:vAlign w:val="bottom"/>
          </w:tcPr>
          <w:p>
            <w:pPr>
              <w:ind w:left="20"/>
              <w:spacing w:after="0"/>
              <w:rPr>
                <w:sz w:val="20"/>
                <w:szCs w:val="20"/>
                <w:color w:val="auto"/>
              </w:rPr>
            </w:pPr>
            <w:r>
              <w:rPr>
                <w:rFonts w:ascii="Arial" w:cs="Arial" w:eastAsia="Arial" w:hAnsi="Arial"/>
                <w:sz w:val="16"/>
                <w:szCs w:val="16"/>
                <w:color w:val="FFFFFF"/>
              </w:rPr>
              <w:t>​ ​</w:t>
            </w:r>
          </w:p>
        </w:tc>
        <w:tc>
          <w:tcPr>
            <w:tcW w:w="1080" w:type="dxa"/>
            <w:vAlign w:val="bottom"/>
          </w:tcPr>
          <w:p>
            <w:pPr>
              <w:jc w:val="center"/>
              <w:spacing w:after="0"/>
              <w:rPr>
                <w:sz w:val="20"/>
                <w:szCs w:val="20"/>
                <w:color w:val="auto"/>
              </w:rPr>
            </w:pPr>
            <w:r>
              <w:rPr>
                <w:rFonts w:ascii="Arial" w:cs="Arial" w:eastAsia="Arial" w:hAnsi="Arial"/>
                <w:sz w:val="16"/>
                <w:szCs w:val="16"/>
                <w:color w:val="FFFFFF"/>
                <w:w w:val="97"/>
              </w:rPr>
              <w:t>($)(3)</w:t>
            </w:r>
          </w:p>
        </w:tc>
        <w:tc>
          <w:tcPr>
            <w:tcW w:w="220" w:type="dxa"/>
            <w:vAlign w:val="bottom"/>
          </w:tcPr>
          <w:p>
            <w:pPr>
              <w:ind w:left="20"/>
              <w:spacing w:after="0"/>
              <w:rPr>
                <w:sz w:val="20"/>
                <w:szCs w:val="20"/>
                <w:color w:val="auto"/>
              </w:rPr>
            </w:pPr>
            <w:r>
              <w:rPr>
                <w:rFonts w:ascii="Arial" w:cs="Arial" w:eastAsia="Arial" w:hAnsi="Arial"/>
                <w:sz w:val="16"/>
                <w:szCs w:val="16"/>
                <w:color w:val="FFFFFF"/>
              </w:rPr>
              <w:t>​ ​</w:t>
            </w:r>
          </w:p>
        </w:tc>
        <w:tc>
          <w:tcPr>
            <w:tcW w:w="900" w:type="dxa"/>
            <w:vAlign w:val="bottom"/>
          </w:tcPr>
          <w:p>
            <w:pPr>
              <w:jc w:val="center"/>
              <w:spacing w:after="0"/>
              <w:rPr>
                <w:sz w:val="20"/>
                <w:szCs w:val="20"/>
                <w:color w:val="auto"/>
              </w:rPr>
            </w:pPr>
            <w:r>
              <w:rPr>
                <w:rFonts w:ascii="Arial" w:cs="Arial" w:eastAsia="Arial" w:hAnsi="Arial"/>
                <w:sz w:val="16"/>
                <w:szCs w:val="16"/>
                <w:color w:val="FFFFFF"/>
                <w:w w:val="91"/>
              </w:rPr>
              <w:t>($)</w:t>
            </w:r>
          </w:p>
        </w:tc>
        <w:tc>
          <w:tcPr>
            <w:tcW w:w="100" w:type="dxa"/>
            <w:vAlign w:val="bottom"/>
            <w:gridSpan w:val="2"/>
          </w:tcPr>
          <w:p>
            <w:pPr>
              <w:ind w:left="60"/>
              <w:spacing w:after="0"/>
              <w:rPr>
                <w:sz w:val="20"/>
                <w:szCs w:val="20"/>
                <w:color w:val="auto"/>
              </w:rPr>
            </w:pPr>
            <w:r>
              <w:rPr>
                <w:rFonts w:ascii="Arial" w:cs="Arial" w:eastAsia="Arial" w:hAnsi="Arial"/>
                <w:sz w:val="16"/>
                <w:szCs w:val="16"/>
                <w:color w:val="FFFFFF"/>
              </w:rPr>
              <w:t>​</w:t>
            </w:r>
          </w:p>
        </w:tc>
        <w:tc>
          <w:tcPr>
            <w:tcW w:w="0" w:type="dxa"/>
            <w:vAlign w:val="bottom"/>
          </w:tcPr>
          <w:p>
            <w:pPr>
              <w:spacing w:after="0"/>
              <w:rPr>
                <w:sz w:val="1"/>
                <w:szCs w:val="1"/>
                <w:color w:val="auto"/>
              </w:rPr>
            </w:pPr>
          </w:p>
        </w:tc>
      </w:tr>
      <w:tr>
        <w:trPr>
          <w:trHeight w:val="216"/>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​Liam K. Griffin</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660" w:type="dxa"/>
            <w:vAlign w:val="bottom"/>
          </w:tcPr>
          <w:p>
            <w:pPr>
              <w:ind w:left="140"/>
              <w:spacing w:after="0"/>
              <w:rPr>
                <w:sz w:val="20"/>
                <w:szCs w:val="20"/>
                <w:color w:val="auto"/>
              </w:rPr>
            </w:pPr>
            <w:r>
              <w:rPr>
                <w:rFonts w:ascii="Arial" w:cs="Arial" w:eastAsia="Arial" w:hAnsi="Arial"/>
                <w:sz w:val="16"/>
                <w:szCs w:val="16"/>
                <w:color w:val="auto"/>
              </w:rPr>
              <w:t>2022</w:t>
            </w:r>
          </w:p>
        </w:tc>
        <w:tc>
          <w:tcPr>
            <w:tcW w:w="360" w:type="dxa"/>
            <w:vAlign w:val="bottom"/>
          </w:tcPr>
          <w:p>
            <w:pPr>
              <w:ind w:left="1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rPr>
              <w:t>1,124,289</w:t>
            </w:r>
          </w:p>
        </w:tc>
        <w:tc>
          <w:tcPr>
            <w:tcW w:w="280" w:type="dxa"/>
            <w:vAlign w:val="bottom"/>
          </w:tcPr>
          <w:p>
            <w:pPr>
              <w:ind w:left="8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13,087,793</w:t>
            </w:r>
          </w:p>
        </w:tc>
        <w:tc>
          <w:tcPr>
            <w:tcW w:w="240" w:type="dxa"/>
            <w:vAlign w:val="bottom"/>
          </w:tcPr>
          <w:p>
            <w:pPr>
              <w:ind w:left="8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2,423,906</w:t>
            </w:r>
          </w:p>
        </w:tc>
        <w:tc>
          <w:tcPr>
            <w:tcW w:w="180" w:type="dxa"/>
            <w:vAlign w:val="bottom"/>
          </w:tcPr>
          <w:p>
            <w:pPr>
              <w:ind w:left="2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31,174</w:t>
            </w:r>
          </w:p>
        </w:tc>
        <w:tc>
          <w:tcPr>
            <w:tcW w:w="220" w:type="dxa"/>
            <w:vAlign w:val="bottom"/>
          </w:tcPr>
          <w:p>
            <w:pPr>
              <w:ind w:left="2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16,667,162</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2060" w:type="dxa"/>
            <w:vAlign w:val="bottom"/>
          </w:tcPr>
          <w:p>
            <w:pPr>
              <w:ind w:left="80"/>
              <w:spacing w:after="0"/>
              <w:rPr>
                <w:sz w:val="20"/>
                <w:szCs w:val="20"/>
                <w:color w:val="auto"/>
              </w:rPr>
            </w:pPr>
            <w:r>
              <w:rPr>
                <w:rFonts w:ascii="Arial" w:cs="Arial" w:eastAsia="Arial" w:hAnsi="Arial"/>
                <w:sz w:val="16"/>
                <w:szCs w:val="16"/>
                <w:i w:val="1"/>
                <w:iCs w:val="1"/>
                <w:color w:val="auto"/>
              </w:rPr>
              <w:t>Chairman, Chief Executive</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660" w:type="dxa"/>
            <w:vAlign w:val="bottom"/>
          </w:tcPr>
          <w:p>
            <w:pPr>
              <w:ind w:left="140"/>
              <w:spacing w:after="0"/>
              <w:rPr>
                <w:sz w:val="20"/>
                <w:szCs w:val="20"/>
                <w:color w:val="auto"/>
              </w:rPr>
            </w:pPr>
            <w:r>
              <w:rPr>
                <w:rFonts w:ascii="Arial" w:cs="Arial" w:eastAsia="Arial" w:hAnsi="Arial"/>
                <w:sz w:val="16"/>
                <w:szCs w:val="16"/>
                <w:color w:val="auto"/>
              </w:rPr>
              <w:t>2021</w:t>
            </w:r>
          </w:p>
        </w:tc>
        <w:tc>
          <w:tcPr>
            <w:tcW w:w="360" w:type="dxa"/>
            <w:vAlign w:val="bottom"/>
          </w:tcPr>
          <w:p>
            <w:pPr>
              <w:ind w:left="1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rPr>
              <w:t>1,070,223</w:t>
            </w:r>
          </w:p>
        </w:tc>
        <w:tc>
          <w:tcPr>
            <w:tcW w:w="280" w:type="dxa"/>
            <w:vAlign w:val="bottom"/>
          </w:tcPr>
          <w:p>
            <w:pPr>
              <w:ind w:left="8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11,612,745</w:t>
            </w:r>
          </w:p>
        </w:tc>
        <w:tc>
          <w:tcPr>
            <w:tcW w:w="240" w:type="dxa"/>
            <w:vAlign w:val="bottom"/>
          </w:tcPr>
          <w:p>
            <w:pPr>
              <w:ind w:left="8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3,440,000</w:t>
            </w:r>
          </w:p>
        </w:tc>
        <w:tc>
          <w:tcPr>
            <w:tcW w:w="180" w:type="dxa"/>
            <w:vAlign w:val="bottom"/>
          </w:tcPr>
          <w:p>
            <w:pPr>
              <w:ind w:left="2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27,453</w:t>
            </w:r>
          </w:p>
        </w:tc>
        <w:tc>
          <w:tcPr>
            <w:tcW w:w="220" w:type="dxa"/>
            <w:vAlign w:val="bottom"/>
          </w:tcPr>
          <w:p>
            <w:pPr>
              <w:ind w:left="2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16,150,421</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206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Officer and President</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60" w:type="dxa"/>
            <w:vAlign w:val="bottom"/>
            <w:tcBorders>
              <w:bottom w:val="single" w:sz="8" w:color="BFBFBF"/>
            </w:tcBorders>
          </w:tcPr>
          <w:p>
            <w:pPr>
              <w:spacing w:after="0"/>
              <w:rPr>
                <w:sz w:val="3"/>
                <w:szCs w:val="3"/>
                <w:color w:val="auto"/>
              </w:rPr>
            </w:pPr>
          </w:p>
        </w:tc>
        <w:tc>
          <w:tcPr>
            <w:tcW w:w="360" w:type="dxa"/>
            <w:vAlign w:val="bottom"/>
            <w:tcBorders>
              <w:bottom w:val="single" w:sz="8" w:color="BFBFBF"/>
            </w:tcBorders>
          </w:tcPr>
          <w:p>
            <w:pPr>
              <w:spacing w:after="0"/>
              <w:rPr>
                <w:sz w:val="3"/>
                <w:szCs w:val="3"/>
                <w:color w:val="auto"/>
              </w:rPr>
            </w:pPr>
          </w:p>
        </w:tc>
        <w:tc>
          <w:tcPr>
            <w:tcW w:w="880" w:type="dxa"/>
            <w:vAlign w:val="bottom"/>
            <w:tcBorders>
              <w:bottom w:val="single" w:sz="8" w:color="BFBFBF"/>
            </w:tcBorders>
          </w:tcPr>
          <w:p>
            <w:pPr>
              <w:spacing w:after="0"/>
              <w:rPr>
                <w:sz w:val="3"/>
                <w:szCs w:val="3"/>
                <w:color w:val="auto"/>
              </w:rPr>
            </w:pPr>
          </w:p>
        </w:tc>
        <w:tc>
          <w:tcPr>
            <w:tcW w:w="280" w:type="dxa"/>
            <w:vAlign w:val="bottom"/>
            <w:tcBorders>
              <w:bottom w:val="single" w:sz="8" w:color="BFBFBF"/>
            </w:tcBorders>
          </w:tcPr>
          <w:p>
            <w:pPr>
              <w:spacing w:after="0"/>
              <w:rPr>
                <w:sz w:val="3"/>
                <w:szCs w:val="3"/>
                <w:color w:val="auto"/>
              </w:rPr>
            </w:pPr>
          </w:p>
        </w:tc>
        <w:tc>
          <w:tcPr>
            <w:tcW w:w="90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1080" w:type="dxa"/>
            <w:vAlign w:val="bottom"/>
            <w:tcBorders>
              <w:bottom w:val="single" w:sz="8" w:color="BFBFBF"/>
            </w:tcBorders>
          </w:tcPr>
          <w:p>
            <w:pPr>
              <w:spacing w:after="0"/>
              <w:rPr>
                <w:sz w:val="3"/>
                <w:szCs w:val="3"/>
                <w:color w:val="auto"/>
              </w:rPr>
            </w:pPr>
          </w:p>
        </w:tc>
        <w:tc>
          <w:tcPr>
            <w:tcW w:w="180" w:type="dxa"/>
            <w:vAlign w:val="bottom"/>
            <w:tcBorders>
              <w:bottom w:val="single" w:sz="8" w:color="BFBFBF"/>
            </w:tcBorders>
          </w:tcPr>
          <w:p>
            <w:pPr>
              <w:spacing w:after="0"/>
              <w:rPr>
                <w:sz w:val="3"/>
                <w:szCs w:val="3"/>
                <w:color w:val="auto"/>
              </w:rPr>
            </w:pPr>
          </w:p>
        </w:tc>
        <w:tc>
          <w:tcPr>
            <w:tcW w:w="1080" w:type="dxa"/>
            <w:vAlign w:val="bottom"/>
            <w:tcBorders>
              <w:bottom w:val="single" w:sz="8" w:color="BFBFBF"/>
            </w:tcBorders>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900" w:type="dxa"/>
            <w:vAlign w:val="bottom"/>
            <w:tcBorders>
              <w:bottom w:val="single" w:sz="8" w:color="BFBFBF"/>
            </w:tcBorders>
          </w:tcPr>
          <w:p>
            <w:pPr>
              <w:spacing w:after="0"/>
              <w:rPr>
                <w:sz w:val="3"/>
                <w:szCs w:val="3"/>
                <w:color w:val="auto"/>
              </w:rPr>
            </w:pPr>
          </w:p>
        </w:tc>
        <w:tc>
          <w:tcPr>
            <w:tcW w:w="80" w:type="dxa"/>
            <w:vAlign w:val="bottom"/>
            <w:tcBorders>
              <w:bottom w:val="single" w:sz="8" w:color="BFBFB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ind w:left="140"/>
              <w:spacing w:after="0"/>
              <w:rPr>
                <w:sz w:val="20"/>
                <w:szCs w:val="20"/>
                <w:color w:val="auto"/>
              </w:rPr>
            </w:pPr>
            <w:r>
              <w:rPr>
                <w:rFonts w:ascii="Arial" w:cs="Arial" w:eastAsia="Arial" w:hAnsi="Arial"/>
                <w:sz w:val="16"/>
                <w:szCs w:val="16"/>
                <w:color w:val="auto"/>
              </w:rPr>
              <w:t>2020</w:t>
            </w:r>
          </w:p>
        </w:tc>
        <w:tc>
          <w:tcPr>
            <w:tcW w:w="360" w:type="dxa"/>
            <w:vAlign w:val="bottom"/>
          </w:tcPr>
          <w:p>
            <w:pPr>
              <w:ind w:left="1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rPr>
              <w:t>1,043,888</w:t>
            </w:r>
          </w:p>
        </w:tc>
        <w:tc>
          <w:tcPr>
            <w:tcW w:w="280" w:type="dxa"/>
            <w:vAlign w:val="bottom"/>
          </w:tcPr>
          <w:p>
            <w:pPr>
              <w:ind w:left="8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17,430,589</w:t>
            </w:r>
          </w:p>
        </w:tc>
        <w:tc>
          <w:tcPr>
            <w:tcW w:w="240" w:type="dxa"/>
            <w:vAlign w:val="bottom"/>
          </w:tcPr>
          <w:p>
            <w:pPr>
              <w:ind w:left="8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3,292,800</w:t>
            </w:r>
          </w:p>
        </w:tc>
        <w:tc>
          <w:tcPr>
            <w:tcW w:w="180" w:type="dxa"/>
            <w:vAlign w:val="bottom"/>
          </w:tcPr>
          <w:p>
            <w:pPr>
              <w:ind w:left="2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33,162</w:t>
            </w:r>
          </w:p>
        </w:tc>
        <w:tc>
          <w:tcPr>
            <w:tcW w:w="220" w:type="dxa"/>
            <w:vAlign w:val="bottom"/>
          </w:tcPr>
          <w:p>
            <w:pPr>
              <w:ind w:left="2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21,800,439</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​Kris Sennesael</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660" w:type="dxa"/>
            <w:vAlign w:val="bottom"/>
          </w:tcPr>
          <w:p>
            <w:pPr>
              <w:ind w:left="140"/>
              <w:spacing w:after="0"/>
              <w:rPr>
                <w:sz w:val="20"/>
                <w:szCs w:val="20"/>
                <w:color w:val="auto"/>
              </w:rPr>
            </w:pPr>
            <w:r>
              <w:rPr>
                <w:rFonts w:ascii="Arial" w:cs="Arial" w:eastAsia="Arial" w:hAnsi="Arial"/>
                <w:sz w:val="16"/>
                <w:szCs w:val="16"/>
                <w:color w:val="auto"/>
              </w:rPr>
              <w:t>2022</w:t>
            </w:r>
          </w:p>
        </w:tc>
        <w:tc>
          <w:tcPr>
            <w:tcW w:w="360" w:type="dxa"/>
            <w:vAlign w:val="bottom"/>
          </w:tcPr>
          <w:p>
            <w:pPr>
              <w:ind w:left="1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rPr>
              <w:t>585,092</w:t>
            </w:r>
          </w:p>
        </w:tc>
        <w:tc>
          <w:tcPr>
            <w:tcW w:w="280" w:type="dxa"/>
            <w:vAlign w:val="bottom"/>
          </w:tcPr>
          <w:p>
            <w:pPr>
              <w:ind w:left="8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4,131,556</w:t>
            </w:r>
          </w:p>
        </w:tc>
        <w:tc>
          <w:tcPr>
            <w:tcW w:w="240" w:type="dxa"/>
            <w:vAlign w:val="bottom"/>
          </w:tcPr>
          <w:p>
            <w:pPr>
              <w:ind w:left="8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788,306</w:t>
            </w:r>
          </w:p>
        </w:tc>
        <w:tc>
          <w:tcPr>
            <w:tcW w:w="180" w:type="dxa"/>
            <w:vAlign w:val="bottom"/>
          </w:tcPr>
          <w:p>
            <w:pPr>
              <w:ind w:left="2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17,384</w:t>
            </w:r>
          </w:p>
        </w:tc>
        <w:tc>
          <w:tcPr>
            <w:tcW w:w="220" w:type="dxa"/>
            <w:vAlign w:val="bottom"/>
          </w:tcPr>
          <w:p>
            <w:pPr>
              <w:ind w:left="2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5,522,338</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2060" w:type="dxa"/>
            <w:vAlign w:val="bottom"/>
          </w:tcPr>
          <w:p>
            <w:pPr>
              <w:ind w:left="80"/>
              <w:spacing w:after="0"/>
              <w:rPr>
                <w:sz w:val="20"/>
                <w:szCs w:val="20"/>
                <w:color w:val="auto"/>
              </w:rPr>
            </w:pPr>
            <w:r>
              <w:rPr>
                <w:rFonts w:ascii="Arial" w:cs="Arial" w:eastAsia="Arial" w:hAnsi="Arial"/>
                <w:sz w:val="16"/>
                <w:szCs w:val="16"/>
                <w:i w:val="1"/>
                <w:iCs w:val="1"/>
                <w:color w:val="auto"/>
              </w:rPr>
              <w:t>Senior Vice President and</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660" w:type="dxa"/>
            <w:vAlign w:val="bottom"/>
          </w:tcPr>
          <w:p>
            <w:pPr>
              <w:ind w:left="140"/>
              <w:spacing w:after="0"/>
              <w:rPr>
                <w:sz w:val="20"/>
                <w:szCs w:val="20"/>
                <w:color w:val="auto"/>
              </w:rPr>
            </w:pPr>
            <w:r>
              <w:rPr>
                <w:rFonts w:ascii="Arial" w:cs="Arial" w:eastAsia="Arial" w:hAnsi="Arial"/>
                <w:sz w:val="16"/>
                <w:szCs w:val="16"/>
                <w:color w:val="auto"/>
              </w:rPr>
              <w:t>2021</w:t>
            </w:r>
          </w:p>
        </w:tc>
        <w:tc>
          <w:tcPr>
            <w:tcW w:w="360" w:type="dxa"/>
            <w:vAlign w:val="bottom"/>
          </w:tcPr>
          <w:p>
            <w:pPr>
              <w:ind w:left="1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rPr>
              <w:t>556,885</w:t>
            </w:r>
          </w:p>
        </w:tc>
        <w:tc>
          <w:tcPr>
            <w:tcW w:w="280" w:type="dxa"/>
            <w:vAlign w:val="bottom"/>
          </w:tcPr>
          <w:p>
            <w:pPr>
              <w:ind w:left="8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3,589,223</w:t>
            </w:r>
          </w:p>
        </w:tc>
        <w:tc>
          <w:tcPr>
            <w:tcW w:w="240" w:type="dxa"/>
            <w:vAlign w:val="bottom"/>
          </w:tcPr>
          <w:p>
            <w:pPr>
              <w:ind w:left="8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1,120,000</w:t>
            </w:r>
          </w:p>
        </w:tc>
        <w:tc>
          <w:tcPr>
            <w:tcW w:w="180" w:type="dxa"/>
            <w:vAlign w:val="bottom"/>
          </w:tcPr>
          <w:p>
            <w:pPr>
              <w:ind w:left="2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15,203</w:t>
            </w:r>
          </w:p>
        </w:tc>
        <w:tc>
          <w:tcPr>
            <w:tcW w:w="220" w:type="dxa"/>
            <w:vAlign w:val="bottom"/>
          </w:tcPr>
          <w:p>
            <w:pPr>
              <w:ind w:left="2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5,281,311</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206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Chief Financial Officer</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60" w:type="dxa"/>
            <w:vAlign w:val="bottom"/>
            <w:tcBorders>
              <w:bottom w:val="single" w:sz="8" w:color="BFBFBF"/>
            </w:tcBorders>
          </w:tcPr>
          <w:p>
            <w:pPr>
              <w:spacing w:after="0"/>
              <w:rPr>
                <w:sz w:val="3"/>
                <w:szCs w:val="3"/>
                <w:color w:val="auto"/>
              </w:rPr>
            </w:pPr>
          </w:p>
        </w:tc>
        <w:tc>
          <w:tcPr>
            <w:tcW w:w="360" w:type="dxa"/>
            <w:vAlign w:val="bottom"/>
            <w:tcBorders>
              <w:bottom w:val="single" w:sz="8" w:color="BFBFBF"/>
            </w:tcBorders>
          </w:tcPr>
          <w:p>
            <w:pPr>
              <w:spacing w:after="0"/>
              <w:rPr>
                <w:sz w:val="3"/>
                <w:szCs w:val="3"/>
                <w:color w:val="auto"/>
              </w:rPr>
            </w:pPr>
          </w:p>
        </w:tc>
        <w:tc>
          <w:tcPr>
            <w:tcW w:w="880" w:type="dxa"/>
            <w:vAlign w:val="bottom"/>
            <w:tcBorders>
              <w:bottom w:val="single" w:sz="8" w:color="BFBFBF"/>
            </w:tcBorders>
          </w:tcPr>
          <w:p>
            <w:pPr>
              <w:spacing w:after="0"/>
              <w:rPr>
                <w:sz w:val="3"/>
                <w:szCs w:val="3"/>
                <w:color w:val="auto"/>
              </w:rPr>
            </w:pPr>
          </w:p>
        </w:tc>
        <w:tc>
          <w:tcPr>
            <w:tcW w:w="280" w:type="dxa"/>
            <w:vAlign w:val="bottom"/>
            <w:tcBorders>
              <w:bottom w:val="single" w:sz="8" w:color="BFBFBF"/>
            </w:tcBorders>
          </w:tcPr>
          <w:p>
            <w:pPr>
              <w:spacing w:after="0"/>
              <w:rPr>
                <w:sz w:val="3"/>
                <w:szCs w:val="3"/>
                <w:color w:val="auto"/>
              </w:rPr>
            </w:pPr>
          </w:p>
        </w:tc>
        <w:tc>
          <w:tcPr>
            <w:tcW w:w="90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1080" w:type="dxa"/>
            <w:vAlign w:val="bottom"/>
            <w:tcBorders>
              <w:bottom w:val="single" w:sz="8" w:color="BFBFBF"/>
            </w:tcBorders>
          </w:tcPr>
          <w:p>
            <w:pPr>
              <w:spacing w:after="0"/>
              <w:rPr>
                <w:sz w:val="3"/>
                <w:szCs w:val="3"/>
                <w:color w:val="auto"/>
              </w:rPr>
            </w:pPr>
          </w:p>
        </w:tc>
        <w:tc>
          <w:tcPr>
            <w:tcW w:w="180" w:type="dxa"/>
            <w:vAlign w:val="bottom"/>
            <w:tcBorders>
              <w:bottom w:val="single" w:sz="8" w:color="BFBFBF"/>
            </w:tcBorders>
          </w:tcPr>
          <w:p>
            <w:pPr>
              <w:spacing w:after="0"/>
              <w:rPr>
                <w:sz w:val="3"/>
                <w:szCs w:val="3"/>
                <w:color w:val="auto"/>
              </w:rPr>
            </w:pPr>
          </w:p>
        </w:tc>
        <w:tc>
          <w:tcPr>
            <w:tcW w:w="1080" w:type="dxa"/>
            <w:vAlign w:val="bottom"/>
            <w:tcBorders>
              <w:bottom w:val="single" w:sz="8" w:color="BFBFBF"/>
            </w:tcBorders>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900" w:type="dxa"/>
            <w:vAlign w:val="bottom"/>
            <w:tcBorders>
              <w:bottom w:val="single" w:sz="8" w:color="BFBFBF"/>
            </w:tcBorders>
          </w:tcPr>
          <w:p>
            <w:pPr>
              <w:spacing w:after="0"/>
              <w:rPr>
                <w:sz w:val="3"/>
                <w:szCs w:val="3"/>
                <w:color w:val="auto"/>
              </w:rPr>
            </w:pPr>
          </w:p>
        </w:tc>
        <w:tc>
          <w:tcPr>
            <w:tcW w:w="80" w:type="dxa"/>
            <w:vAlign w:val="bottom"/>
            <w:tcBorders>
              <w:bottom w:val="single" w:sz="8" w:color="BFBFB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ind w:left="140"/>
              <w:spacing w:after="0"/>
              <w:rPr>
                <w:sz w:val="20"/>
                <w:szCs w:val="20"/>
                <w:color w:val="auto"/>
              </w:rPr>
            </w:pPr>
            <w:r>
              <w:rPr>
                <w:rFonts w:ascii="Arial" w:cs="Arial" w:eastAsia="Arial" w:hAnsi="Arial"/>
                <w:sz w:val="16"/>
                <w:szCs w:val="16"/>
                <w:color w:val="auto"/>
              </w:rPr>
              <w:t>2020</w:t>
            </w:r>
          </w:p>
        </w:tc>
        <w:tc>
          <w:tcPr>
            <w:tcW w:w="360" w:type="dxa"/>
            <w:vAlign w:val="bottom"/>
          </w:tcPr>
          <w:p>
            <w:pPr>
              <w:ind w:left="1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rPr>
              <w:t>537,192</w:t>
            </w:r>
          </w:p>
        </w:tc>
        <w:tc>
          <w:tcPr>
            <w:tcW w:w="280" w:type="dxa"/>
            <w:vAlign w:val="bottom"/>
          </w:tcPr>
          <w:p>
            <w:pPr>
              <w:ind w:left="8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5,677,593</w:t>
            </w:r>
          </w:p>
        </w:tc>
        <w:tc>
          <w:tcPr>
            <w:tcW w:w="240" w:type="dxa"/>
            <w:vAlign w:val="bottom"/>
          </w:tcPr>
          <w:p>
            <w:pPr>
              <w:ind w:left="8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1,060,000</w:t>
            </w:r>
          </w:p>
        </w:tc>
        <w:tc>
          <w:tcPr>
            <w:tcW w:w="180" w:type="dxa"/>
            <w:vAlign w:val="bottom"/>
          </w:tcPr>
          <w:p>
            <w:pPr>
              <w:ind w:left="2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18,591</w:t>
            </w:r>
          </w:p>
        </w:tc>
        <w:tc>
          <w:tcPr>
            <w:tcW w:w="220" w:type="dxa"/>
            <w:vAlign w:val="bottom"/>
          </w:tcPr>
          <w:p>
            <w:pPr>
              <w:ind w:left="2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7,293,376</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​Reza Kasnavi</w:t>
            </w:r>
            <w:r>
              <w:rPr>
                <w:rFonts w:ascii="Arial" w:cs="Arial" w:eastAsia="Arial" w:hAnsi="Arial"/>
                <w:sz w:val="16"/>
                <w:szCs w:val="16"/>
                <w:color w:val="0075A8"/>
              </w:rPr>
              <w:t>(4)</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660" w:type="dxa"/>
            <w:vAlign w:val="bottom"/>
          </w:tcPr>
          <w:p>
            <w:pPr>
              <w:ind w:left="140"/>
              <w:spacing w:after="0"/>
              <w:rPr>
                <w:sz w:val="20"/>
                <w:szCs w:val="20"/>
                <w:color w:val="auto"/>
              </w:rPr>
            </w:pPr>
            <w:r>
              <w:rPr>
                <w:rFonts w:ascii="Arial" w:cs="Arial" w:eastAsia="Arial" w:hAnsi="Arial"/>
                <w:sz w:val="16"/>
                <w:szCs w:val="16"/>
                <w:color w:val="auto"/>
              </w:rPr>
              <w:t>2022</w:t>
            </w:r>
          </w:p>
        </w:tc>
        <w:tc>
          <w:tcPr>
            <w:tcW w:w="360" w:type="dxa"/>
            <w:vAlign w:val="bottom"/>
          </w:tcPr>
          <w:p>
            <w:pPr>
              <w:ind w:left="1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rPr>
              <w:t>553,677</w:t>
            </w:r>
          </w:p>
        </w:tc>
        <w:tc>
          <w:tcPr>
            <w:tcW w:w="280" w:type="dxa"/>
            <w:vAlign w:val="bottom"/>
          </w:tcPr>
          <w:p>
            <w:pPr>
              <w:ind w:left="8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4,013,570</w:t>
            </w:r>
          </w:p>
        </w:tc>
        <w:tc>
          <w:tcPr>
            <w:tcW w:w="240" w:type="dxa"/>
            <w:vAlign w:val="bottom"/>
          </w:tcPr>
          <w:p>
            <w:pPr>
              <w:ind w:left="8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597,396</w:t>
            </w:r>
          </w:p>
        </w:tc>
        <w:tc>
          <w:tcPr>
            <w:tcW w:w="180" w:type="dxa"/>
            <w:vAlign w:val="bottom"/>
          </w:tcPr>
          <w:p>
            <w:pPr>
              <w:ind w:left="2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33,910</w:t>
            </w:r>
          </w:p>
        </w:tc>
        <w:tc>
          <w:tcPr>
            <w:tcW w:w="220" w:type="dxa"/>
            <w:vAlign w:val="bottom"/>
          </w:tcPr>
          <w:p>
            <w:pPr>
              <w:ind w:left="2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5,198,553</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60" w:type="dxa"/>
            <w:vAlign w:val="bottom"/>
          </w:tcPr>
          <w:p>
            <w:pPr>
              <w:ind w:left="40"/>
              <w:spacing w:after="0"/>
              <w:rPr>
                <w:sz w:val="20"/>
                <w:szCs w:val="20"/>
                <w:color w:val="auto"/>
              </w:rPr>
            </w:pPr>
            <w:r>
              <w:rPr>
                <w:rFonts w:ascii="Arial" w:cs="Arial" w:eastAsia="Arial" w:hAnsi="Arial"/>
                <w:sz w:val="16"/>
                <w:szCs w:val="16"/>
                <w:i w:val="1"/>
                <w:iCs w:val="1"/>
                <w:color w:val="auto"/>
              </w:rPr>
              <w:t>​</w:t>
            </w:r>
          </w:p>
        </w:tc>
        <w:tc>
          <w:tcPr>
            <w:tcW w:w="2060" w:type="dxa"/>
            <w:vAlign w:val="bottom"/>
          </w:tcPr>
          <w:p>
            <w:pPr>
              <w:ind w:left="80"/>
              <w:spacing w:after="0"/>
              <w:rPr>
                <w:sz w:val="20"/>
                <w:szCs w:val="20"/>
                <w:color w:val="auto"/>
              </w:rPr>
            </w:pPr>
            <w:r>
              <w:rPr>
                <w:rFonts w:ascii="Arial" w:cs="Arial" w:eastAsia="Arial" w:hAnsi="Arial"/>
                <w:sz w:val="16"/>
                <w:szCs w:val="16"/>
                <w:i w:val="1"/>
                <w:iCs w:val="1"/>
                <w:color w:val="auto"/>
              </w:rPr>
              <w:t>Senior Vice President,</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i w:val="1"/>
                <w:iCs w:val="1"/>
                <w:color w:val="auto"/>
              </w:rPr>
              <w:t>​ ​</w:t>
            </w:r>
          </w:p>
        </w:tc>
        <w:tc>
          <w:tcPr>
            <w:tcW w:w="660" w:type="dxa"/>
            <w:vAlign w:val="bottom"/>
          </w:tcPr>
          <w:p>
            <w:pPr>
              <w:ind w:left="320"/>
              <w:spacing w:after="0"/>
              <w:rPr>
                <w:sz w:val="20"/>
                <w:szCs w:val="20"/>
                <w:color w:val="auto"/>
              </w:rPr>
            </w:pPr>
            <w:r>
              <w:rPr>
                <w:rFonts w:ascii="Arial" w:cs="Arial" w:eastAsia="Arial" w:hAnsi="Arial"/>
                <w:sz w:val="16"/>
                <w:szCs w:val="16"/>
                <w:i w:val="1"/>
                <w:iCs w:val="1"/>
                <w:color w:val="auto"/>
              </w:rPr>
              <w:t>​</w:t>
            </w:r>
          </w:p>
        </w:tc>
        <w:tc>
          <w:tcPr>
            <w:tcW w:w="360" w:type="dxa"/>
            <w:vAlign w:val="bottom"/>
          </w:tcPr>
          <w:p>
            <w:pPr>
              <w:ind w:left="160"/>
              <w:spacing w:after="0"/>
              <w:rPr>
                <w:sz w:val="20"/>
                <w:szCs w:val="20"/>
                <w:color w:val="auto"/>
              </w:rPr>
            </w:pPr>
            <w:r>
              <w:rPr>
                <w:rFonts w:ascii="Arial" w:cs="Arial" w:eastAsia="Arial" w:hAnsi="Arial"/>
                <w:sz w:val="16"/>
                <w:szCs w:val="16"/>
                <w:i w:val="1"/>
                <w:iCs w:val="1"/>
                <w:color w:val="auto"/>
              </w:rPr>
              <w:t>​ ​</w:t>
            </w:r>
          </w:p>
        </w:tc>
        <w:tc>
          <w:tcPr>
            <w:tcW w:w="880" w:type="dxa"/>
            <w:vAlign w:val="bottom"/>
          </w:tcPr>
          <w:p>
            <w:pPr>
              <w:ind w:left="440"/>
              <w:spacing w:after="0"/>
              <w:rPr>
                <w:sz w:val="20"/>
                <w:szCs w:val="20"/>
                <w:color w:val="auto"/>
              </w:rPr>
            </w:pPr>
            <w:r>
              <w:rPr>
                <w:rFonts w:ascii="Arial" w:cs="Arial" w:eastAsia="Arial" w:hAnsi="Arial"/>
                <w:sz w:val="16"/>
                <w:szCs w:val="16"/>
                <w:i w:val="1"/>
                <w:iCs w:val="1"/>
                <w:color w:val="auto"/>
              </w:rPr>
              <w:t>​</w:t>
            </w:r>
          </w:p>
        </w:tc>
        <w:tc>
          <w:tcPr>
            <w:tcW w:w="280" w:type="dxa"/>
            <w:vAlign w:val="bottom"/>
          </w:tcPr>
          <w:p>
            <w:pPr>
              <w:ind w:left="80"/>
              <w:spacing w:after="0"/>
              <w:rPr>
                <w:sz w:val="20"/>
                <w:szCs w:val="20"/>
                <w:color w:val="auto"/>
              </w:rPr>
            </w:pPr>
            <w:r>
              <w:rPr>
                <w:rFonts w:ascii="Arial" w:cs="Arial" w:eastAsia="Arial" w:hAnsi="Arial"/>
                <w:sz w:val="16"/>
                <w:szCs w:val="16"/>
                <w:i w:val="1"/>
                <w:iCs w:val="1"/>
                <w:color w:val="auto"/>
              </w:rPr>
              <w:t>​ ​</w:t>
            </w:r>
          </w:p>
        </w:tc>
        <w:tc>
          <w:tcPr>
            <w:tcW w:w="900" w:type="dxa"/>
            <w:vAlign w:val="bottom"/>
          </w:tcPr>
          <w:p>
            <w:pPr>
              <w:ind w:left="440"/>
              <w:spacing w:after="0"/>
              <w:rPr>
                <w:sz w:val="20"/>
                <w:szCs w:val="20"/>
                <w:color w:val="auto"/>
              </w:rPr>
            </w:pPr>
            <w:r>
              <w:rPr>
                <w:rFonts w:ascii="Arial" w:cs="Arial" w:eastAsia="Arial" w:hAnsi="Arial"/>
                <w:sz w:val="16"/>
                <w:szCs w:val="16"/>
                <w:i w:val="1"/>
                <w:iCs w:val="1"/>
                <w:color w:val="auto"/>
              </w:rPr>
              <w:t>​</w:t>
            </w:r>
          </w:p>
        </w:tc>
        <w:tc>
          <w:tcPr>
            <w:tcW w:w="240" w:type="dxa"/>
            <w:vAlign w:val="bottom"/>
          </w:tcPr>
          <w:p>
            <w:pPr>
              <w:ind w:left="80"/>
              <w:spacing w:after="0"/>
              <w:rPr>
                <w:sz w:val="20"/>
                <w:szCs w:val="20"/>
                <w:color w:val="auto"/>
              </w:rPr>
            </w:pPr>
            <w:r>
              <w:rPr>
                <w:rFonts w:ascii="Arial" w:cs="Arial" w:eastAsia="Arial" w:hAnsi="Arial"/>
                <w:sz w:val="16"/>
                <w:szCs w:val="16"/>
                <w:i w:val="1"/>
                <w:iCs w:val="1"/>
                <w:color w:val="auto"/>
              </w:rPr>
              <w:t>​ ​</w:t>
            </w:r>
          </w:p>
        </w:tc>
        <w:tc>
          <w:tcPr>
            <w:tcW w:w="1080" w:type="dxa"/>
            <w:vAlign w:val="bottom"/>
          </w:tcPr>
          <w:p>
            <w:pPr>
              <w:ind w:left="520"/>
              <w:spacing w:after="0"/>
              <w:rPr>
                <w:sz w:val="20"/>
                <w:szCs w:val="20"/>
                <w:color w:val="auto"/>
              </w:rPr>
            </w:pPr>
            <w:r>
              <w:rPr>
                <w:rFonts w:ascii="Arial" w:cs="Arial" w:eastAsia="Arial" w:hAnsi="Arial"/>
                <w:sz w:val="16"/>
                <w:szCs w:val="16"/>
                <w:i w:val="1"/>
                <w:iCs w:val="1"/>
                <w:color w:val="auto"/>
              </w:rPr>
              <w:t>​</w:t>
            </w:r>
          </w:p>
        </w:tc>
        <w:tc>
          <w:tcPr>
            <w:tcW w:w="180" w:type="dxa"/>
            <w:vAlign w:val="bottom"/>
          </w:tcPr>
          <w:p>
            <w:pPr>
              <w:ind w:left="20"/>
              <w:spacing w:after="0"/>
              <w:rPr>
                <w:sz w:val="20"/>
                <w:szCs w:val="20"/>
                <w:color w:val="auto"/>
              </w:rPr>
            </w:pPr>
            <w:r>
              <w:rPr>
                <w:rFonts w:ascii="Arial" w:cs="Arial" w:eastAsia="Arial" w:hAnsi="Arial"/>
                <w:sz w:val="16"/>
                <w:szCs w:val="16"/>
                <w:i w:val="1"/>
                <w:iCs w:val="1"/>
                <w:color w:val="auto"/>
              </w:rPr>
              <w:t>​ ​</w:t>
            </w:r>
          </w:p>
        </w:tc>
        <w:tc>
          <w:tcPr>
            <w:tcW w:w="1080" w:type="dxa"/>
            <w:vAlign w:val="bottom"/>
          </w:tcPr>
          <w:p>
            <w:pPr>
              <w:ind w:left="520"/>
              <w:spacing w:after="0"/>
              <w:rPr>
                <w:sz w:val="20"/>
                <w:szCs w:val="20"/>
                <w:color w:val="auto"/>
              </w:rPr>
            </w:pPr>
            <w:r>
              <w:rPr>
                <w:rFonts w:ascii="Arial" w:cs="Arial" w:eastAsia="Arial" w:hAnsi="Arial"/>
                <w:sz w:val="16"/>
                <w:szCs w:val="16"/>
                <w:i w:val="1"/>
                <w:iCs w:val="1"/>
                <w:color w:val="auto"/>
              </w:rPr>
              <w:t>​</w:t>
            </w:r>
          </w:p>
        </w:tc>
        <w:tc>
          <w:tcPr>
            <w:tcW w:w="220" w:type="dxa"/>
            <w:vAlign w:val="bottom"/>
          </w:tcPr>
          <w:p>
            <w:pPr>
              <w:ind w:left="20"/>
              <w:spacing w:after="0"/>
              <w:rPr>
                <w:sz w:val="20"/>
                <w:szCs w:val="20"/>
                <w:color w:val="auto"/>
              </w:rPr>
            </w:pPr>
            <w:r>
              <w:rPr>
                <w:rFonts w:ascii="Arial" w:cs="Arial" w:eastAsia="Arial" w:hAnsi="Arial"/>
                <w:sz w:val="16"/>
                <w:szCs w:val="16"/>
                <w:i w:val="1"/>
                <w:iCs w:val="1"/>
                <w:color w:val="auto"/>
              </w:rPr>
              <w:t>​ ​</w:t>
            </w:r>
          </w:p>
        </w:tc>
        <w:tc>
          <w:tcPr>
            <w:tcW w:w="900" w:type="dxa"/>
            <w:vAlign w:val="bottom"/>
          </w:tcPr>
          <w:p>
            <w:pPr>
              <w:ind w:left="460"/>
              <w:spacing w:after="0"/>
              <w:rPr>
                <w:sz w:val="20"/>
                <w:szCs w:val="20"/>
                <w:color w:val="auto"/>
              </w:rPr>
            </w:pPr>
            <w:r>
              <w:rPr>
                <w:rFonts w:ascii="Arial" w:cs="Arial" w:eastAsia="Arial" w:hAnsi="Arial"/>
                <w:sz w:val="16"/>
                <w:szCs w:val="16"/>
                <w:i w:val="1"/>
                <w:iCs w:val="1"/>
                <w:color w:val="auto"/>
              </w:rPr>
              <w:t>​</w:t>
            </w:r>
          </w:p>
        </w:tc>
        <w:tc>
          <w:tcPr>
            <w:tcW w:w="100" w:type="dxa"/>
            <w:vAlign w:val="bottom"/>
            <w:gridSpan w:val="2"/>
          </w:tcPr>
          <w:p>
            <w:pPr>
              <w:ind w:left="60"/>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060" w:type="dxa"/>
            <w:vAlign w:val="bottom"/>
          </w:tcPr>
          <w:p>
            <w:pPr>
              <w:ind w:left="80"/>
              <w:spacing w:after="0" w:line="175" w:lineRule="exact"/>
              <w:rPr>
                <w:sz w:val="20"/>
                <w:szCs w:val="20"/>
                <w:color w:val="auto"/>
              </w:rPr>
            </w:pPr>
            <w:r>
              <w:rPr>
                <w:rFonts w:ascii="Arial" w:cs="Arial" w:eastAsia="Arial" w:hAnsi="Arial"/>
                <w:sz w:val="16"/>
                <w:szCs w:val="16"/>
                <w:i w:val="1"/>
                <w:iCs w:val="1"/>
                <w:color w:val="auto"/>
              </w:rPr>
              <w:t>Technology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2060" w:type="dxa"/>
            <w:vAlign w:val="bottom"/>
          </w:tcPr>
          <w:p>
            <w:pPr>
              <w:ind w:left="80"/>
              <w:spacing w:after="0"/>
              <w:rPr>
                <w:sz w:val="20"/>
                <w:szCs w:val="20"/>
                <w:color w:val="auto"/>
              </w:rPr>
            </w:pPr>
            <w:r>
              <w:rPr>
                <w:rFonts w:ascii="Arial" w:cs="Arial" w:eastAsia="Arial" w:hAnsi="Arial"/>
                <w:sz w:val="16"/>
                <w:szCs w:val="16"/>
                <w:i w:val="1"/>
                <w:iCs w:val="1"/>
                <w:color w:val="auto"/>
              </w:rPr>
              <w:t>Manufacturing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​Carlos S. Bori</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660" w:type="dxa"/>
            <w:vAlign w:val="bottom"/>
          </w:tcPr>
          <w:p>
            <w:pPr>
              <w:ind w:left="140"/>
              <w:spacing w:after="0"/>
              <w:rPr>
                <w:sz w:val="20"/>
                <w:szCs w:val="20"/>
                <w:color w:val="auto"/>
              </w:rPr>
            </w:pPr>
            <w:r>
              <w:rPr>
                <w:rFonts w:ascii="Arial" w:cs="Arial" w:eastAsia="Arial" w:hAnsi="Arial"/>
                <w:sz w:val="16"/>
                <w:szCs w:val="16"/>
                <w:color w:val="auto"/>
              </w:rPr>
              <w:t>2022</w:t>
            </w:r>
          </w:p>
        </w:tc>
        <w:tc>
          <w:tcPr>
            <w:tcW w:w="360" w:type="dxa"/>
            <w:vAlign w:val="bottom"/>
          </w:tcPr>
          <w:p>
            <w:pPr>
              <w:ind w:left="1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rPr>
              <w:t>515,327</w:t>
            </w:r>
          </w:p>
        </w:tc>
        <w:tc>
          <w:tcPr>
            <w:tcW w:w="280" w:type="dxa"/>
            <w:vAlign w:val="bottom"/>
          </w:tcPr>
          <w:p>
            <w:pPr>
              <w:ind w:left="8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4,013,570</w:t>
            </w:r>
          </w:p>
        </w:tc>
        <w:tc>
          <w:tcPr>
            <w:tcW w:w="240" w:type="dxa"/>
            <w:vAlign w:val="bottom"/>
          </w:tcPr>
          <w:p>
            <w:pPr>
              <w:ind w:left="8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557,713</w:t>
            </w:r>
          </w:p>
        </w:tc>
        <w:tc>
          <w:tcPr>
            <w:tcW w:w="180" w:type="dxa"/>
            <w:vAlign w:val="bottom"/>
          </w:tcPr>
          <w:p>
            <w:pPr>
              <w:ind w:left="2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15,324</w:t>
            </w:r>
          </w:p>
        </w:tc>
        <w:tc>
          <w:tcPr>
            <w:tcW w:w="220" w:type="dxa"/>
            <w:vAlign w:val="bottom"/>
          </w:tcPr>
          <w:p>
            <w:pPr>
              <w:ind w:left="2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5,101,934</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2060" w:type="dxa"/>
            <w:vAlign w:val="bottom"/>
          </w:tcPr>
          <w:p>
            <w:pPr>
              <w:ind w:left="80"/>
              <w:spacing w:after="0"/>
              <w:rPr>
                <w:sz w:val="20"/>
                <w:szCs w:val="20"/>
                <w:color w:val="auto"/>
              </w:rPr>
            </w:pPr>
            <w:r>
              <w:rPr>
                <w:rFonts w:ascii="Arial" w:cs="Arial" w:eastAsia="Arial" w:hAnsi="Arial"/>
                <w:sz w:val="16"/>
                <w:szCs w:val="16"/>
                <w:i w:val="1"/>
                <w:iCs w:val="1"/>
                <w:color w:val="auto"/>
              </w:rPr>
              <w:t>Senior Vice President,</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660" w:type="dxa"/>
            <w:vAlign w:val="bottom"/>
          </w:tcPr>
          <w:p>
            <w:pPr>
              <w:ind w:left="140"/>
              <w:spacing w:after="0"/>
              <w:rPr>
                <w:sz w:val="20"/>
                <w:szCs w:val="20"/>
                <w:color w:val="auto"/>
              </w:rPr>
            </w:pPr>
            <w:r>
              <w:rPr>
                <w:rFonts w:ascii="Arial" w:cs="Arial" w:eastAsia="Arial" w:hAnsi="Arial"/>
                <w:sz w:val="16"/>
                <w:szCs w:val="16"/>
                <w:color w:val="auto"/>
              </w:rPr>
              <w:t>2021</w:t>
            </w:r>
          </w:p>
        </w:tc>
        <w:tc>
          <w:tcPr>
            <w:tcW w:w="360" w:type="dxa"/>
            <w:vAlign w:val="bottom"/>
          </w:tcPr>
          <w:p>
            <w:pPr>
              <w:ind w:left="1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rPr>
              <w:t>473,131</w:t>
            </w:r>
          </w:p>
        </w:tc>
        <w:tc>
          <w:tcPr>
            <w:tcW w:w="280" w:type="dxa"/>
            <w:vAlign w:val="bottom"/>
          </w:tcPr>
          <w:p>
            <w:pPr>
              <w:ind w:left="8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3,061,420</w:t>
            </w:r>
          </w:p>
        </w:tc>
        <w:tc>
          <w:tcPr>
            <w:tcW w:w="240" w:type="dxa"/>
            <w:vAlign w:val="bottom"/>
          </w:tcPr>
          <w:p>
            <w:pPr>
              <w:ind w:left="8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760,000</w:t>
            </w:r>
          </w:p>
        </w:tc>
        <w:tc>
          <w:tcPr>
            <w:tcW w:w="180" w:type="dxa"/>
            <w:vAlign w:val="bottom"/>
          </w:tcPr>
          <w:p>
            <w:pPr>
              <w:ind w:left="2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17,154</w:t>
            </w:r>
          </w:p>
        </w:tc>
        <w:tc>
          <w:tcPr>
            <w:tcW w:w="220" w:type="dxa"/>
            <w:vAlign w:val="bottom"/>
          </w:tcPr>
          <w:p>
            <w:pPr>
              <w:ind w:left="2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4,311,705</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206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Sales and Marketing</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60" w:type="dxa"/>
            <w:vAlign w:val="bottom"/>
            <w:tcBorders>
              <w:bottom w:val="single" w:sz="8" w:color="BFBFBF"/>
            </w:tcBorders>
          </w:tcPr>
          <w:p>
            <w:pPr>
              <w:spacing w:after="0"/>
              <w:rPr>
                <w:sz w:val="3"/>
                <w:szCs w:val="3"/>
                <w:color w:val="auto"/>
              </w:rPr>
            </w:pPr>
          </w:p>
        </w:tc>
        <w:tc>
          <w:tcPr>
            <w:tcW w:w="360" w:type="dxa"/>
            <w:vAlign w:val="bottom"/>
            <w:tcBorders>
              <w:bottom w:val="single" w:sz="8" w:color="BFBFBF"/>
            </w:tcBorders>
          </w:tcPr>
          <w:p>
            <w:pPr>
              <w:spacing w:after="0"/>
              <w:rPr>
                <w:sz w:val="3"/>
                <w:szCs w:val="3"/>
                <w:color w:val="auto"/>
              </w:rPr>
            </w:pPr>
          </w:p>
        </w:tc>
        <w:tc>
          <w:tcPr>
            <w:tcW w:w="880" w:type="dxa"/>
            <w:vAlign w:val="bottom"/>
            <w:tcBorders>
              <w:bottom w:val="single" w:sz="8" w:color="BFBFBF"/>
            </w:tcBorders>
          </w:tcPr>
          <w:p>
            <w:pPr>
              <w:spacing w:after="0"/>
              <w:rPr>
                <w:sz w:val="3"/>
                <w:szCs w:val="3"/>
                <w:color w:val="auto"/>
              </w:rPr>
            </w:pPr>
          </w:p>
        </w:tc>
        <w:tc>
          <w:tcPr>
            <w:tcW w:w="280" w:type="dxa"/>
            <w:vAlign w:val="bottom"/>
            <w:tcBorders>
              <w:bottom w:val="single" w:sz="8" w:color="BFBFBF"/>
            </w:tcBorders>
          </w:tcPr>
          <w:p>
            <w:pPr>
              <w:spacing w:after="0"/>
              <w:rPr>
                <w:sz w:val="3"/>
                <w:szCs w:val="3"/>
                <w:color w:val="auto"/>
              </w:rPr>
            </w:pPr>
          </w:p>
        </w:tc>
        <w:tc>
          <w:tcPr>
            <w:tcW w:w="90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1080" w:type="dxa"/>
            <w:vAlign w:val="bottom"/>
            <w:tcBorders>
              <w:bottom w:val="single" w:sz="8" w:color="BFBFBF"/>
            </w:tcBorders>
          </w:tcPr>
          <w:p>
            <w:pPr>
              <w:spacing w:after="0"/>
              <w:rPr>
                <w:sz w:val="3"/>
                <w:szCs w:val="3"/>
                <w:color w:val="auto"/>
              </w:rPr>
            </w:pPr>
          </w:p>
        </w:tc>
        <w:tc>
          <w:tcPr>
            <w:tcW w:w="180" w:type="dxa"/>
            <w:vAlign w:val="bottom"/>
            <w:tcBorders>
              <w:bottom w:val="single" w:sz="8" w:color="BFBFBF"/>
            </w:tcBorders>
          </w:tcPr>
          <w:p>
            <w:pPr>
              <w:spacing w:after="0"/>
              <w:rPr>
                <w:sz w:val="3"/>
                <w:szCs w:val="3"/>
                <w:color w:val="auto"/>
              </w:rPr>
            </w:pPr>
          </w:p>
        </w:tc>
        <w:tc>
          <w:tcPr>
            <w:tcW w:w="1080" w:type="dxa"/>
            <w:vAlign w:val="bottom"/>
            <w:tcBorders>
              <w:bottom w:val="single" w:sz="8" w:color="BFBFBF"/>
            </w:tcBorders>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900" w:type="dxa"/>
            <w:vAlign w:val="bottom"/>
            <w:tcBorders>
              <w:bottom w:val="single" w:sz="8" w:color="BFBFBF"/>
            </w:tcBorders>
          </w:tcPr>
          <w:p>
            <w:pPr>
              <w:spacing w:after="0"/>
              <w:rPr>
                <w:sz w:val="3"/>
                <w:szCs w:val="3"/>
                <w:color w:val="auto"/>
              </w:rPr>
            </w:pPr>
          </w:p>
        </w:tc>
        <w:tc>
          <w:tcPr>
            <w:tcW w:w="80" w:type="dxa"/>
            <w:vAlign w:val="bottom"/>
            <w:tcBorders>
              <w:bottom w:val="single" w:sz="8" w:color="BFBFB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2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ind w:left="140"/>
              <w:spacing w:after="0"/>
              <w:rPr>
                <w:sz w:val="20"/>
                <w:szCs w:val="20"/>
                <w:color w:val="auto"/>
              </w:rPr>
            </w:pPr>
            <w:r>
              <w:rPr>
                <w:rFonts w:ascii="Arial" w:cs="Arial" w:eastAsia="Arial" w:hAnsi="Arial"/>
                <w:sz w:val="16"/>
                <w:szCs w:val="16"/>
                <w:color w:val="auto"/>
              </w:rPr>
              <w:t>2020</w:t>
            </w:r>
          </w:p>
        </w:tc>
        <w:tc>
          <w:tcPr>
            <w:tcW w:w="360" w:type="dxa"/>
            <w:vAlign w:val="bottom"/>
          </w:tcPr>
          <w:p>
            <w:pPr>
              <w:ind w:left="1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rPr>
              <w:t>463,189</w:t>
            </w:r>
          </w:p>
        </w:tc>
        <w:tc>
          <w:tcPr>
            <w:tcW w:w="280" w:type="dxa"/>
            <w:vAlign w:val="bottom"/>
          </w:tcPr>
          <w:p>
            <w:pPr>
              <w:ind w:left="8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4,856,262</w:t>
            </w:r>
          </w:p>
        </w:tc>
        <w:tc>
          <w:tcPr>
            <w:tcW w:w="240" w:type="dxa"/>
            <w:vAlign w:val="bottom"/>
          </w:tcPr>
          <w:p>
            <w:pPr>
              <w:ind w:left="8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731,200</w:t>
            </w:r>
          </w:p>
        </w:tc>
        <w:tc>
          <w:tcPr>
            <w:tcW w:w="180" w:type="dxa"/>
            <w:vAlign w:val="bottom"/>
          </w:tcPr>
          <w:p>
            <w:pPr>
              <w:ind w:left="2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15,444</w:t>
            </w:r>
          </w:p>
        </w:tc>
        <w:tc>
          <w:tcPr>
            <w:tcW w:w="220" w:type="dxa"/>
            <w:vAlign w:val="bottom"/>
          </w:tcPr>
          <w:p>
            <w:pPr>
              <w:ind w:left="2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6,066,095</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220" w:type="dxa"/>
            <w:vAlign w:val="bottom"/>
            <w:gridSpan w:val="2"/>
          </w:tcPr>
          <w:p>
            <w:pPr>
              <w:ind w:left="40"/>
              <w:spacing w:after="0"/>
              <w:rPr>
                <w:sz w:val="20"/>
                <w:szCs w:val="20"/>
                <w:color w:val="auto"/>
              </w:rPr>
            </w:pPr>
            <w:r>
              <w:rPr>
                <w:rFonts w:ascii="Arial" w:cs="Arial" w:eastAsia="Arial" w:hAnsi="Arial"/>
                <w:sz w:val="16"/>
                <w:szCs w:val="16"/>
                <w:color w:val="auto"/>
              </w:rPr>
              <w:t>​Robert J. Terry</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660" w:type="dxa"/>
            <w:vAlign w:val="bottom"/>
          </w:tcPr>
          <w:p>
            <w:pPr>
              <w:ind w:left="140"/>
              <w:spacing w:after="0"/>
              <w:rPr>
                <w:sz w:val="20"/>
                <w:szCs w:val="20"/>
                <w:color w:val="auto"/>
              </w:rPr>
            </w:pPr>
            <w:r>
              <w:rPr>
                <w:rFonts w:ascii="Arial" w:cs="Arial" w:eastAsia="Arial" w:hAnsi="Arial"/>
                <w:sz w:val="16"/>
                <w:szCs w:val="16"/>
                <w:color w:val="auto"/>
              </w:rPr>
              <w:t>2022</w:t>
            </w:r>
          </w:p>
        </w:tc>
        <w:tc>
          <w:tcPr>
            <w:tcW w:w="360" w:type="dxa"/>
            <w:vAlign w:val="bottom"/>
          </w:tcPr>
          <w:p>
            <w:pPr>
              <w:ind w:left="1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rPr>
              <w:t>518,885</w:t>
            </w:r>
          </w:p>
        </w:tc>
        <w:tc>
          <w:tcPr>
            <w:tcW w:w="280" w:type="dxa"/>
            <w:vAlign w:val="bottom"/>
          </w:tcPr>
          <w:p>
            <w:pPr>
              <w:ind w:left="8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3,305,147</w:t>
            </w:r>
          </w:p>
        </w:tc>
        <w:tc>
          <w:tcPr>
            <w:tcW w:w="240" w:type="dxa"/>
            <w:vAlign w:val="bottom"/>
          </w:tcPr>
          <w:p>
            <w:pPr>
              <w:ind w:left="8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559,858</w:t>
            </w:r>
          </w:p>
        </w:tc>
        <w:tc>
          <w:tcPr>
            <w:tcW w:w="180" w:type="dxa"/>
            <w:vAlign w:val="bottom"/>
          </w:tcPr>
          <w:p>
            <w:pPr>
              <w:ind w:left="2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22,731</w:t>
            </w:r>
          </w:p>
        </w:tc>
        <w:tc>
          <w:tcPr>
            <w:tcW w:w="220" w:type="dxa"/>
            <w:vAlign w:val="bottom"/>
          </w:tcPr>
          <w:p>
            <w:pPr>
              <w:ind w:left="2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4,406,621</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2060" w:type="dxa"/>
            <w:vAlign w:val="bottom"/>
          </w:tcPr>
          <w:p>
            <w:pPr>
              <w:ind w:left="80"/>
              <w:spacing w:after="0"/>
              <w:rPr>
                <w:sz w:val="20"/>
                <w:szCs w:val="20"/>
                <w:color w:val="auto"/>
              </w:rPr>
            </w:pPr>
            <w:r>
              <w:rPr>
                <w:rFonts w:ascii="Arial" w:cs="Arial" w:eastAsia="Arial" w:hAnsi="Arial"/>
                <w:sz w:val="16"/>
                <w:szCs w:val="16"/>
                <w:i w:val="1"/>
                <w:iCs w:val="1"/>
                <w:color w:val="auto"/>
              </w:rPr>
              <w:t>Senior Vice President,</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660" w:type="dxa"/>
            <w:vAlign w:val="bottom"/>
          </w:tcPr>
          <w:p>
            <w:pPr>
              <w:ind w:left="140"/>
              <w:spacing w:after="0"/>
              <w:rPr>
                <w:sz w:val="20"/>
                <w:szCs w:val="20"/>
                <w:color w:val="auto"/>
              </w:rPr>
            </w:pPr>
            <w:r>
              <w:rPr>
                <w:rFonts w:ascii="Arial" w:cs="Arial" w:eastAsia="Arial" w:hAnsi="Arial"/>
                <w:sz w:val="16"/>
                <w:szCs w:val="16"/>
                <w:color w:val="auto"/>
              </w:rPr>
              <w:t>2021</w:t>
            </w:r>
          </w:p>
        </w:tc>
        <w:tc>
          <w:tcPr>
            <w:tcW w:w="360" w:type="dxa"/>
            <w:vAlign w:val="bottom"/>
          </w:tcPr>
          <w:p>
            <w:pPr>
              <w:ind w:left="160"/>
              <w:spacing w:after="0"/>
              <w:rPr>
                <w:sz w:val="20"/>
                <w:szCs w:val="20"/>
                <w:color w:val="auto"/>
              </w:rPr>
            </w:pPr>
            <w:r>
              <w:rPr>
                <w:rFonts w:ascii="Arial" w:cs="Arial" w:eastAsia="Arial" w:hAnsi="Arial"/>
                <w:sz w:val="16"/>
                <w:szCs w:val="16"/>
                <w:color w:val="auto"/>
              </w:rPr>
              <w:t>​ ​</w:t>
            </w:r>
          </w:p>
        </w:tc>
        <w:tc>
          <w:tcPr>
            <w:tcW w:w="880" w:type="dxa"/>
            <w:vAlign w:val="bottom"/>
          </w:tcPr>
          <w:p>
            <w:pPr>
              <w:jc w:val="center"/>
              <w:spacing w:after="0"/>
              <w:rPr>
                <w:sz w:val="20"/>
                <w:szCs w:val="20"/>
                <w:color w:val="auto"/>
              </w:rPr>
            </w:pPr>
            <w:r>
              <w:rPr>
                <w:rFonts w:ascii="Arial" w:cs="Arial" w:eastAsia="Arial" w:hAnsi="Arial"/>
                <w:sz w:val="16"/>
                <w:szCs w:val="16"/>
                <w:color w:val="auto"/>
              </w:rPr>
              <w:t>490,027</w:t>
            </w:r>
          </w:p>
        </w:tc>
        <w:tc>
          <w:tcPr>
            <w:tcW w:w="280" w:type="dxa"/>
            <w:vAlign w:val="bottom"/>
          </w:tcPr>
          <w:p>
            <w:pPr>
              <w:ind w:left="8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2,850,298</w:t>
            </w:r>
          </w:p>
        </w:tc>
        <w:tc>
          <w:tcPr>
            <w:tcW w:w="240" w:type="dxa"/>
            <w:vAlign w:val="bottom"/>
          </w:tcPr>
          <w:p>
            <w:pPr>
              <w:ind w:left="8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787,200</w:t>
            </w:r>
          </w:p>
        </w:tc>
        <w:tc>
          <w:tcPr>
            <w:tcW w:w="180" w:type="dxa"/>
            <w:vAlign w:val="bottom"/>
          </w:tcPr>
          <w:p>
            <w:pPr>
              <w:ind w:left="20"/>
              <w:spacing w:after="0"/>
              <w:rPr>
                <w:sz w:val="20"/>
                <w:szCs w:val="20"/>
                <w:color w:val="auto"/>
              </w:rPr>
            </w:pPr>
            <w:r>
              <w:rPr>
                <w:rFonts w:ascii="Arial" w:cs="Arial" w:eastAsia="Arial" w:hAnsi="Arial"/>
                <w:sz w:val="16"/>
                <w:szCs w:val="16"/>
                <w:color w:val="auto"/>
              </w:rPr>
              <w:t>​ ​</w:t>
            </w:r>
          </w:p>
        </w:tc>
        <w:tc>
          <w:tcPr>
            <w:tcW w:w="1080" w:type="dxa"/>
            <w:vAlign w:val="bottom"/>
          </w:tcPr>
          <w:p>
            <w:pPr>
              <w:jc w:val="center"/>
              <w:spacing w:after="0"/>
              <w:rPr>
                <w:sz w:val="20"/>
                <w:szCs w:val="20"/>
                <w:color w:val="auto"/>
              </w:rPr>
            </w:pPr>
            <w:r>
              <w:rPr>
                <w:rFonts w:ascii="Arial" w:cs="Arial" w:eastAsia="Arial" w:hAnsi="Arial"/>
                <w:sz w:val="16"/>
                <w:szCs w:val="16"/>
                <w:color w:val="auto"/>
              </w:rPr>
              <w:t>16,045</w:t>
            </w:r>
          </w:p>
        </w:tc>
        <w:tc>
          <w:tcPr>
            <w:tcW w:w="220" w:type="dxa"/>
            <w:vAlign w:val="bottom"/>
          </w:tcPr>
          <w:p>
            <w:pPr>
              <w:ind w:left="20"/>
              <w:spacing w:after="0"/>
              <w:rPr>
                <w:sz w:val="20"/>
                <w:szCs w:val="20"/>
                <w:color w:val="auto"/>
              </w:rPr>
            </w:pPr>
            <w:r>
              <w:rPr>
                <w:rFonts w:ascii="Arial" w:cs="Arial" w:eastAsia="Arial" w:hAnsi="Arial"/>
                <w:sz w:val="16"/>
                <w:szCs w:val="16"/>
                <w:color w:val="auto"/>
              </w:rPr>
              <w:t>​ ​</w:t>
            </w:r>
          </w:p>
        </w:tc>
        <w:tc>
          <w:tcPr>
            <w:tcW w:w="900" w:type="dxa"/>
            <w:vAlign w:val="bottom"/>
          </w:tcPr>
          <w:p>
            <w:pPr>
              <w:jc w:val="center"/>
              <w:spacing w:after="0"/>
              <w:rPr>
                <w:sz w:val="20"/>
                <w:szCs w:val="20"/>
                <w:color w:val="auto"/>
              </w:rPr>
            </w:pPr>
            <w:r>
              <w:rPr>
                <w:rFonts w:ascii="Arial" w:cs="Arial" w:eastAsia="Arial" w:hAnsi="Arial"/>
                <w:sz w:val="16"/>
                <w:szCs w:val="16"/>
                <w:color w:val="auto"/>
              </w:rPr>
              <w:t>4,143,570</w:t>
            </w:r>
          </w:p>
        </w:tc>
        <w:tc>
          <w:tcPr>
            <w:tcW w:w="1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206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General Counsel and</w:t>
            </w:r>
          </w:p>
        </w:tc>
        <w:tc>
          <w:tcPr>
            <w:tcW w:w="100" w:type="dxa"/>
            <w:vAlign w:val="bottom"/>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660" w:type="dxa"/>
            <w:vAlign w:val="bottom"/>
            <w:tcBorders>
              <w:bottom w:val="single" w:sz="8" w:color="BFBFBF"/>
            </w:tcBorders>
          </w:tcPr>
          <w:p>
            <w:pPr>
              <w:spacing w:after="0"/>
              <w:rPr>
                <w:sz w:val="3"/>
                <w:szCs w:val="3"/>
                <w:color w:val="auto"/>
              </w:rPr>
            </w:pPr>
          </w:p>
        </w:tc>
        <w:tc>
          <w:tcPr>
            <w:tcW w:w="360" w:type="dxa"/>
            <w:vAlign w:val="bottom"/>
            <w:tcBorders>
              <w:bottom w:val="single" w:sz="8" w:color="BFBFBF"/>
            </w:tcBorders>
          </w:tcPr>
          <w:p>
            <w:pPr>
              <w:spacing w:after="0"/>
              <w:rPr>
                <w:sz w:val="3"/>
                <w:szCs w:val="3"/>
                <w:color w:val="auto"/>
              </w:rPr>
            </w:pPr>
          </w:p>
        </w:tc>
        <w:tc>
          <w:tcPr>
            <w:tcW w:w="880" w:type="dxa"/>
            <w:vAlign w:val="bottom"/>
            <w:tcBorders>
              <w:bottom w:val="single" w:sz="8" w:color="BFBFBF"/>
            </w:tcBorders>
          </w:tcPr>
          <w:p>
            <w:pPr>
              <w:spacing w:after="0"/>
              <w:rPr>
                <w:sz w:val="3"/>
                <w:szCs w:val="3"/>
                <w:color w:val="auto"/>
              </w:rPr>
            </w:pPr>
          </w:p>
        </w:tc>
        <w:tc>
          <w:tcPr>
            <w:tcW w:w="280" w:type="dxa"/>
            <w:vAlign w:val="bottom"/>
            <w:tcBorders>
              <w:bottom w:val="single" w:sz="8" w:color="BFBFBF"/>
            </w:tcBorders>
          </w:tcPr>
          <w:p>
            <w:pPr>
              <w:spacing w:after="0"/>
              <w:rPr>
                <w:sz w:val="3"/>
                <w:szCs w:val="3"/>
                <w:color w:val="auto"/>
              </w:rPr>
            </w:pPr>
          </w:p>
        </w:tc>
        <w:tc>
          <w:tcPr>
            <w:tcW w:w="900" w:type="dxa"/>
            <w:vAlign w:val="bottom"/>
            <w:tcBorders>
              <w:bottom w:val="single" w:sz="8" w:color="BFBFBF"/>
            </w:tcBorders>
          </w:tcPr>
          <w:p>
            <w:pPr>
              <w:spacing w:after="0"/>
              <w:rPr>
                <w:sz w:val="3"/>
                <w:szCs w:val="3"/>
                <w:color w:val="auto"/>
              </w:rPr>
            </w:pPr>
          </w:p>
        </w:tc>
        <w:tc>
          <w:tcPr>
            <w:tcW w:w="240" w:type="dxa"/>
            <w:vAlign w:val="bottom"/>
            <w:tcBorders>
              <w:bottom w:val="single" w:sz="8" w:color="BFBFBF"/>
            </w:tcBorders>
          </w:tcPr>
          <w:p>
            <w:pPr>
              <w:spacing w:after="0"/>
              <w:rPr>
                <w:sz w:val="3"/>
                <w:szCs w:val="3"/>
                <w:color w:val="auto"/>
              </w:rPr>
            </w:pPr>
          </w:p>
        </w:tc>
        <w:tc>
          <w:tcPr>
            <w:tcW w:w="1080" w:type="dxa"/>
            <w:vAlign w:val="bottom"/>
            <w:tcBorders>
              <w:bottom w:val="single" w:sz="8" w:color="BFBFBF"/>
            </w:tcBorders>
          </w:tcPr>
          <w:p>
            <w:pPr>
              <w:spacing w:after="0"/>
              <w:rPr>
                <w:sz w:val="3"/>
                <w:szCs w:val="3"/>
                <w:color w:val="auto"/>
              </w:rPr>
            </w:pPr>
          </w:p>
        </w:tc>
        <w:tc>
          <w:tcPr>
            <w:tcW w:w="180" w:type="dxa"/>
            <w:vAlign w:val="bottom"/>
            <w:tcBorders>
              <w:bottom w:val="single" w:sz="8" w:color="BFBFBF"/>
            </w:tcBorders>
          </w:tcPr>
          <w:p>
            <w:pPr>
              <w:spacing w:after="0"/>
              <w:rPr>
                <w:sz w:val="3"/>
                <w:szCs w:val="3"/>
                <w:color w:val="auto"/>
              </w:rPr>
            </w:pPr>
          </w:p>
        </w:tc>
        <w:tc>
          <w:tcPr>
            <w:tcW w:w="1080" w:type="dxa"/>
            <w:vAlign w:val="bottom"/>
            <w:tcBorders>
              <w:bottom w:val="single" w:sz="8" w:color="BFBFBF"/>
            </w:tcBorders>
          </w:tcPr>
          <w:p>
            <w:pPr>
              <w:spacing w:after="0"/>
              <w:rPr>
                <w:sz w:val="3"/>
                <w:szCs w:val="3"/>
                <w:color w:val="auto"/>
              </w:rPr>
            </w:pPr>
          </w:p>
        </w:tc>
        <w:tc>
          <w:tcPr>
            <w:tcW w:w="220" w:type="dxa"/>
            <w:vAlign w:val="bottom"/>
            <w:tcBorders>
              <w:bottom w:val="single" w:sz="8" w:color="BFBFBF"/>
            </w:tcBorders>
          </w:tcPr>
          <w:p>
            <w:pPr>
              <w:spacing w:after="0"/>
              <w:rPr>
                <w:sz w:val="3"/>
                <w:szCs w:val="3"/>
                <w:color w:val="auto"/>
              </w:rPr>
            </w:pPr>
          </w:p>
        </w:tc>
        <w:tc>
          <w:tcPr>
            <w:tcW w:w="900" w:type="dxa"/>
            <w:vAlign w:val="bottom"/>
            <w:tcBorders>
              <w:bottom w:val="single" w:sz="8" w:color="BFBFBF"/>
            </w:tcBorders>
          </w:tcPr>
          <w:p>
            <w:pPr>
              <w:spacing w:after="0"/>
              <w:rPr>
                <w:sz w:val="3"/>
                <w:szCs w:val="3"/>
                <w:color w:val="auto"/>
              </w:rPr>
            </w:pPr>
          </w:p>
        </w:tc>
        <w:tc>
          <w:tcPr>
            <w:tcW w:w="80" w:type="dxa"/>
            <w:vAlign w:val="bottom"/>
            <w:tcBorders>
              <w:bottom w:val="single" w:sz="8" w:color="BFBFB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2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ind w:right="59"/>
              <w:spacing w:after="0" w:line="155" w:lineRule="exact"/>
              <w:rPr>
                <w:sz w:val="20"/>
                <w:szCs w:val="20"/>
                <w:color w:val="auto"/>
              </w:rPr>
            </w:pPr>
            <w:r>
              <w:rPr>
                <w:rFonts w:ascii="Arial" w:cs="Arial" w:eastAsia="Arial" w:hAnsi="Arial"/>
                <w:sz w:val="16"/>
                <w:szCs w:val="16"/>
                <w:color w:val="auto"/>
              </w:rPr>
              <w:t>​</w:t>
            </w:r>
          </w:p>
        </w:tc>
        <w:tc>
          <w:tcPr>
            <w:tcW w:w="660" w:type="dxa"/>
            <w:vAlign w:val="bottom"/>
          </w:tcPr>
          <w:p>
            <w:pPr>
              <w:ind w:left="140"/>
              <w:spacing w:after="0" w:line="155" w:lineRule="exact"/>
              <w:rPr>
                <w:sz w:val="20"/>
                <w:szCs w:val="20"/>
                <w:color w:val="auto"/>
              </w:rPr>
            </w:pPr>
            <w:r>
              <w:rPr>
                <w:rFonts w:ascii="Arial" w:cs="Arial" w:eastAsia="Arial" w:hAnsi="Arial"/>
                <w:sz w:val="16"/>
                <w:szCs w:val="16"/>
                <w:color w:val="auto"/>
              </w:rPr>
              <w:t>2020</w:t>
            </w:r>
          </w:p>
        </w:tc>
        <w:tc>
          <w:tcPr>
            <w:tcW w:w="360" w:type="dxa"/>
            <w:vAlign w:val="bottom"/>
          </w:tcPr>
          <w:p>
            <w:pPr>
              <w:ind w:left="160"/>
              <w:spacing w:after="0" w:line="155" w:lineRule="exact"/>
              <w:rPr>
                <w:sz w:val="20"/>
                <w:szCs w:val="20"/>
                <w:color w:val="auto"/>
              </w:rPr>
            </w:pPr>
            <w:r>
              <w:rPr>
                <w:rFonts w:ascii="Arial" w:cs="Arial" w:eastAsia="Arial" w:hAnsi="Arial"/>
                <w:sz w:val="16"/>
                <w:szCs w:val="16"/>
                <w:color w:val="auto"/>
              </w:rPr>
              <w:t>​ ​</w:t>
            </w:r>
          </w:p>
        </w:tc>
        <w:tc>
          <w:tcPr>
            <w:tcW w:w="880" w:type="dxa"/>
            <w:vAlign w:val="bottom"/>
          </w:tcPr>
          <w:p>
            <w:pPr>
              <w:jc w:val="center"/>
              <w:spacing w:after="0" w:line="155" w:lineRule="exact"/>
              <w:rPr>
                <w:sz w:val="20"/>
                <w:szCs w:val="20"/>
                <w:color w:val="auto"/>
              </w:rPr>
            </w:pPr>
            <w:r>
              <w:rPr>
                <w:rFonts w:ascii="Arial" w:cs="Arial" w:eastAsia="Arial" w:hAnsi="Arial"/>
                <w:sz w:val="16"/>
                <w:szCs w:val="16"/>
                <w:color w:val="auto"/>
              </w:rPr>
              <w:t>479,396</w:t>
            </w:r>
          </w:p>
        </w:tc>
        <w:tc>
          <w:tcPr>
            <w:tcW w:w="280" w:type="dxa"/>
            <w:vAlign w:val="bottom"/>
          </w:tcPr>
          <w:p>
            <w:pPr>
              <w:ind w:left="80"/>
              <w:spacing w:after="0" w:line="155" w:lineRule="exact"/>
              <w:rPr>
                <w:sz w:val="20"/>
                <w:szCs w:val="20"/>
                <w:color w:val="auto"/>
              </w:rPr>
            </w:pPr>
            <w:r>
              <w:rPr>
                <w:rFonts w:ascii="Arial" w:cs="Arial" w:eastAsia="Arial" w:hAnsi="Arial"/>
                <w:sz w:val="16"/>
                <w:szCs w:val="16"/>
                <w:color w:val="auto"/>
              </w:rPr>
              <w:t>​ ​</w:t>
            </w:r>
          </w:p>
        </w:tc>
        <w:tc>
          <w:tcPr>
            <w:tcW w:w="900" w:type="dxa"/>
            <w:vAlign w:val="bottom"/>
          </w:tcPr>
          <w:p>
            <w:pPr>
              <w:jc w:val="center"/>
              <w:spacing w:after="0" w:line="155" w:lineRule="exact"/>
              <w:rPr>
                <w:sz w:val="20"/>
                <w:szCs w:val="20"/>
                <w:color w:val="auto"/>
              </w:rPr>
            </w:pPr>
            <w:r>
              <w:rPr>
                <w:rFonts w:ascii="Arial" w:cs="Arial" w:eastAsia="Arial" w:hAnsi="Arial"/>
                <w:sz w:val="16"/>
                <w:szCs w:val="16"/>
                <w:color w:val="auto"/>
              </w:rPr>
              <w:t>4,431,833</w:t>
            </w:r>
          </w:p>
        </w:tc>
        <w:tc>
          <w:tcPr>
            <w:tcW w:w="240" w:type="dxa"/>
            <w:vAlign w:val="bottom"/>
          </w:tcPr>
          <w:p>
            <w:pPr>
              <w:ind w:left="80"/>
              <w:spacing w:after="0" w:line="155" w:lineRule="exact"/>
              <w:rPr>
                <w:sz w:val="20"/>
                <w:szCs w:val="20"/>
                <w:color w:val="auto"/>
              </w:rPr>
            </w:pPr>
            <w:r>
              <w:rPr>
                <w:rFonts w:ascii="Arial" w:cs="Arial" w:eastAsia="Arial" w:hAnsi="Arial"/>
                <w:sz w:val="16"/>
                <w:szCs w:val="16"/>
                <w:color w:val="auto"/>
              </w:rPr>
              <w:t>​ ​</w:t>
            </w:r>
          </w:p>
        </w:tc>
        <w:tc>
          <w:tcPr>
            <w:tcW w:w="1080" w:type="dxa"/>
            <w:vAlign w:val="bottom"/>
          </w:tcPr>
          <w:p>
            <w:pPr>
              <w:jc w:val="center"/>
              <w:spacing w:after="0" w:line="155" w:lineRule="exact"/>
              <w:rPr>
                <w:sz w:val="20"/>
                <w:szCs w:val="20"/>
                <w:color w:val="auto"/>
              </w:rPr>
            </w:pPr>
            <w:r>
              <w:rPr>
                <w:rFonts w:ascii="Arial" w:cs="Arial" w:eastAsia="Arial" w:hAnsi="Arial"/>
                <w:sz w:val="16"/>
                <w:szCs w:val="16"/>
                <w:color w:val="auto"/>
              </w:rPr>
              <w:t>756,800</w:t>
            </w:r>
          </w:p>
        </w:tc>
        <w:tc>
          <w:tcPr>
            <w:tcW w:w="180" w:type="dxa"/>
            <w:vAlign w:val="bottom"/>
          </w:tcPr>
          <w:p>
            <w:pPr>
              <w:ind w:left="20"/>
              <w:spacing w:after="0" w:line="155" w:lineRule="exact"/>
              <w:rPr>
                <w:sz w:val="20"/>
                <w:szCs w:val="20"/>
                <w:color w:val="auto"/>
              </w:rPr>
            </w:pPr>
            <w:r>
              <w:rPr>
                <w:rFonts w:ascii="Arial" w:cs="Arial" w:eastAsia="Arial" w:hAnsi="Arial"/>
                <w:sz w:val="16"/>
                <w:szCs w:val="16"/>
                <w:color w:val="auto"/>
              </w:rPr>
              <w:t>​ ​</w:t>
            </w:r>
          </w:p>
        </w:tc>
        <w:tc>
          <w:tcPr>
            <w:tcW w:w="1080" w:type="dxa"/>
            <w:vAlign w:val="bottom"/>
          </w:tcPr>
          <w:p>
            <w:pPr>
              <w:jc w:val="center"/>
              <w:spacing w:after="0" w:line="155" w:lineRule="exact"/>
              <w:rPr>
                <w:sz w:val="20"/>
                <w:szCs w:val="20"/>
                <w:color w:val="auto"/>
              </w:rPr>
            </w:pPr>
            <w:r>
              <w:rPr>
                <w:rFonts w:ascii="Arial" w:cs="Arial" w:eastAsia="Arial" w:hAnsi="Arial"/>
                <w:sz w:val="16"/>
                <w:szCs w:val="16"/>
                <w:color w:val="auto"/>
              </w:rPr>
              <w:t>15,994</w:t>
            </w:r>
          </w:p>
        </w:tc>
        <w:tc>
          <w:tcPr>
            <w:tcW w:w="220" w:type="dxa"/>
            <w:vAlign w:val="bottom"/>
          </w:tcPr>
          <w:p>
            <w:pPr>
              <w:ind w:left="20"/>
              <w:spacing w:after="0" w:line="155" w:lineRule="exact"/>
              <w:rPr>
                <w:sz w:val="20"/>
                <w:szCs w:val="20"/>
                <w:color w:val="auto"/>
              </w:rPr>
            </w:pPr>
            <w:r>
              <w:rPr>
                <w:rFonts w:ascii="Arial" w:cs="Arial" w:eastAsia="Arial" w:hAnsi="Arial"/>
                <w:sz w:val="16"/>
                <w:szCs w:val="16"/>
                <w:color w:val="auto"/>
              </w:rPr>
              <w:t>​ ​</w:t>
            </w:r>
          </w:p>
        </w:tc>
        <w:tc>
          <w:tcPr>
            <w:tcW w:w="900" w:type="dxa"/>
            <w:vAlign w:val="bottom"/>
          </w:tcPr>
          <w:p>
            <w:pPr>
              <w:jc w:val="center"/>
              <w:spacing w:after="0" w:line="155" w:lineRule="exact"/>
              <w:rPr>
                <w:sz w:val="20"/>
                <w:szCs w:val="20"/>
                <w:color w:val="auto"/>
              </w:rPr>
            </w:pPr>
            <w:r>
              <w:rPr>
                <w:rFonts w:ascii="Arial" w:cs="Arial" w:eastAsia="Arial" w:hAnsi="Arial"/>
                <w:sz w:val="16"/>
                <w:szCs w:val="16"/>
                <w:color w:val="auto"/>
              </w:rPr>
              <w:t>5,684,023</w:t>
            </w:r>
          </w:p>
        </w:tc>
        <w:tc>
          <w:tcPr>
            <w:tcW w:w="100" w:type="dxa"/>
            <w:vAlign w:val="bottom"/>
            <w:gridSpan w:val="2"/>
          </w:tcPr>
          <w:p>
            <w:pPr>
              <w:ind w:left="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60" w:type="dxa"/>
            <w:vAlign w:val="bottom"/>
            <w:tcBorders>
              <w:bottom w:val="single" w:sz="8" w:color="CCCCCC"/>
            </w:tcBorders>
          </w:tcPr>
          <w:p>
            <w:pPr>
              <w:spacing w:after="0"/>
              <w:rPr>
                <w:sz w:val="16"/>
                <w:szCs w:val="16"/>
                <w:color w:val="auto"/>
              </w:rPr>
            </w:pPr>
          </w:p>
        </w:tc>
        <w:tc>
          <w:tcPr>
            <w:tcW w:w="2060" w:type="dxa"/>
            <w:vAlign w:val="bottom"/>
            <w:tcBorders>
              <w:bottom w:val="single" w:sz="8" w:color="CCCCCC"/>
            </w:tcBorders>
          </w:tcPr>
          <w:p>
            <w:pPr>
              <w:ind w:left="80"/>
              <w:spacing w:after="0"/>
              <w:rPr>
                <w:sz w:val="20"/>
                <w:szCs w:val="20"/>
                <w:color w:val="auto"/>
              </w:rPr>
            </w:pPr>
            <w:r>
              <w:rPr>
                <w:rFonts w:ascii="Arial" w:cs="Arial" w:eastAsia="Arial" w:hAnsi="Arial"/>
                <w:sz w:val="16"/>
                <w:szCs w:val="16"/>
                <w:i w:val="1"/>
                <w:iCs w:val="1"/>
                <w:color w:val="auto"/>
              </w:rPr>
              <w:t>Secretary</w:t>
            </w:r>
          </w:p>
        </w:tc>
        <w:tc>
          <w:tcPr>
            <w:tcW w:w="100" w:type="dxa"/>
            <w:vAlign w:val="bottom"/>
            <w:tcBorders>
              <w:bottom w:val="single" w:sz="8" w:color="CCCCCC"/>
            </w:tcBorders>
          </w:tcPr>
          <w:p>
            <w:pPr>
              <w:spacing w:after="0"/>
              <w:rPr>
                <w:sz w:val="16"/>
                <w:szCs w:val="16"/>
                <w:color w:val="auto"/>
              </w:rPr>
            </w:pPr>
          </w:p>
        </w:tc>
        <w:tc>
          <w:tcPr>
            <w:tcW w:w="220" w:type="dxa"/>
            <w:vAlign w:val="bottom"/>
            <w:tcBorders>
              <w:bottom w:val="single" w:sz="8" w:color="CCCCCC"/>
            </w:tcBorders>
          </w:tcPr>
          <w:p>
            <w:pPr>
              <w:spacing w:after="0"/>
              <w:rPr>
                <w:sz w:val="16"/>
                <w:szCs w:val="16"/>
                <w:color w:val="auto"/>
              </w:rPr>
            </w:pPr>
          </w:p>
        </w:tc>
        <w:tc>
          <w:tcPr>
            <w:tcW w:w="660" w:type="dxa"/>
            <w:vAlign w:val="bottom"/>
            <w:tcBorders>
              <w:bottom w:val="single" w:sz="8" w:color="CCCCCC"/>
            </w:tcBorders>
          </w:tcPr>
          <w:p>
            <w:pPr>
              <w:spacing w:after="0"/>
              <w:rPr>
                <w:sz w:val="16"/>
                <w:szCs w:val="16"/>
                <w:color w:val="auto"/>
              </w:rPr>
            </w:pPr>
          </w:p>
        </w:tc>
        <w:tc>
          <w:tcPr>
            <w:tcW w:w="360" w:type="dxa"/>
            <w:vAlign w:val="bottom"/>
            <w:tcBorders>
              <w:bottom w:val="single" w:sz="8" w:color="CCCCCC"/>
            </w:tcBorders>
          </w:tcPr>
          <w:p>
            <w:pPr>
              <w:spacing w:after="0"/>
              <w:rPr>
                <w:sz w:val="16"/>
                <w:szCs w:val="16"/>
                <w:color w:val="auto"/>
              </w:rPr>
            </w:pPr>
          </w:p>
        </w:tc>
        <w:tc>
          <w:tcPr>
            <w:tcW w:w="880" w:type="dxa"/>
            <w:vAlign w:val="bottom"/>
            <w:tcBorders>
              <w:bottom w:val="single" w:sz="8" w:color="CCCCCC"/>
            </w:tcBorders>
          </w:tcPr>
          <w:p>
            <w:pPr>
              <w:spacing w:after="0"/>
              <w:rPr>
                <w:sz w:val="16"/>
                <w:szCs w:val="16"/>
                <w:color w:val="auto"/>
              </w:rPr>
            </w:pPr>
          </w:p>
        </w:tc>
        <w:tc>
          <w:tcPr>
            <w:tcW w:w="280" w:type="dxa"/>
            <w:vAlign w:val="bottom"/>
            <w:tcBorders>
              <w:bottom w:val="single" w:sz="8" w:color="CCCCCC"/>
            </w:tcBorders>
          </w:tcPr>
          <w:p>
            <w:pPr>
              <w:spacing w:after="0"/>
              <w:rPr>
                <w:sz w:val="16"/>
                <w:szCs w:val="16"/>
                <w:color w:val="auto"/>
              </w:rPr>
            </w:pPr>
          </w:p>
        </w:tc>
        <w:tc>
          <w:tcPr>
            <w:tcW w:w="900" w:type="dxa"/>
            <w:vAlign w:val="bottom"/>
            <w:tcBorders>
              <w:bottom w:val="single" w:sz="8" w:color="CCCCCC"/>
            </w:tcBorders>
          </w:tcPr>
          <w:p>
            <w:pPr>
              <w:spacing w:after="0"/>
              <w:rPr>
                <w:sz w:val="16"/>
                <w:szCs w:val="16"/>
                <w:color w:val="auto"/>
              </w:rPr>
            </w:pPr>
          </w:p>
        </w:tc>
        <w:tc>
          <w:tcPr>
            <w:tcW w:w="240" w:type="dxa"/>
            <w:vAlign w:val="bottom"/>
            <w:tcBorders>
              <w:bottom w:val="single" w:sz="8" w:color="CCCCCC"/>
            </w:tcBorders>
          </w:tcPr>
          <w:p>
            <w:pPr>
              <w:spacing w:after="0"/>
              <w:rPr>
                <w:sz w:val="16"/>
                <w:szCs w:val="16"/>
                <w:color w:val="auto"/>
              </w:rPr>
            </w:pPr>
          </w:p>
        </w:tc>
        <w:tc>
          <w:tcPr>
            <w:tcW w:w="1080" w:type="dxa"/>
            <w:vAlign w:val="bottom"/>
            <w:tcBorders>
              <w:bottom w:val="single" w:sz="8" w:color="CCCCCC"/>
            </w:tcBorders>
          </w:tcPr>
          <w:p>
            <w:pPr>
              <w:spacing w:after="0"/>
              <w:rPr>
                <w:sz w:val="16"/>
                <w:szCs w:val="16"/>
                <w:color w:val="auto"/>
              </w:rPr>
            </w:pPr>
          </w:p>
        </w:tc>
        <w:tc>
          <w:tcPr>
            <w:tcW w:w="180" w:type="dxa"/>
            <w:vAlign w:val="bottom"/>
            <w:tcBorders>
              <w:bottom w:val="single" w:sz="8" w:color="CCCCCC"/>
            </w:tcBorders>
          </w:tcPr>
          <w:p>
            <w:pPr>
              <w:spacing w:after="0"/>
              <w:rPr>
                <w:sz w:val="16"/>
                <w:szCs w:val="16"/>
                <w:color w:val="auto"/>
              </w:rPr>
            </w:pPr>
          </w:p>
        </w:tc>
        <w:tc>
          <w:tcPr>
            <w:tcW w:w="1080" w:type="dxa"/>
            <w:vAlign w:val="bottom"/>
            <w:tcBorders>
              <w:bottom w:val="single" w:sz="8" w:color="CCCCCC"/>
            </w:tcBorders>
          </w:tcPr>
          <w:p>
            <w:pPr>
              <w:spacing w:after="0"/>
              <w:rPr>
                <w:sz w:val="16"/>
                <w:szCs w:val="16"/>
                <w:color w:val="auto"/>
              </w:rPr>
            </w:pPr>
          </w:p>
        </w:tc>
        <w:tc>
          <w:tcPr>
            <w:tcW w:w="220" w:type="dxa"/>
            <w:vAlign w:val="bottom"/>
            <w:tcBorders>
              <w:bottom w:val="single" w:sz="8" w:color="CCCCCC"/>
            </w:tcBorders>
          </w:tcPr>
          <w:p>
            <w:pPr>
              <w:spacing w:after="0"/>
              <w:rPr>
                <w:sz w:val="16"/>
                <w:szCs w:val="16"/>
                <w:color w:val="auto"/>
              </w:rPr>
            </w:pPr>
          </w:p>
        </w:tc>
        <w:tc>
          <w:tcPr>
            <w:tcW w:w="900" w:type="dxa"/>
            <w:vAlign w:val="bottom"/>
            <w:tcBorders>
              <w:bottom w:val="single" w:sz="8" w:color="CCCCCC"/>
            </w:tcBorders>
          </w:tcPr>
          <w:p>
            <w:pPr>
              <w:spacing w:after="0"/>
              <w:rPr>
                <w:sz w:val="16"/>
                <w:szCs w:val="16"/>
                <w:color w:val="auto"/>
              </w:rPr>
            </w:pPr>
          </w:p>
        </w:tc>
        <w:tc>
          <w:tcPr>
            <w:tcW w:w="80" w:type="dxa"/>
            <w:vAlign w:val="bottom"/>
            <w:tcBorders>
              <w:bottom w:val="single" w:sz="8" w:color="CCCCC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-2339340</wp:posOffset>
            </wp:positionV>
            <wp:extent cx="5974715"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74715" cy="1371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-1902460</wp:posOffset>
            </wp:positionV>
            <wp:extent cx="5974715"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74715" cy="1371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-1465580</wp:posOffset>
            </wp:positionV>
            <wp:extent cx="5974715"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74715" cy="1371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-959485</wp:posOffset>
            </wp:positionV>
            <wp:extent cx="597471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74715" cy="1371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-521970</wp:posOffset>
            </wp:positionV>
            <wp:extent cx="5974715"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87" w:lineRule="exact"/>
        <w:rPr>
          <w:sz w:val="20"/>
          <w:szCs w:val="20"/>
          <w:color w:val="auto"/>
        </w:rPr>
      </w:pPr>
    </w:p>
    <w:p>
      <w:pPr>
        <w:ind w:left="1080" w:right="40" w:hanging="354"/>
        <w:spacing w:after="0" w:line="260" w:lineRule="auto"/>
        <w:tabs>
          <w:tab w:leader="none" w:pos="108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in the Stock Awards column represent the grant date fair values, computed in accordance with the provisions of FASB ASC Topic 718 — Compensation — Stock Compensation (“ASC 718”), of PSAs and RSUs granted during the applicable fiscal year, without regard to estimated forfeiture rates. For fiscal years 2020, 2021, and 2022, assuming the highest level of performance achievement with respect to the PSAs, the grant date fair values of the Stock Awards would be as follows: Mr. Griffin (FY 2020: $25,430,512; FY 2021: $14,912,691; FY 2022: $16,912,789), Mr. Sennesael (FY 2020: $6,637,546; FY 2021: $4,609,190; FY 2022: $5,339,011), Mr. Kasnavi (FY 2022: $5,886,558), Mr. Bori (FY 2020: $5,666,259; FY 2021: $3,931,401; FY 2022: $5,186,558), and Mr. Terry (FY 2020: $5,211,819; FY 2021: $3,660,286; FY 2022: $4,271,095). For a description of the assumptions used in calculating the fair value of equity awards in fiscal year 2022 under ASC 718, see Note 10 of the Company’s financial statements included in the Company’s Annual Report on Form 10-K filed with the SEC on November 23, 2022.</w:t>
      </w:r>
    </w:p>
    <w:p>
      <w:pPr>
        <w:spacing w:after="0" w:line="4" w:lineRule="exact"/>
        <w:rPr>
          <w:rFonts w:ascii="Arial" w:cs="Arial" w:eastAsia="Arial" w:hAnsi="Arial"/>
          <w:sz w:val="16"/>
          <w:szCs w:val="16"/>
          <w:i w:val="1"/>
          <w:iCs w:val="1"/>
          <w:color w:val="auto"/>
        </w:rPr>
      </w:pPr>
    </w:p>
    <w:p>
      <w:pPr>
        <w:ind w:left="1080" w:right="1040" w:hanging="354"/>
        <w:spacing w:after="0" w:line="264" w:lineRule="auto"/>
        <w:tabs>
          <w:tab w:leader="none" w:pos="108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Reflects amounts paid to the Named Executive Officers pursuant to the executive incentive plan adopted by the Compensation Committee for each year indicated.</w:t>
      </w:r>
    </w:p>
    <w:p>
      <w:pPr>
        <w:ind w:left="1080" w:right="280" w:hanging="354"/>
        <w:spacing w:after="0" w:line="264" w:lineRule="auto"/>
        <w:tabs>
          <w:tab w:leader="none" w:pos="108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“All Other Compensation” includes the Company’s contributions to the executive’s 401(k) Plan account, the cost of group term life insurance premiums, and financial planning benefits. For fiscal year 2022, it specifically includes $12,200 in Company contributions to each Named Executive Officer’s 401(k) Plan account, as well as $14,072, $2,562, $20,000, and $7,791 in financial planning benefits for Messrs. Griffin, Sennesael, Kasnavi and Terry, respectively.</w:t>
      </w:r>
    </w:p>
    <w:p>
      <w:pPr>
        <w:ind w:left="1080" w:hanging="354"/>
        <w:spacing w:after="0"/>
        <w:tabs>
          <w:tab w:leader="none" w:pos="108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Mr. Kasnavi was not a Named Executive Officer prior to fiscal year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Grants of Plan-Based Awards Table</w:t>
      </w:r>
    </w:p>
    <w:p>
      <w:pPr>
        <w:spacing w:after="0" w:line="161" w:lineRule="exact"/>
        <w:rPr>
          <w:sz w:val="20"/>
          <w:szCs w:val="20"/>
          <w:color w:val="auto"/>
        </w:rPr>
      </w:pPr>
    </w:p>
    <w:p>
      <w:pPr>
        <w:ind w:left="660" w:right="220"/>
        <w:spacing w:after="0" w:line="261" w:lineRule="auto"/>
        <w:rPr>
          <w:sz w:val="20"/>
          <w:szCs w:val="20"/>
          <w:color w:val="auto"/>
        </w:rPr>
      </w:pPr>
      <w:r>
        <w:rPr>
          <w:rFonts w:ascii="Arial" w:cs="Arial" w:eastAsia="Arial" w:hAnsi="Arial"/>
          <w:sz w:val="20"/>
          <w:szCs w:val="20"/>
          <w:color w:val="auto"/>
        </w:rPr>
        <w:t>The following table summarizes all grants of plan-based awards made to the Named Executive Officers in fiscal year 2022, including incentive awards payable under the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147320</wp:posOffset>
            </wp:positionV>
            <wp:extent cx="5974715" cy="7029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74715" cy="702945"/>
                    </a:xfrm>
                    <a:prstGeom prst="rect">
                      <a:avLst/>
                    </a:prstGeom>
                    <a:noFill/>
                  </pic:spPr>
                </pic:pic>
              </a:graphicData>
            </a:graphic>
          </wp:anchor>
        </w:drawing>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183"/>
        </w:trPr>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color w:val="FFFFFF"/>
              </w:rPr>
              <w:t>All Other</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center"/>
              <w:ind w:right="70"/>
              <w:spacing w:after="0" w:line="122" w:lineRule="exact"/>
              <w:rPr>
                <w:sz w:val="20"/>
                <w:szCs w:val="20"/>
                <w:color w:val="auto"/>
              </w:rPr>
            </w:pPr>
            <w:r>
              <w:rPr>
                <w:rFonts w:ascii="Arial" w:cs="Arial" w:eastAsia="Arial" w:hAnsi="Arial"/>
                <w:sz w:val="13"/>
                <w:szCs w:val="13"/>
                <w:color w:val="FFFFFF"/>
                <w:w w:val="98"/>
              </w:rPr>
              <w:t>Stock</w:t>
            </w:r>
          </w:p>
        </w:tc>
        <w:tc>
          <w:tcPr>
            <w:tcW w:w="280" w:type="dxa"/>
            <w:vAlign w:val="bottom"/>
          </w:tcPr>
          <w:p>
            <w:pPr>
              <w:spacing w:after="0"/>
              <w:rPr>
                <w:sz w:val="10"/>
                <w:szCs w:val="10"/>
                <w:color w:val="auto"/>
              </w:rPr>
            </w:pPr>
          </w:p>
        </w:tc>
        <w:tc>
          <w:tcPr>
            <w:tcW w:w="780" w:type="dxa"/>
            <w:vAlign w:val="bottom"/>
          </w:tcPr>
          <w:p>
            <w:pPr>
              <w:jc w:val="center"/>
              <w:ind w:right="55"/>
              <w:spacing w:after="0" w:line="122" w:lineRule="exact"/>
              <w:rPr>
                <w:sz w:val="20"/>
                <w:szCs w:val="20"/>
                <w:color w:val="auto"/>
              </w:rPr>
            </w:pPr>
            <w:r>
              <w:rPr>
                <w:rFonts w:ascii="Arial" w:cs="Arial" w:eastAsia="Arial" w:hAnsi="Arial"/>
                <w:sz w:val="13"/>
                <w:szCs w:val="13"/>
                <w:color w:val="FFFFFF"/>
                <w:w w:val="97"/>
              </w:rPr>
              <w:t>Grant Date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8" w:lineRule="exact"/>
              <w:rPr>
                <w:sz w:val="20"/>
                <w:szCs w:val="20"/>
                <w:color w:val="auto"/>
              </w:rPr>
            </w:pPr>
            <w:r>
              <w:rPr>
                <w:rFonts w:ascii="Arial" w:cs="Arial" w:eastAsia="Arial" w:hAnsi="Arial"/>
                <w:sz w:val="13"/>
                <w:szCs w:val="13"/>
                <w:color w:val="FFFFFF"/>
                <w:w w:val="93"/>
              </w:rPr>
              <w:t>Awards:</w:t>
            </w:r>
          </w:p>
        </w:tc>
        <w:tc>
          <w:tcPr>
            <w:tcW w:w="280" w:type="dxa"/>
            <w:vAlign w:val="bottom"/>
          </w:tcPr>
          <w:p>
            <w:pPr>
              <w:spacing w:after="0"/>
              <w:rPr>
                <w:sz w:val="11"/>
                <w:szCs w:val="11"/>
                <w:color w:val="auto"/>
              </w:rPr>
            </w:pPr>
          </w:p>
        </w:tc>
        <w:tc>
          <w:tcPr>
            <w:tcW w:w="780" w:type="dxa"/>
            <w:vAlign w:val="bottom"/>
          </w:tcPr>
          <w:p>
            <w:pPr>
              <w:jc w:val="center"/>
              <w:ind w:right="35"/>
              <w:spacing w:after="0" w:line="128" w:lineRule="exact"/>
              <w:rPr>
                <w:sz w:val="20"/>
                <w:szCs w:val="20"/>
                <w:color w:val="auto"/>
              </w:rPr>
            </w:pPr>
            <w:r>
              <w:rPr>
                <w:rFonts w:ascii="Arial" w:cs="Arial" w:eastAsia="Arial" w:hAnsi="Arial"/>
                <w:sz w:val="13"/>
                <w:szCs w:val="13"/>
                <w:color w:val="FFFFFF"/>
                <w:w w:val="94"/>
              </w:rPr>
              <w:t>Fair Value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00" w:type="dxa"/>
            <w:vAlign w:val="bottom"/>
            <w:gridSpan w:val="7"/>
          </w:tcPr>
          <w:p>
            <w:pPr>
              <w:jc w:val="center"/>
              <w:spacing w:after="0"/>
              <w:rPr>
                <w:sz w:val="20"/>
                <w:szCs w:val="20"/>
                <w:color w:val="auto"/>
              </w:rPr>
            </w:pPr>
            <w:r>
              <w:rPr>
                <w:rFonts w:ascii="Arial" w:cs="Arial" w:eastAsia="Arial" w:hAnsi="Arial"/>
                <w:sz w:val="13"/>
                <w:szCs w:val="13"/>
                <w:color w:val="FFFFFF"/>
                <w:w w:val="96"/>
              </w:rPr>
              <w:t>Estimated Future Payouts Under Non-</w:t>
            </w:r>
          </w:p>
        </w:tc>
        <w:tc>
          <w:tcPr>
            <w:tcW w:w="220" w:type="dxa"/>
            <w:vAlign w:val="bottom"/>
          </w:tcPr>
          <w:p>
            <w:pPr>
              <w:spacing w:after="0"/>
              <w:rPr>
                <w:sz w:val="12"/>
                <w:szCs w:val="12"/>
                <w:color w:val="auto"/>
              </w:rPr>
            </w:pPr>
          </w:p>
        </w:tc>
        <w:tc>
          <w:tcPr>
            <w:tcW w:w="2280" w:type="dxa"/>
            <w:vAlign w:val="bottom"/>
            <w:gridSpan w:val="7"/>
          </w:tcPr>
          <w:p>
            <w:pPr>
              <w:jc w:val="center"/>
              <w:ind w:left="9"/>
              <w:spacing w:after="0"/>
              <w:rPr>
                <w:sz w:val="20"/>
                <w:szCs w:val="20"/>
                <w:color w:val="auto"/>
              </w:rPr>
            </w:pPr>
            <w:r>
              <w:rPr>
                <w:rFonts w:ascii="Arial" w:cs="Arial" w:eastAsia="Arial" w:hAnsi="Arial"/>
                <w:sz w:val="13"/>
                <w:szCs w:val="13"/>
                <w:color w:val="FFFFFF"/>
                <w:w w:val="96"/>
              </w:rPr>
              <w:t>Estimated Future Payouts Under Equity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FFFFFF"/>
                <w:w w:val="98"/>
              </w:rPr>
              <w:t>Number of</w:t>
            </w:r>
          </w:p>
        </w:tc>
        <w:tc>
          <w:tcPr>
            <w:tcW w:w="280" w:type="dxa"/>
            <w:vAlign w:val="bottom"/>
          </w:tcPr>
          <w:p>
            <w:pPr>
              <w:spacing w:after="0"/>
              <w:rPr>
                <w:sz w:val="12"/>
                <w:szCs w:val="12"/>
                <w:color w:val="auto"/>
              </w:rPr>
            </w:pPr>
          </w:p>
        </w:tc>
        <w:tc>
          <w:tcPr>
            <w:tcW w:w="780" w:type="dxa"/>
            <w:vAlign w:val="bottom"/>
          </w:tcPr>
          <w:p>
            <w:pPr>
              <w:jc w:val="center"/>
              <w:ind w:right="55"/>
              <w:spacing w:after="0"/>
              <w:rPr>
                <w:sz w:val="20"/>
                <w:szCs w:val="20"/>
                <w:color w:val="auto"/>
              </w:rPr>
            </w:pPr>
            <w:r>
              <w:rPr>
                <w:rFonts w:ascii="Arial" w:cs="Arial" w:eastAsia="Arial" w:hAnsi="Arial"/>
                <w:sz w:val="13"/>
                <w:szCs w:val="13"/>
                <w:color w:val="FFFFFF"/>
                <w:w w:val="97"/>
              </w:rPr>
              <w:t>of Stock</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360" w:type="dxa"/>
            <w:vAlign w:val="bottom"/>
            <w:gridSpan w:val="2"/>
            <w:vMerge w:val="restart"/>
          </w:tcPr>
          <w:p>
            <w:pPr>
              <w:jc w:val="right"/>
              <w:ind w:right="1173"/>
              <w:spacing w:after="0"/>
              <w:rPr>
                <w:sz w:val="20"/>
                <w:szCs w:val="20"/>
                <w:color w:val="auto"/>
              </w:rPr>
            </w:pPr>
            <w:r>
              <w:rPr>
                <w:rFonts w:ascii="Arial" w:cs="Arial" w:eastAsia="Arial" w:hAnsi="Arial"/>
                <w:sz w:val="13"/>
                <w:szCs w:val="13"/>
                <w:color w:val="FFFFFF"/>
              </w:rPr>
              <w:t>​​</w:t>
            </w:r>
          </w:p>
        </w:tc>
        <w:tc>
          <w:tcPr>
            <w:tcW w:w="80" w:type="dxa"/>
            <w:vAlign w:val="bottom"/>
            <w:vMerge w:val="restart"/>
          </w:tcPr>
          <w:p>
            <w:pPr>
              <w:spacing w:after="0"/>
              <w:rPr>
                <w:sz w:val="20"/>
                <w:szCs w:val="20"/>
                <w:color w:val="auto"/>
              </w:rPr>
            </w:pPr>
            <w:r>
              <w:rPr>
                <w:rFonts w:ascii="Arial" w:cs="Arial" w:eastAsia="Arial" w:hAnsi="Arial"/>
                <w:sz w:val="13"/>
                <w:szCs w:val="13"/>
                <w:color w:val="FFFFFF"/>
              </w:rPr>
              <w:t>​​</w:t>
            </w:r>
          </w:p>
        </w:tc>
        <w:tc>
          <w:tcPr>
            <w:tcW w:w="760" w:type="dxa"/>
            <w:vAlign w:val="bottom"/>
            <w:vMerge w:val="restart"/>
          </w:tcPr>
          <w:p>
            <w:pPr>
              <w:ind w:left="40"/>
              <w:spacing w:after="0"/>
              <w:rPr>
                <w:sz w:val="20"/>
                <w:szCs w:val="20"/>
                <w:color w:val="auto"/>
              </w:rPr>
            </w:pPr>
            <w:r>
              <w:rPr>
                <w:rFonts w:ascii="Arial" w:cs="Arial" w:eastAsia="Arial" w:hAnsi="Arial"/>
                <w:sz w:val="13"/>
                <w:szCs w:val="13"/>
                <w:b w:val="1"/>
                <w:bCs w:val="1"/>
                <w:color w:val="FFFFFF"/>
              </w:rPr>
              <w:t>​</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FFFFFF"/>
              </w:rPr>
              <w:t>​ ​​​</w:t>
            </w:r>
          </w:p>
        </w:tc>
        <w:tc>
          <w:tcPr>
            <w:tcW w:w="180" w:type="dxa"/>
            <w:vAlign w:val="bottom"/>
          </w:tcPr>
          <w:p>
            <w:pPr>
              <w:spacing w:after="0"/>
              <w:rPr>
                <w:sz w:val="8"/>
                <w:szCs w:val="8"/>
                <w:color w:val="auto"/>
              </w:rPr>
            </w:pPr>
          </w:p>
        </w:tc>
        <w:tc>
          <w:tcPr>
            <w:tcW w:w="2120" w:type="dxa"/>
            <w:vAlign w:val="bottom"/>
            <w:gridSpan w:val="6"/>
            <w:vMerge w:val="restart"/>
          </w:tcPr>
          <w:p>
            <w:pPr>
              <w:jc w:val="center"/>
              <w:ind w:right="92"/>
              <w:spacing w:after="0"/>
              <w:rPr>
                <w:sz w:val="20"/>
                <w:szCs w:val="20"/>
                <w:color w:val="auto"/>
              </w:rPr>
            </w:pPr>
            <w:r>
              <w:rPr>
                <w:rFonts w:ascii="Arial" w:cs="Arial" w:eastAsia="Arial" w:hAnsi="Arial"/>
                <w:sz w:val="13"/>
                <w:szCs w:val="13"/>
                <w:color w:val="FFFFFF"/>
                <w:w w:val="95"/>
              </w:rPr>
              <w:t>Equity Incentive Plan Awards(1)</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FFFFFF"/>
              </w:rPr>
              <w:t>​​</w:t>
            </w:r>
          </w:p>
        </w:tc>
        <w:tc>
          <w:tcPr>
            <w:tcW w:w="200" w:type="dxa"/>
            <w:vAlign w:val="bottom"/>
          </w:tcPr>
          <w:p>
            <w:pPr>
              <w:spacing w:after="0"/>
              <w:rPr>
                <w:sz w:val="8"/>
                <w:szCs w:val="8"/>
                <w:color w:val="auto"/>
              </w:rPr>
            </w:pPr>
          </w:p>
        </w:tc>
        <w:tc>
          <w:tcPr>
            <w:tcW w:w="2080" w:type="dxa"/>
            <w:vAlign w:val="bottom"/>
            <w:gridSpan w:val="6"/>
            <w:vMerge w:val="restart"/>
          </w:tcPr>
          <w:p>
            <w:pPr>
              <w:jc w:val="center"/>
              <w:ind w:right="49"/>
              <w:spacing w:after="0"/>
              <w:rPr>
                <w:sz w:val="20"/>
                <w:szCs w:val="20"/>
                <w:color w:val="auto"/>
              </w:rPr>
            </w:pPr>
            <w:r>
              <w:rPr>
                <w:rFonts w:ascii="Arial" w:cs="Arial" w:eastAsia="Arial" w:hAnsi="Arial"/>
                <w:sz w:val="13"/>
                <w:szCs w:val="13"/>
                <w:color w:val="FFFFFF"/>
                <w:w w:val="96"/>
              </w:rPr>
              <w:t>Incentive Plan Awards(2)</w:t>
            </w:r>
          </w:p>
        </w:tc>
        <w:tc>
          <w:tcPr>
            <w:tcW w:w="100" w:type="dxa"/>
            <w:vAlign w:val="bottom"/>
          </w:tcPr>
          <w:p>
            <w:pPr>
              <w:spacing w:after="0"/>
              <w:rPr>
                <w:sz w:val="8"/>
                <w:szCs w:val="8"/>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3"/>
                <w:szCs w:val="13"/>
                <w:color w:val="FFFFFF"/>
              </w:rPr>
              <w:t>​</w:t>
            </w:r>
          </w:p>
        </w:tc>
        <w:tc>
          <w:tcPr>
            <w:tcW w:w="660" w:type="dxa"/>
            <w:vAlign w:val="bottom"/>
            <w:gridSpan w:val="2"/>
          </w:tcPr>
          <w:p>
            <w:pPr>
              <w:jc w:val="center"/>
              <w:spacing w:after="0" w:line="102" w:lineRule="exact"/>
              <w:rPr>
                <w:sz w:val="20"/>
                <w:szCs w:val="20"/>
                <w:color w:val="auto"/>
              </w:rPr>
            </w:pPr>
            <w:r>
              <w:rPr>
                <w:rFonts w:ascii="Arial" w:cs="Arial" w:eastAsia="Arial" w:hAnsi="Arial"/>
                <w:sz w:val="10"/>
                <w:szCs w:val="10"/>
                <w:color w:val="FFFFFF"/>
              </w:rPr>
              <w:t>Shares of</w:t>
            </w:r>
          </w:p>
        </w:tc>
        <w:tc>
          <w:tcPr>
            <w:tcW w:w="280" w:type="dxa"/>
            <w:vAlign w:val="bottom"/>
          </w:tcPr>
          <w:p>
            <w:pPr>
              <w:spacing w:after="0"/>
              <w:rPr>
                <w:sz w:val="8"/>
                <w:szCs w:val="8"/>
                <w:color w:val="auto"/>
              </w:rPr>
            </w:pPr>
          </w:p>
        </w:tc>
        <w:tc>
          <w:tcPr>
            <w:tcW w:w="780" w:type="dxa"/>
            <w:vAlign w:val="bottom"/>
          </w:tcPr>
          <w:p>
            <w:pPr>
              <w:jc w:val="center"/>
              <w:ind w:right="35"/>
              <w:spacing w:after="0" w:line="102" w:lineRule="exact"/>
              <w:rPr>
                <w:sz w:val="20"/>
                <w:szCs w:val="20"/>
                <w:color w:val="auto"/>
              </w:rPr>
            </w:pPr>
            <w:r>
              <w:rPr>
                <w:rFonts w:ascii="Arial" w:cs="Arial" w:eastAsia="Arial" w:hAnsi="Arial"/>
                <w:sz w:val="10"/>
                <w:szCs w:val="10"/>
                <w:color w:val="FFFFFF"/>
              </w:rPr>
              <w:t>and</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36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120" w:type="dxa"/>
            <w:vAlign w:val="bottom"/>
            <w:gridSpan w:val="6"/>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660" w:type="dxa"/>
            <w:vAlign w:val="bottom"/>
            <w:gridSpan w:val="2"/>
          </w:tcPr>
          <w:p>
            <w:pPr>
              <w:ind w:left="100"/>
              <w:spacing w:after="0" w:line="107" w:lineRule="exact"/>
              <w:rPr>
                <w:sz w:val="20"/>
                <w:szCs w:val="20"/>
                <w:color w:val="auto"/>
              </w:rPr>
            </w:pPr>
            <w:r>
              <w:rPr>
                <w:rFonts w:ascii="Arial" w:cs="Arial" w:eastAsia="Arial" w:hAnsi="Arial"/>
                <w:sz w:val="12"/>
                <w:szCs w:val="12"/>
                <w:color w:val="FFFFFF"/>
              </w:rPr>
              <w:t>Stock Or</w:t>
            </w:r>
          </w:p>
        </w:tc>
        <w:tc>
          <w:tcPr>
            <w:tcW w:w="280" w:type="dxa"/>
            <w:vAlign w:val="bottom"/>
          </w:tcPr>
          <w:p>
            <w:pPr>
              <w:spacing w:after="0"/>
              <w:rPr>
                <w:sz w:val="9"/>
                <w:szCs w:val="9"/>
                <w:color w:val="auto"/>
              </w:rPr>
            </w:pPr>
          </w:p>
        </w:tc>
        <w:tc>
          <w:tcPr>
            <w:tcW w:w="780" w:type="dxa"/>
            <w:vAlign w:val="bottom"/>
          </w:tcPr>
          <w:p>
            <w:pPr>
              <w:jc w:val="center"/>
              <w:ind w:right="35"/>
              <w:spacing w:after="0" w:line="107" w:lineRule="exact"/>
              <w:rPr>
                <w:sz w:val="20"/>
                <w:szCs w:val="20"/>
                <w:color w:val="auto"/>
              </w:rPr>
            </w:pPr>
            <w:r>
              <w:rPr>
                <w:rFonts w:ascii="Arial" w:cs="Arial" w:eastAsia="Arial" w:hAnsi="Arial"/>
                <w:sz w:val="12"/>
                <w:szCs w:val="12"/>
                <w:color w:val="FFFFFF"/>
              </w:rPr>
              <w:t>Option</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80" w:type="dxa"/>
            <w:vAlign w:val="bottom"/>
            <w:tcBorders>
              <w:top w:val="single" w:sz="8" w:color="0075A8"/>
              <w:right w:val="single" w:sz="8" w:color="0075A8"/>
            </w:tcBorders>
            <w:shd w:val="clear" w:color="auto" w:fill="0075A8"/>
          </w:tcPr>
          <w:p>
            <w:pPr>
              <w:spacing w:after="0"/>
              <w:rPr>
                <w:sz w:val="11"/>
                <w:szCs w:val="11"/>
                <w:color w:val="auto"/>
              </w:rPr>
            </w:pPr>
          </w:p>
        </w:tc>
        <w:tc>
          <w:tcPr>
            <w:tcW w:w="80" w:type="dxa"/>
            <w:vAlign w:val="bottom"/>
            <w:tcBorders>
              <w:top w:val="single" w:sz="8" w:color="0075A8"/>
            </w:tcBorders>
            <w:shd w:val="clear" w:color="auto" w:fill="0075A8"/>
          </w:tcPr>
          <w:p>
            <w:pPr>
              <w:spacing w:after="0"/>
              <w:rPr>
                <w:sz w:val="11"/>
                <w:szCs w:val="11"/>
                <w:color w:val="auto"/>
              </w:rPr>
            </w:pPr>
          </w:p>
        </w:tc>
        <w:tc>
          <w:tcPr>
            <w:tcW w:w="760" w:type="dxa"/>
            <w:vAlign w:val="bottom"/>
            <w:tcBorders>
              <w:top w:val="single" w:sz="8" w:color="0075A8"/>
            </w:tcBorders>
            <w:shd w:val="clear" w:color="auto" w:fill="0075A8"/>
          </w:tcPr>
          <w:p>
            <w:pPr>
              <w:spacing w:after="0"/>
              <w:rPr>
                <w:sz w:val="11"/>
                <w:szCs w:val="11"/>
                <w:color w:val="auto"/>
              </w:rPr>
            </w:pPr>
          </w:p>
        </w:tc>
        <w:tc>
          <w:tcPr>
            <w:tcW w:w="260" w:type="dxa"/>
            <w:vAlign w:val="bottom"/>
            <w:tcBorders>
              <w:top w:val="single" w:sz="8" w:color="0075A8"/>
            </w:tcBorders>
            <w:shd w:val="clear" w:color="auto" w:fill="0075A8"/>
          </w:tcPr>
          <w:p>
            <w:pPr>
              <w:spacing w:after="0"/>
              <w:rPr>
                <w:sz w:val="11"/>
                <w:szCs w:val="11"/>
                <w:color w:val="auto"/>
              </w:rPr>
            </w:pPr>
          </w:p>
        </w:tc>
        <w:tc>
          <w:tcPr>
            <w:tcW w:w="660" w:type="dxa"/>
            <w:vAlign w:val="bottom"/>
            <w:tcBorders>
              <w:top w:val="single" w:sz="8" w:color="0075A8"/>
            </w:tcBorders>
            <w:gridSpan w:val="2"/>
            <w:shd w:val="clear" w:color="auto" w:fill="0075A8"/>
          </w:tcPr>
          <w:p>
            <w:pPr>
              <w:ind w:left="40"/>
              <w:spacing w:after="0" w:line="129" w:lineRule="exact"/>
              <w:rPr>
                <w:sz w:val="20"/>
                <w:szCs w:val="20"/>
                <w:color w:val="auto"/>
              </w:rPr>
            </w:pPr>
            <w:r>
              <w:rPr>
                <w:rFonts w:ascii="Arial" w:cs="Arial" w:eastAsia="Arial" w:hAnsi="Arial"/>
                <w:sz w:val="13"/>
                <w:szCs w:val="13"/>
                <w:color w:val="FFFFFF"/>
              </w:rPr>
              <w:t>Threshold</w:t>
            </w:r>
          </w:p>
        </w:tc>
        <w:tc>
          <w:tcPr>
            <w:tcW w:w="260" w:type="dxa"/>
            <w:vAlign w:val="bottom"/>
            <w:tcBorders>
              <w:top w:val="single" w:sz="8" w:color="0075A8"/>
            </w:tcBorders>
            <w:shd w:val="clear" w:color="auto" w:fill="0075A8"/>
          </w:tcPr>
          <w:p>
            <w:pPr>
              <w:spacing w:after="0"/>
              <w:rPr>
                <w:sz w:val="11"/>
                <w:szCs w:val="11"/>
                <w:color w:val="auto"/>
              </w:rPr>
            </w:pPr>
          </w:p>
        </w:tc>
        <w:tc>
          <w:tcPr>
            <w:tcW w:w="500" w:type="dxa"/>
            <w:vAlign w:val="bottom"/>
            <w:tcBorders>
              <w:top w:val="single" w:sz="8" w:color="0075A8"/>
            </w:tcBorders>
            <w:shd w:val="clear" w:color="auto" w:fill="0075A8"/>
          </w:tcPr>
          <w:p>
            <w:pPr>
              <w:jc w:val="center"/>
              <w:spacing w:after="0" w:line="129" w:lineRule="exact"/>
              <w:rPr>
                <w:sz w:val="20"/>
                <w:szCs w:val="20"/>
                <w:color w:val="auto"/>
              </w:rPr>
            </w:pPr>
            <w:r>
              <w:rPr>
                <w:rFonts w:ascii="Arial" w:cs="Arial" w:eastAsia="Arial" w:hAnsi="Arial"/>
                <w:sz w:val="13"/>
                <w:szCs w:val="13"/>
                <w:color w:val="FFFFFF"/>
                <w:w w:val="90"/>
              </w:rPr>
              <w:t>Target</w:t>
            </w:r>
          </w:p>
        </w:tc>
        <w:tc>
          <w:tcPr>
            <w:tcW w:w="240" w:type="dxa"/>
            <w:vAlign w:val="bottom"/>
            <w:tcBorders>
              <w:top w:val="single" w:sz="8" w:color="0075A8"/>
            </w:tcBorders>
            <w:shd w:val="clear" w:color="auto" w:fill="0075A8"/>
          </w:tcPr>
          <w:p>
            <w:pPr>
              <w:spacing w:after="0"/>
              <w:rPr>
                <w:sz w:val="11"/>
                <w:szCs w:val="11"/>
                <w:color w:val="auto"/>
              </w:rPr>
            </w:pPr>
          </w:p>
        </w:tc>
        <w:tc>
          <w:tcPr>
            <w:tcW w:w="60" w:type="dxa"/>
            <w:vAlign w:val="bottom"/>
            <w:tcBorders>
              <w:top w:val="single" w:sz="8" w:color="0075A8"/>
            </w:tcBorders>
            <w:shd w:val="clear" w:color="auto" w:fill="0075A8"/>
          </w:tcPr>
          <w:p>
            <w:pPr>
              <w:spacing w:after="0"/>
              <w:rPr>
                <w:sz w:val="11"/>
                <w:szCs w:val="11"/>
                <w:color w:val="auto"/>
              </w:rPr>
            </w:pPr>
          </w:p>
        </w:tc>
        <w:tc>
          <w:tcPr>
            <w:tcW w:w="580" w:type="dxa"/>
            <w:vAlign w:val="bottom"/>
            <w:tcBorders>
              <w:top w:val="single" w:sz="8" w:color="0075A8"/>
            </w:tcBorders>
            <w:shd w:val="clear" w:color="auto" w:fill="0075A8"/>
          </w:tcPr>
          <w:p>
            <w:pPr>
              <w:jc w:val="center"/>
              <w:spacing w:after="0" w:line="129" w:lineRule="exact"/>
              <w:rPr>
                <w:sz w:val="20"/>
                <w:szCs w:val="20"/>
                <w:color w:val="auto"/>
              </w:rPr>
            </w:pPr>
            <w:r>
              <w:rPr>
                <w:rFonts w:ascii="Arial" w:cs="Arial" w:eastAsia="Arial" w:hAnsi="Arial"/>
                <w:sz w:val="13"/>
                <w:szCs w:val="13"/>
                <w:color w:val="FFFFFF"/>
                <w:w w:val="95"/>
              </w:rPr>
              <w:t>Maximum</w:t>
            </w:r>
          </w:p>
        </w:tc>
        <w:tc>
          <w:tcPr>
            <w:tcW w:w="220" w:type="dxa"/>
            <w:vAlign w:val="bottom"/>
            <w:tcBorders>
              <w:top w:val="single" w:sz="8" w:color="0075A8"/>
            </w:tcBorders>
            <w:shd w:val="clear" w:color="auto" w:fill="0075A8"/>
          </w:tcPr>
          <w:p>
            <w:pPr>
              <w:spacing w:after="0"/>
              <w:rPr>
                <w:sz w:val="11"/>
                <w:szCs w:val="11"/>
                <w:color w:val="auto"/>
              </w:rPr>
            </w:pPr>
          </w:p>
        </w:tc>
        <w:tc>
          <w:tcPr>
            <w:tcW w:w="660" w:type="dxa"/>
            <w:vAlign w:val="bottom"/>
            <w:tcBorders>
              <w:top w:val="single" w:sz="8" w:color="0075A8"/>
            </w:tcBorders>
            <w:gridSpan w:val="2"/>
            <w:shd w:val="clear" w:color="auto" w:fill="0075A8"/>
          </w:tcPr>
          <w:p>
            <w:pPr>
              <w:jc w:val="right"/>
              <w:spacing w:after="0" w:line="129" w:lineRule="exact"/>
              <w:rPr>
                <w:sz w:val="20"/>
                <w:szCs w:val="20"/>
                <w:color w:val="auto"/>
              </w:rPr>
            </w:pPr>
            <w:r>
              <w:rPr>
                <w:rFonts w:ascii="Arial" w:cs="Arial" w:eastAsia="Arial" w:hAnsi="Arial"/>
                <w:sz w:val="13"/>
                <w:szCs w:val="13"/>
                <w:color w:val="FFFFFF"/>
              </w:rPr>
              <w:t>Threshold</w:t>
            </w:r>
          </w:p>
        </w:tc>
        <w:tc>
          <w:tcPr>
            <w:tcW w:w="220" w:type="dxa"/>
            <w:vAlign w:val="bottom"/>
            <w:tcBorders>
              <w:top w:val="single" w:sz="8" w:color="0075A8"/>
            </w:tcBorders>
            <w:shd w:val="clear" w:color="auto" w:fill="0075A8"/>
          </w:tcPr>
          <w:p>
            <w:pPr>
              <w:spacing w:after="0"/>
              <w:rPr>
                <w:sz w:val="11"/>
                <w:szCs w:val="11"/>
                <w:color w:val="auto"/>
              </w:rPr>
            </w:pPr>
          </w:p>
        </w:tc>
        <w:tc>
          <w:tcPr>
            <w:tcW w:w="120" w:type="dxa"/>
            <w:vAlign w:val="bottom"/>
            <w:tcBorders>
              <w:top w:val="single" w:sz="8" w:color="0075A8"/>
            </w:tcBorders>
            <w:shd w:val="clear" w:color="auto" w:fill="0075A8"/>
          </w:tcPr>
          <w:p>
            <w:pPr>
              <w:spacing w:after="0"/>
              <w:rPr>
                <w:sz w:val="11"/>
                <w:szCs w:val="11"/>
                <w:color w:val="auto"/>
              </w:rPr>
            </w:pPr>
          </w:p>
        </w:tc>
        <w:tc>
          <w:tcPr>
            <w:tcW w:w="500" w:type="dxa"/>
            <w:vAlign w:val="bottom"/>
            <w:tcBorders>
              <w:top w:val="single" w:sz="8" w:color="0075A8"/>
            </w:tcBorders>
            <w:shd w:val="clear" w:color="auto" w:fill="0075A8"/>
          </w:tcPr>
          <w:p>
            <w:pPr>
              <w:jc w:val="center"/>
              <w:ind w:right="70"/>
              <w:spacing w:after="0" w:line="129" w:lineRule="exact"/>
              <w:rPr>
                <w:sz w:val="20"/>
                <w:szCs w:val="20"/>
                <w:color w:val="auto"/>
              </w:rPr>
            </w:pPr>
            <w:r>
              <w:rPr>
                <w:rFonts w:ascii="Arial" w:cs="Arial" w:eastAsia="Arial" w:hAnsi="Arial"/>
                <w:sz w:val="13"/>
                <w:szCs w:val="13"/>
                <w:color w:val="FFFFFF"/>
                <w:w w:val="95"/>
              </w:rPr>
              <w:t>Target</w:t>
            </w:r>
          </w:p>
        </w:tc>
        <w:tc>
          <w:tcPr>
            <w:tcW w:w="200" w:type="dxa"/>
            <w:vAlign w:val="bottom"/>
            <w:tcBorders>
              <w:top w:val="single" w:sz="8" w:color="0075A8"/>
            </w:tcBorders>
            <w:shd w:val="clear" w:color="auto" w:fill="0075A8"/>
          </w:tcPr>
          <w:p>
            <w:pPr>
              <w:spacing w:after="0"/>
              <w:rPr>
                <w:sz w:val="11"/>
                <w:szCs w:val="11"/>
                <w:color w:val="auto"/>
              </w:rPr>
            </w:pPr>
          </w:p>
        </w:tc>
        <w:tc>
          <w:tcPr>
            <w:tcW w:w="680" w:type="dxa"/>
            <w:vAlign w:val="bottom"/>
            <w:tcBorders>
              <w:top w:val="single" w:sz="8" w:color="0075A8"/>
            </w:tcBorders>
            <w:gridSpan w:val="2"/>
            <w:shd w:val="clear" w:color="auto" w:fill="0075A8"/>
          </w:tcPr>
          <w:p>
            <w:pPr>
              <w:ind w:left="60"/>
              <w:spacing w:after="0" w:line="129" w:lineRule="exact"/>
              <w:rPr>
                <w:sz w:val="20"/>
                <w:szCs w:val="20"/>
                <w:color w:val="auto"/>
              </w:rPr>
            </w:pPr>
            <w:r>
              <w:rPr>
                <w:rFonts w:ascii="Arial" w:cs="Arial" w:eastAsia="Arial" w:hAnsi="Arial"/>
                <w:sz w:val="13"/>
                <w:szCs w:val="13"/>
                <w:color w:val="FFFFFF"/>
              </w:rPr>
              <w:t>Maximum</w:t>
            </w:r>
          </w:p>
        </w:tc>
        <w:tc>
          <w:tcPr>
            <w:tcW w:w="80" w:type="dxa"/>
            <w:vAlign w:val="bottom"/>
            <w:tcBorders>
              <w:top w:val="single" w:sz="8" w:color="0075A8"/>
            </w:tcBorders>
            <w:shd w:val="clear" w:color="auto" w:fill="0075A8"/>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center"/>
              <w:ind w:right="70"/>
              <w:spacing w:after="0" w:line="129" w:lineRule="exact"/>
              <w:rPr>
                <w:sz w:val="20"/>
                <w:szCs w:val="20"/>
                <w:color w:val="auto"/>
              </w:rPr>
            </w:pPr>
            <w:r>
              <w:rPr>
                <w:rFonts w:ascii="Arial" w:cs="Arial" w:eastAsia="Arial" w:hAnsi="Arial"/>
                <w:sz w:val="13"/>
                <w:szCs w:val="13"/>
                <w:color w:val="FFFFFF"/>
                <w:w w:val="94"/>
              </w:rPr>
              <w:t>Units</w:t>
            </w:r>
          </w:p>
        </w:tc>
        <w:tc>
          <w:tcPr>
            <w:tcW w:w="280" w:type="dxa"/>
            <w:vAlign w:val="bottom"/>
          </w:tcPr>
          <w:p>
            <w:pPr>
              <w:spacing w:after="0"/>
              <w:rPr>
                <w:sz w:val="11"/>
                <w:szCs w:val="11"/>
                <w:color w:val="auto"/>
              </w:rPr>
            </w:pPr>
          </w:p>
        </w:tc>
        <w:tc>
          <w:tcPr>
            <w:tcW w:w="780" w:type="dxa"/>
            <w:vAlign w:val="bottom"/>
          </w:tcPr>
          <w:p>
            <w:pPr>
              <w:jc w:val="center"/>
              <w:ind w:right="55"/>
              <w:spacing w:after="0" w:line="129" w:lineRule="exact"/>
              <w:rPr>
                <w:sz w:val="20"/>
                <w:szCs w:val="20"/>
                <w:color w:val="auto"/>
              </w:rPr>
            </w:pPr>
            <w:r>
              <w:rPr>
                <w:rFonts w:ascii="Arial" w:cs="Arial" w:eastAsia="Arial" w:hAnsi="Arial"/>
                <w:sz w:val="13"/>
                <w:szCs w:val="13"/>
                <w:color w:val="FFFFFF"/>
                <w:w w:val="96"/>
              </w:rPr>
              <w:t>Awards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0" w:type="dxa"/>
            <w:vAlign w:val="bottom"/>
          </w:tcPr>
          <w:p>
            <w:pPr>
              <w:ind w:left="40"/>
              <w:spacing w:after="0"/>
              <w:rPr>
                <w:sz w:val="20"/>
                <w:szCs w:val="20"/>
                <w:color w:val="auto"/>
              </w:rPr>
            </w:pPr>
            <w:r>
              <w:rPr>
                <w:rFonts w:ascii="Arial" w:cs="Arial" w:eastAsia="Arial" w:hAnsi="Arial"/>
                <w:sz w:val="13"/>
                <w:szCs w:val="13"/>
                <w:color w:val="FFFFFF"/>
              </w:rPr>
              <w:t>​</w:t>
            </w:r>
          </w:p>
        </w:tc>
        <w:tc>
          <w:tcPr>
            <w:tcW w:w="1280" w:type="dxa"/>
            <w:vAlign w:val="bottom"/>
            <w:tcBorders>
              <w:right w:val="single" w:sz="8" w:color="0075A8"/>
            </w:tcBorders>
            <w:shd w:val="clear" w:color="auto" w:fill="0075A8"/>
          </w:tcPr>
          <w:p>
            <w:pPr>
              <w:spacing w:after="0"/>
              <w:rPr>
                <w:sz w:val="20"/>
                <w:szCs w:val="20"/>
                <w:color w:val="auto"/>
              </w:rPr>
            </w:pPr>
            <w:r>
              <w:rPr>
                <w:rFonts w:ascii="Arial" w:cs="Arial" w:eastAsia="Arial" w:hAnsi="Arial"/>
                <w:sz w:val="13"/>
                <w:szCs w:val="13"/>
                <w:color w:val="FFFFFF"/>
              </w:rPr>
              <w:t>Name</w:t>
            </w:r>
          </w:p>
        </w:tc>
        <w:tc>
          <w:tcPr>
            <w:tcW w:w="80" w:type="dxa"/>
            <w:vAlign w:val="bottom"/>
            <w:shd w:val="clear" w:color="auto" w:fill="0075A8"/>
          </w:tcPr>
          <w:p>
            <w:pPr>
              <w:spacing w:after="0"/>
              <w:rPr>
                <w:sz w:val="20"/>
                <w:szCs w:val="20"/>
                <w:color w:val="auto"/>
              </w:rPr>
            </w:pPr>
            <w:r>
              <w:rPr>
                <w:rFonts w:ascii="Arial" w:cs="Arial" w:eastAsia="Arial" w:hAnsi="Arial"/>
                <w:sz w:val="13"/>
                <w:szCs w:val="13"/>
                <w:color w:val="FFFFFF"/>
              </w:rPr>
              <w:t>​​</w:t>
            </w:r>
          </w:p>
        </w:tc>
        <w:tc>
          <w:tcPr>
            <w:tcW w:w="760" w:type="dxa"/>
            <w:vAlign w:val="bottom"/>
            <w:shd w:val="clear" w:color="auto" w:fill="0075A8"/>
          </w:tcPr>
          <w:p>
            <w:pPr>
              <w:ind w:left="100"/>
              <w:spacing w:after="0"/>
              <w:rPr>
                <w:sz w:val="20"/>
                <w:szCs w:val="20"/>
                <w:color w:val="auto"/>
              </w:rPr>
            </w:pPr>
            <w:r>
              <w:rPr>
                <w:rFonts w:ascii="Arial" w:cs="Arial" w:eastAsia="Arial" w:hAnsi="Arial"/>
                <w:sz w:val="13"/>
                <w:szCs w:val="13"/>
                <w:color w:val="FFFFFF"/>
              </w:rPr>
              <w:t>Grant Date</w:t>
            </w:r>
          </w:p>
        </w:tc>
        <w:tc>
          <w:tcPr>
            <w:tcW w:w="260" w:type="dxa"/>
            <w:vAlign w:val="bottom"/>
            <w:shd w:val="clear" w:color="auto" w:fill="0075A8"/>
          </w:tcPr>
          <w:p>
            <w:pPr>
              <w:jc w:val="right"/>
              <w:spacing w:after="0"/>
              <w:rPr>
                <w:sz w:val="20"/>
                <w:szCs w:val="20"/>
                <w:color w:val="auto"/>
              </w:rPr>
            </w:pPr>
            <w:r>
              <w:rPr>
                <w:rFonts w:ascii="Arial" w:cs="Arial" w:eastAsia="Arial" w:hAnsi="Arial"/>
                <w:sz w:val="13"/>
                <w:szCs w:val="13"/>
                <w:color w:val="FFFFFF"/>
              </w:rPr>
              <w:t>​​</w:t>
            </w:r>
          </w:p>
        </w:tc>
        <w:tc>
          <w:tcPr>
            <w:tcW w:w="180" w:type="dxa"/>
            <w:vAlign w:val="bottom"/>
            <w:shd w:val="clear" w:color="auto" w:fill="0075A8"/>
          </w:tcPr>
          <w:p>
            <w:pPr>
              <w:spacing w:after="0"/>
              <w:rPr>
                <w:sz w:val="14"/>
                <w:szCs w:val="14"/>
                <w:color w:val="auto"/>
              </w:rPr>
            </w:pPr>
          </w:p>
        </w:tc>
        <w:tc>
          <w:tcPr>
            <w:tcW w:w="480" w:type="dxa"/>
            <w:vAlign w:val="bottom"/>
            <w:shd w:val="clear" w:color="auto" w:fill="0075A8"/>
          </w:tcPr>
          <w:p>
            <w:pPr>
              <w:jc w:val="right"/>
              <w:ind w:right="190"/>
              <w:spacing w:after="0"/>
              <w:rPr>
                <w:sz w:val="20"/>
                <w:szCs w:val="20"/>
                <w:color w:val="auto"/>
              </w:rPr>
            </w:pPr>
            <w:r>
              <w:rPr>
                <w:rFonts w:ascii="Arial" w:cs="Arial" w:eastAsia="Arial" w:hAnsi="Arial"/>
                <w:sz w:val="13"/>
                <w:szCs w:val="13"/>
                <w:color w:val="FFFFFF"/>
              </w:rPr>
              <w:t>($)</w:t>
            </w:r>
          </w:p>
        </w:tc>
        <w:tc>
          <w:tcPr>
            <w:tcW w:w="260" w:type="dxa"/>
            <w:vAlign w:val="bottom"/>
            <w:shd w:val="clear" w:color="auto" w:fill="0075A8"/>
          </w:tcPr>
          <w:p>
            <w:pPr>
              <w:ind w:left="80"/>
              <w:spacing w:after="0"/>
              <w:rPr>
                <w:sz w:val="20"/>
                <w:szCs w:val="20"/>
                <w:color w:val="auto"/>
              </w:rPr>
            </w:pPr>
            <w:r>
              <w:rPr>
                <w:rFonts w:ascii="Arial" w:cs="Arial" w:eastAsia="Arial" w:hAnsi="Arial"/>
                <w:sz w:val="13"/>
                <w:szCs w:val="13"/>
                <w:color w:val="FFFFFF"/>
              </w:rPr>
              <w:t>​​</w:t>
            </w:r>
          </w:p>
        </w:tc>
        <w:tc>
          <w:tcPr>
            <w:tcW w:w="500" w:type="dxa"/>
            <w:vAlign w:val="bottom"/>
            <w:shd w:val="clear" w:color="auto" w:fill="0075A8"/>
          </w:tcPr>
          <w:p>
            <w:pPr>
              <w:jc w:val="center"/>
              <w:spacing w:after="0"/>
              <w:rPr>
                <w:sz w:val="20"/>
                <w:szCs w:val="20"/>
                <w:color w:val="auto"/>
              </w:rPr>
            </w:pPr>
            <w:r>
              <w:rPr>
                <w:rFonts w:ascii="Arial" w:cs="Arial" w:eastAsia="Arial" w:hAnsi="Arial"/>
                <w:sz w:val="13"/>
                <w:szCs w:val="13"/>
                <w:color w:val="FFFFFF"/>
              </w:rPr>
              <w:t>($)</w:t>
            </w:r>
          </w:p>
        </w:tc>
        <w:tc>
          <w:tcPr>
            <w:tcW w:w="240" w:type="dxa"/>
            <w:vAlign w:val="bottom"/>
            <w:shd w:val="clear" w:color="auto" w:fill="0075A8"/>
          </w:tcPr>
          <w:p>
            <w:pPr>
              <w:jc w:val="right"/>
              <w:spacing w:after="0"/>
              <w:rPr>
                <w:sz w:val="20"/>
                <w:szCs w:val="20"/>
                <w:color w:val="auto"/>
              </w:rPr>
            </w:pPr>
            <w:r>
              <w:rPr>
                <w:rFonts w:ascii="Arial" w:cs="Arial" w:eastAsia="Arial" w:hAnsi="Arial"/>
                <w:sz w:val="13"/>
                <w:szCs w:val="13"/>
                <w:color w:val="FFFFFF"/>
              </w:rPr>
              <w:t>​​</w:t>
            </w:r>
          </w:p>
        </w:tc>
        <w:tc>
          <w:tcPr>
            <w:tcW w:w="60" w:type="dxa"/>
            <w:vAlign w:val="bottom"/>
            <w:shd w:val="clear" w:color="auto" w:fill="0075A8"/>
          </w:tcPr>
          <w:p>
            <w:pPr>
              <w:spacing w:after="0"/>
              <w:rPr>
                <w:sz w:val="14"/>
                <w:szCs w:val="14"/>
                <w:color w:val="auto"/>
              </w:rPr>
            </w:pPr>
          </w:p>
        </w:tc>
        <w:tc>
          <w:tcPr>
            <w:tcW w:w="580" w:type="dxa"/>
            <w:vAlign w:val="bottom"/>
            <w:shd w:val="clear" w:color="auto" w:fill="0075A8"/>
          </w:tcPr>
          <w:p>
            <w:pPr>
              <w:jc w:val="right"/>
              <w:ind w:right="152"/>
              <w:spacing w:after="0"/>
              <w:rPr>
                <w:sz w:val="20"/>
                <w:szCs w:val="20"/>
                <w:color w:val="auto"/>
              </w:rPr>
            </w:pPr>
            <w:r>
              <w:rPr>
                <w:rFonts w:ascii="Arial" w:cs="Arial" w:eastAsia="Arial" w:hAnsi="Arial"/>
                <w:sz w:val="13"/>
                <w:szCs w:val="13"/>
                <w:color w:val="FFFFFF"/>
              </w:rPr>
              <w:t>($)</w:t>
            </w:r>
          </w:p>
        </w:tc>
        <w:tc>
          <w:tcPr>
            <w:tcW w:w="220" w:type="dxa"/>
            <w:vAlign w:val="bottom"/>
            <w:shd w:val="clear" w:color="auto" w:fill="0075A8"/>
          </w:tcPr>
          <w:p>
            <w:pPr>
              <w:jc w:val="right"/>
              <w:spacing w:after="0"/>
              <w:rPr>
                <w:sz w:val="20"/>
                <w:szCs w:val="20"/>
                <w:color w:val="auto"/>
              </w:rPr>
            </w:pPr>
            <w:r>
              <w:rPr>
                <w:rFonts w:ascii="Arial" w:cs="Arial" w:eastAsia="Arial" w:hAnsi="Arial"/>
                <w:sz w:val="13"/>
                <w:szCs w:val="13"/>
                <w:color w:val="FFFFFF"/>
              </w:rPr>
              <w:t>​​</w:t>
            </w:r>
          </w:p>
        </w:tc>
        <w:tc>
          <w:tcPr>
            <w:tcW w:w="200" w:type="dxa"/>
            <w:vAlign w:val="bottom"/>
            <w:shd w:val="clear" w:color="auto" w:fill="0075A8"/>
          </w:tcPr>
          <w:p>
            <w:pPr>
              <w:spacing w:after="0"/>
              <w:rPr>
                <w:sz w:val="14"/>
                <w:szCs w:val="14"/>
                <w:color w:val="auto"/>
              </w:rPr>
            </w:pPr>
          </w:p>
        </w:tc>
        <w:tc>
          <w:tcPr>
            <w:tcW w:w="460" w:type="dxa"/>
            <w:vAlign w:val="bottom"/>
            <w:shd w:val="clear" w:color="auto" w:fill="0075A8"/>
          </w:tcPr>
          <w:p>
            <w:pPr>
              <w:jc w:val="right"/>
              <w:ind w:right="190"/>
              <w:spacing w:after="0"/>
              <w:rPr>
                <w:sz w:val="20"/>
                <w:szCs w:val="20"/>
                <w:color w:val="auto"/>
              </w:rPr>
            </w:pPr>
            <w:r>
              <w:rPr>
                <w:rFonts w:ascii="Arial" w:cs="Arial" w:eastAsia="Arial" w:hAnsi="Arial"/>
                <w:sz w:val="13"/>
                <w:szCs w:val="13"/>
                <w:color w:val="FFFFFF"/>
              </w:rPr>
              <w:t>(#)</w:t>
            </w:r>
          </w:p>
        </w:tc>
        <w:tc>
          <w:tcPr>
            <w:tcW w:w="220" w:type="dxa"/>
            <w:vAlign w:val="bottom"/>
            <w:shd w:val="clear" w:color="auto" w:fill="0075A8"/>
          </w:tcPr>
          <w:p>
            <w:pPr>
              <w:jc w:val="right"/>
              <w:ind w:right="9"/>
              <w:spacing w:after="0"/>
              <w:rPr>
                <w:sz w:val="20"/>
                <w:szCs w:val="20"/>
                <w:color w:val="auto"/>
              </w:rPr>
            </w:pPr>
            <w:r>
              <w:rPr>
                <w:rFonts w:ascii="Arial" w:cs="Arial" w:eastAsia="Arial" w:hAnsi="Arial"/>
                <w:sz w:val="13"/>
                <w:szCs w:val="13"/>
                <w:color w:val="FFFFFF"/>
              </w:rPr>
              <w:t>​​</w:t>
            </w:r>
          </w:p>
        </w:tc>
        <w:tc>
          <w:tcPr>
            <w:tcW w:w="120" w:type="dxa"/>
            <w:vAlign w:val="bottom"/>
            <w:shd w:val="clear" w:color="auto" w:fill="0075A8"/>
          </w:tcPr>
          <w:p>
            <w:pPr>
              <w:spacing w:after="0"/>
              <w:rPr>
                <w:sz w:val="14"/>
                <w:szCs w:val="14"/>
                <w:color w:val="auto"/>
              </w:rPr>
            </w:pPr>
          </w:p>
        </w:tc>
        <w:tc>
          <w:tcPr>
            <w:tcW w:w="500" w:type="dxa"/>
            <w:vAlign w:val="bottom"/>
            <w:shd w:val="clear" w:color="auto" w:fill="0075A8"/>
          </w:tcPr>
          <w:p>
            <w:pPr>
              <w:jc w:val="center"/>
              <w:ind w:right="70"/>
              <w:spacing w:after="0"/>
              <w:rPr>
                <w:sz w:val="20"/>
                <w:szCs w:val="20"/>
                <w:color w:val="auto"/>
              </w:rPr>
            </w:pPr>
            <w:r>
              <w:rPr>
                <w:rFonts w:ascii="Arial" w:cs="Arial" w:eastAsia="Arial" w:hAnsi="Arial"/>
                <w:sz w:val="13"/>
                <w:szCs w:val="13"/>
                <w:color w:val="FFFFFF"/>
              </w:rPr>
              <w:t>(#)</w:t>
            </w:r>
          </w:p>
        </w:tc>
        <w:tc>
          <w:tcPr>
            <w:tcW w:w="200" w:type="dxa"/>
            <w:vAlign w:val="bottom"/>
            <w:shd w:val="clear" w:color="auto" w:fill="0075A8"/>
          </w:tcPr>
          <w:p>
            <w:pPr>
              <w:jc w:val="right"/>
              <w:spacing w:after="0"/>
              <w:rPr>
                <w:sz w:val="20"/>
                <w:szCs w:val="20"/>
                <w:color w:val="auto"/>
              </w:rPr>
            </w:pPr>
            <w:r>
              <w:rPr>
                <w:rFonts w:ascii="Arial" w:cs="Arial" w:eastAsia="Arial" w:hAnsi="Arial"/>
                <w:sz w:val="13"/>
                <w:szCs w:val="13"/>
                <w:color w:val="FFFFFF"/>
              </w:rPr>
              <w:t>​​</w:t>
            </w:r>
          </w:p>
        </w:tc>
        <w:tc>
          <w:tcPr>
            <w:tcW w:w="580" w:type="dxa"/>
            <w:vAlign w:val="bottom"/>
            <w:shd w:val="clear" w:color="auto" w:fill="0075A8"/>
          </w:tcPr>
          <w:p>
            <w:pPr>
              <w:ind w:left="260"/>
              <w:spacing w:after="0"/>
              <w:rPr>
                <w:sz w:val="20"/>
                <w:szCs w:val="20"/>
                <w:color w:val="auto"/>
              </w:rPr>
            </w:pPr>
            <w:r>
              <w:rPr>
                <w:rFonts w:ascii="Arial" w:cs="Arial" w:eastAsia="Arial" w:hAnsi="Arial"/>
                <w:sz w:val="13"/>
                <w:szCs w:val="13"/>
                <w:color w:val="FFFFFF"/>
              </w:rPr>
              <w:t>(#)</w:t>
            </w:r>
          </w:p>
        </w:tc>
        <w:tc>
          <w:tcPr>
            <w:tcW w:w="100" w:type="dxa"/>
            <w:vAlign w:val="bottom"/>
            <w:shd w:val="clear" w:color="auto" w:fill="0075A8"/>
          </w:tcPr>
          <w:p>
            <w:pPr>
              <w:spacing w:after="0"/>
              <w:rPr>
                <w:sz w:val="14"/>
                <w:szCs w:val="14"/>
                <w:color w:val="auto"/>
              </w:rPr>
            </w:pPr>
          </w:p>
        </w:tc>
        <w:tc>
          <w:tcPr>
            <w:tcW w:w="80" w:type="dxa"/>
            <w:vAlign w:val="bottom"/>
            <w:shd w:val="clear" w:color="auto" w:fill="0075A8"/>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FFFFFF"/>
              </w:rPr>
              <w:t>​​</w:t>
            </w:r>
          </w:p>
        </w:tc>
        <w:tc>
          <w:tcPr>
            <w:tcW w:w="160" w:type="dxa"/>
            <w:vAlign w:val="bottom"/>
          </w:tcPr>
          <w:p>
            <w:pPr>
              <w:spacing w:after="0"/>
              <w:rPr>
                <w:sz w:val="14"/>
                <w:szCs w:val="14"/>
                <w:color w:val="auto"/>
              </w:rPr>
            </w:pPr>
          </w:p>
        </w:tc>
        <w:tc>
          <w:tcPr>
            <w:tcW w:w="500" w:type="dxa"/>
            <w:vAlign w:val="bottom"/>
          </w:tcPr>
          <w:p>
            <w:pPr>
              <w:jc w:val="center"/>
              <w:ind w:right="70"/>
              <w:spacing w:after="0"/>
              <w:rPr>
                <w:sz w:val="20"/>
                <w:szCs w:val="20"/>
                <w:color w:val="auto"/>
              </w:rPr>
            </w:pPr>
            <w:r>
              <w:rPr>
                <w:rFonts w:ascii="Arial" w:cs="Arial" w:eastAsia="Arial" w:hAnsi="Arial"/>
                <w:sz w:val="13"/>
                <w:szCs w:val="13"/>
                <w:color w:val="FFFFFF"/>
              </w:rPr>
              <w:t>(#)(3)</w:t>
            </w:r>
          </w:p>
        </w:tc>
        <w:tc>
          <w:tcPr>
            <w:tcW w:w="280" w:type="dxa"/>
            <w:vAlign w:val="bottom"/>
          </w:tcPr>
          <w:p>
            <w:pPr>
              <w:ind w:left="80"/>
              <w:spacing w:after="0"/>
              <w:rPr>
                <w:sz w:val="20"/>
                <w:szCs w:val="20"/>
                <w:color w:val="auto"/>
              </w:rPr>
            </w:pPr>
            <w:r>
              <w:rPr>
                <w:rFonts w:ascii="Arial" w:cs="Arial" w:eastAsia="Arial" w:hAnsi="Arial"/>
                <w:sz w:val="13"/>
                <w:szCs w:val="13"/>
                <w:color w:val="FFFFFF"/>
              </w:rPr>
              <w:t>​​</w:t>
            </w:r>
          </w:p>
        </w:tc>
        <w:tc>
          <w:tcPr>
            <w:tcW w:w="780" w:type="dxa"/>
            <w:vAlign w:val="bottom"/>
          </w:tcPr>
          <w:p>
            <w:pPr>
              <w:jc w:val="center"/>
              <w:ind w:right="35"/>
              <w:spacing w:after="0"/>
              <w:rPr>
                <w:sz w:val="20"/>
                <w:szCs w:val="20"/>
                <w:color w:val="auto"/>
              </w:rPr>
            </w:pPr>
            <w:r>
              <w:rPr>
                <w:rFonts w:ascii="Arial" w:cs="Arial" w:eastAsia="Arial" w:hAnsi="Arial"/>
                <w:sz w:val="13"/>
                <w:szCs w:val="13"/>
                <w:color w:val="FFFFFF"/>
              </w:rPr>
              <w:t>($)</w:t>
            </w:r>
          </w:p>
        </w:tc>
        <w:tc>
          <w:tcPr>
            <w:tcW w:w="160" w:type="dxa"/>
            <w:vAlign w:val="bottom"/>
          </w:tcPr>
          <w:p>
            <w:pPr>
              <w:ind w:left="100"/>
              <w:spacing w:after="0"/>
              <w:rPr>
                <w:sz w:val="20"/>
                <w:szCs w:val="20"/>
                <w:color w:val="auto"/>
              </w:rPr>
            </w:pPr>
            <w:r>
              <w:rPr>
                <w:rFonts w:ascii="Arial" w:cs="Arial" w:eastAsia="Arial" w:hAnsi="Arial"/>
                <w:sz w:val="13"/>
                <w:szCs w:val="13"/>
                <w:color w:val="FFFFFF"/>
              </w:rPr>
              <w:t>​</w:t>
            </w:r>
          </w:p>
        </w:tc>
        <w:tc>
          <w:tcPr>
            <w:tcW w:w="0" w:type="dxa"/>
            <w:vAlign w:val="bottom"/>
          </w:tcPr>
          <w:p>
            <w:pPr>
              <w:spacing w:after="0"/>
              <w:rPr>
                <w:sz w:val="1"/>
                <w:szCs w:val="1"/>
                <w:color w:val="auto"/>
              </w:rPr>
            </w:pPr>
          </w:p>
        </w:tc>
      </w:tr>
      <w:tr>
        <w:trPr>
          <w:trHeight w:val="175"/>
        </w:trPr>
        <w:tc>
          <w:tcPr>
            <w:tcW w:w="80" w:type="dxa"/>
            <w:vAlign w:val="bottom"/>
            <w:shd w:val="clear" w:color="auto" w:fill="E5E5E5"/>
          </w:tcPr>
          <w:p>
            <w:pP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E5E5E5"/>
            </w:tcBorders>
            <w:shd w:val="clear" w:color="auto" w:fill="E5E5E5"/>
          </w:tcPr>
          <w:p>
            <w:pPr>
              <w:spacing w:after="0"/>
              <w:rPr>
                <w:sz w:val="20"/>
                <w:szCs w:val="20"/>
                <w:color w:val="auto"/>
              </w:rPr>
            </w:pPr>
            <w:r>
              <w:rPr>
                <w:rFonts w:ascii="Arial" w:cs="Arial" w:eastAsia="Arial" w:hAnsi="Arial"/>
                <w:sz w:val="14"/>
                <w:szCs w:val="14"/>
                <w:color w:val="auto"/>
              </w:rPr>
              <w:t>Liam K. Griffin</w:t>
            </w:r>
          </w:p>
        </w:tc>
        <w:tc>
          <w:tcPr>
            <w:tcW w:w="80" w:type="dxa"/>
            <w:vAlign w:val="bottom"/>
            <w:shd w:val="clear" w:color="auto" w:fill="E5E5E5"/>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​​904,000​</w:t>
            </w:r>
          </w:p>
        </w:tc>
        <w:tc>
          <w:tcPr>
            <w:tcW w:w="100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1,808,000​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60" w:type="dxa"/>
            <w:vAlign w:val="bottom"/>
            <w:gridSpan w:val="3"/>
            <w:shd w:val="clear" w:color="auto" w:fill="E5E5E5"/>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3,616,000​</w:t>
            </w: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200" w:type="dxa"/>
            <w:vAlign w:val="bottom"/>
            <w:shd w:val="clear" w:color="auto" w:fill="E5E5E5"/>
          </w:tcPr>
          <w:p>
            <w:pPr>
              <w:ind w:left="10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ind w:lef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80" w:type="dxa"/>
            <w:vAlign w:val="bottom"/>
            <w:shd w:val="clear" w:color="auto" w:fill="E5E5E5"/>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1360" w:type="dxa"/>
            <w:vAlign w:val="bottom"/>
            <w:gridSpan w:val="2"/>
          </w:tcPr>
          <w:p>
            <w:pPr>
              <w:jc w:val="right"/>
              <w:ind w:right="1173"/>
              <w:spacing w:after="0"/>
              <w:rPr>
                <w:sz w:val="20"/>
                <w:szCs w:val="20"/>
                <w:color w:val="auto"/>
              </w:rPr>
            </w:pPr>
            <w:r>
              <w:rPr>
                <w:rFonts w:ascii="Arial" w:cs="Arial" w:eastAsia="Arial" w:hAnsi="Arial"/>
                <w:sz w:val="14"/>
                <w:szCs w:val="14"/>
                <w:color w:val="auto"/>
              </w:rPr>
              <w:t>​ ​</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 xml:space="preserve">​​ ​11/10/2021​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60" w:type="dxa"/>
            <w:vAlign w:val="bottom"/>
            <w:gridSpan w:val="2"/>
          </w:tcPr>
          <w:p>
            <w:pPr>
              <w:jc w:val="right"/>
              <w:ind w:right="10"/>
              <w:spacing w:after="0"/>
              <w:rPr>
                <w:sz w:val="20"/>
                <w:szCs w:val="20"/>
                <w:color w:val="auto"/>
              </w:rPr>
            </w:pPr>
            <w:r>
              <w:rPr>
                <w:rFonts w:ascii="Arial" w:cs="Arial" w:eastAsia="Arial" w:hAnsi="Arial"/>
                <w:sz w:val="14"/>
                <w:szCs w:val="14"/>
                <w:color w:val="auto"/>
              </w:rPr>
              <w:t>​​23,860​</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​​47,720​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​​119,300​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7,987,851</w:t>
            </w:r>
            <w:r>
              <w:rPr>
                <w:rFonts w:ascii="Arial" w:cs="Arial" w:eastAsia="Arial" w:hAnsi="Arial"/>
                <w:sz w:val="14"/>
                <w:szCs w:val="14"/>
                <w:color w:val="0075A8"/>
              </w:rPr>
              <w:t>(4)</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jc w:val="right"/>
              <w:ind w:right="1173"/>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48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60" w:type="dxa"/>
            <w:vAlign w:val="bottom"/>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160" w:type="dxa"/>
            <w:vAlign w:val="bottom"/>
            <w:gridSpan w:val="2"/>
            <w:shd w:val="clear" w:color="auto" w:fill="BFBFBF"/>
          </w:tcPr>
          <w:p>
            <w:pPr>
              <w:spacing w:after="0" w:line="20" w:lineRule="exact"/>
              <w:rPr>
                <w:sz w:val="1"/>
                <w:szCs w:val="1"/>
                <w:color w:val="auto"/>
              </w:rPr>
            </w:pPr>
          </w:p>
        </w:tc>
        <w:tc>
          <w:tcPr>
            <w:tcW w:w="660" w:type="dxa"/>
            <w:vAlign w:val="bottom"/>
            <w:gridSpan w:val="2"/>
            <w:shd w:val="clear" w:color="auto" w:fill="BFBFBF"/>
          </w:tcPr>
          <w:p>
            <w:pPr>
              <w:spacing w:after="0" w:line="20" w:lineRule="exact"/>
              <w:rPr>
                <w:sz w:val="1"/>
                <w:szCs w:val="1"/>
                <w:color w:val="auto"/>
              </w:rPr>
            </w:pPr>
          </w:p>
        </w:tc>
        <w:tc>
          <w:tcPr>
            <w:tcW w:w="1060" w:type="dxa"/>
            <w:vAlign w:val="bottom"/>
            <w:gridSpan w:val="2"/>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gridSpan w:val="2"/>
            <w:vMerge w:val="continue"/>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 xml:space="preserve">​​ ​11/10/2021​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​​31,813​</w:t>
            </w: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5,099,942</w:t>
            </w:r>
            <w:r>
              <w:rPr>
                <w:rFonts w:ascii="Arial" w:cs="Arial" w:eastAsia="Arial" w:hAnsi="Arial"/>
                <w:sz w:val="14"/>
                <w:szCs w:val="14"/>
                <w:color w:val="0075A8"/>
              </w:rPr>
              <w:t>(5)</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1360" w:type="dxa"/>
            <w:vAlign w:val="bottom"/>
            <w:tcBorders>
              <w:right w:val="single" w:sz="8" w:color="E5E5E5"/>
            </w:tcBorders>
            <w:gridSpan w:val="2"/>
            <w:shd w:val="clear" w:color="auto" w:fill="E5E5E5"/>
          </w:tcPr>
          <w:p>
            <w:pPr>
              <w:spacing w:after="0"/>
              <w:rPr>
                <w:sz w:val="20"/>
                <w:szCs w:val="20"/>
                <w:color w:val="auto"/>
              </w:rPr>
            </w:pPr>
            <w:r>
              <w:rPr>
                <w:rFonts w:ascii="Arial" w:cs="Arial" w:eastAsia="Arial" w:hAnsi="Arial"/>
                <w:sz w:val="14"/>
                <w:szCs w:val="14"/>
                <w:color w:val="auto"/>
              </w:rPr>
              <w:t>​ Kris Sennesael</w:t>
            </w:r>
          </w:p>
        </w:tc>
        <w:tc>
          <w:tcPr>
            <w:tcW w:w="80" w:type="dxa"/>
            <w:vAlign w:val="bottom"/>
            <w:shd w:val="clear" w:color="auto" w:fill="E5E5E5"/>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​​294,000​</w:t>
            </w:r>
          </w:p>
        </w:tc>
        <w:tc>
          <w:tcPr>
            <w:tcW w:w="260" w:type="dxa"/>
            <w:vAlign w:val="bottom"/>
            <w:shd w:val="clear" w:color="auto" w:fill="E5E5E5"/>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xml:space="preserve">588,000​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60" w:type="dxa"/>
            <w:vAlign w:val="bottom"/>
            <w:gridSpan w:val="3"/>
            <w:shd w:val="clear" w:color="auto" w:fill="E5E5E5"/>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1,176,000​</w:t>
            </w: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200" w:type="dxa"/>
            <w:vAlign w:val="bottom"/>
            <w:shd w:val="clear" w:color="auto" w:fill="E5E5E5"/>
          </w:tcPr>
          <w:p>
            <w:pPr>
              <w:ind w:left="10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ind w:lef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80" w:type="dxa"/>
            <w:vAlign w:val="bottom"/>
            <w:shd w:val="clear" w:color="auto" w:fill="E5E5E5"/>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1360" w:type="dxa"/>
            <w:vAlign w:val="bottom"/>
            <w:gridSpan w:val="2"/>
          </w:tcPr>
          <w:p>
            <w:pPr>
              <w:jc w:val="right"/>
              <w:ind w:right="1173"/>
              <w:spacing w:after="0"/>
              <w:rPr>
                <w:sz w:val="20"/>
                <w:szCs w:val="20"/>
                <w:color w:val="auto"/>
              </w:rPr>
            </w:pPr>
            <w:r>
              <w:rPr>
                <w:rFonts w:ascii="Arial" w:cs="Arial" w:eastAsia="Arial" w:hAnsi="Arial"/>
                <w:sz w:val="14"/>
                <w:szCs w:val="14"/>
                <w:color w:val="auto"/>
              </w:rPr>
              <w:t>​ ​</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 xml:space="preserve">​​ ​11/10/2021​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60" w:type="dxa"/>
            <w:vAlign w:val="bottom"/>
            <w:gridSpan w:val="2"/>
          </w:tcPr>
          <w:p>
            <w:pPr>
              <w:jc w:val="right"/>
              <w:ind w:right="10"/>
              <w:spacing w:after="0"/>
              <w:rPr>
                <w:sz w:val="20"/>
                <w:szCs w:val="20"/>
                <w:color w:val="auto"/>
              </w:rPr>
            </w:pPr>
            <w:r>
              <w:rPr>
                <w:rFonts w:ascii="Arial" w:cs="Arial" w:eastAsia="Arial" w:hAnsi="Arial"/>
                <w:sz w:val="14"/>
                <w:szCs w:val="14"/>
                <w:color w:val="auto"/>
              </w:rPr>
              <w:t>​​ 7,532​</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​​15,064​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37,660​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2,521,563</w:t>
            </w:r>
            <w:r>
              <w:rPr>
                <w:rFonts w:ascii="Arial" w:cs="Arial" w:eastAsia="Arial" w:hAnsi="Arial"/>
                <w:sz w:val="14"/>
                <w:szCs w:val="14"/>
                <w:color w:val="0075A8"/>
              </w:rPr>
              <w:t>(4)</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jc w:val="right"/>
              <w:ind w:right="1173"/>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48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60" w:type="dxa"/>
            <w:vAlign w:val="bottom"/>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160" w:type="dxa"/>
            <w:vAlign w:val="bottom"/>
            <w:gridSpan w:val="2"/>
            <w:shd w:val="clear" w:color="auto" w:fill="BFBFBF"/>
          </w:tcPr>
          <w:p>
            <w:pPr>
              <w:spacing w:after="0" w:line="20" w:lineRule="exact"/>
              <w:rPr>
                <w:sz w:val="1"/>
                <w:szCs w:val="1"/>
                <w:color w:val="auto"/>
              </w:rPr>
            </w:pPr>
          </w:p>
        </w:tc>
        <w:tc>
          <w:tcPr>
            <w:tcW w:w="660" w:type="dxa"/>
            <w:vAlign w:val="bottom"/>
            <w:gridSpan w:val="2"/>
            <w:shd w:val="clear" w:color="auto" w:fill="BFBFBF"/>
          </w:tcPr>
          <w:p>
            <w:pPr>
              <w:spacing w:after="0" w:line="20" w:lineRule="exact"/>
              <w:rPr>
                <w:sz w:val="1"/>
                <w:szCs w:val="1"/>
                <w:color w:val="auto"/>
              </w:rPr>
            </w:pPr>
          </w:p>
        </w:tc>
        <w:tc>
          <w:tcPr>
            <w:tcW w:w="1060" w:type="dxa"/>
            <w:vAlign w:val="bottom"/>
            <w:gridSpan w:val="2"/>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gridSpan w:val="2"/>
            <w:vMerge w:val="continue"/>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 xml:space="preserve">​​ ​11/10/2021​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​​10,043​</w:t>
            </w: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1,609,993</w:t>
            </w:r>
            <w:r>
              <w:rPr>
                <w:rFonts w:ascii="Arial" w:cs="Arial" w:eastAsia="Arial" w:hAnsi="Arial"/>
                <w:sz w:val="14"/>
                <w:szCs w:val="14"/>
                <w:color w:val="0075A8"/>
              </w:rPr>
              <w:t>(5)</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1360" w:type="dxa"/>
            <w:vAlign w:val="bottom"/>
            <w:tcBorders>
              <w:right w:val="single" w:sz="8" w:color="E5E5E5"/>
            </w:tcBorders>
            <w:gridSpan w:val="2"/>
            <w:shd w:val="clear" w:color="auto" w:fill="E5E5E5"/>
          </w:tcPr>
          <w:p>
            <w:pPr>
              <w:spacing w:after="0"/>
              <w:rPr>
                <w:sz w:val="20"/>
                <w:szCs w:val="20"/>
                <w:color w:val="auto"/>
              </w:rPr>
            </w:pPr>
            <w:r>
              <w:rPr>
                <w:rFonts w:ascii="Arial" w:cs="Arial" w:eastAsia="Arial" w:hAnsi="Arial"/>
                <w:sz w:val="14"/>
                <w:szCs w:val="14"/>
                <w:color w:val="auto"/>
              </w:rPr>
              <w:t>​ Reza Kasnavi</w:t>
            </w:r>
          </w:p>
        </w:tc>
        <w:tc>
          <w:tcPr>
            <w:tcW w:w="80" w:type="dxa"/>
            <w:vAlign w:val="bottom"/>
            <w:shd w:val="clear" w:color="auto" w:fill="E5E5E5"/>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​​222,800​</w:t>
            </w:r>
          </w:p>
        </w:tc>
        <w:tc>
          <w:tcPr>
            <w:tcW w:w="260" w:type="dxa"/>
            <w:vAlign w:val="bottom"/>
            <w:shd w:val="clear" w:color="auto" w:fill="E5E5E5"/>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xml:space="preserve">445,600​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xml:space="preserve">891,200​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00" w:type="dxa"/>
            <w:vAlign w:val="bottom"/>
            <w:shd w:val="clear" w:color="auto" w:fill="E5E5E5"/>
          </w:tcPr>
          <w:p>
            <w:pPr>
              <w:ind w:left="10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ind w:lef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80" w:type="dxa"/>
            <w:vAlign w:val="bottom"/>
            <w:shd w:val="clear" w:color="auto" w:fill="E5E5E5"/>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1360" w:type="dxa"/>
            <w:vAlign w:val="bottom"/>
            <w:gridSpan w:val="2"/>
          </w:tcPr>
          <w:p>
            <w:pPr>
              <w:jc w:val="right"/>
              <w:ind w:right="1173"/>
              <w:spacing w:after="0"/>
              <w:rPr>
                <w:sz w:val="20"/>
                <w:szCs w:val="20"/>
                <w:color w:val="auto"/>
              </w:rPr>
            </w:pPr>
            <w:r>
              <w:rPr>
                <w:rFonts w:ascii="Arial" w:cs="Arial" w:eastAsia="Arial" w:hAnsi="Arial"/>
                <w:sz w:val="14"/>
                <w:szCs w:val="14"/>
                <w:color w:val="auto"/>
              </w:rPr>
              <w:t>​ ​</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 xml:space="preserve">​​ ​11/10/2021​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60" w:type="dxa"/>
            <w:vAlign w:val="bottom"/>
            <w:gridSpan w:val="2"/>
          </w:tcPr>
          <w:p>
            <w:pPr>
              <w:jc w:val="right"/>
              <w:ind w:right="10"/>
              <w:spacing w:after="0"/>
              <w:rPr>
                <w:sz w:val="20"/>
                <w:szCs w:val="20"/>
                <w:color w:val="auto"/>
              </w:rPr>
            </w:pPr>
            <w:r>
              <w:rPr>
                <w:rFonts w:ascii="Arial" w:cs="Arial" w:eastAsia="Arial" w:hAnsi="Arial"/>
                <w:sz w:val="14"/>
                <w:szCs w:val="14"/>
                <w:color w:val="auto"/>
              </w:rPr>
              <w:t>​​ 7,317​</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​​14,634​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36,585​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2,449,585</w:t>
            </w:r>
            <w:r>
              <w:rPr>
                <w:rFonts w:ascii="Arial" w:cs="Arial" w:eastAsia="Arial" w:hAnsi="Arial"/>
                <w:sz w:val="14"/>
                <w:szCs w:val="14"/>
                <w:color w:val="0075A8"/>
              </w:rPr>
              <w:t>(4)</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jc w:val="right"/>
              <w:ind w:right="1173"/>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48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60" w:type="dxa"/>
            <w:vAlign w:val="bottom"/>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160" w:type="dxa"/>
            <w:vAlign w:val="bottom"/>
            <w:gridSpan w:val="2"/>
            <w:shd w:val="clear" w:color="auto" w:fill="BFBFBF"/>
          </w:tcPr>
          <w:p>
            <w:pPr>
              <w:spacing w:after="0" w:line="20" w:lineRule="exact"/>
              <w:rPr>
                <w:sz w:val="1"/>
                <w:szCs w:val="1"/>
                <w:color w:val="auto"/>
              </w:rPr>
            </w:pPr>
          </w:p>
        </w:tc>
        <w:tc>
          <w:tcPr>
            <w:tcW w:w="660" w:type="dxa"/>
            <w:vAlign w:val="bottom"/>
            <w:gridSpan w:val="2"/>
            <w:shd w:val="clear" w:color="auto" w:fill="BFBFBF"/>
          </w:tcPr>
          <w:p>
            <w:pPr>
              <w:spacing w:after="0" w:line="20" w:lineRule="exact"/>
              <w:rPr>
                <w:sz w:val="1"/>
                <w:szCs w:val="1"/>
                <w:color w:val="auto"/>
              </w:rPr>
            </w:pPr>
          </w:p>
        </w:tc>
        <w:tc>
          <w:tcPr>
            <w:tcW w:w="1060" w:type="dxa"/>
            <w:vAlign w:val="bottom"/>
            <w:gridSpan w:val="2"/>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gridSpan w:val="2"/>
            <w:vMerge w:val="continue"/>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 xml:space="preserve">​​ ​11/10/2021​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 9,756​</w:t>
            </w: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1,563,984</w:t>
            </w:r>
            <w:r>
              <w:rPr>
                <w:rFonts w:ascii="Arial" w:cs="Arial" w:eastAsia="Arial" w:hAnsi="Arial"/>
                <w:sz w:val="14"/>
                <w:szCs w:val="14"/>
                <w:color w:val="0075A8"/>
              </w:rPr>
              <w:t>(5)</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360" w:type="dxa"/>
            <w:vAlign w:val="bottom"/>
            <w:tcBorders>
              <w:right w:val="single" w:sz="8" w:color="E5E5E5"/>
            </w:tcBorders>
            <w:gridSpan w:val="2"/>
            <w:vMerge w:val="restart"/>
            <w:shd w:val="clear" w:color="auto" w:fill="E5E5E5"/>
          </w:tcPr>
          <w:p>
            <w:pPr>
              <w:spacing w:after="0"/>
              <w:rPr>
                <w:sz w:val="20"/>
                <w:szCs w:val="20"/>
                <w:color w:val="auto"/>
              </w:rPr>
            </w:pPr>
            <w:r>
              <w:rPr>
                <w:rFonts w:ascii="Arial" w:cs="Arial" w:eastAsia="Arial" w:hAnsi="Arial"/>
                <w:sz w:val="14"/>
                <w:szCs w:val="14"/>
                <w:color w:val="auto"/>
              </w:rPr>
              <w:t>​ Carlos S. Bori</w:t>
            </w:r>
          </w:p>
        </w:tc>
        <w:tc>
          <w:tcPr>
            <w:tcW w:w="80" w:type="dxa"/>
            <w:vAlign w:val="bottom"/>
            <w:shd w:val="clear" w:color="auto" w:fill="BFBFBF"/>
          </w:tcPr>
          <w:p>
            <w:pPr>
              <w:spacing w:after="0" w:line="20" w:lineRule="exact"/>
              <w:rPr>
                <w:sz w:val="1"/>
                <w:szCs w:val="1"/>
                <w:color w:val="auto"/>
              </w:rPr>
            </w:pPr>
          </w:p>
        </w:tc>
        <w:tc>
          <w:tcPr>
            <w:tcW w:w="76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660" w:type="dxa"/>
            <w:vAlign w:val="bottom"/>
            <w:gridSpan w:val="2"/>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740" w:type="dxa"/>
            <w:vAlign w:val="bottom"/>
            <w:gridSpan w:val="2"/>
            <w:shd w:val="clear" w:color="auto" w:fill="BFBFBF"/>
          </w:tcPr>
          <w:p>
            <w:pPr>
              <w:spacing w:after="0" w:line="20" w:lineRule="exact"/>
              <w:rPr>
                <w:sz w:val="1"/>
                <w:szCs w:val="1"/>
                <w:color w:val="auto"/>
              </w:rPr>
            </w:pPr>
          </w:p>
        </w:tc>
        <w:tc>
          <w:tcPr>
            <w:tcW w:w="60" w:type="dxa"/>
            <w:vAlign w:val="bottom"/>
            <w:shd w:val="clear" w:color="auto" w:fill="BFBFBF"/>
          </w:tcPr>
          <w:p>
            <w:pPr>
              <w:spacing w:after="0" w:line="20" w:lineRule="exact"/>
              <w:rPr>
                <w:sz w:val="1"/>
                <w:szCs w:val="1"/>
                <w:color w:val="auto"/>
              </w:rPr>
            </w:pPr>
          </w:p>
        </w:tc>
        <w:tc>
          <w:tcPr>
            <w:tcW w:w="800" w:type="dxa"/>
            <w:vAlign w:val="bottom"/>
            <w:gridSpan w:val="2"/>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160" w:type="dxa"/>
            <w:vAlign w:val="bottom"/>
            <w:gridSpan w:val="2"/>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80" w:type="dxa"/>
            <w:vAlign w:val="bottom"/>
            <w:shd w:val="clear" w:color="auto" w:fill="BFBFBF"/>
          </w:tcPr>
          <w:p>
            <w:pPr>
              <w:spacing w:after="0" w:line="20" w:lineRule="exact"/>
              <w:rPr>
                <w:sz w:val="1"/>
                <w:szCs w:val="1"/>
                <w:color w:val="auto"/>
              </w:rPr>
            </w:pPr>
          </w:p>
        </w:tc>
        <w:tc>
          <w:tcPr>
            <w:tcW w:w="780" w:type="dxa"/>
            <w:vAlign w:val="bottom"/>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tcBorders>
              <w:right w:val="single" w:sz="8" w:color="E5E5E5"/>
            </w:tcBorders>
            <w:gridSpan w:val="2"/>
            <w:vMerge w:val="continue"/>
            <w:shd w:val="clear" w:color="auto" w:fill="E5E5E5"/>
          </w:tcPr>
          <w:p>
            <w:pPr>
              <w:spacing w:after="0"/>
              <w:rPr>
                <w:sz w:val="14"/>
                <w:szCs w:val="14"/>
                <w:color w:val="auto"/>
              </w:rPr>
            </w:pPr>
          </w:p>
        </w:tc>
        <w:tc>
          <w:tcPr>
            <w:tcW w:w="80" w:type="dxa"/>
            <w:vAlign w:val="bottom"/>
            <w:shd w:val="clear" w:color="auto" w:fill="E5E5E5"/>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​​208,000​</w:t>
            </w:r>
          </w:p>
        </w:tc>
        <w:tc>
          <w:tcPr>
            <w:tcW w:w="260" w:type="dxa"/>
            <w:vAlign w:val="bottom"/>
            <w:shd w:val="clear" w:color="auto" w:fill="E5E5E5"/>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xml:space="preserve">416,000​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xml:space="preserve">832,000​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00" w:type="dxa"/>
            <w:vAlign w:val="bottom"/>
            <w:shd w:val="clear" w:color="auto" w:fill="E5E5E5"/>
          </w:tcPr>
          <w:p>
            <w:pPr>
              <w:ind w:left="10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ind w:lef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80" w:type="dxa"/>
            <w:vAlign w:val="bottom"/>
            <w:shd w:val="clear" w:color="auto" w:fill="E5E5E5"/>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1360" w:type="dxa"/>
            <w:vAlign w:val="bottom"/>
            <w:gridSpan w:val="2"/>
          </w:tcPr>
          <w:p>
            <w:pPr>
              <w:jc w:val="right"/>
              <w:ind w:right="1173"/>
              <w:spacing w:after="0"/>
              <w:rPr>
                <w:sz w:val="20"/>
                <w:szCs w:val="20"/>
                <w:color w:val="auto"/>
              </w:rPr>
            </w:pPr>
            <w:r>
              <w:rPr>
                <w:rFonts w:ascii="Arial" w:cs="Arial" w:eastAsia="Arial" w:hAnsi="Arial"/>
                <w:sz w:val="14"/>
                <w:szCs w:val="14"/>
                <w:color w:val="auto"/>
              </w:rPr>
              <w:t>​ ​</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 xml:space="preserve">​​ ​11/10/2021​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60" w:type="dxa"/>
            <w:vAlign w:val="bottom"/>
            <w:gridSpan w:val="2"/>
          </w:tcPr>
          <w:p>
            <w:pPr>
              <w:jc w:val="right"/>
              <w:ind w:right="10"/>
              <w:spacing w:after="0"/>
              <w:rPr>
                <w:sz w:val="20"/>
                <w:szCs w:val="20"/>
                <w:color w:val="auto"/>
              </w:rPr>
            </w:pPr>
            <w:r>
              <w:rPr>
                <w:rFonts w:ascii="Arial" w:cs="Arial" w:eastAsia="Arial" w:hAnsi="Arial"/>
                <w:sz w:val="14"/>
                <w:szCs w:val="14"/>
                <w:color w:val="auto"/>
              </w:rPr>
              <w:t>​​ 7,317​</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​​14,634​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36,585​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2,449,585</w:t>
            </w:r>
            <w:r>
              <w:rPr>
                <w:rFonts w:ascii="Arial" w:cs="Arial" w:eastAsia="Arial" w:hAnsi="Arial"/>
                <w:sz w:val="14"/>
                <w:szCs w:val="14"/>
                <w:color w:val="0075A8"/>
              </w:rPr>
              <w:t>(4)</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jc w:val="right"/>
              <w:ind w:right="1173"/>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48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60" w:type="dxa"/>
            <w:vAlign w:val="bottom"/>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160" w:type="dxa"/>
            <w:vAlign w:val="bottom"/>
            <w:gridSpan w:val="2"/>
            <w:shd w:val="clear" w:color="auto" w:fill="BFBFBF"/>
          </w:tcPr>
          <w:p>
            <w:pPr>
              <w:spacing w:after="0" w:line="20" w:lineRule="exact"/>
              <w:rPr>
                <w:sz w:val="1"/>
                <w:szCs w:val="1"/>
                <w:color w:val="auto"/>
              </w:rPr>
            </w:pPr>
          </w:p>
        </w:tc>
        <w:tc>
          <w:tcPr>
            <w:tcW w:w="660" w:type="dxa"/>
            <w:vAlign w:val="bottom"/>
            <w:gridSpan w:val="2"/>
            <w:shd w:val="clear" w:color="auto" w:fill="BFBFBF"/>
          </w:tcPr>
          <w:p>
            <w:pPr>
              <w:spacing w:after="0" w:line="20" w:lineRule="exact"/>
              <w:rPr>
                <w:sz w:val="1"/>
                <w:szCs w:val="1"/>
                <w:color w:val="auto"/>
              </w:rPr>
            </w:pPr>
          </w:p>
        </w:tc>
        <w:tc>
          <w:tcPr>
            <w:tcW w:w="1060" w:type="dxa"/>
            <w:vAlign w:val="bottom"/>
            <w:gridSpan w:val="2"/>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gridSpan w:val="2"/>
            <w:vMerge w:val="continue"/>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 xml:space="preserve">​​ ​11/10/2021​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 9,756​</w:t>
            </w: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1,563,984</w:t>
            </w:r>
            <w:r>
              <w:rPr>
                <w:rFonts w:ascii="Arial" w:cs="Arial" w:eastAsia="Arial" w:hAnsi="Arial"/>
                <w:sz w:val="14"/>
                <w:szCs w:val="14"/>
                <w:color w:val="0075A8"/>
              </w:rPr>
              <w:t>(5)</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1360" w:type="dxa"/>
            <w:vAlign w:val="bottom"/>
            <w:tcBorders>
              <w:right w:val="single" w:sz="8" w:color="E5E5E5"/>
            </w:tcBorders>
            <w:gridSpan w:val="2"/>
            <w:shd w:val="clear" w:color="auto" w:fill="E5E5E5"/>
          </w:tcPr>
          <w:p>
            <w:pPr>
              <w:spacing w:after="0"/>
              <w:rPr>
                <w:sz w:val="20"/>
                <w:szCs w:val="20"/>
                <w:color w:val="auto"/>
              </w:rPr>
            </w:pPr>
            <w:r>
              <w:rPr>
                <w:rFonts w:ascii="Arial" w:cs="Arial" w:eastAsia="Arial" w:hAnsi="Arial"/>
                <w:sz w:val="14"/>
                <w:szCs w:val="14"/>
                <w:color w:val="auto"/>
              </w:rPr>
              <w:t>​ Robert J. Terry</w:t>
            </w:r>
          </w:p>
        </w:tc>
        <w:tc>
          <w:tcPr>
            <w:tcW w:w="80" w:type="dxa"/>
            <w:vAlign w:val="bottom"/>
            <w:shd w:val="clear" w:color="auto" w:fill="E5E5E5"/>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​​208,800​</w:t>
            </w:r>
          </w:p>
        </w:tc>
        <w:tc>
          <w:tcPr>
            <w:tcW w:w="260" w:type="dxa"/>
            <w:vAlign w:val="bottom"/>
            <w:shd w:val="clear" w:color="auto" w:fill="E5E5E5"/>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xml:space="preserve">417,600​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 xml:space="preserve">835,200​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00" w:type="dxa"/>
            <w:vAlign w:val="bottom"/>
            <w:shd w:val="clear" w:color="auto" w:fill="E5E5E5"/>
          </w:tcPr>
          <w:p>
            <w:pPr>
              <w:ind w:left="10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ind w:lef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80" w:type="dxa"/>
            <w:vAlign w:val="bottom"/>
            <w:shd w:val="clear" w:color="auto" w:fill="E5E5E5"/>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1360" w:type="dxa"/>
            <w:vAlign w:val="bottom"/>
            <w:gridSpan w:val="2"/>
          </w:tcPr>
          <w:p>
            <w:pPr>
              <w:jc w:val="right"/>
              <w:ind w:right="1173"/>
              <w:spacing w:after="0"/>
              <w:rPr>
                <w:sz w:val="20"/>
                <w:szCs w:val="20"/>
                <w:color w:val="auto"/>
              </w:rPr>
            </w:pPr>
            <w:r>
              <w:rPr>
                <w:rFonts w:ascii="Arial" w:cs="Arial" w:eastAsia="Arial" w:hAnsi="Arial"/>
                <w:sz w:val="14"/>
                <w:szCs w:val="14"/>
                <w:color w:val="auto"/>
              </w:rPr>
              <w:t>​ ​</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 xml:space="preserve">​​ ​11/10/2021​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60" w:type="dxa"/>
            <w:vAlign w:val="bottom"/>
            <w:gridSpan w:val="2"/>
          </w:tcPr>
          <w:p>
            <w:pPr>
              <w:jc w:val="right"/>
              <w:ind w:right="10"/>
              <w:spacing w:after="0"/>
              <w:rPr>
                <w:sz w:val="20"/>
                <w:szCs w:val="20"/>
                <w:color w:val="auto"/>
              </w:rPr>
            </w:pPr>
            <w:r>
              <w:rPr>
                <w:rFonts w:ascii="Arial" w:cs="Arial" w:eastAsia="Arial" w:hAnsi="Arial"/>
                <w:sz w:val="14"/>
                <w:szCs w:val="14"/>
                <w:color w:val="auto"/>
              </w:rPr>
              <w:t>​​ 6,025​</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​​12,051​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30,127​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2,017,217</w:t>
            </w:r>
            <w:r>
              <w:rPr>
                <w:rFonts w:ascii="Arial" w:cs="Arial" w:eastAsia="Arial" w:hAnsi="Arial"/>
                <w:sz w:val="14"/>
                <w:szCs w:val="14"/>
                <w:color w:val="0075A8"/>
              </w:rPr>
              <w:t>(4)</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jc w:val="right"/>
              <w:ind w:right="1173"/>
              <w:spacing w:after="0"/>
              <w:rPr>
                <w:sz w:val="20"/>
                <w:szCs w:val="20"/>
                <w:color w:val="auto"/>
              </w:rPr>
            </w:pPr>
            <w:r>
              <w:rPr>
                <w:rFonts w:ascii="Arial" w:cs="Arial" w:eastAsia="Arial" w:hAnsi="Arial"/>
                <w:sz w:val="14"/>
                <w:szCs w:val="14"/>
                <w:color w:val="auto"/>
              </w:rPr>
              <w:t>​ ​</w:t>
            </w:r>
          </w:p>
        </w:tc>
        <w:tc>
          <w:tcPr>
            <w:tcW w:w="80" w:type="dxa"/>
            <w:vAlign w:val="bottom"/>
            <w:shd w:val="clear" w:color="auto" w:fill="BFBFBF"/>
          </w:tcPr>
          <w:p>
            <w:pPr>
              <w:spacing w:after="0" w:line="20" w:lineRule="exact"/>
              <w:rPr>
                <w:sz w:val="1"/>
                <w:szCs w:val="1"/>
                <w:color w:val="auto"/>
              </w:rPr>
            </w:pPr>
          </w:p>
        </w:tc>
        <w:tc>
          <w:tcPr>
            <w:tcW w:w="76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48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40" w:type="dxa"/>
            <w:vAlign w:val="bottom"/>
            <w:shd w:val="clear" w:color="auto" w:fill="BFBFBF"/>
          </w:tcPr>
          <w:p>
            <w:pPr>
              <w:spacing w:after="0" w:line="20" w:lineRule="exact"/>
              <w:rPr>
                <w:sz w:val="1"/>
                <w:szCs w:val="1"/>
                <w:color w:val="auto"/>
              </w:rPr>
            </w:pPr>
          </w:p>
        </w:tc>
        <w:tc>
          <w:tcPr>
            <w:tcW w:w="60" w:type="dxa"/>
            <w:vAlign w:val="bottom"/>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460" w:type="dxa"/>
            <w:vAlign w:val="bottom"/>
            <w:shd w:val="clear" w:color="auto" w:fill="BFBFBF"/>
          </w:tcPr>
          <w:p>
            <w:pPr>
              <w:spacing w:after="0" w:line="20" w:lineRule="exact"/>
              <w:rPr>
                <w:sz w:val="1"/>
                <w:szCs w:val="1"/>
                <w:color w:val="auto"/>
              </w:rPr>
            </w:pPr>
          </w:p>
        </w:tc>
        <w:tc>
          <w:tcPr>
            <w:tcW w:w="22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200" w:type="dxa"/>
            <w:vAlign w:val="bottom"/>
            <w:shd w:val="clear" w:color="auto" w:fill="BFBFBF"/>
          </w:tcPr>
          <w:p>
            <w:pPr>
              <w:spacing w:after="0" w:line="20" w:lineRule="exact"/>
              <w:rPr>
                <w:sz w:val="1"/>
                <w:szCs w:val="1"/>
                <w:color w:val="auto"/>
              </w:rPr>
            </w:pPr>
          </w:p>
        </w:tc>
        <w:tc>
          <w:tcPr>
            <w:tcW w:w="580" w:type="dxa"/>
            <w:vAlign w:val="bottom"/>
            <w:shd w:val="clear" w:color="auto" w:fill="BFBFBF"/>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160" w:type="dxa"/>
            <w:vAlign w:val="bottom"/>
            <w:gridSpan w:val="2"/>
            <w:shd w:val="clear" w:color="auto" w:fill="BFBFBF"/>
          </w:tcPr>
          <w:p>
            <w:pPr>
              <w:spacing w:after="0" w:line="20" w:lineRule="exact"/>
              <w:rPr>
                <w:sz w:val="1"/>
                <w:szCs w:val="1"/>
                <w:color w:val="auto"/>
              </w:rPr>
            </w:pPr>
          </w:p>
        </w:tc>
        <w:tc>
          <w:tcPr>
            <w:tcW w:w="660" w:type="dxa"/>
            <w:vAlign w:val="bottom"/>
            <w:gridSpan w:val="2"/>
            <w:shd w:val="clear" w:color="auto" w:fill="BFBFBF"/>
          </w:tcPr>
          <w:p>
            <w:pPr>
              <w:spacing w:after="0" w:line="20" w:lineRule="exact"/>
              <w:rPr>
                <w:sz w:val="1"/>
                <w:szCs w:val="1"/>
                <w:color w:val="auto"/>
              </w:rPr>
            </w:pPr>
          </w:p>
        </w:tc>
        <w:tc>
          <w:tcPr>
            <w:tcW w:w="1060" w:type="dxa"/>
            <w:vAlign w:val="bottom"/>
            <w:gridSpan w:val="2"/>
            <w:shd w:val="clear" w:color="auto" w:fill="BFBFBF"/>
          </w:tcPr>
          <w:p>
            <w:pPr>
              <w:spacing w:after="0" w:line="20" w:lineRule="exact"/>
              <w:rPr>
                <w:sz w:val="1"/>
                <w:szCs w:val="1"/>
                <w:color w:val="auto"/>
              </w:rPr>
            </w:pPr>
          </w:p>
        </w:tc>
        <w:tc>
          <w:tcPr>
            <w:tcW w:w="16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60" w:type="dxa"/>
            <w:vAlign w:val="bottom"/>
            <w:gridSpan w:val="2"/>
            <w:vMerge w:val="continue"/>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xml:space="preserve">​11/10/2021​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 8,034​</w:t>
            </w: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1,287,931</w:t>
            </w:r>
            <w:r>
              <w:rPr>
                <w:rFonts w:ascii="Arial" w:cs="Arial" w:eastAsia="Arial" w:hAnsi="Arial"/>
                <w:sz w:val="14"/>
                <w:szCs w:val="14"/>
                <w:color w:val="0075A8"/>
              </w:rPr>
              <w:t>(5)</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80" w:type="dxa"/>
            <w:vAlign w:val="bottom"/>
            <w:tcBorders>
              <w:bottom w:val="single" w:sz="8" w:color="CCCCCC"/>
            </w:tcBorders>
          </w:tcPr>
          <w:p>
            <w:pPr>
              <w:spacing w:after="0"/>
              <w:rPr>
                <w:sz w:val="2"/>
                <w:szCs w:val="2"/>
                <w:color w:val="auto"/>
              </w:rPr>
            </w:pPr>
          </w:p>
        </w:tc>
        <w:tc>
          <w:tcPr>
            <w:tcW w:w="128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760" w:type="dxa"/>
            <w:vAlign w:val="bottom"/>
            <w:tcBorders>
              <w:bottom w:val="single" w:sz="8" w:color="CCCCCC"/>
            </w:tcBorders>
          </w:tcPr>
          <w:p>
            <w:pPr>
              <w:spacing w:after="0"/>
              <w:rPr>
                <w:sz w:val="2"/>
                <w:szCs w:val="2"/>
                <w:color w:val="auto"/>
              </w:rPr>
            </w:pPr>
          </w:p>
        </w:tc>
        <w:tc>
          <w:tcPr>
            <w:tcW w:w="260" w:type="dxa"/>
            <w:vAlign w:val="bottom"/>
            <w:tcBorders>
              <w:bottom w:val="single" w:sz="8" w:color="CCCCCC"/>
            </w:tcBorders>
          </w:tcPr>
          <w:p>
            <w:pPr>
              <w:spacing w:after="0"/>
              <w:rPr>
                <w:sz w:val="2"/>
                <w:szCs w:val="2"/>
                <w:color w:val="auto"/>
              </w:rPr>
            </w:pPr>
          </w:p>
        </w:tc>
        <w:tc>
          <w:tcPr>
            <w:tcW w:w="180" w:type="dxa"/>
            <w:vAlign w:val="bottom"/>
            <w:tcBorders>
              <w:bottom w:val="single" w:sz="8" w:color="CCCCCC"/>
            </w:tcBorders>
          </w:tcPr>
          <w:p>
            <w:pPr>
              <w:spacing w:after="0"/>
              <w:rPr>
                <w:sz w:val="2"/>
                <w:szCs w:val="2"/>
                <w:color w:val="auto"/>
              </w:rPr>
            </w:pPr>
          </w:p>
        </w:tc>
        <w:tc>
          <w:tcPr>
            <w:tcW w:w="480" w:type="dxa"/>
            <w:vAlign w:val="bottom"/>
            <w:tcBorders>
              <w:bottom w:val="single" w:sz="8" w:color="CCCCCC"/>
            </w:tcBorders>
          </w:tcPr>
          <w:p>
            <w:pPr>
              <w:spacing w:after="0"/>
              <w:rPr>
                <w:sz w:val="2"/>
                <w:szCs w:val="2"/>
                <w:color w:val="auto"/>
              </w:rPr>
            </w:pPr>
          </w:p>
        </w:tc>
        <w:tc>
          <w:tcPr>
            <w:tcW w:w="260" w:type="dxa"/>
            <w:vAlign w:val="bottom"/>
            <w:tcBorders>
              <w:bottom w:val="single" w:sz="8" w:color="CCCCCC"/>
            </w:tcBorders>
          </w:tcPr>
          <w:p>
            <w:pPr>
              <w:spacing w:after="0"/>
              <w:rPr>
                <w:sz w:val="2"/>
                <w:szCs w:val="2"/>
                <w:color w:val="auto"/>
              </w:rPr>
            </w:pPr>
          </w:p>
        </w:tc>
        <w:tc>
          <w:tcPr>
            <w:tcW w:w="500" w:type="dxa"/>
            <w:vAlign w:val="bottom"/>
            <w:tcBorders>
              <w:bottom w:val="single" w:sz="8" w:color="CCCCCC"/>
            </w:tcBorders>
          </w:tcPr>
          <w:p>
            <w:pPr>
              <w:spacing w:after="0"/>
              <w:rPr>
                <w:sz w:val="2"/>
                <w:szCs w:val="2"/>
                <w:color w:val="auto"/>
              </w:rPr>
            </w:pPr>
          </w:p>
        </w:tc>
        <w:tc>
          <w:tcPr>
            <w:tcW w:w="240" w:type="dxa"/>
            <w:vAlign w:val="bottom"/>
            <w:tcBorders>
              <w:bottom w:val="single" w:sz="8" w:color="CCCCCC"/>
            </w:tcBorders>
          </w:tcPr>
          <w:p>
            <w:pPr>
              <w:spacing w:after="0"/>
              <w:rPr>
                <w:sz w:val="2"/>
                <w:szCs w:val="2"/>
                <w:color w:val="auto"/>
              </w:rPr>
            </w:pPr>
          </w:p>
        </w:tc>
        <w:tc>
          <w:tcPr>
            <w:tcW w:w="60" w:type="dxa"/>
            <w:vAlign w:val="bottom"/>
            <w:tcBorders>
              <w:bottom w:val="single" w:sz="8" w:color="CCCCCC"/>
            </w:tcBorders>
          </w:tcPr>
          <w:p>
            <w:pPr>
              <w:spacing w:after="0"/>
              <w:rPr>
                <w:sz w:val="2"/>
                <w:szCs w:val="2"/>
                <w:color w:val="auto"/>
              </w:rPr>
            </w:pPr>
          </w:p>
        </w:tc>
        <w:tc>
          <w:tcPr>
            <w:tcW w:w="580" w:type="dxa"/>
            <w:vAlign w:val="bottom"/>
            <w:tcBorders>
              <w:bottom w:val="single" w:sz="8" w:color="CCCCCC"/>
            </w:tcBorders>
          </w:tcPr>
          <w:p>
            <w:pPr>
              <w:spacing w:after="0"/>
              <w:rPr>
                <w:sz w:val="2"/>
                <w:szCs w:val="2"/>
                <w:color w:val="auto"/>
              </w:rPr>
            </w:pPr>
          </w:p>
        </w:tc>
        <w:tc>
          <w:tcPr>
            <w:tcW w:w="22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460" w:type="dxa"/>
            <w:vAlign w:val="bottom"/>
            <w:tcBorders>
              <w:bottom w:val="single" w:sz="8" w:color="CCCCCC"/>
            </w:tcBorders>
          </w:tcPr>
          <w:p>
            <w:pPr>
              <w:spacing w:after="0"/>
              <w:rPr>
                <w:sz w:val="2"/>
                <w:szCs w:val="2"/>
                <w:color w:val="auto"/>
              </w:rPr>
            </w:pPr>
          </w:p>
        </w:tc>
        <w:tc>
          <w:tcPr>
            <w:tcW w:w="22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500" w:type="dxa"/>
            <w:vAlign w:val="bottom"/>
            <w:tcBorders>
              <w:bottom w:val="single" w:sz="8" w:color="CCCCCC"/>
            </w:tcBorders>
          </w:tcPr>
          <w:p>
            <w:pPr>
              <w:spacing w:after="0"/>
              <w:rPr>
                <w:sz w:val="2"/>
                <w:szCs w:val="2"/>
                <w:color w:val="auto"/>
              </w:rPr>
            </w:pPr>
          </w:p>
        </w:tc>
        <w:tc>
          <w:tcPr>
            <w:tcW w:w="200" w:type="dxa"/>
            <w:vAlign w:val="bottom"/>
            <w:tcBorders>
              <w:bottom w:val="single" w:sz="8" w:color="CCCCCC"/>
            </w:tcBorders>
          </w:tcPr>
          <w:p>
            <w:pPr>
              <w:spacing w:after="0"/>
              <w:rPr>
                <w:sz w:val="2"/>
                <w:szCs w:val="2"/>
                <w:color w:val="auto"/>
              </w:rPr>
            </w:pPr>
          </w:p>
        </w:tc>
        <w:tc>
          <w:tcPr>
            <w:tcW w:w="58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80" w:type="dxa"/>
            <w:vAlign w:val="bottom"/>
            <w:tcBorders>
              <w:bottom w:val="single" w:sz="8" w:color="CCCCCC"/>
            </w:tcBorders>
          </w:tcPr>
          <w:p>
            <w:pPr>
              <w:spacing w:after="0"/>
              <w:rPr>
                <w:sz w:val="2"/>
                <w:szCs w:val="2"/>
                <w:color w:val="auto"/>
              </w:rPr>
            </w:pPr>
          </w:p>
        </w:tc>
        <w:tc>
          <w:tcPr>
            <w:tcW w:w="160" w:type="dxa"/>
            <w:vAlign w:val="bottom"/>
            <w:tcBorders>
              <w:bottom w:val="single" w:sz="8" w:color="CCCCCC"/>
            </w:tcBorders>
          </w:tcPr>
          <w:p>
            <w:pPr>
              <w:spacing w:after="0"/>
              <w:rPr>
                <w:sz w:val="2"/>
                <w:szCs w:val="2"/>
                <w:color w:val="auto"/>
              </w:rPr>
            </w:pPr>
          </w:p>
        </w:tc>
        <w:tc>
          <w:tcPr>
            <w:tcW w:w="500" w:type="dxa"/>
            <w:vAlign w:val="bottom"/>
            <w:tcBorders>
              <w:bottom w:val="single" w:sz="8" w:color="CCCCCC"/>
            </w:tcBorders>
          </w:tcPr>
          <w:p>
            <w:pPr>
              <w:spacing w:after="0"/>
              <w:rPr>
                <w:sz w:val="2"/>
                <w:szCs w:val="2"/>
                <w:color w:val="auto"/>
              </w:rPr>
            </w:pPr>
          </w:p>
        </w:tc>
        <w:tc>
          <w:tcPr>
            <w:tcW w:w="280" w:type="dxa"/>
            <w:vAlign w:val="bottom"/>
            <w:tcBorders>
              <w:bottom w:val="single" w:sz="8" w:color="CCCCCC"/>
            </w:tcBorders>
          </w:tcPr>
          <w:p>
            <w:pPr>
              <w:spacing w:after="0"/>
              <w:rPr>
                <w:sz w:val="2"/>
                <w:szCs w:val="2"/>
                <w:color w:val="auto"/>
              </w:rPr>
            </w:pPr>
          </w:p>
        </w:tc>
        <w:tc>
          <w:tcPr>
            <w:tcW w:w="780" w:type="dxa"/>
            <w:vAlign w:val="bottom"/>
            <w:tcBorders>
              <w:bottom w:val="single" w:sz="8" w:color="CCCCCC"/>
            </w:tcBorders>
          </w:tcPr>
          <w:p>
            <w:pPr>
              <w:spacing w:after="0"/>
              <w:rPr>
                <w:sz w:val="2"/>
                <w:szCs w:val="2"/>
                <w:color w:val="auto"/>
              </w:rPr>
            </w:pPr>
          </w:p>
        </w:tc>
        <w:tc>
          <w:tcPr>
            <w:tcW w:w="160" w:type="dxa"/>
            <w:vAlign w:val="bottom"/>
            <w:tcBorders>
              <w:bottom w:val="single" w:sz="8" w:color="CCCCC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-719455</wp:posOffset>
            </wp:positionV>
            <wp:extent cx="8655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01" w:lineRule="exact"/>
        <w:rPr>
          <w:sz w:val="20"/>
          <w:szCs w:val="20"/>
          <w:color w:val="auto"/>
        </w:rPr>
      </w:pPr>
    </w:p>
    <w:p>
      <w:pPr>
        <w:ind w:left="1080" w:right="80" w:hanging="354"/>
        <w:spacing w:after="0" w:line="253" w:lineRule="auto"/>
        <w:tabs>
          <w:tab w:leader="none" w:pos="108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shown represent the potential value of awards earned under the Incentive Plan. The amounts actually paid to the Named Executive Officers under the Incentive Plan are shown above in the “Summary Compensation Table” under “Non-Equity Incentive Plan Compensation.” For a more complete description of the Incentive Plan, please see description above under “Components of Compensation — Short-Term Incentives.”</w:t>
      </w:r>
    </w:p>
    <w:p>
      <w:pPr>
        <w:spacing w:after="0" w:line="1" w:lineRule="exact"/>
        <w:rPr>
          <w:rFonts w:ascii="Arial" w:cs="Arial" w:eastAsia="Arial" w:hAnsi="Arial"/>
          <w:sz w:val="16"/>
          <w:szCs w:val="16"/>
          <w:i w:val="1"/>
          <w:iCs w:val="1"/>
          <w:color w:val="auto"/>
        </w:rPr>
      </w:pPr>
    </w:p>
    <w:p>
      <w:pPr>
        <w:ind w:left="1080" w:right="80" w:hanging="354"/>
        <w:spacing w:after="0" w:line="258" w:lineRule="auto"/>
        <w:tabs>
          <w:tab w:leader="none" w:pos="108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shown represent shares potentially issuable pursuant to the FY22 PSAs granted on November 10, 2021, under the Company’s 2015 Long-Term Incentive Plan, as described above under “Components of Compensation — Long-Term Stock-Based Compensation.”</w:t>
      </w:r>
    </w:p>
    <w:p>
      <w:pPr>
        <w:ind w:left="1080" w:right="100" w:hanging="354"/>
        <w:spacing w:after="0" w:line="255" w:lineRule="auto"/>
        <w:tabs>
          <w:tab w:leader="none" w:pos="108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underlying RSU awards granted under the Company’s 2015 Long-Term Incentive Plan. Each RSU award vests over four years at a rate of twenty-five percent (25%) per year commencing one year after the grant date and on each subsequent anniversary of the grant date for the following three years, provided the executive remains employed by the Company through each such vesting date.</w:t>
      </w:r>
    </w:p>
    <w:p>
      <w:pPr>
        <w:spacing w:after="0" w:line="1" w:lineRule="exact"/>
        <w:rPr>
          <w:rFonts w:ascii="Arial" w:cs="Arial" w:eastAsia="Arial" w:hAnsi="Arial"/>
          <w:sz w:val="16"/>
          <w:szCs w:val="16"/>
          <w:i w:val="1"/>
          <w:iCs w:val="1"/>
          <w:color w:val="auto"/>
        </w:rPr>
      </w:pPr>
    </w:p>
    <w:p>
      <w:pPr>
        <w:ind w:left="1080" w:right="40" w:hanging="354"/>
        <w:spacing w:after="0" w:line="251" w:lineRule="auto"/>
        <w:tabs>
          <w:tab w:leader="none" w:pos="108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FY22 PSAs, computed in accordance with the provisions of ASC 718, using (a) a Monte Carlo simulation (which weights the probability of multiple potential outcomes) to value the portion of the award related to TSR percentile ranking, and (b) a price of  $160.31 per share, which was the closing sale price of the Company’s common stock on the Nasdaq Global Select Market on November 10, 2021, to value the portion of the award related to emerging revenue growth and design wins, assuming performance at the “target” level. For a description of the assumptions used in calculating the fair value of equity awards granted in fiscal year 2022 under ASC 718, see Note 10 of the Company’s financial statements included in the Company’s Annual Report on Form 10-K filed with the SEC on November 23, 2022.</w:t>
      </w:r>
    </w:p>
    <w:p>
      <w:pPr>
        <w:spacing w:after="0" w:line="3" w:lineRule="exact"/>
        <w:rPr>
          <w:rFonts w:ascii="Arial" w:cs="Arial" w:eastAsia="Arial" w:hAnsi="Arial"/>
          <w:sz w:val="16"/>
          <w:szCs w:val="16"/>
          <w:i w:val="1"/>
          <w:iCs w:val="1"/>
          <w:color w:val="auto"/>
        </w:rPr>
      </w:pPr>
    </w:p>
    <w:p>
      <w:pPr>
        <w:ind w:left="1080" w:right="60" w:hanging="354"/>
        <w:spacing w:after="0" w:line="258" w:lineRule="auto"/>
        <w:tabs>
          <w:tab w:leader="none" w:pos="108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RSUs granted on November 10, 2021, computed in accordance with the provisions of ASC 718 using a price of  $160.31 per share, which was the closing price of the Company’s common stock on the Nasdaq Global Select Market on November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Outstanding Equity Awards at Fiscal Year End Table</w:t>
      </w:r>
    </w:p>
    <w:p>
      <w:pPr>
        <w:spacing w:after="0" w:line="161" w:lineRule="exact"/>
        <w:rPr>
          <w:sz w:val="20"/>
          <w:szCs w:val="20"/>
          <w:color w:val="auto"/>
        </w:rPr>
      </w:pPr>
    </w:p>
    <w:p>
      <w:pPr>
        <w:ind w:left="660" w:right="720"/>
        <w:spacing w:after="0" w:line="275" w:lineRule="auto"/>
        <w:rPr>
          <w:sz w:val="20"/>
          <w:szCs w:val="20"/>
          <w:color w:val="auto"/>
        </w:rPr>
      </w:pPr>
      <w:r>
        <w:rPr>
          <w:rFonts w:ascii="Arial" w:cs="Arial" w:eastAsia="Arial" w:hAnsi="Arial"/>
          <w:sz w:val="20"/>
          <w:szCs w:val="20"/>
          <w:color w:val="auto"/>
        </w:rPr>
        <w:t>The following table summarizes the unvested stock awards and all stock options held by the Named Executive Officers as of the end of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147955</wp:posOffset>
            </wp:positionV>
            <wp:extent cx="5974715" cy="14744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74715" cy="1474470"/>
                    </a:xfrm>
                    <a:prstGeom prst="rect">
                      <a:avLst/>
                    </a:prstGeom>
                    <a:noFill/>
                  </pic:spPr>
                </pic:pic>
              </a:graphicData>
            </a:graphic>
          </wp:anchor>
        </w:drawing>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1080" w:type="dxa"/>
            <w:vAlign w:val="bottom"/>
          </w:tcPr>
          <w:p>
            <w:pPr>
              <w:jc w:val="right"/>
              <w:ind w:right="930"/>
              <w:spacing w:after="0"/>
              <w:rPr>
                <w:sz w:val="20"/>
                <w:szCs w:val="20"/>
                <w:color w:val="auto"/>
              </w:rPr>
            </w:pPr>
            <w:r>
              <w:rPr>
                <w:rFonts w:ascii="Arial" w:cs="Arial" w:eastAsia="Arial" w:hAnsi="Arial"/>
                <w:sz w:val="14"/>
                <w:szCs w:val="14"/>
                <w:color w:val="FFFFFF"/>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FFFFFF"/>
              </w:rPr>
              <w:t>​</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4"/>
          </w:tcPr>
          <w:p>
            <w:pPr>
              <w:ind w:left="300"/>
              <w:spacing w:after="0"/>
              <w:rPr>
                <w:sz w:val="20"/>
                <w:szCs w:val="20"/>
                <w:color w:val="auto"/>
              </w:rPr>
            </w:pPr>
            <w:r>
              <w:rPr>
                <w:rFonts w:ascii="Arial" w:cs="Arial" w:eastAsia="Arial" w:hAnsi="Arial"/>
                <w:sz w:val="14"/>
                <w:szCs w:val="14"/>
                <w:color w:val="FFFFFF"/>
              </w:rPr>
              <w:t>Option Awards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FFFFFF"/>
              </w:rPr>
              <w:t>​​</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4"/>
          </w:tcPr>
          <w:p>
            <w:pPr>
              <w:ind w:left="360"/>
              <w:spacing w:after="0"/>
              <w:rPr>
                <w:sz w:val="20"/>
                <w:szCs w:val="20"/>
                <w:color w:val="auto"/>
              </w:rPr>
            </w:pPr>
            <w:r>
              <w:rPr>
                <w:rFonts w:ascii="Arial" w:cs="Arial" w:eastAsia="Arial" w:hAnsi="Arial"/>
                <w:sz w:val="14"/>
                <w:szCs w:val="14"/>
                <w:color w:val="FFFFFF"/>
              </w:rPr>
              <w:t>Stock Awards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147"/>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FEFEFE"/>
            </w:tcBorders>
          </w:tcPr>
          <w:p>
            <w:pPr>
              <w:spacing w:after="0"/>
              <w:rPr>
                <w:sz w:val="12"/>
                <w:szCs w:val="12"/>
                <w:color w:val="auto"/>
              </w:rPr>
            </w:pPr>
          </w:p>
        </w:tc>
        <w:tc>
          <w:tcPr>
            <w:tcW w:w="480" w:type="dxa"/>
            <w:vAlign w:val="bottom"/>
            <w:tcBorders>
              <w:top w:val="single" w:sz="8" w:color="FEFEFE"/>
            </w:tcBorders>
          </w:tcPr>
          <w:p>
            <w:pPr>
              <w:spacing w:after="0"/>
              <w:rPr>
                <w:sz w:val="12"/>
                <w:szCs w:val="12"/>
                <w:color w:val="auto"/>
              </w:rPr>
            </w:pPr>
          </w:p>
        </w:tc>
        <w:tc>
          <w:tcPr>
            <w:tcW w:w="440" w:type="dxa"/>
            <w:vAlign w:val="bottom"/>
            <w:tcBorders>
              <w:top w:val="single" w:sz="8" w:color="FEFEFE"/>
            </w:tcBorders>
          </w:tcPr>
          <w:p>
            <w:pPr>
              <w:spacing w:after="0"/>
              <w:rPr>
                <w:sz w:val="12"/>
                <w:szCs w:val="12"/>
                <w:color w:val="auto"/>
              </w:rPr>
            </w:pPr>
          </w:p>
        </w:tc>
        <w:tc>
          <w:tcPr>
            <w:tcW w:w="180" w:type="dxa"/>
            <w:vAlign w:val="bottom"/>
            <w:tcBorders>
              <w:top w:val="single" w:sz="8" w:color="FEFEFE"/>
            </w:tcBorders>
          </w:tcPr>
          <w:p>
            <w:pPr>
              <w:spacing w:after="0"/>
              <w:rPr>
                <w:sz w:val="12"/>
                <w:szCs w:val="12"/>
                <w:color w:val="auto"/>
              </w:rPr>
            </w:pPr>
          </w:p>
        </w:tc>
        <w:tc>
          <w:tcPr>
            <w:tcW w:w="460" w:type="dxa"/>
            <w:vAlign w:val="bottom"/>
            <w:tcBorders>
              <w:top w:val="single" w:sz="8" w:color="FEFEFE"/>
            </w:tcBorders>
          </w:tcPr>
          <w:p>
            <w:pPr>
              <w:spacing w:after="0"/>
              <w:rPr>
                <w:sz w:val="12"/>
                <w:szCs w:val="12"/>
                <w:color w:val="auto"/>
              </w:rPr>
            </w:pPr>
          </w:p>
        </w:tc>
        <w:tc>
          <w:tcPr>
            <w:tcW w:w="420" w:type="dxa"/>
            <w:vAlign w:val="bottom"/>
            <w:tcBorders>
              <w:top w:val="single" w:sz="8" w:color="FEFEFE"/>
            </w:tcBorders>
          </w:tcPr>
          <w:p>
            <w:pPr>
              <w:spacing w:after="0"/>
              <w:rPr>
                <w:sz w:val="12"/>
                <w:szCs w:val="12"/>
                <w:color w:val="auto"/>
              </w:rPr>
            </w:pPr>
          </w:p>
        </w:tc>
        <w:tc>
          <w:tcPr>
            <w:tcW w:w="180" w:type="dxa"/>
            <w:vAlign w:val="bottom"/>
            <w:tcBorders>
              <w:top w:val="single" w:sz="8" w:color="FEFEFE"/>
            </w:tcBorders>
          </w:tcPr>
          <w:p>
            <w:pPr>
              <w:spacing w:after="0"/>
              <w:rPr>
                <w:sz w:val="12"/>
                <w:szCs w:val="12"/>
                <w:color w:val="auto"/>
              </w:rPr>
            </w:pPr>
          </w:p>
        </w:tc>
        <w:tc>
          <w:tcPr>
            <w:tcW w:w="360" w:type="dxa"/>
            <w:vAlign w:val="bottom"/>
            <w:tcBorders>
              <w:top w:val="single" w:sz="8" w:color="FEFEFE"/>
            </w:tcBorders>
          </w:tcPr>
          <w:p>
            <w:pPr>
              <w:spacing w:after="0"/>
              <w:rPr>
                <w:sz w:val="12"/>
                <w:szCs w:val="12"/>
                <w:color w:val="auto"/>
              </w:rPr>
            </w:pPr>
          </w:p>
        </w:tc>
        <w:tc>
          <w:tcPr>
            <w:tcW w:w="340" w:type="dxa"/>
            <w:vAlign w:val="bottom"/>
            <w:tcBorders>
              <w:top w:val="single" w:sz="8" w:color="FEFEFE"/>
            </w:tcBorders>
          </w:tcPr>
          <w:p>
            <w:pPr>
              <w:spacing w:after="0"/>
              <w:rPr>
                <w:sz w:val="12"/>
                <w:szCs w:val="12"/>
                <w:color w:val="auto"/>
              </w:rPr>
            </w:pPr>
          </w:p>
        </w:tc>
        <w:tc>
          <w:tcPr>
            <w:tcW w:w="200" w:type="dxa"/>
            <w:vAlign w:val="bottom"/>
            <w:tcBorders>
              <w:top w:val="single" w:sz="8" w:color="FEFEFE"/>
            </w:tcBorders>
          </w:tcPr>
          <w:p>
            <w:pPr>
              <w:spacing w:after="0"/>
              <w:rPr>
                <w:sz w:val="12"/>
                <w:szCs w:val="12"/>
                <w:color w:val="auto"/>
              </w:rPr>
            </w:pPr>
          </w:p>
        </w:tc>
        <w:tc>
          <w:tcPr>
            <w:tcW w:w="680" w:type="dxa"/>
            <w:vAlign w:val="bottom"/>
            <w:tcBorders>
              <w:top w:val="single" w:sz="8" w:color="FEFEFE"/>
            </w:tcBorders>
          </w:tcPr>
          <w:p>
            <w:pPr>
              <w:spacing w:after="0"/>
              <w:rPr>
                <w:sz w:val="12"/>
                <w:szCs w:val="12"/>
                <w:color w:val="auto"/>
              </w:rPr>
            </w:pPr>
          </w:p>
        </w:tc>
        <w:tc>
          <w:tcPr>
            <w:tcW w:w="280" w:type="dxa"/>
            <w:vAlign w:val="bottom"/>
            <w:tcBorders>
              <w:top w:val="single" w:sz="8" w:color="FEFEFE"/>
            </w:tcBorders>
          </w:tcPr>
          <w:p>
            <w:pPr>
              <w:spacing w:after="0"/>
              <w:rPr>
                <w:sz w:val="12"/>
                <w:szCs w:val="12"/>
                <w:color w:val="auto"/>
              </w:rPr>
            </w:pPr>
          </w:p>
        </w:tc>
        <w:tc>
          <w:tcPr>
            <w:tcW w:w="820" w:type="dxa"/>
            <w:vAlign w:val="bottom"/>
            <w:tcBorders>
              <w:top w:val="single" w:sz="8" w:color="FEFEFE"/>
            </w:tcBorders>
          </w:tcPr>
          <w:p>
            <w:pPr>
              <w:spacing w:after="0"/>
              <w:rPr>
                <w:sz w:val="12"/>
                <w:szCs w:val="12"/>
                <w:color w:val="auto"/>
              </w:rPr>
            </w:pPr>
          </w:p>
        </w:tc>
        <w:tc>
          <w:tcPr>
            <w:tcW w:w="200" w:type="dxa"/>
            <w:vAlign w:val="bottom"/>
            <w:tcBorders>
              <w:top w:val="single" w:sz="8" w:color="FEFEFE"/>
            </w:tcBorders>
          </w:tcPr>
          <w:p>
            <w:pPr>
              <w:spacing w:after="0"/>
              <w:rPr>
                <w:sz w:val="12"/>
                <w:szCs w:val="12"/>
                <w:color w:val="auto"/>
              </w:rPr>
            </w:pPr>
          </w:p>
        </w:tc>
        <w:tc>
          <w:tcPr>
            <w:tcW w:w="160" w:type="dxa"/>
            <w:vAlign w:val="bottom"/>
            <w:tcBorders>
              <w:top w:val="single" w:sz="8" w:color="FEFEFE"/>
            </w:tcBorders>
          </w:tcPr>
          <w:p>
            <w:pPr>
              <w:spacing w:after="0"/>
              <w:rPr>
                <w:sz w:val="12"/>
                <w:szCs w:val="12"/>
                <w:color w:val="auto"/>
              </w:rPr>
            </w:pPr>
          </w:p>
        </w:tc>
        <w:tc>
          <w:tcPr>
            <w:tcW w:w="700" w:type="dxa"/>
            <w:vAlign w:val="bottom"/>
            <w:tcBorders>
              <w:top w:val="single" w:sz="8" w:color="FEFEFE"/>
            </w:tcBorders>
          </w:tcPr>
          <w:p>
            <w:pPr>
              <w:spacing w:after="0"/>
              <w:rPr>
                <w:sz w:val="12"/>
                <w:szCs w:val="12"/>
                <w:color w:val="auto"/>
              </w:rPr>
            </w:pPr>
          </w:p>
        </w:tc>
        <w:tc>
          <w:tcPr>
            <w:tcW w:w="180" w:type="dxa"/>
            <w:vAlign w:val="bottom"/>
            <w:tcBorders>
              <w:top w:val="single" w:sz="8" w:color="FEFEFE"/>
            </w:tcBorders>
          </w:tcPr>
          <w:p>
            <w:pPr>
              <w:spacing w:after="0"/>
              <w:rPr>
                <w:sz w:val="12"/>
                <w:szCs w:val="12"/>
                <w:color w:val="auto"/>
              </w:rPr>
            </w:pPr>
          </w:p>
        </w:tc>
        <w:tc>
          <w:tcPr>
            <w:tcW w:w="180" w:type="dxa"/>
            <w:vAlign w:val="bottom"/>
            <w:tcBorders>
              <w:top w:val="single" w:sz="8" w:color="FEFEFE"/>
            </w:tcBorders>
          </w:tcPr>
          <w:p>
            <w:pPr>
              <w:spacing w:after="0"/>
              <w:rPr>
                <w:sz w:val="12"/>
                <w:szCs w:val="12"/>
                <w:color w:val="auto"/>
              </w:rPr>
            </w:pPr>
          </w:p>
        </w:tc>
        <w:tc>
          <w:tcPr>
            <w:tcW w:w="800" w:type="dxa"/>
            <w:vAlign w:val="bottom"/>
            <w:tcBorders>
              <w:top w:val="single" w:sz="8" w:color="FEFEFE"/>
            </w:tcBorders>
          </w:tcPr>
          <w:p>
            <w:pPr>
              <w:spacing w:after="0"/>
              <w:rPr>
                <w:sz w:val="12"/>
                <w:szCs w:val="12"/>
                <w:color w:val="auto"/>
              </w:rPr>
            </w:pPr>
          </w:p>
        </w:tc>
        <w:tc>
          <w:tcPr>
            <w:tcW w:w="200" w:type="dxa"/>
            <w:vAlign w:val="bottom"/>
            <w:tcBorders>
              <w:top w:val="single" w:sz="8" w:color="FEFEFE"/>
            </w:tcBorders>
          </w:tcPr>
          <w:p>
            <w:pPr>
              <w:spacing w:after="0"/>
              <w:rPr>
                <w:sz w:val="12"/>
                <w:szCs w:val="12"/>
                <w:color w:val="auto"/>
              </w:rPr>
            </w:pPr>
          </w:p>
        </w:tc>
        <w:tc>
          <w:tcPr>
            <w:tcW w:w="120" w:type="dxa"/>
            <w:vAlign w:val="bottom"/>
            <w:tcBorders>
              <w:top w:val="single" w:sz="8" w:color="FEFEFE"/>
            </w:tcBorders>
          </w:tcPr>
          <w:p>
            <w:pPr>
              <w:spacing w:after="0"/>
              <w:rPr>
                <w:sz w:val="12"/>
                <w:szCs w:val="12"/>
                <w:color w:val="auto"/>
              </w:rPr>
            </w:pPr>
          </w:p>
        </w:tc>
        <w:tc>
          <w:tcPr>
            <w:tcW w:w="680" w:type="dxa"/>
            <w:vAlign w:val="bottom"/>
            <w:tcBorders>
              <w:top w:val="single" w:sz="8" w:color="FEFEFE"/>
            </w:tcBorders>
          </w:tcPr>
          <w:p>
            <w:pPr>
              <w:jc w:val="center"/>
              <w:ind w:right="48"/>
              <w:spacing w:after="0" w:line="147" w:lineRule="exact"/>
              <w:rPr>
                <w:sz w:val="20"/>
                <w:szCs w:val="20"/>
                <w:color w:val="auto"/>
              </w:rPr>
            </w:pPr>
            <w:r>
              <w:rPr>
                <w:rFonts w:ascii="Arial" w:cs="Arial" w:eastAsia="Arial" w:hAnsi="Arial"/>
                <w:sz w:val="14"/>
                <w:szCs w:val="14"/>
                <w:color w:val="FFFFFF"/>
              </w:rPr>
              <w:t>Equity</w:t>
            </w:r>
          </w:p>
        </w:tc>
        <w:tc>
          <w:tcPr>
            <w:tcW w:w="80" w:type="dxa"/>
            <w:vAlign w:val="bottom"/>
            <w:tcBorders>
              <w:top w:val="single" w:sz="8" w:color="FEFEFE"/>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FFFFFF"/>
                <w:w w:val="99"/>
              </w:rPr>
              <w:t>Incentive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color w:val="FFFFFF"/>
                <w:w w:val="99"/>
              </w:rPr>
              <w:t>Plan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28"/>
              <w:spacing w:after="0" w:line="135" w:lineRule="exact"/>
              <w:rPr>
                <w:sz w:val="20"/>
                <w:szCs w:val="20"/>
                <w:color w:val="auto"/>
              </w:rPr>
            </w:pPr>
            <w:r>
              <w:rPr>
                <w:rFonts w:ascii="Arial" w:cs="Arial" w:eastAsia="Arial" w:hAnsi="Arial"/>
                <w:sz w:val="14"/>
                <w:szCs w:val="14"/>
                <w:color w:val="FFFFFF"/>
              </w:rPr>
              <w:t>Equity</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8"/>
              <w:spacing w:after="0" w:line="135" w:lineRule="exact"/>
              <w:rPr>
                <w:sz w:val="20"/>
                <w:szCs w:val="20"/>
                <w:color w:val="auto"/>
              </w:rPr>
            </w:pPr>
            <w:r>
              <w:rPr>
                <w:rFonts w:ascii="Arial" w:cs="Arial" w:eastAsia="Arial" w:hAnsi="Arial"/>
                <w:sz w:val="14"/>
                <w:szCs w:val="14"/>
                <w:color w:val="FFFFFF"/>
              </w:rPr>
              <w:t>Awards: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FFFFFF"/>
              </w:rPr>
              <w:t>Incentive</w:t>
            </w:r>
          </w:p>
        </w:tc>
        <w:tc>
          <w:tcPr>
            <w:tcW w:w="2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Market or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color w:val="FFFFFF"/>
              </w:rPr>
              <w:t>Number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28"/>
              <w:spacing w:after="0" w:line="135" w:lineRule="exact"/>
              <w:rPr>
                <w:sz w:val="20"/>
                <w:szCs w:val="20"/>
                <w:color w:val="auto"/>
              </w:rPr>
            </w:pPr>
            <w:r>
              <w:rPr>
                <w:rFonts w:ascii="Arial" w:cs="Arial" w:eastAsia="Arial" w:hAnsi="Arial"/>
                <w:sz w:val="14"/>
                <w:szCs w:val="14"/>
                <w:color w:val="FFFFFF"/>
                <w:w w:val="99"/>
              </w:rPr>
              <w:t>Plan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8"/>
              <w:spacing w:after="0" w:line="135" w:lineRule="exact"/>
              <w:rPr>
                <w:sz w:val="20"/>
                <w:szCs w:val="20"/>
                <w:color w:val="auto"/>
              </w:rPr>
            </w:pPr>
            <w:r>
              <w:rPr>
                <w:rFonts w:ascii="Arial" w:cs="Arial" w:eastAsia="Arial" w:hAnsi="Arial"/>
                <w:sz w:val="14"/>
                <w:szCs w:val="14"/>
                <w:color w:val="FFFFFF"/>
              </w:rPr>
              <w:t>Payout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FFFFFF"/>
              </w:rPr>
              <w:t>of Shares</w:t>
            </w:r>
          </w:p>
        </w:tc>
        <w:tc>
          <w:tcPr>
            <w:tcW w:w="20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color w:val="FFFFFF"/>
                <w:w w:val="99"/>
              </w:rPr>
              <w:t>Market Value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FFFFFF"/>
              </w:rPr>
              <w:t>Awards: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color w:val="FFFFFF"/>
              </w:rPr>
              <w:t>Value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color w:val="FFFFFF"/>
              </w:rPr>
              <w:t>or Units</w:t>
            </w:r>
          </w:p>
        </w:tc>
        <w:tc>
          <w:tcPr>
            <w:tcW w:w="2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color w:val="FFFFFF"/>
              </w:rPr>
              <w:t>Number of</w:t>
            </w:r>
          </w:p>
        </w:tc>
        <w:tc>
          <w:tcPr>
            <w:tcW w:w="20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4"/>
                <w:szCs w:val="14"/>
                <w:color w:val="FFFFFF"/>
              </w:rPr>
              <w:t>Unearned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Number of</w:t>
            </w:r>
          </w:p>
        </w:tc>
        <w:tc>
          <w:tcPr>
            <w:tcW w:w="1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Number of</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FFFFFF"/>
              </w:rPr>
              <w:t>of Stock</w:t>
            </w:r>
          </w:p>
        </w:tc>
        <w:tc>
          <w:tcPr>
            <w:tcW w:w="2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of Shares or</w:t>
            </w:r>
          </w:p>
        </w:tc>
        <w:tc>
          <w:tcPr>
            <w:tcW w:w="1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Unearned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color w:val="FFFFFF"/>
                <w:w w:val="99"/>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Securities</w:t>
            </w:r>
          </w:p>
        </w:tc>
        <w:tc>
          <w:tcPr>
            <w:tcW w:w="1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Securities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FFFFFF"/>
              </w:rPr>
              <w:t>that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88"/>
              <w:spacing w:after="0" w:line="149" w:lineRule="exact"/>
              <w:rPr>
                <w:sz w:val="20"/>
                <w:szCs w:val="20"/>
                <w:color w:val="auto"/>
              </w:rPr>
            </w:pPr>
            <w:r>
              <w:rPr>
                <w:rFonts w:ascii="Arial" w:cs="Arial" w:eastAsia="Arial" w:hAnsi="Arial"/>
                <w:sz w:val="14"/>
                <w:szCs w:val="14"/>
                <w:color w:val="FFFFFF"/>
              </w:rPr>
              <w:t>Units of</w:t>
            </w:r>
          </w:p>
        </w:tc>
        <w:tc>
          <w:tcPr>
            <w:tcW w:w="1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Shares, Units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color w:val="FFFFFF"/>
                <w:w w:val="99"/>
              </w:rPr>
              <w:t>Units or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4"/>
                <w:szCs w:val="14"/>
                <w:color w:val="FFFFFF"/>
              </w:rPr>
              <w:t>Underlying</w:t>
            </w:r>
          </w:p>
        </w:tc>
        <w:tc>
          <w:tcPr>
            <w:tcW w:w="18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4"/>
                <w:szCs w:val="14"/>
                <w:color w:val="FFFFFF"/>
              </w:rPr>
              <w:t>Underlying</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color w:val="FFFFFF"/>
              </w:rPr>
              <w:t>Have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4"/>
                <w:szCs w:val="14"/>
                <w:color w:val="FFFFFF"/>
              </w:rPr>
              <w:t>Stock</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08"/>
              <w:spacing w:after="0" w:line="135" w:lineRule="exact"/>
              <w:rPr>
                <w:sz w:val="20"/>
                <w:szCs w:val="20"/>
                <w:color w:val="auto"/>
              </w:rPr>
            </w:pPr>
            <w:r>
              <w:rPr>
                <w:rFonts w:ascii="Arial" w:cs="Arial" w:eastAsia="Arial" w:hAnsi="Arial"/>
                <w:sz w:val="14"/>
                <w:szCs w:val="14"/>
                <w:color w:val="FFFFFF"/>
              </w:rPr>
              <w:t>or other</w:t>
            </w:r>
          </w:p>
        </w:tc>
        <w:tc>
          <w:tcPr>
            <w:tcW w:w="20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4"/>
                <w:szCs w:val="14"/>
                <w:color w:val="FFFFFF"/>
              </w:rPr>
              <w:t>other Rights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Unexercised</w:t>
            </w:r>
          </w:p>
        </w:tc>
        <w:tc>
          <w:tcPr>
            <w:tcW w:w="1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Unexercised</w:t>
            </w:r>
          </w:p>
        </w:tc>
        <w:tc>
          <w:tcPr>
            <w:tcW w:w="180" w:type="dxa"/>
            <w:vAlign w:val="bottom"/>
          </w:tcPr>
          <w:p>
            <w:pPr>
              <w:spacing w:after="0"/>
              <w:rPr>
                <w:sz w:val="12"/>
                <w:szCs w:val="12"/>
                <w:color w:val="auto"/>
              </w:rPr>
            </w:pPr>
          </w:p>
        </w:tc>
        <w:tc>
          <w:tcPr>
            <w:tcW w:w="7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FFFFFF"/>
              </w:rPr>
              <w:t>Option</w:t>
            </w:r>
          </w:p>
        </w:tc>
        <w:tc>
          <w:tcPr>
            <w:tcW w:w="20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FFFFFF"/>
              </w:rPr>
              <w:t>Option</w:t>
            </w: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FFFFFF"/>
              </w:rPr>
              <w:t>Not</w:t>
            </w:r>
          </w:p>
        </w:tc>
        <w:tc>
          <w:tcPr>
            <w:tcW w:w="2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that Have</w:t>
            </w:r>
          </w:p>
        </w:tc>
        <w:tc>
          <w:tcPr>
            <w:tcW w:w="1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Rights that</w:t>
            </w:r>
          </w:p>
        </w:tc>
        <w:tc>
          <w:tcPr>
            <w:tcW w:w="2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that Have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Options (#)</w:t>
            </w:r>
          </w:p>
        </w:tc>
        <w:tc>
          <w:tcPr>
            <w:tcW w:w="1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Options (#)</w:t>
            </w:r>
          </w:p>
        </w:tc>
        <w:tc>
          <w:tcPr>
            <w:tcW w:w="180" w:type="dxa"/>
            <w:vAlign w:val="bottom"/>
          </w:tcPr>
          <w:p>
            <w:pPr>
              <w:spacing w:after="0"/>
              <w:rPr>
                <w:sz w:val="12"/>
                <w:szCs w:val="12"/>
                <w:color w:val="auto"/>
              </w:rPr>
            </w:pPr>
          </w:p>
        </w:tc>
        <w:tc>
          <w:tcPr>
            <w:tcW w:w="7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FFFFFF"/>
              </w:rPr>
              <w:t>Exercise</w:t>
            </w:r>
          </w:p>
        </w:tc>
        <w:tc>
          <w:tcPr>
            <w:tcW w:w="200" w:type="dxa"/>
            <w:vAlign w:val="bottom"/>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FFFFFF"/>
                <w:w w:val="99"/>
              </w:rPr>
              <w:t>Expiration</w:t>
            </w: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FFFFFF"/>
              </w:rPr>
              <w:t>Vested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88"/>
              <w:spacing w:after="0" w:line="149" w:lineRule="exact"/>
              <w:rPr>
                <w:sz w:val="20"/>
                <w:szCs w:val="20"/>
                <w:color w:val="auto"/>
              </w:rPr>
            </w:pPr>
            <w:r>
              <w:rPr>
                <w:rFonts w:ascii="Arial" w:cs="Arial" w:eastAsia="Arial" w:hAnsi="Arial"/>
                <w:sz w:val="14"/>
                <w:szCs w:val="14"/>
                <w:color w:val="FFFFFF"/>
              </w:rPr>
              <w:t>Not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FFFFFF"/>
              </w:rPr>
              <w:t>Have Not</w:t>
            </w:r>
          </w:p>
        </w:tc>
        <w:tc>
          <w:tcPr>
            <w:tcW w:w="2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FFFFFF"/>
              </w:rPr>
              <w:t>Not Vested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080" w:type="dxa"/>
            <w:vAlign w:val="bottom"/>
          </w:tcPr>
          <w:p>
            <w:pPr>
              <w:ind w:left="20"/>
              <w:spacing w:after="0" w:line="185" w:lineRule="exact"/>
              <w:rPr>
                <w:sz w:val="20"/>
                <w:szCs w:val="20"/>
                <w:color w:val="auto"/>
              </w:rPr>
            </w:pPr>
            <w:r>
              <w:rPr>
                <w:rFonts w:ascii="Arial" w:cs="Arial" w:eastAsia="Arial" w:hAnsi="Arial"/>
                <w:sz w:val="21"/>
                <w:szCs w:val="21"/>
                <w:color w:val="FFFFFF"/>
                <w:vertAlign w:val="subscript"/>
              </w:rPr>
              <w:t>​</w:t>
            </w:r>
            <w:r>
              <w:rPr>
                <w:rFonts w:ascii="Arial" w:cs="Arial" w:eastAsia="Arial" w:hAnsi="Arial"/>
                <w:sz w:val="12"/>
                <w:szCs w:val="12"/>
                <w:color w:val="FFFFFF"/>
              </w:rPr>
              <w:t>Name</w:t>
            </w:r>
          </w:p>
        </w:tc>
        <w:tc>
          <w:tcPr>
            <w:tcW w:w="180" w:type="dxa"/>
            <w:vAlign w:val="bottom"/>
            <w:gridSpan w:val="2"/>
          </w:tcPr>
          <w:p>
            <w:pPr>
              <w:ind w:left="60"/>
              <w:spacing w:after="0"/>
              <w:rPr>
                <w:sz w:val="20"/>
                <w:szCs w:val="20"/>
                <w:color w:val="auto"/>
              </w:rPr>
            </w:pPr>
            <w:r>
              <w:rPr>
                <w:rFonts w:ascii="Arial" w:cs="Arial" w:eastAsia="Arial" w:hAnsi="Arial"/>
                <w:sz w:val="14"/>
                <w:szCs w:val="14"/>
                <w:color w:val="FFFFFF"/>
              </w:rPr>
              <w:t>​</w:t>
            </w:r>
          </w:p>
        </w:tc>
        <w:tc>
          <w:tcPr>
            <w:tcW w:w="920" w:type="dxa"/>
            <w:vAlign w:val="bottom"/>
            <w:gridSpan w:val="2"/>
          </w:tcPr>
          <w:p>
            <w:pPr>
              <w:jc w:val="center"/>
              <w:spacing w:after="0"/>
              <w:rPr>
                <w:sz w:val="20"/>
                <w:szCs w:val="20"/>
                <w:color w:val="auto"/>
              </w:rPr>
            </w:pPr>
            <w:r>
              <w:rPr>
                <w:rFonts w:ascii="Arial" w:cs="Arial" w:eastAsia="Arial" w:hAnsi="Arial"/>
                <w:sz w:val="14"/>
                <w:szCs w:val="14"/>
                <w:color w:val="FFFFFF"/>
              </w:rPr>
              <w:t>Exercisable</w:t>
            </w:r>
          </w:p>
        </w:tc>
        <w:tc>
          <w:tcPr>
            <w:tcW w:w="1240" w:type="dxa"/>
            <w:vAlign w:val="bottom"/>
            <w:gridSpan w:val="4"/>
          </w:tcPr>
          <w:p>
            <w:pPr>
              <w:ind w:left="100"/>
              <w:spacing w:after="0" w:line="185" w:lineRule="exact"/>
              <w:rPr>
                <w:sz w:val="20"/>
                <w:szCs w:val="20"/>
                <w:color w:val="auto"/>
              </w:rPr>
            </w:pPr>
            <w:r>
              <w:rPr>
                <w:rFonts w:ascii="Arial" w:cs="Arial" w:eastAsia="Arial" w:hAnsi="Arial"/>
                <w:sz w:val="21"/>
                <w:szCs w:val="21"/>
                <w:color w:val="FFFFFF"/>
                <w:vertAlign w:val="subscript"/>
              </w:rPr>
              <w:t>​​</w:t>
            </w:r>
            <w:r>
              <w:rPr>
                <w:rFonts w:ascii="Arial" w:cs="Arial" w:eastAsia="Arial" w:hAnsi="Arial"/>
                <w:sz w:val="12"/>
                <w:szCs w:val="12"/>
                <w:color w:val="FFFFFF"/>
              </w:rPr>
              <w:t xml:space="preserve">Unexercisable </w:t>
            </w:r>
            <w:r>
              <w:rPr>
                <w:rFonts w:ascii="Arial" w:cs="Arial" w:eastAsia="Arial" w:hAnsi="Arial"/>
                <w:sz w:val="21"/>
                <w:szCs w:val="21"/>
                <w:color w:val="FFFFFF"/>
                <w:vertAlign w:val="subscript"/>
              </w:rPr>
              <w:t>​​</w:t>
            </w:r>
          </w:p>
        </w:tc>
        <w:tc>
          <w:tcPr>
            <w:tcW w:w="700" w:type="dxa"/>
            <w:vAlign w:val="bottom"/>
            <w:gridSpan w:val="2"/>
          </w:tcPr>
          <w:p>
            <w:pPr>
              <w:jc w:val="right"/>
              <w:ind w:right="8"/>
              <w:spacing w:after="0"/>
              <w:rPr>
                <w:sz w:val="20"/>
                <w:szCs w:val="20"/>
                <w:color w:val="auto"/>
              </w:rPr>
            </w:pPr>
            <w:r>
              <w:rPr>
                <w:rFonts w:ascii="Arial" w:cs="Arial" w:eastAsia="Arial" w:hAnsi="Arial"/>
                <w:sz w:val="14"/>
                <w:szCs w:val="14"/>
                <w:color w:val="FFFFFF"/>
              </w:rPr>
              <w:t>Price ($)</w:t>
            </w:r>
          </w:p>
        </w:tc>
        <w:tc>
          <w:tcPr>
            <w:tcW w:w="200" w:type="dxa"/>
            <w:vAlign w:val="bottom"/>
          </w:tcPr>
          <w:p>
            <w:pPr>
              <w:ind w:left="100"/>
              <w:spacing w:after="0"/>
              <w:rPr>
                <w:sz w:val="20"/>
                <w:szCs w:val="20"/>
                <w:color w:val="auto"/>
              </w:rPr>
            </w:pPr>
            <w:r>
              <w:rPr>
                <w:rFonts w:ascii="Arial" w:cs="Arial" w:eastAsia="Arial" w:hAnsi="Arial"/>
                <w:sz w:val="14"/>
                <w:szCs w:val="14"/>
                <w:color w:val="FFFFFF"/>
              </w:rPr>
              <w:t>​​</w:t>
            </w:r>
          </w:p>
        </w:tc>
        <w:tc>
          <w:tcPr>
            <w:tcW w:w="680" w:type="dxa"/>
            <w:vAlign w:val="bottom"/>
          </w:tcPr>
          <w:p>
            <w:pPr>
              <w:ind w:left="200"/>
              <w:spacing w:after="0"/>
              <w:rPr>
                <w:sz w:val="20"/>
                <w:szCs w:val="20"/>
                <w:color w:val="auto"/>
              </w:rPr>
            </w:pPr>
            <w:r>
              <w:rPr>
                <w:rFonts w:ascii="Arial" w:cs="Arial" w:eastAsia="Arial" w:hAnsi="Arial"/>
                <w:sz w:val="14"/>
                <w:szCs w:val="14"/>
                <w:color w:val="FFFFFF"/>
              </w:rPr>
              <w:t>Date</w:t>
            </w:r>
          </w:p>
        </w:tc>
        <w:tc>
          <w:tcPr>
            <w:tcW w:w="280" w:type="dxa"/>
            <w:vAlign w:val="bottom"/>
          </w:tcPr>
          <w:p>
            <w:pPr>
              <w:jc w:val="right"/>
              <w:ind w:right="28"/>
              <w:spacing w:after="0"/>
              <w:rPr>
                <w:sz w:val="20"/>
                <w:szCs w:val="20"/>
                <w:color w:val="auto"/>
              </w:rPr>
            </w:pPr>
            <w:r>
              <w:rPr>
                <w:rFonts w:ascii="Arial" w:cs="Arial" w:eastAsia="Arial" w:hAnsi="Arial"/>
                <w:sz w:val="14"/>
                <w:szCs w:val="14"/>
                <w:color w:val="FFFFFF"/>
              </w:rPr>
              <w:t>​​</w:t>
            </w:r>
          </w:p>
        </w:tc>
        <w:tc>
          <w:tcPr>
            <w:tcW w:w="820" w:type="dxa"/>
            <w:vAlign w:val="bottom"/>
          </w:tcPr>
          <w:p>
            <w:pPr>
              <w:jc w:val="center"/>
              <w:spacing w:after="0"/>
              <w:rPr>
                <w:sz w:val="20"/>
                <w:szCs w:val="20"/>
                <w:color w:val="auto"/>
              </w:rPr>
            </w:pPr>
            <w:r>
              <w:rPr>
                <w:rFonts w:ascii="Arial" w:cs="Arial" w:eastAsia="Arial" w:hAnsi="Arial"/>
                <w:sz w:val="14"/>
                <w:szCs w:val="14"/>
                <w:color w:val="FFFFFF"/>
              </w:rPr>
              <w:t>(#)</w:t>
            </w:r>
          </w:p>
        </w:tc>
        <w:tc>
          <w:tcPr>
            <w:tcW w:w="1240" w:type="dxa"/>
            <w:vAlign w:val="bottom"/>
            <w:gridSpan w:val="4"/>
          </w:tcPr>
          <w:p>
            <w:pPr>
              <w:ind w:left="140"/>
              <w:spacing w:after="0" w:line="185" w:lineRule="exact"/>
              <w:rPr>
                <w:sz w:val="20"/>
                <w:szCs w:val="20"/>
                <w:color w:val="auto"/>
              </w:rPr>
            </w:pPr>
            <w:r>
              <w:rPr>
                <w:rFonts w:ascii="Arial" w:cs="Arial" w:eastAsia="Arial" w:hAnsi="Arial"/>
                <w:sz w:val="21"/>
                <w:szCs w:val="21"/>
                <w:color w:val="FFFFFF"/>
                <w:vertAlign w:val="subscript"/>
              </w:rPr>
              <w:t>​​</w:t>
            </w:r>
            <w:r>
              <w:rPr>
                <w:rFonts w:ascii="Arial" w:cs="Arial" w:eastAsia="Arial" w:hAnsi="Arial"/>
                <w:sz w:val="12"/>
                <w:szCs w:val="12"/>
                <w:color w:val="FFFFFF"/>
              </w:rPr>
              <w:t xml:space="preserve">Vested ($)(1) </w:t>
            </w:r>
            <w:r>
              <w:rPr>
                <w:rFonts w:ascii="Arial" w:cs="Arial" w:eastAsia="Arial" w:hAnsi="Arial"/>
                <w:sz w:val="21"/>
                <w:szCs w:val="21"/>
                <w:color w:val="FFFFFF"/>
                <w:vertAlign w:val="subscript"/>
              </w:rPr>
              <w:t>​​</w:t>
            </w:r>
          </w:p>
        </w:tc>
        <w:tc>
          <w:tcPr>
            <w:tcW w:w="980" w:type="dxa"/>
            <w:vAlign w:val="bottom"/>
            <w:gridSpan w:val="2"/>
          </w:tcPr>
          <w:p>
            <w:pPr>
              <w:jc w:val="center"/>
              <w:spacing w:after="0"/>
              <w:rPr>
                <w:sz w:val="20"/>
                <w:szCs w:val="20"/>
                <w:color w:val="auto"/>
              </w:rPr>
            </w:pPr>
            <w:r>
              <w:rPr>
                <w:rFonts w:ascii="Arial" w:cs="Arial" w:eastAsia="Arial" w:hAnsi="Arial"/>
                <w:sz w:val="14"/>
                <w:szCs w:val="14"/>
                <w:color w:val="FFFFFF"/>
              </w:rPr>
              <w:t>Vested (#)</w:t>
            </w:r>
          </w:p>
        </w:tc>
        <w:tc>
          <w:tcPr>
            <w:tcW w:w="200" w:type="dxa"/>
            <w:vAlign w:val="bottom"/>
          </w:tcPr>
          <w:p>
            <w:pPr>
              <w:ind w:left="100"/>
              <w:spacing w:after="0"/>
              <w:rPr>
                <w:sz w:val="20"/>
                <w:szCs w:val="20"/>
                <w:color w:val="auto"/>
              </w:rPr>
            </w:pPr>
            <w:r>
              <w:rPr>
                <w:rFonts w:ascii="Arial" w:cs="Arial" w:eastAsia="Arial" w:hAnsi="Arial"/>
                <w:sz w:val="14"/>
                <w:szCs w:val="14"/>
                <w:color w:val="FFFFFF"/>
              </w:rPr>
              <w:t>​​</w:t>
            </w:r>
          </w:p>
        </w:tc>
        <w:tc>
          <w:tcPr>
            <w:tcW w:w="120" w:type="dxa"/>
            <w:vAlign w:val="bottom"/>
          </w:tcPr>
          <w:p>
            <w:pPr>
              <w:spacing w:after="0"/>
              <w:rPr>
                <w:sz w:val="16"/>
                <w:szCs w:val="16"/>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color w:val="FFFFFF"/>
              </w:rPr>
              <w:t>($)(1)</w:t>
            </w:r>
          </w:p>
        </w:tc>
        <w:tc>
          <w:tcPr>
            <w:tcW w:w="100" w:type="dxa"/>
            <w:vAlign w:val="bottom"/>
            <w:gridSpan w:val="2"/>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03"/>
        </w:trPr>
        <w:tc>
          <w:tcPr>
            <w:tcW w:w="1080" w:type="dxa"/>
            <w:vAlign w:val="bottom"/>
            <w:shd w:val="clear" w:color="auto" w:fill="E5E5E5"/>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Liam K. Griffin</w:t>
            </w:r>
          </w:p>
        </w:tc>
        <w:tc>
          <w:tcPr>
            <w:tcW w:w="180" w:type="dxa"/>
            <w:vAlign w:val="bottom"/>
            <w:gridSpan w:val="2"/>
            <w:shd w:val="clear" w:color="auto" w:fill="E5E5E5"/>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E5E5"/>
          </w:tcPr>
          <w:p>
            <w:pPr>
              <w:jc w:val="right"/>
              <w:ind w:right="12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​13,211​</w:t>
            </w:r>
          </w:p>
        </w:tc>
        <w:tc>
          <w:tcPr>
            <w:tcW w:w="18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5E5E5"/>
          </w:tcPr>
          <w:p>
            <w:pPr>
              <w:jc w:val="right"/>
              <w:ind w:right="24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18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00" w:type="dxa"/>
            <w:vAlign w:val="bottom"/>
            <w:gridSpan w:val="2"/>
            <w:shd w:val="clear" w:color="auto" w:fill="E5E5E5"/>
          </w:tcPr>
          <w:p>
            <w:pPr>
              <w:jc w:val="right"/>
              <w:ind w:right="48"/>
              <w:spacing w:after="0"/>
              <w:rPr>
                <w:sz w:val="20"/>
                <w:szCs w:val="20"/>
                <w:color w:val="auto"/>
              </w:rPr>
            </w:pPr>
            <w:r>
              <w:rPr>
                <w:rFonts w:ascii="Arial" w:cs="Arial" w:eastAsia="Arial" w:hAnsi="Arial"/>
                <w:sz w:val="14"/>
                <w:szCs w:val="14"/>
                <w:color w:val="auto"/>
              </w:rPr>
              <w:t>​77.66​</w:t>
            </w:r>
          </w:p>
        </w:tc>
        <w:tc>
          <w:tcPr>
            <w:tcW w:w="1160" w:type="dxa"/>
            <w:vAlign w:val="bottom"/>
            <w:gridSpan w:val="3"/>
            <w:shd w:val="clear" w:color="auto" w:fill="E5E5E5"/>
          </w:tcPr>
          <w:p>
            <w:pPr>
              <w:jc w:val="right"/>
              <w:ind w:right="48"/>
              <w:spacing w:after="0" w:line="202" w:lineRule="exact"/>
              <w:rPr>
                <w:sz w:val="20"/>
                <w:szCs w:val="20"/>
                <w:color w:val="auto"/>
              </w:rPr>
            </w:pPr>
            <w:r>
              <w:rPr>
                <w:rFonts w:ascii="Arial" w:cs="Arial" w:eastAsia="Arial" w:hAnsi="Arial"/>
                <w:sz w:val="23"/>
                <w:szCs w:val="23"/>
                <w:b w:val="1"/>
                <w:bCs w:val="1"/>
                <w:color w:val="auto"/>
                <w:vertAlign w:val="superscript"/>
              </w:rPr>
              <w:t>​</w:t>
            </w:r>
            <w:r>
              <w:rPr>
                <w:rFonts w:ascii="Arial" w:cs="Arial" w:eastAsia="Arial" w:hAnsi="Arial"/>
                <w:sz w:val="23"/>
                <w:szCs w:val="23"/>
                <w:color w:val="auto"/>
                <w:vertAlign w:val="superscript"/>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11/9/2023​</w:t>
            </w:r>
            <w:r>
              <w:rPr>
                <w:rFonts w:ascii="Arial" w:cs="Arial" w:eastAsia="Arial" w:hAnsi="Arial"/>
                <w:sz w:val="13"/>
                <w:szCs w:val="13"/>
                <w:b w:val="1"/>
                <w:bCs w:val="1"/>
                <w:color w:val="auto"/>
              </w:rPr>
              <w:t xml:space="preserve"> </w:t>
            </w:r>
            <w:r>
              <w:rPr>
                <w:rFonts w:ascii="Arial" w:cs="Arial" w:eastAsia="Arial" w:hAnsi="Arial"/>
                <w:sz w:val="23"/>
                <w:szCs w:val="23"/>
                <w:b w:val="1"/>
                <w:bCs w:val="1"/>
                <w:color w:val="auto"/>
                <w:vertAlign w:val="superscript"/>
              </w:rPr>
              <w:t>​</w:t>
            </w:r>
            <w:r>
              <w:rPr>
                <w:rFonts w:ascii="Arial" w:cs="Arial" w:eastAsia="Arial" w:hAnsi="Arial"/>
                <w:sz w:val="23"/>
                <w:szCs w:val="23"/>
                <w:color w:val="auto"/>
                <w:vertAlign w:val="superscript"/>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​22,936</w:t>
            </w:r>
            <w:r>
              <w:rPr>
                <w:rFonts w:ascii="Arial" w:cs="Arial" w:eastAsia="Arial" w:hAnsi="Arial"/>
                <w:sz w:val="14"/>
                <w:szCs w:val="14"/>
                <w:color w:val="0075A8"/>
              </w:rPr>
              <w:t>(2)</w:t>
            </w:r>
          </w:p>
        </w:tc>
        <w:tc>
          <w:tcPr>
            <w:tcW w:w="200" w:type="dxa"/>
            <w:vAlign w:val="bottom"/>
            <w:shd w:val="clear" w:color="auto" w:fill="E5E5E5"/>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60" w:type="dxa"/>
            <w:vAlign w:val="bottom"/>
            <w:gridSpan w:val="2"/>
            <w:shd w:val="clear" w:color="auto" w:fill="E5E5E5"/>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​1,955,753​</w:t>
            </w: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E5E5"/>
          </w:tcPr>
          <w:p>
            <w:pPr>
              <w:ind w:left="120"/>
              <w:spacing w:after="0"/>
              <w:rPr>
                <w:sz w:val="20"/>
                <w:szCs w:val="20"/>
                <w:color w:val="auto"/>
              </w:rPr>
            </w:pPr>
            <w:r>
              <w:rPr>
                <w:rFonts w:ascii="Arial" w:cs="Arial" w:eastAsia="Arial" w:hAnsi="Arial"/>
                <w:sz w:val="14"/>
                <w:szCs w:val="14"/>
                <w:color w:val="auto"/>
              </w:rPr>
              <w:t>​15,194</w:t>
            </w:r>
            <w:r>
              <w:rPr>
                <w:rFonts w:ascii="Arial" w:cs="Arial" w:eastAsia="Arial" w:hAnsi="Arial"/>
                <w:sz w:val="14"/>
                <w:szCs w:val="14"/>
                <w:color w:val="0075A8"/>
              </w:rPr>
              <w:t>(8)</w:t>
            </w:r>
          </w:p>
        </w:tc>
        <w:tc>
          <w:tcPr>
            <w:tcW w:w="2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00" w:type="dxa"/>
            <w:vAlign w:val="bottom"/>
            <w:gridSpan w:val="2"/>
            <w:shd w:val="clear" w:color="auto" w:fill="E5E5E5"/>
          </w:tcPr>
          <w:p>
            <w:pPr>
              <w:ind w:left="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​1,295,592​</w:t>
            </w:r>
          </w:p>
        </w:tc>
        <w:tc>
          <w:tcPr>
            <w:tcW w:w="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​23,860</w:t>
            </w:r>
            <w:r>
              <w:rPr>
                <w:rFonts w:ascii="Arial" w:cs="Arial" w:eastAsia="Arial" w:hAnsi="Arial"/>
                <w:sz w:val="14"/>
                <w:szCs w:val="14"/>
                <w:color w:val="0075A8"/>
              </w:rPr>
              <w:t>(3)</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60" w:type="dxa"/>
            <w:vAlign w:val="bottom"/>
            <w:gridSpan w:val="2"/>
          </w:tcPr>
          <w:p>
            <w:pPr>
              <w:ind w:left="10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​2,034,542​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​11,468</w:t>
            </w:r>
            <w:r>
              <w:rPr>
                <w:rFonts w:ascii="Arial" w:cs="Arial" w:eastAsia="Arial" w:hAnsi="Arial"/>
                <w:sz w:val="14"/>
                <w:szCs w:val="14"/>
                <w:color w:val="0075A8"/>
              </w:rPr>
              <w:t>(9)</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977,876​</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​12,100</w:t>
            </w:r>
            <w:r>
              <w:rPr>
                <w:rFonts w:ascii="Arial" w:cs="Arial" w:eastAsia="Arial" w:hAnsi="Arial"/>
                <w:sz w:val="14"/>
                <w:szCs w:val="14"/>
                <w:color w:val="0075A8"/>
              </w:rPr>
              <w:t>(4)</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60" w:type="dxa"/>
            <w:vAlign w:val="bottom"/>
            <w:gridSpan w:val="2"/>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​1,031,767​</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​35,790</w:t>
            </w:r>
            <w:r>
              <w:rPr>
                <w:rFonts w:ascii="Arial" w:cs="Arial" w:eastAsia="Arial" w:hAnsi="Arial"/>
                <w:sz w:val="14"/>
                <w:szCs w:val="14"/>
                <w:color w:val="0075A8"/>
              </w:rPr>
              <w:t>(10)</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00" w:type="dxa"/>
            <w:vAlign w:val="bottom"/>
            <w:gridSpan w:val="2"/>
          </w:tcPr>
          <w:p>
            <w:pPr>
              <w:ind w:left="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​3,051,813​</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​20,258</w:t>
            </w:r>
            <w:r>
              <w:rPr>
                <w:rFonts w:ascii="Arial" w:cs="Arial" w:eastAsia="Arial" w:hAnsi="Arial"/>
                <w:sz w:val="14"/>
                <w:szCs w:val="14"/>
                <w:color w:val="0075A8"/>
              </w:rPr>
              <w:t>(5)</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60" w:type="dxa"/>
            <w:vAlign w:val="bottom"/>
            <w:gridSpan w:val="2"/>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​1,727,400​</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​22,937</w:t>
            </w:r>
            <w:r>
              <w:rPr>
                <w:rFonts w:ascii="Arial" w:cs="Arial" w:eastAsia="Arial" w:hAnsi="Arial"/>
                <w:sz w:val="14"/>
                <w:szCs w:val="14"/>
                <w:color w:val="0075A8"/>
              </w:rPr>
              <w:t>(6)</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60" w:type="dxa"/>
            <w:vAlign w:val="bottom"/>
            <w:gridSpan w:val="2"/>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​1,955,838​</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​31,813</w:t>
            </w:r>
            <w:r>
              <w:rPr>
                <w:rFonts w:ascii="Arial" w:cs="Arial" w:eastAsia="Arial" w:hAnsi="Arial"/>
                <w:sz w:val="14"/>
                <w:szCs w:val="14"/>
                <w:color w:val="0075A8"/>
              </w:rPr>
              <w:t>(7)</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60" w:type="dxa"/>
            <w:vAlign w:val="bottom"/>
            <w:gridSpan w:val="2"/>
          </w:tcPr>
          <w:p>
            <w:pPr>
              <w:ind w:left="100"/>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​2,712,694​</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shd w:val="clear" w:color="auto" w:fill="E5E5E5"/>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Kris Sennesael</w:t>
            </w:r>
          </w:p>
        </w:tc>
        <w:tc>
          <w:tcPr>
            <w:tcW w:w="180" w:type="dxa"/>
            <w:vAlign w:val="bottom"/>
            <w:gridSpan w:val="2"/>
            <w:shd w:val="clear" w:color="auto" w:fill="E5E5E5"/>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E5E5"/>
          </w:tcPr>
          <w:p>
            <w:pPr>
              <w:jc w:val="right"/>
              <w:ind w:right="12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​40,000​</w:t>
            </w:r>
          </w:p>
        </w:tc>
        <w:tc>
          <w:tcPr>
            <w:tcW w:w="18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5E5E5"/>
          </w:tcPr>
          <w:p>
            <w:pPr>
              <w:jc w:val="right"/>
              <w:ind w:right="24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18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00" w:type="dxa"/>
            <w:vAlign w:val="bottom"/>
            <w:gridSpan w:val="2"/>
            <w:shd w:val="clear" w:color="auto" w:fill="E5E5E5"/>
          </w:tcPr>
          <w:p>
            <w:pPr>
              <w:jc w:val="right"/>
              <w:ind w:right="48"/>
              <w:spacing w:after="0"/>
              <w:rPr>
                <w:sz w:val="20"/>
                <w:szCs w:val="20"/>
                <w:color w:val="auto"/>
              </w:rPr>
            </w:pPr>
            <w:r>
              <w:rPr>
                <w:rFonts w:ascii="Arial" w:cs="Arial" w:eastAsia="Arial" w:hAnsi="Arial"/>
                <w:sz w:val="14"/>
                <w:szCs w:val="14"/>
                <w:color w:val="auto"/>
              </w:rPr>
              <w:t>​75.22​</w:t>
            </w:r>
          </w:p>
        </w:tc>
        <w:tc>
          <w:tcPr>
            <w:tcW w:w="1160" w:type="dxa"/>
            <w:vAlign w:val="bottom"/>
            <w:gridSpan w:val="3"/>
            <w:shd w:val="clear" w:color="auto" w:fill="E5E5E5"/>
          </w:tcPr>
          <w:p>
            <w:pPr>
              <w:jc w:val="right"/>
              <w:ind w:right="48"/>
              <w:spacing w:after="0" w:line="202" w:lineRule="exact"/>
              <w:rPr>
                <w:sz w:val="20"/>
                <w:szCs w:val="20"/>
                <w:color w:val="auto"/>
              </w:rPr>
            </w:pPr>
            <w:r>
              <w:rPr>
                <w:rFonts w:ascii="Arial" w:cs="Arial" w:eastAsia="Arial" w:hAnsi="Arial"/>
                <w:sz w:val="23"/>
                <w:szCs w:val="23"/>
                <w:b w:val="1"/>
                <w:bCs w:val="1"/>
                <w:color w:val="auto"/>
                <w:vertAlign w:val="superscript"/>
              </w:rPr>
              <w:t>​</w:t>
            </w:r>
            <w:r>
              <w:rPr>
                <w:rFonts w:ascii="Arial" w:cs="Arial" w:eastAsia="Arial" w:hAnsi="Arial"/>
                <w:sz w:val="23"/>
                <w:szCs w:val="23"/>
                <w:color w:val="auto"/>
                <w:vertAlign w:val="superscript"/>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8/29/2023​</w:t>
            </w:r>
            <w:r>
              <w:rPr>
                <w:rFonts w:ascii="Arial" w:cs="Arial" w:eastAsia="Arial" w:hAnsi="Arial"/>
                <w:sz w:val="13"/>
                <w:szCs w:val="13"/>
                <w:b w:val="1"/>
                <w:bCs w:val="1"/>
                <w:color w:val="auto"/>
              </w:rPr>
              <w:t xml:space="preserve"> </w:t>
            </w:r>
            <w:r>
              <w:rPr>
                <w:rFonts w:ascii="Arial" w:cs="Arial" w:eastAsia="Arial" w:hAnsi="Arial"/>
                <w:sz w:val="23"/>
                <w:szCs w:val="23"/>
                <w:b w:val="1"/>
                <w:bCs w:val="1"/>
                <w:color w:val="auto"/>
                <w:vertAlign w:val="superscript"/>
              </w:rPr>
              <w:t>​</w:t>
            </w:r>
            <w:r>
              <w:rPr>
                <w:rFonts w:ascii="Arial" w:cs="Arial" w:eastAsia="Arial" w:hAnsi="Arial"/>
                <w:sz w:val="23"/>
                <w:szCs w:val="23"/>
                <w:color w:val="auto"/>
                <w:vertAlign w:val="superscript"/>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 7,088</w:t>
            </w:r>
            <w:r>
              <w:rPr>
                <w:rFonts w:ascii="Arial" w:cs="Arial" w:eastAsia="Arial" w:hAnsi="Arial"/>
                <w:sz w:val="14"/>
                <w:szCs w:val="14"/>
                <w:color w:val="0075A8"/>
              </w:rPr>
              <w:t>(2)</w:t>
            </w:r>
          </w:p>
        </w:tc>
        <w:tc>
          <w:tcPr>
            <w:tcW w:w="200" w:type="dxa"/>
            <w:vAlign w:val="bottom"/>
            <w:shd w:val="clear" w:color="auto" w:fill="E5E5E5"/>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shd w:val="clear" w:color="auto" w:fill="E5E5E5"/>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880" w:type="dxa"/>
            <w:vAlign w:val="bottom"/>
            <w:gridSpan w:val="2"/>
            <w:shd w:val="clear" w:color="auto" w:fill="E5E5E5"/>
          </w:tcPr>
          <w:p>
            <w:pPr>
              <w:jc w:val="right"/>
              <w:ind w:right="8"/>
              <w:spacing w:after="0" w:line="202" w:lineRule="exact"/>
              <w:rPr>
                <w:sz w:val="20"/>
                <w:szCs w:val="20"/>
                <w:color w:val="auto"/>
              </w:rPr>
            </w:pPr>
            <w:r>
              <w:rPr>
                <w:rFonts w:ascii="Arial" w:cs="Arial" w:eastAsia="Arial" w:hAnsi="Arial"/>
                <w:sz w:val="13"/>
                <w:szCs w:val="13"/>
                <w:color w:val="auto"/>
              </w:rPr>
              <w:t xml:space="preserve">604,394​ </w:t>
            </w:r>
            <w:r>
              <w:rPr>
                <w:rFonts w:ascii="Arial" w:cs="Arial" w:eastAsia="Arial" w:hAnsi="Arial"/>
                <w:sz w:val="23"/>
                <w:szCs w:val="23"/>
                <w:color w:val="auto"/>
                <w:vertAlign w:val="superscript"/>
              </w:rPr>
              <w:t>​​</w:t>
            </w:r>
          </w:p>
        </w:tc>
        <w:tc>
          <w:tcPr>
            <w:tcW w:w="980" w:type="dxa"/>
            <w:vAlign w:val="bottom"/>
            <w:gridSpan w:val="2"/>
            <w:shd w:val="clear" w:color="auto" w:fill="E5E5E5"/>
          </w:tcPr>
          <w:p>
            <w:pPr>
              <w:ind w:left="120"/>
              <w:spacing w:after="0"/>
              <w:rPr>
                <w:sz w:val="20"/>
                <w:szCs w:val="20"/>
                <w:color w:val="auto"/>
              </w:rPr>
            </w:pPr>
            <w:r>
              <w:rPr>
                <w:rFonts w:ascii="Arial" w:cs="Arial" w:eastAsia="Arial" w:hAnsi="Arial"/>
                <w:sz w:val="14"/>
                <w:szCs w:val="14"/>
                <w:color w:val="auto"/>
              </w:rPr>
              <w:t>​ 4,862</w:t>
            </w:r>
            <w:r>
              <w:rPr>
                <w:rFonts w:ascii="Arial" w:cs="Arial" w:eastAsia="Arial" w:hAnsi="Arial"/>
                <w:sz w:val="14"/>
                <w:szCs w:val="14"/>
                <w:color w:val="0075A8"/>
              </w:rPr>
              <w:t>(8)</w:t>
            </w:r>
          </w:p>
        </w:tc>
        <w:tc>
          <w:tcPr>
            <w:tcW w:w="2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shd w:val="clear" w:color="auto" w:fill="E5E5E5"/>
          </w:tcPr>
          <w:p>
            <w:pPr>
              <w:ind w:lef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3"/>
                <w:szCs w:val="13"/>
                <w:color w:val="auto"/>
              </w:rPr>
              <w:t xml:space="preserve">414,583​ </w:t>
            </w:r>
            <w:r>
              <w:rPr>
                <w:rFonts w:ascii="Arial" w:cs="Arial" w:eastAsia="Arial" w:hAnsi="Arial"/>
                <w:sz w:val="23"/>
                <w:szCs w:val="23"/>
                <w:color w:val="auto"/>
                <w:vertAlign w:val="super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8"/>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​12,770​</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8"/>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​77.66​</w:t>
            </w:r>
          </w:p>
        </w:tc>
        <w:tc>
          <w:tcPr>
            <w:tcW w:w="1160" w:type="dxa"/>
            <w:vAlign w:val="bottom"/>
            <w:gridSpan w:val="3"/>
          </w:tcPr>
          <w:p>
            <w:pPr>
              <w:jc w:val="right"/>
              <w:ind w:right="48"/>
              <w:spacing w:after="0" w:line="193" w:lineRule="exact"/>
              <w:rPr>
                <w:sz w:val="20"/>
                <w:szCs w:val="20"/>
                <w:color w:val="auto"/>
              </w:rPr>
            </w:pPr>
            <w:r>
              <w:rPr>
                <w:rFonts w:ascii="Arial" w:cs="Arial" w:eastAsia="Arial" w:hAnsi="Arial"/>
                <w:sz w:val="22"/>
                <w:szCs w:val="22"/>
                <w:b w:val="1"/>
                <w:bCs w:val="1"/>
                <w:color w:val="auto"/>
                <w:vertAlign w:val="superscript"/>
              </w:rPr>
              <w:t>​</w:t>
            </w:r>
            <w:r>
              <w:rPr>
                <w:rFonts w:ascii="Arial" w:cs="Arial" w:eastAsia="Arial" w:hAnsi="Arial"/>
                <w:sz w:val="22"/>
                <w:szCs w:val="22"/>
                <w:color w:val="auto"/>
                <w:vertAlign w:val="superscript"/>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11/9/2023​</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perscript"/>
              </w:rPr>
              <w:t>​</w:t>
            </w:r>
            <w:r>
              <w:rPr>
                <w:rFonts w:ascii="Arial" w:cs="Arial" w:eastAsia="Arial" w:hAnsi="Arial"/>
                <w:sz w:val="22"/>
                <w:szCs w:val="22"/>
                <w:color w:val="auto"/>
                <w:vertAlign w:val="superscript"/>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7,532</w:t>
            </w:r>
            <w:r>
              <w:rPr>
                <w:rFonts w:ascii="Arial" w:cs="Arial" w:eastAsia="Arial" w:hAnsi="Arial"/>
                <w:sz w:val="14"/>
                <w:szCs w:val="14"/>
                <w:color w:val="0075A8"/>
              </w:rPr>
              <w:t>(3)</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642,254​</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 3,544</w:t>
            </w:r>
            <w:r>
              <w:rPr>
                <w:rFonts w:ascii="Arial" w:cs="Arial" w:eastAsia="Arial" w:hAnsi="Arial"/>
                <w:sz w:val="14"/>
                <w:szCs w:val="14"/>
                <w:color w:val="0075A8"/>
              </w:rPr>
              <w:t>(9)</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302,197​</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3,388</w:t>
            </w:r>
            <w:r>
              <w:rPr>
                <w:rFonts w:ascii="Arial" w:cs="Arial" w:eastAsia="Arial" w:hAnsi="Arial"/>
                <w:sz w:val="14"/>
                <w:szCs w:val="14"/>
                <w:color w:val="0075A8"/>
              </w:rPr>
              <w:t>(4)</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288,895​</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​11,298</w:t>
            </w:r>
            <w:r>
              <w:rPr>
                <w:rFonts w:ascii="Arial" w:cs="Arial" w:eastAsia="Arial" w:hAnsi="Arial"/>
                <w:sz w:val="14"/>
                <w:szCs w:val="14"/>
                <w:color w:val="0075A8"/>
              </w:rPr>
              <w:t>(10)</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963,380​</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6,482</w:t>
            </w:r>
            <w:r>
              <w:rPr>
                <w:rFonts w:ascii="Arial" w:cs="Arial" w:eastAsia="Arial" w:hAnsi="Arial"/>
                <w:sz w:val="14"/>
                <w:szCs w:val="14"/>
                <w:color w:val="0075A8"/>
              </w:rPr>
              <w:t>(5)</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552,720​</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7,089</w:t>
            </w:r>
            <w:r>
              <w:rPr>
                <w:rFonts w:ascii="Arial" w:cs="Arial" w:eastAsia="Arial" w:hAnsi="Arial"/>
                <w:sz w:val="14"/>
                <w:szCs w:val="14"/>
                <w:color w:val="0075A8"/>
              </w:rPr>
              <w:t>(6)</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604,479​</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​10,043</w:t>
            </w:r>
            <w:r>
              <w:rPr>
                <w:rFonts w:ascii="Arial" w:cs="Arial" w:eastAsia="Arial" w:hAnsi="Arial"/>
                <w:sz w:val="14"/>
                <w:szCs w:val="14"/>
                <w:color w:val="0075A8"/>
              </w:rPr>
              <w:t>(7)</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856,367​</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shd w:val="clear" w:color="auto" w:fill="E5E5E5"/>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Reza Kasnavi</w:t>
            </w:r>
          </w:p>
        </w:tc>
        <w:tc>
          <w:tcPr>
            <w:tcW w:w="180" w:type="dxa"/>
            <w:vAlign w:val="bottom"/>
            <w:gridSpan w:val="2"/>
            <w:shd w:val="clear" w:color="auto" w:fill="E5E5E5"/>
          </w:tcPr>
          <w:p>
            <w:pPr>
              <w:ind w:left="6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shd w:val="clear" w:color="auto" w:fill="E5E5E5"/>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 6,880</w:t>
            </w:r>
            <w:r>
              <w:rPr>
                <w:rFonts w:ascii="Arial" w:cs="Arial" w:eastAsia="Arial" w:hAnsi="Arial"/>
                <w:sz w:val="14"/>
                <w:szCs w:val="14"/>
                <w:color w:val="0075A8"/>
              </w:rPr>
              <w:t>(2)</w:t>
            </w:r>
          </w:p>
        </w:tc>
        <w:tc>
          <w:tcPr>
            <w:tcW w:w="200" w:type="dxa"/>
            <w:vAlign w:val="bottom"/>
            <w:shd w:val="clear" w:color="auto" w:fill="E5E5E5"/>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shd w:val="clear" w:color="auto" w:fill="E5E5E5"/>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00" w:type="dxa"/>
            <w:vAlign w:val="bottom"/>
            <w:shd w:val="clear" w:color="auto" w:fill="E5E5E5"/>
          </w:tcPr>
          <w:p>
            <w:pPr>
              <w:ind w:left="80"/>
              <w:spacing w:after="0"/>
              <w:rPr>
                <w:sz w:val="20"/>
                <w:szCs w:val="20"/>
                <w:color w:val="auto"/>
              </w:rPr>
            </w:pPr>
            <w:r>
              <w:rPr>
                <w:rFonts w:ascii="Arial" w:cs="Arial" w:eastAsia="Arial" w:hAnsi="Arial"/>
                <w:sz w:val="14"/>
                <w:szCs w:val="14"/>
                <w:color w:val="auto"/>
              </w:rPr>
              <w:t>586,658​</w:t>
            </w: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E5E5"/>
          </w:tcPr>
          <w:p>
            <w:pPr>
              <w:ind w:left="120"/>
              <w:spacing w:after="0"/>
              <w:rPr>
                <w:sz w:val="20"/>
                <w:szCs w:val="20"/>
                <w:color w:val="auto"/>
              </w:rPr>
            </w:pPr>
            <w:r>
              <w:rPr>
                <w:rFonts w:ascii="Arial" w:cs="Arial" w:eastAsia="Arial" w:hAnsi="Arial"/>
                <w:sz w:val="14"/>
                <w:szCs w:val="14"/>
                <w:color w:val="auto"/>
              </w:rPr>
              <w:t>​ 4,102</w:t>
            </w:r>
            <w:r>
              <w:rPr>
                <w:rFonts w:ascii="Arial" w:cs="Arial" w:eastAsia="Arial" w:hAnsi="Arial"/>
                <w:sz w:val="14"/>
                <w:szCs w:val="14"/>
                <w:color w:val="0075A8"/>
              </w:rPr>
              <w:t>(8)</w:t>
            </w:r>
          </w:p>
        </w:tc>
        <w:tc>
          <w:tcPr>
            <w:tcW w:w="2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shd w:val="clear" w:color="auto" w:fill="E5E5E5"/>
          </w:tcPr>
          <w:p>
            <w:pPr>
              <w:ind w:left="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349,778​</w:t>
            </w:r>
          </w:p>
        </w:tc>
        <w:tc>
          <w:tcPr>
            <w:tcW w:w="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7,318</w:t>
            </w:r>
            <w:r>
              <w:rPr>
                <w:rFonts w:ascii="Arial" w:cs="Arial" w:eastAsia="Arial" w:hAnsi="Arial"/>
                <w:sz w:val="14"/>
                <w:szCs w:val="14"/>
                <w:color w:val="0075A8"/>
              </w:rPr>
              <w:t>(3)</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624,006​</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 3,440</w:t>
            </w:r>
            <w:r>
              <w:rPr>
                <w:rFonts w:ascii="Arial" w:cs="Arial" w:eastAsia="Arial" w:hAnsi="Arial"/>
                <w:sz w:val="14"/>
                <w:szCs w:val="14"/>
                <w:color w:val="0075A8"/>
              </w:rPr>
              <w:t>(9)</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293,329​</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2,420</w:t>
            </w:r>
            <w:r>
              <w:rPr>
                <w:rFonts w:ascii="Arial" w:cs="Arial" w:eastAsia="Arial" w:hAnsi="Arial"/>
                <w:sz w:val="14"/>
                <w:szCs w:val="14"/>
                <w:color w:val="0075A8"/>
              </w:rPr>
              <w:t>(4)</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206,353​</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​10,974</w:t>
            </w:r>
            <w:r>
              <w:rPr>
                <w:rFonts w:ascii="Arial" w:cs="Arial" w:eastAsia="Arial" w:hAnsi="Arial"/>
                <w:sz w:val="14"/>
                <w:szCs w:val="14"/>
                <w:color w:val="0075A8"/>
              </w:rPr>
              <w:t>(10)</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935,753​</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5,470</w:t>
            </w:r>
            <w:r>
              <w:rPr>
                <w:rFonts w:ascii="Arial" w:cs="Arial" w:eastAsia="Arial" w:hAnsi="Arial"/>
                <w:sz w:val="14"/>
                <w:szCs w:val="14"/>
                <w:color w:val="0075A8"/>
              </w:rPr>
              <w:t>(5)</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466,427​</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6,880</w:t>
            </w:r>
            <w:r>
              <w:rPr>
                <w:rFonts w:ascii="Arial" w:cs="Arial" w:eastAsia="Arial" w:hAnsi="Arial"/>
                <w:sz w:val="14"/>
                <w:szCs w:val="14"/>
                <w:color w:val="0075A8"/>
              </w:rPr>
              <w:t>(6)</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586,658​</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9,756</w:t>
            </w:r>
            <w:r>
              <w:rPr>
                <w:rFonts w:ascii="Arial" w:cs="Arial" w:eastAsia="Arial" w:hAnsi="Arial"/>
                <w:sz w:val="14"/>
                <w:szCs w:val="14"/>
                <w:color w:val="0075A8"/>
              </w:rPr>
              <w:t>(7)</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831,894​</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shd w:val="clear" w:color="auto" w:fill="E5E5E5"/>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Carlos S. Bori</w:t>
            </w:r>
          </w:p>
        </w:tc>
        <w:tc>
          <w:tcPr>
            <w:tcW w:w="180" w:type="dxa"/>
            <w:vAlign w:val="bottom"/>
            <w:gridSpan w:val="2"/>
            <w:shd w:val="clear" w:color="auto" w:fill="E5E5E5"/>
          </w:tcPr>
          <w:p>
            <w:pPr>
              <w:ind w:left="6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shd w:val="clear" w:color="auto" w:fill="E5E5E5"/>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 6,046</w:t>
            </w:r>
            <w:r>
              <w:rPr>
                <w:rFonts w:ascii="Arial" w:cs="Arial" w:eastAsia="Arial" w:hAnsi="Arial"/>
                <w:sz w:val="14"/>
                <w:szCs w:val="14"/>
                <w:color w:val="0075A8"/>
              </w:rPr>
              <w:t>(2)</w:t>
            </w:r>
          </w:p>
        </w:tc>
        <w:tc>
          <w:tcPr>
            <w:tcW w:w="200" w:type="dxa"/>
            <w:vAlign w:val="bottom"/>
            <w:shd w:val="clear" w:color="auto" w:fill="E5E5E5"/>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shd w:val="clear" w:color="auto" w:fill="E5E5E5"/>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00" w:type="dxa"/>
            <w:vAlign w:val="bottom"/>
            <w:shd w:val="clear" w:color="auto" w:fill="E5E5E5"/>
          </w:tcPr>
          <w:p>
            <w:pPr>
              <w:ind w:left="80"/>
              <w:spacing w:after="0"/>
              <w:rPr>
                <w:sz w:val="20"/>
                <w:szCs w:val="20"/>
                <w:color w:val="auto"/>
              </w:rPr>
            </w:pPr>
            <w:r>
              <w:rPr>
                <w:rFonts w:ascii="Arial" w:cs="Arial" w:eastAsia="Arial" w:hAnsi="Arial"/>
                <w:sz w:val="14"/>
                <w:szCs w:val="14"/>
                <w:color w:val="auto"/>
              </w:rPr>
              <w:t>515,542​</w:t>
            </w: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E5E5"/>
          </w:tcPr>
          <w:p>
            <w:pPr>
              <w:ind w:left="120"/>
              <w:spacing w:after="0"/>
              <w:rPr>
                <w:sz w:val="20"/>
                <w:szCs w:val="20"/>
                <w:color w:val="auto"/>
              </w:rPr>
            </w:pPr>
            <w:r>
              <w:rPr>
                <w:rFonts w:ascii="Arial" w:cs="Arial" w:eastAsia="Arial" w:hAnsi="Arial"/>
                <w:sz w:val="14"/>
                <w:szCs w:val="14"/>
                <w:color w:val="auto"/>
              </w:rPr>
              <w:t>​ 4,102</w:t>
            </w:r>
            <w:r>
              <w:rPr>
                <w:rFonts w:ascii="Arial" w:cs="Arial" w:eastAsia="Arial" w:hAnsi="Arial"/>
                <w:sz w:val="14"/>
                <w:szCs w:val="14"/>
                <w:color w:val="0075A8"/>
              </w:rPr>
              <w:t>(8)</w:t>
            </w:r>
          </w:p>
        </w:tc>
        <w:tc>
          <w:tcPr>
            <w:tcW w:w="2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shd w:val="clear" w:color="auto" w:fill="E5E5E5"/>
          </w:tcPr>
          <w:p>
            <w:pPr>
              <w:ind w:left="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349,778​</w:t>
            </w:r>
          </w:p>
        </w:tc>
        <w:tc>
          <w:tcPr>
            <w:tcW w:w="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7,318</w:t>
            </w:r>
            <w:r>
              <w:rPr>
                <w:rFonts w:ascii="Arial" w:cs="Arial" w:eastAsia="Arial" w:hAnsi="Arial"/>
                <w:sz w:val="14"/>
                <w:szCs w:val="14"/>
                <w:color w:val="0075A8"/>
              </w:rPr>
              <w:t>(3)</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624,006​</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 3,023</w:t>
            </w:r>
            <w:r>
              <w:rPr>
                <w:rFonts w:ascii="Arial" w:cs="Arial" w:eastAsia="Arial" w:hAnsi="Arial"/>
                <w:sz w:val="14"/>
                <w:szCs w:val="14"/>
                <w:color w:val="0075A8"/>
              </w:rPr>
              <w:t>(9)</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257,771​</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3,267</w:t>
            </w:r>
            <w:r>
              <w:rPr>
                <w:rFonts w:ascii="Arial" w:cs="Arial" w:eastAsia="Arial" w:hAnsi="Arial"/>
                <w:sz w:val="14"/>
                <w:szCs w:val="14"/>
                <w:color w:val="0075A8"/>
              </w:rPr>
              <w:t>(4)</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278,577​</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​10,974</w:t>
            </w:r>
            <w:r>
              <w:rPr>
                <w:rFonts w:ascii="Arial" w:cs="Arial" w:eastAsia="Arial" w:hAnsi="Arial"/>
                <w:sz w:val="14"/>
                <w:szCs w:val="14"/>
                <w:color w:val="0075A8"/>
              </w:rPr>
              <w:t>(10)</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935,753​</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5,470</w:t>
            </w:r>
            <w:r>
              <w:rPr>
                <w:rFonts w:ascii="Arial" w:cs="Arial" w:eastAsia="Arial" w:hAnsi="Arial"/>
                <w:sz w:val="14"/>
                <w:szCs w:val="14"/>
                <w:color w:val="0075A8"/>
              </w:rPr>
              <w:t>(5)</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466,427​</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6,046</w:t>
            </w:r>
            <w:r>
              <w:rPr>
                <w:rFonts w:ascii="Arial" w:cs="Arial" w:eastAsia="Arial" w:hAnsi="Arial"/>
                <w:sz w:val="14"/>
                <w:szCs w:val="14"/>
                <w:color w:val="0075A8"/>
              </w:rPr>
              <w:t>(6)</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515,542​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9,756</w:t>
            </w:r>
            <w:r>
              <w:rPr>
                <w:rFonts w:ascii="Arial" w:cs="Arial" w:eastAsia="Arial" w:hAnsi="Arial"/>
                <w:sz w:val="14"/>
                <w:szCs w:val="14"/>
                <w:color w:val="0075A8"/>
              </w:rPr>
              <w:t>(7)</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831,894​</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shd w:val="clear" w:color="auto" w:fill="E5E5E5"/>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Robert J. Terry</w:t>
            </w:r>
          </w:p>
        </w:tc>
        <w:tc>
          <w:tcPr>
            <w:tcW w:w="180" w:type="dxa"/>
            <w:vAlign w:val="bottom"/>
            <w:gridSpan w:val="2"/>
            <w:shd w:val="clear" w:color="auto" w:fill="E5E5E5"/>
          </w:tcPr>
          <w:p>
            <w:pPr>
              <w:ind w:left="6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ind w:left="8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shd w:val="clear" w:color="auto" w:fill="E5E5E5"/>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 5,628</w:t>
            </w:r>
            <w:r>
              <w:rPr>
                <w:rFonts w:ascii="Arial" w:cs="Arial" w:eastAsia="Arial" w:hAnsi="Arial"/>
                <w:sz w:val="14"/>
                <w:szCs w:val="14"/>
                <w:color w:val="0075A8"/>
              </w:rPr>
              <w:t>(2)</w:t>
            </w:r>
          </w:p>
        </w:tc>
        <w:tc>
          <w:tcPr>
            <w:tcW w:w="200" w:type="dxa"/>
            <w:vAlign w:val="bottom"/>
            <w:shd w:val="clear" w:color="auto" w:fill="E5E5E5"/>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shd w:val="clear" w:color="auto" w:fill="E5E5E5"/>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00" w:type="dxa"/>
            <w:vAlign w:val="bottom"/>
            <w:shd w:val="clear" w:color="auto" w:fill="E5E5E5"/>
          </w:tcPr>
          <w:p>
            <w:pPr>
              <w:ind w:left="80"/>
              <w:spacing w:after="0"/>
              <w:rPr>
                <w:sz w:val="20"/>
                <w:szCs w:val="20"/>
                <w:color w:val="auto"/>
              </w:rPr>
            </w:pPr>
            <w:r>
              <w:rPr>
                <w:rFonts w:ascii="Arial" w:cs="Arial" w:eastAsia="Arial" w:hAnsi="Arial"/>
                <w:sz w:val="14"/>
                <w:szCs w:val="14"/>
                <w:color w:val="auto"/>
              </w:rPr>
              <w:t>479,900​</w:t>
            </w: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E5E5"/>
          </w:tcPr>
          <w:p>
            <w:pPr>
              <w:ind w:left="120"/>
              <w:spacing w:after="0"/>
              <w:rPr>
                <w:sz w:val="20"/>
                <w:szCs w:val="20"/>
                <w:color w:val="auto"/>
              </w:rPr>
            </w:pPr>
            <w:r>
              <w:rPr>
                <w:rFonts w:ascii="Arial" w:cs="Arial" w:eastAsia="Arial" w:hAnsi="Arial"/>
                <w:sz w:val="14"/>
                <w:szCs w:val="14"/>
                <w:color w:val="auto"/>
              </w:rPr>
              <w:t>​ 3,950</w:t>
            </w:r>
            <w:r>
              <w:rPr>
                <w:rFonts w:ascii="Arial" w:cs="Arial" w:eastAsia="Arial" w:hAnsi="Arial"/>
                <w:sz w:val="14"/>
                <w:szCs w:val="14"/>
                <w:color w:val="0075A8"/>
              </w:rPr>
              <w:t>(8)</w:t>
            </w:r>
          </w:p>
        </w:tc>
        <w:tc>
          <w:tcPr>
            <w:tcW w:w="2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shd w:val="clear" w:color="auto" w:fill="E5E5E5"/>
          </w:tcPr>
          <w:p>
            <w:pPr>
              <w:ind w:left="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336,816​</w:t>
            </w:r>
          </w:p>
        </w:tc>
        <w:tc>
          <w:tcPr>
            <w:tcW w:w="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6,026</w:t>
            </w:r>
            <w:r>
              <w:rPr>
                <w:rFonts w:ascii="Arial" w:cs="Arial" w:eastAsia="Arial" w:hAnsi="Arial"/>
                <w:sz w:val="14"/>
                <w:szCs w:val="14"/>
                <w:color w:val="0075A8"/>
              </w:rPr>
              <w:t>(3)</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513,837​</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 2,815</w:t>
            </w:r>
            <w:r>
              <w:rPr>
                <w:rFonts w:ascii="Arial" w:cs="Arial" w:eastAsia="Arial" w:hAnsi="Arial"/>
                <w:sz w:val="14"/>
                <w:szCs w:val="14"/>
                <w:color w:val="0075A8"/>
              </w:rPr>
              <w:t>(9)</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240,035​</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2,057</w:t>
            </w:r>
            <w:r>
              <w:rPr>
                <w:rFonts w:ascii="Arial" w:cs="Arial" w:eastAsia="Arial" w:hAnsi="Arial"/>
                <w:sz w:val="14"/>
                <w:szCs w:val="14"/>
                <w:color w:val="0075A8"/>
              </w:rPr>
              <w:t>(4)</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175,400​</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 9,038</w:t>
            </w:r>
            <w:r>
              <w:rPr>
                <w:rFonts w:ascii="Arial" w:cs="Arial" w:eastAsia="Arial" w:hAnsi="Arial"/>
                <w:sz w:val="14"/>
                <w:szCs w:val="14"/>
                <w:color w:val="0075A8"/>
              </w:rPr>
              <w:t>(10)</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770,670​</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5,266</w:t>
            </w:r>
            <w:r>
              <w:rPr>
                <w:rFonts w:ascii="Arial" w:cs="Arial" w:eastAsia="Arial" w:hAnsi="Arial"/>
                <w:sz w:val="14"/>
                <w:szCs w:val="14"/>
                <w:color w:val="0075A8"/>
              </w:rPr>
              <w:t>(5)</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449,032​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5,629</w:t>
            </w:r>
            <w:r>
              <w:rPr>
                <w:rFonts w:ascii="Arial" w:cs="Arial" w:eastAsia="Arial" w:hAnsi="Arial"/>
                <w:sz w:val="14"/>
                <w:szCs w:val="14"/>
                <w:color w:val="0075A8"/>
              </w:rPr>
              <w:t>(6)</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479,985​</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1080" w:type="dxa"/>
            <w:vAlign w:val="bottom"/>
          </w:tcPr>
          <w:p>
            <w:pPr>
              <w:jc w:val="right"/>
              <w:ind w:right="93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80" w:type="dxa"/>
            <w:vAlign w:val="bottom"/>
          </w:tcPr>
          <w:p>
            <w:pPr>
              <w:ind w:lef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46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 8,034</w:t>
            </w:r>
            <w:r>
              <w:rPr>
                <w:rFonts w:ascii="Arial" w:cs="Arial" w:eastAsia="Arial" w:hAnsi="Arial"/>
                <w:sz w:val="14"/>
                <w:szCs w:val="14"/>
                <w:color w:val="0075A8"/>
              </w:rPr>
              <w:t>(7)</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tcPr>
          <w:p>
            <w:pPr>
              <w:ind w:left="100"/>
              <w:spacing w:after="0" w:line="239"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700" w:type="dxa"/>
            <w:vAlign w:val="bottom"/>
          </w:tcPr>
          <w:p>
            <w:pPr>
              <w:ind w:left="80"/>
              <w:spacing w:after="0"/>
              <w:rPr>
                <w:sz w:val="20"/>
                <w:szCs w:val="20"/>
                <w:color w:val="auto"/>
              </w:rPr>
            </w:pPr>
            <w:r>
              <w:rPr>
                <w:rFonts w:ascii="Arial" w:cs="Arial" w:eastAsia="Arial" w:hAnsi="Arial"/>
                <w:sz w:val="14"/>
                <w:szCs w:val="14"/>
                <w:color w:val="auto"/>
              </w:rPr>
              <w:t>685,059​</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80" w:type="dxa"/>
            <w:vAlign w:val="bottom"/>
            <w:shd w:val="clear" w:color="auto" w:fill="CCCCCC"/>
          </w:tcPr>
          <w:p>
            <w:pPr>
              <w:spacing w:after="0" w:line="20" w:lineRule="exact"/>
              <w:rPr>
                <w:sz w:val="1"/>
                <w:szCs w:val="1"/>
                <w:color w:val="auto"/>
              </w:rPr>
            </w:pPr>
          </w:p>
        </w:tc>
        <w:tc>
          <w:tcPr>
            <w:tcW w:w="80" w:type="dxa"/>
            <w:vAlign w:val="bottom"/>
            <w:shd w:val="clear" w:color="auto" w:fill="CCCCCC"/>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480" w:type="dxa"/>
            <w:vAlign w:val="bottom"/>
            <w:shd w:val="clear" w:color="auto" w:fill="CCCCCC"/>
          </w:tcPr>
          <w:p>
            <w:pPr>
              <w:spacing w:after="0" w:line="20" w:lineRule="exact"/>
              <w:rPr>
                <w:sz w:val="1"/>
                <w:szCs w:val="1"/>
                <w:color w:val="auto"/>
              </w:rPr>
            </w:pPr>
          </w:p>
        </w:tc>
        <w:tc>
          <w:tcPr>
            <w:tcW w:w="440" w:type="dxa"/>
            <w:vAlign w:val="bottom"/>
            <w:shd w:val="clear" w:color="auto" w:fill="CCCCCC"/>
          </w:tcPr>
          <w:p>
            <w:pPr>
              <w:spacing w:after="0" w:line="20" w:lineRule="exact"/>
              <w:rPr>
                <w:sz w:val="1"/>
                <w:szCs w:val="1"/>
                <w:color w:val="auto"/>
              </w:rPr>
            </w:pPr>
          </w:p>
        </w:tc>
        <w:tc>
          <w:tcPr>
            <w:tcW w:w="180" w:type="dxa"/>
            <w:vAlign w:val="bottom"/>
            <w:shd w:val="clear" w:color="auto" w:fill="CCCCCC"/>
          </w:tcPr>
          <w:p>
            <w:pPr>
              <w:spacing w:after="0" w:line="20" w:lineRule="exact"/>
              <w:rPr>
                <w:sz w:val="1"/>
                <w:szCs w:val="1"/>
                <w:color w:val="auto"/>
              </w:rPr>
            </w:pPr>
          </w:p>
        </w:tc>
        <w:tc>
          <w:tcPr>
            <w:tcW w:w="460" w:type="dxa"/>
            <w:vAlign w:val="bottom"/>
            <w:shd w:val="clear" w:color="auto" w:fill="CCCCCC"/>
          </w:tcPr>
          <w:p>
            <w:pPr>
              <w:spacing w:after="0" w:line="20" w:lineRule="exact"/>
              <w:rPr>
                <w:sz w:val="1"/>
                <w:szCs w:val="1"/>
                <w:color w:val="auto"/>
              </w:rPr>
            </w:pPr>
          </w:p>
        </w:tc>
        <w:tc>
          <w:tcPr>
            <w:tcW w:w="420" w:type="dxa"/>
            <w:vAlign w:val="bottom"/>
            <w:shd w:val="clear" w:color="auto" w:fill="CCCCCC"/>
          </w:tcPr>
          <w:p>
            <w:pPr>
              <w:spacing w:after="0" w:line="20" w:lineRule="exact"/>
              <w:rPr>
                <w:sz w:val="1"/>
                <w:szCs w:val="1"/>
                <w:color w:val="auto"/>
              </w:rPr>
            </w:pPr>
          </w:p>
        </w:tc>
        <w:tc>
          <w:tcPr>
            <w:tcW w:w="180" w:type="dxa"/>
            <w:vAlign w:val="bottom"/>
            <w:shd w:val="clear" w:color="auto" w:fill="CCCCCC"/>
          </w:tcPr>
          <w:p>
            <w:pPr>
              <w:spacing w:after="0" w:line="20" w:lineRule="exact"/>
              <w:rPr>
                <w:sz w:val="1"/>
                <w:szCs w:val="1"/>
                <w:color w:val="auto"/>
              </w:rPr>
            </w:pPr>
          </w:p>
        </w:tc>
        <w:tc>
          <w:tcPr>
            <w:tcW w:w="360" w:type="dxa"/>
            <w:vAlign w:val="bottom"/>
            <w:shd w:val="clear" w:color="auto" w:fill="CCCCCC"/>
          </w:tcPr>
          <w:p>
            <w:pPr>
              <w:spacing w:after="0" w:line="20" w:lineRule="exact"/>
              <w:rPr>
                <w:sz w:val="1"/>
                <w:szCs w:val="1"/>
                <w:color w:val="auto"/>
              </w:rPr>
            </w:pPr>
          </w:p>
        </w:tc>
        <w:tc>
          <w:tcPr>
            <w:tcW w:w="340" w:type="dxa"/>
            <w:vAlign w:val="bottom"/>
            <w:shd w:val="clear" w:color="auto" w:fill="CCCCCC"/>
          </w:tcPr>
          <w:p>
            <w:pPr>
              <w:spacing w:after="0" w:line="20" w:lineRule="exact"/>
              <w:rPr>
                <w:sz w:val="1"/>
                <w:szCs w:val="1"/>
                <w:color w:val="auto"/>
              </w:rPr>
            </w:pPr>
          </w:p>
        </w:tc>
        <w:tc>
          <w:tcPr>
            <w:tcW w:w="200" w:type="dxa"/>
            <w:vAlign w:val="bottom"/>
            <w:shd w:val="clear" w:color="auto" w:fill="CCCCCC"/>
          </w:tcPr>
          <w:p>
            <w:pPr>
              <w:spacing w:after="0" w:line="20" w:lineRule="exact"/>
              <w:rPr>
                <w:sz w:val="1"/>
                <w:szCs w:val="1"/>
                <w:color w:val="auto"/>
              </w:rPr>
            </w:pPr>
          </w:p>
        </w:tc>
        <w:tc>
          <w:tcPr>
            <w:tcW w:w="680" w:type="dxa"/>
            <w:vAlign w:val="bottom"/>
            <w:shd w:val="clear" w:color="auto" w:fill="CCCCCC"/>
          </w:tcPr>
          <w:p>
            <w:pPr>
              <w:spacing w:after="0" w:line="20" w:lineRule="exact"/>
              <w:rPr>
                <w:sz w:val="1"/>
                <w:szCs w:val="1"/>
                <w:color w:val="auto"/>
              </w:rPr>
            </w:pPr>
          </w:p>
        </w:tc>
        <w:tc>
          <w:tcPr>
            <w:tcW w:w="280" w:type="dxa"/>
            <w:vAlign w:val="bottom"/>
            <w:shd w:val="clear" w:color="auto" w:fill="CCCCCC"/>
          </w:tcPr>
          <w:p>
            <w:pPr>
              <w:spacing w:after="0" w:line="20" w:lineRule="exact"/>
              <w:rPr>
                <w:sz w:val="1"/>
                <w:szCs w:val="1"/>
                <w:color w:val="auto"/>
              </w:rPr>
            </w:pPr>
          </w:p>
        </w:tc>
        <w:tc>
          <w:tcPr>
            <w:tcW w:w="820" w:type="dxa"/>
            <w:vAlign w:val="bottom"/>
            <w:shd w:val="clear" w:color="auto" w:fill="CCCCCC"/>
          </w:tcPr>
          <w:p>
            <w:pPr>
              <w:spacing w:after="0" w:line="20" w:lineRule="exact"/>
              <w:rPr>
                <w:sz w:val="1"/>
                <w:szCs w:val="1"/>
                <w:color w:val="auto"/>
              </w:rPr>
            </w:pPr>
          </w:p>
        </w:tc>
        <w:tc>
          <w:tcPr>
            <w:tcW w:w="200" w:type="dxa"/>
            <w:vAlign w:val="bottom"/>
            <w:shd w:val="clear" w:color="auto" w:fill="CCCCCC"/>
          </w:tcPr>
          <w:p>
            <w:pPr>
              <w:spacing w:after="0" w:line="20" w:lineRule="exact"/>
              <w:rPr>
                <w:sz w:val="1"/>
                <w:szCs w:val="1"/>
                <w:color w:val="auto"/>
              </w:rPr>
            </w:pPr>
          </w:p>
        </w:tc>
        <w:tc>
          <w:tcPr>
            <w:tcW w:w="160" w:type="dxa"/>
            <w:vAlign w:val="bottom"/>
            <w:shd w:val="clear" w:color="auto" w:fill="CCCCCC"/>
          </w:tcPr>
          <w:p>
            <w:pPr>
              <w:spacing w:after="0" w:line="20" w:lineRule="exact"/>
              <w:rPr>
                <w:sz w:val="1"/>
                <w:szCs w:val="1"/>
                <w:color w:val="auto"/>
              </w:rPr>
            </w:pPr>
          </w:p>
        </w:tc>
        <w:tc>
          <w:tcPr>
            <w:tcW w:w="700" w:type="dxa"/>
            <w:vAlign w:val="bottom"/>
            <w:shd w:val="clear" w:color="auto" w:fill="CCCCCC"/>
          </w:tcPr>
          <w:p>
            <w:pPr>
              <w:spacing w:after="0" w:line="20" w:lineRule="exact"/>
              <w:rPr>
                <w:sz w:val="1"/>
                <w:szCs w:val="1"/>
                <w:color w:val="auto"/>
              </w:rPr>
            </w:pPr>
          </w:p>
        </w:tc>
        <w:tc>
          <w:tcPr>
            <w:tcW w:w="180" w:type="dxa"/>
            <w:vAlign w:val="bottom"/>
            <w:shd w:val="clear" w:color="auto" w:fill="CCCCCC"/>
          </w:tcPr>
          <w:p>
            <w:pPr>
              <w:spacing w:after="0" w:line="20" w:lineRule="exact"/>
              <w:rPr>
                <w:sz w:val="1"/>
                <w:szCs w:val="1"/>
                <w:color w:val="auto"/>
              </w:rPr>
            </w:pPr>
          </w:p>
        </w:tc>
        <w:tc>
          <w:tcPr>
            <w:tcW w:w="180" w:type="dxa"/>
            <w:vAlign w:val="bottom"/>
            <w:shd w:val="clear" w:color="auto" w:fill="CCCCCC"/>
          </w:tcPr>
          <w:p>
            <w:pPr>
              <w:spacing w:after="0" w:line="20" w:lineRule="exact"/>
              <w:rPr>
                <w:sz w:val="1"/>
                <w:szCs w:val="1"/>
                <w:color w:val="auto"/>
              </w:rPr>
            </w:pPr>
          </w:p>
        </w:tc>
        <w:tc>
          <w:tcPr>
            <w:tcW w:w="800" w:type="dxa"/>
            <w:vAlign w:val="bottom"/>
            <w:shd w:val="clear" w:color="auto" w:fill="CCCCCC"/>
          </w:tcPr>
          <w:p>
            <w:pPr>
              <w:spacing w:after="0" w:line="20" w:lineRule="exact"/>
              <w:rPr>
                <w:sz w:val="1"/>
                <w:szCs w:val="1"/>
                <w:color w:val="auto"/>
              </w:rPr>
            </w:pPr>
          </w:p>
        </w:tc>
        <w:tc>
          <w:tcPr>
            <w:tcW w:w="200" w:type="dxa"/>
            <w:vAlign w:val="bottom"/>
            <w:shd w:val="clear" w:color="auto" w:fill="CCCCCC"/>
          </w:tcPr>
          <w:p>
            <w:pPr>
              <w:spacing w:after="0" w:line="20" w:lineRule="exact"/>
              <w:rPr>
                <w:sz w:val="1"/>
                <w:szCs w:val="1"/>
                <w:color w:val="auto"/>
              </w:rPr>
            </w:pPr>
          </w:p>
        </w:tc>
        <w:tc>
          <w:tcPr>
            <w:tcW w:w="120" w:type="dxa"/>
            <w:vAlign w:val="bottom"/>
            <w:shd w:val="clear" w:color="auto" w:fill="CCCCCC"/>
          </w:tcPr>
          <w:p>
            <w:pPr>
              <w:spacing w:after="0" w:line="20" w:lineRule="exact"/>
              <w:rPr>
                <w:sz w:val="1"/>
                <w:szCs w:val="1"/>
                <w:color w:val="auto"/>
              </w:rPr>
            </w:pPr>
          </w:p>
        </w:tc>
        <w:tc>
          <w:tcPr>
            <w:tcW w:w="680" w:type="dxa"/>
            <w:vAlign w:val="bottom"/>
            <w:shd w:val="clear" w:color="auto" w:fill="CCCCCC"/>
          </w:tcPr>
          <w:p>
            <w:pPr>
              <w:spacing w:after="0" w:line="20" w:lineRule="exact"/>
              <w:rPr>
                <w:sz w:val="1"/>
                <w:szCs w:val="1"/>
                <w:color w:val="auto"/>
              </w:rPr>
            </w:pPr>
          </w:p>
        </w:tc>
        <w:tc>
          <w:tcPr>
            <w:tcW w:w="80" w:type="dxa"/>
            <w:vAlign w:val="bottom"/>
            <w:shd w:val="clear" w:color="auto" w:fill="CCCC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right="520" w:hanging="354"/>
        <w:spacing w:after="0" w:line="272" w:lineRule="auto"/>
        <w:tabs>
          <w:tab w:leader="none" w:pos="108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Reflects a price of  $85.27 per share, which was the closing sale price of the Company’s common stock on the Nasdaq Global Select Market on September 30, 2022.</w:t>
      </w:r>
    </w:p>
    <w:p>
      <w:pPr>
        <w:spacing w:after="0" w:line="1" w:lineRule="exact"/>
        <w:rPr>
          <w:rFonts w:ascii="Arial" w:cs="Arial" w:eastAsia="Arial" w:hAnsi="Arial"/>
          <w:sz w:val="16"/>
          <w:szCs w:val="16"/>
          <w:i w:val="1"/>
          <w:iCs w:val="1"/>
          <w:color w:val="auto"/>
        </w:rPr>
      </w:pPr>
    </w:p>
    <w:p>
      <w:pPr>
        <w:ind w:left="1080" w:right="220" w:hanging="354"/>
        <w:spacing w:after="0" w:line="258" w:lineRule="auto"/>
        <w:tabs>
          <w:tab w:leader="none" w:pos="108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fiscal year 2021 PSAs (“FY21 PSAs”) with respect to the remaining 50% of earned shares under two metrics, each of which was measured over a one-year performance period consisting of the Company’s fiscal year 2021, and each of which vested 50% at the end of FY21 and 50% at the end of FY22, assuming achievement at the “maximum” level of performance, and which were issued on November 11, 2022.</w:t>
      </w:r>
    </w:p>
    <w:p>
      <w:pPr>
        <w:spacing w:after="0" w:line="5" w:lineRule="exact"/>
        <w:rPr>
          <w:rFonts w:ascii="Arial" w:cs="Arial" w:eastAsia="Arial" w:hAnsi="Arial"/>
          <w:sz w:val="16"/>
          <w:szCs w:val="16"/>
          <w:i w:val="1"/>
          <w:iCs w:val="1"/>
          <w:color w:val="auto"/>
        </w:rPr>
      </w:pPr>
    </w:p>
    <w:p>
      <w:pPr>
        <w:ind w:left="1080" w:right="180" w:hanging="354"/>
        <w:spacing w:after="0" w:line="263" w:lineRule="auto"/>
        <w:tabs>
          <w:tab w:leader="none" w:pos="108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FY22 PSAs (awarded on November 10, 2021, as described above under “Components of Compensation — Long-Term Stock-Based Compensation”) with respect to the emerging revenue growth metric measured over a one-year performance period consisting of the Company’s fiscal year 2022, assuming achievement at the “maximum”</w:t>
      </w:r>
    </w:p>
    <w:p>
      <w:pPr>
        <w:spacing w:after="0" w:line="321"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80" w:right="420"/>
        <w:spacing w:after="0" w:line="255" w:lineRule="auto"/>
        <w:rPr>
          <w:sz w:val="20"/>
          <w:szCs w:val="20"/>
          <w:color w:val="auto"/>
        </w:rPr>
      </w:pPr>
      <w:r>
        <w:rPr>
          <w:rFonts w:ascii="Arial" w:cs="Arial" w:eastAsia="Arial" w:hAnsi="Arial"/>
          <w:sz w:val="16"/>
          <w:szCs w:val="16"/>
          <w:i w:val="1"/>
          <w:iCs w:val="1"/>
          <w:color w:val="auto"/>
        </w:rPr>
        <w:t>level of performance. One hundred percent (100%) of the shares to be earned under the FY22 PSAs with respect to this metric will be issued on November 10, 2023, to the extent earned and provided that the executive meets the continued employment condition.</w:t>
      </w:r>
    </w:p>
    <w:p>
      <w:pPr>
        <w:spacing w:after="0" w:line="2" w:lineRule="exact"/>
        <w:rPr>
          <w:sz w:val="20"/>
          <w:szCs w:val="20"/>
          <w:color w:val="auto"/>
        </w:rPr>
      </w:pPr>
    </w:p>
    <w:p>
      <w:pPr>
        <w:ind w:left="1080" w:right="260" w:hanging="354"/>
        <w:spacing w:after="0" w:line="254" w:lineRule="auto"/>
        <w:tabs>
          <w:tab w:leader="none" w:pos="108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6, 2018, under the Company’s 2015 Long-Term Incentive Plan. The RSU award vested at a rate of 25% per year on each anniversary of the grant date until it became fully vested on November 6, 2022.</w:t>
      </w:r>
    </w:p>
    <w:p>
      <w:pPr>
        <w:spacing w:after="0" w:line="1" w:lineRule="exact"/>
        <w:rPr>
          <w:rFonts w:ascii="Arial" w:cs="Arial" w:eastAsia="Arial" w:hAnsi="Arial"/>
          <w:sz w:val="16"/>
          <w:szCs w:val="16"/>
          <w:i w:val="1"/>
          <w:iCs w:val="1"/>
          <w:color w:val="auto"/>
        </w:rPr>
      </w:pPr>
    </w:p>
    <w:p>
      <w:pPr>
        <w:ind w:left="1080" w:right="200" w:hanging="354"/>
        <w:spacing w:after="0" w:line="255" w:lineRule="auto"/>
        <w:tabs>
          <w:tab w:leader="none" w:pos="108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5, 2019, under the Company’s 2015 Long-Term Incentive Plan. The RSU award vests at a rate of 25% per year on each anniversary of the grant date through November 5, 2023.</w:t>
      </w:r>
    </w:p>
    <w:p>
      <w:pPr>
        <w:spacing w:after="0" w:line="2" w:lineRule="exact"/>
        <w:rPr>
          <w:rFonts w:ascii="Arial" w:cs="Arial" w:eastAsia="Arial" w:hAnsi="Arial"/>
          <w:sz w:val="16"/>
          <w:szCs w:val="16"/>
          <w:i w:val="1"/>
          <w:iCs w:val="1"/>
          <w:color w:val="auto"/>
        </w:rPr>
      </w:pPr>
    </w:p>
    <w:p>
      <w:pPr>
        <w:ind w:left="1080" w:right="120" w:hanging="354"/>
        <w:spacing w:after="0" w:line="258" w:lineRule="auto"/>
        <w:tabs>
          <w:tab w:leader="none" w:pos="108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11, 2020, under the Company’s 2015 Long-Term Incentive Plan. The RSU award vests at a rate of 25% per year on each anniversary of the grant date through November 11, 2024.</w:t>
      </w:r>
    </w:p>
    <w:p>
      <w:pPr>
        <w:ind w:left="1080" w:right="120" w:hanging="354"/>
        <w:spacing w:after="0" w:line="254" w:lineRule="auto"/>
        <w:tabs>
          <w:tab w:leader="none" w:pos="108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10, 2021, under the Company’s 2015 Long-Term Incentive Plan. The RSU award vests at a rate of 25% per year on each anniversary of the grant date through November 10, 2025.</w:t>
      </w:r>
    </w:p>
    <w:p>
      <w:pPr>
        <w:spacing w:after="0" w:line="1" w:lineRule="exact"/>
        <w:rPr>
          <w:rFonts w:ascii="Arial" w:cs="Arial" w:eastAsia="Arial" w:hAnsi="Arial"/>
          <w:sz w:val="16"/>
          <w:szCs w:val="16"/>
          <w:i w:val="1"/>
          <w:iCs w:val="1"/>
          <w:color w:val="auto"/>
        </w:rPr>
      </w:pPr>
    </w:p>
    <w:p>
      <w:pPr>
        <w:ind w:left="1080" w:right="60" w:hanging="354"/>
        <w:spacing w:after="0" w:line="255" w:lineRule="auto"/>
        <w:tabs>
          <w:tab w:leader="none" w:pos="108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fiscal year 2020 PSAs (the “FY20 PSAs”) with respect to the TSR percentile ranking metric, assuming achievement at the “threshold” level of performance. This portion of the FY20 PSAs, which was subject to a three-year performance period, would have been issued November 5, 2022, had it been achieved.</w:t>
      </w:r>
    </w:p>
    <w:p>
      <w:pPr>
        <w:spacing w:after="0" w:line="2" w:lineRule="exact"/>
        <w:rPr>
          <w:rFonts w:ascii="Arial" w:cs="Arial" w:eastAsia="Arial" w:hAnsi="Arial"/>
          <w:sz w:val="16"/>
          <w:szCs w:val="16"/>
          <w:i w:val="1"/>
          <w:iCs w:val="1"/>
          <w:color w:val="auto"/>
        </w:rPr>
      </w:pPr>
    </w:p>
    <w:p>
      <w:pPr>
        <w:ind w:left="1080" w:right="100" w:hanging="354"/>
        <w:spacing w:after="0" w:line="255" w:lineRule="auto"/>
        <w:tabs>
          <w:tab w:leader="none" w:pos="108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FY21 PSAs with respect to the TSR percentile ranking metric, assuming achievement at the “threshold” level of performance. This portion of the FY21 PSAs, which is subject to a three-year performance period, will be issued on November 11, 2023, to the extent earned and provided that the executive meets the continued employment condition.</w:t>
      </w:r>
    </w:p>
    <w:p>
      <w:pPr>
        <w:spacing w:after="0" w:line="1" w:lineRule="exact"/>
        <w:rPr>
          <w:rFonts w:ascii="Arial" w:cs="Arial" w:eastAsia="Arial" w:hAnsi="Arial"/>
          <w:sz w:val="16"/>
          <w:szCs w:val="16"/>
          <w:i w:val="1"/>
          <w:iCs w:val="1"/>
          <w:color w:val="auto"/>
        </w:rPr>
      </w:pPr>
    </w:p>
    <w:p>
      <w:pPr>
        <w:ind w:left="1080" w:right="100" w:hanging="354"/>
        <w:spacing w:after="0" w:line="251" w:lineRule="auto"/>
        <w:tabs>
          <w:tab w:leader="none" w:pos="108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FY22 PSAs (awarded on November 10, 2021, as described above under “Components of Compensation — Long-Term Stock-Based Compensation”) with respect to the TSR percentile ranking metric, assuming achievement at the “threshold” level of performance. This portion of the FY22 PSAs, which is subject to a three-year performance period, will be issued on November 10, 2024, to the extent earned and provided that the executive meets the continued employment condition. Also represents shares issuable under the FY22 PSAs with respect to the EBITDA margin percentile ranking metric measured over a two-year performance period consisting of the Company’s fiscal years 2022 and 2023, assuming achievement at the “maximum” level of performance. This portion of the FY22 PSAs will be issued on November 10, 2023, to the extent earned and provided that the executive meets the continued employment condition.</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Option Exercises and Stock Vested Table</w:t>
      </w:r>
    </w:p>
    <w:p>
      <w:pPr>
        <w:spacing w:after="0" w:line="161" w:lineRule="exact"/>
        <w:rPr>
          <w:sz w:val="20"/>
          <w:szCs w:val="20"/>
          <w:color w:val="auto"/>
        </w:rPr>
      </w:pPr>
    </w:p>
    <w:p>
      <w:pPr>
        <w:ind w:left="660" w:right="300"/>
        <w:spacing w:after="0" w:line="261" w:lineRule="auto"/>
        <w:rPr>
          <w:sz w:val="20"/>
          <w:szCs w:val="20"/>
          <w:color w:val="auto"/>
        </w:rPr>
      </w:pPr>
      <w:r>
        <w:rPr>
          <w:rFonts w:ascii="Arial" w:cs="Arial" w:eastAsia="Arial" w:hAnsi="Arial"/>
          <w:sz w:val="20"/>
          <w:szCs w:val="20"/>
          <w:color w:val="auto"/>
        </w:rPr>
        <w:t>The following table summarizes the Named Executive Officers’ option exercises and stock award vesting during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156210</wp:posOffset>
            </wp:positionV>
            <wp:extent cx="5974715" cy="7454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74715" cy="745490"/>
                    </a:xfrm>
                    <a:prstGeom prst="rect">
                      <a:avLst/>
                    </a:prstGeom>
                    <a:noFill/>
                  </pic:spPr>
                </pic:pic>
              </a:graphicData>
            </a:graphic>
          </wp:anchor>
        </w:drawing>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283"/>
        </w:trPr>
        <w:tc>
          <w:tcPr>
            <w:tcW w:w="3280" w:type="dxa"/>
            <w:vAlign w:val="bottom"/>
          </w:tcPr>
          <w:p>
            <w:pPr>
              <w:jc w:val="right"/>
              <w:ind w:right="3119"/>
              <w:spacing w:after="0"/>
              <w:rPr>
                <w:sz w:val="20"/>
                <w:szCs w:val="20"/>
                <w:color w:val="auto"/>
              </w:rPr>
            </w:pPr>
            <w:r>
              <w:rPr>
                <w:rFonts w:ascii="Arial" w:cs="Arial" w:eastAsia="Arial" w:hAnsi="Arial"/>
                <w:sz w:val="18"/>
                <w:szCs w:val="18"/>
                <w:color w:val="FFFFFF"/>
              </w:rPr>
              <w:t>​​</w:t>
            </w:r>
          </w:p>
        </w:tc>
        <w:tc>
          <w:tcPr>
            <w:tcW w:w="260" w:type="dxa"/>
            <w:vAlign w:val="bottom"/>
          </w:tcPr>
          <w:p>
            <w:pPr>
              <w:ind w:left="140"/>
              <w:spacing w:after="0"/>
              <w:rPr>
                <w:sz w:val="20"/>
                <w:szCs w:val="20"/>
                <w:color w:val="auto"/>
              </w:rPr>
            </w:pPr>
            <w:r>
              <w:rPr>
                <w:rFonts w:ascii="Arial" w:cs="Arial" w:eastAsia="Arial" w:hAnsi="Arial"/>
                <w:sz w:val="18"/>
                <w:szCs w:val="18"/>
                <w:color w:val="FFFFFF"/>
              </w:rPr>
              <w:t>​</w:t>
            </w:r>
          </w:p>
        </w:tc>
        <w:tc>
          <w:tcPr>
            <w:tcW w:w="220" w:type="dxa"/>
            <w:vAlign w:val="bottom"/>
          </w:tcPr>
          <w:p>
            <w:pPr>
              <w:ind w:left="140"/>
              <w:spacing w:after="0"/>
              <w:rPr>
                <w:sz w:val="20"/>
                <w:szCs w:val="20"/>
                <w:color w:val="auto"/>
              </w:rPr>
            </w:pPr>
            <w:r>
              <w:rPr>
                <w:rFonts w:ascii="Arial" w:cs="Arial" w:eastAsia="Arial" w:hAnsi="Arial"/>
                <w:sz w:val="18"/>
                <w:szCs w:val="18"/>
                <w:color w:val="FFFFFF"/>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5"/>
          </w:tcPr>
          <w:p>
            <w:pPr>
              <w:ind w:left="220"/>
              <w:spacing w:after="0"/>
              <w:rPr>
                <w:sz w:val="20"/>
                <w:szCs w:val="20"/>
                <w:color w:val="auto"/>
              </w:rPr>
            </w:pPr>
            <w:r>
              <w:rPr>
                <w:rFonts w:ascii="Arial" w:cs="Arial" w:eastAsia="Arial" w:hAnsi="Arial"/>
                <w:sz w:val="18"/>
                <w:szCs w:val="18"/>
                <w:color w:val="FFFFFF"/>
              </w:rPr>
              <w:t>Option Awards</w:t>
            </w:r>
          </w:p>
        </w:tc>
        <w:tc>
          <w:tcPr>
            <w:tcW w:w="56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18"/>
                <w:szCs w:val="18"/>
                <w:color w:val="FFFFFF"/>
              </w:rPr>
              <w:t>​</w:t>
            </w:r>
          </w:p>
        </w:tc>
        <w:tc>
          <w:tcPr>
            <w:tcW w:w="260" w:type="dxa"/>
            <w:vAlign w:val="bottom"/>
          </w:tcPr>
          <w:p>
            <w:pPr>
              <w:ind w:left="160"/>
              <w:spacing w:after="0"/>
              <w:rPr>
                <w:sz w:val="20"/>
                <w:szCs w:val="20"/>
                <w:color w:val="auto"/>
              </w:rPr>
            </w:pPr>
            <w:r>
              <w:rPr>
                <w:rFonts w:ascii="Arial" w:cs="Arial" w:eastAsia="Arial" w:hAnsi="Arial"/>
                <w:sz w:val="18"/>
                <w:szCs w:val="18"/>
                <w:color w:val="FFFFFF"/>
              </w:rPr>
              <w:t>​</w:t>
            </w:r>
          </w:p>
        </w:tc>
        <w:tc>
          <w:tcPr>
            <w:tcW w:w="100" w:type="dxa"/>
            <w:vAlign w:val="bottom"/>
          </w:tcPr>
          <w:p>
            <w:pPr>
              <w:spacing w:after="0"/>
              <w:rPr>
                <w:sz w:val="24"/>
                <w:szCs w:val="24"/>
                <w:color w:val="auto"/>
              </w:rPr>
            </w:pPr>
          </w:p>
        </w:tc>
        <w:tc>
          <w:tcPr>
            <w:tcW w:w="2420" w:type="dxa"/>
            <w:vAlign w:val="bottom"/>
            <w:gridSpan w:val="5"/>
          </w:tcPr>
          <w:p>
            <w:pPr>
              <w:ind w:left="640"/>
              <w:spacing w:after="0"/>
              <w:rPr>
                <w:sz w:val="20"/>
                <w:szCs w:val="20"/>
                <w:color w:val="auto"/>
              </w:rPr>
            </w:pPr>
            <w:r>
              <w:rPr>
                <w:rFonts w:ascii="Arial" w:cs="Arial" w:eastAsia="Arial" w:hAnsi="Arial"/>
                <w:sz w:val="18"/>
                <w:szCs w:val="18"/>
                <w:color w:val="FFFFFF"/>
              </w:rPr>
              <w:t>Stock Awards</w:t>
            </w:r>
          </w:p>
        </w:tc>
        <w:tc>
          <w:tcPr>
            <w:tcW w:w="100" w:type="dxa"/>
            <w:vAlign w:val="bottom"/>
            <w:gridSpan w:val="2"/>
          </w:tcPr>
          <w:p>
            <w:pPr>
              <w:jc w:val="right"/>
              <w:ind w:right="2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9"/>
                <w:szCs w:val="19"/>
                <w:color w:val="auto"/>
              </w:rPr>
            </w:pPr>
          </w:p>
        </w:tc>
        <w:tc>
          <w:tcPr>
            <w:tcW w:w="260" w:type="dxa"/>
            <w:vAlign w:val="bottom"/>
            <w:tcBorders>
              <w:top w:val="single" w:sz="8" w:color="0075A8"/>
            </w:tcBorders>
          </w:tcPr>
          <w:p>
            <w:pPr>
              <w:spacing w:after="0"/>
              <w:rPr>
                <w:sz w:val="19"/>
                <w:szCs w:val="19"/>
                <w:color w:val="auto"/>
              </w:rPr>
            </w:pPr>
          </w:p>
        </w:tc>
        <w:tc>
          <w:tcPr>
            <w:tcW w:w="220" w:type="dxa"/>
            <w:vAlign w:val="bottom"/>
            <w:tcBorders>
              <w:top w:val="single" w:sz="8" w:color="FEFEFE"/>
            </w:tcBorders>
          </w:tcPr>
          <w:p>
            <w:pPr>
              <w:spacing w:after="0"/>
              <w:rPr>
                <w:sz w:val="19"/>
                <w:szCs w:val="19"/>
                <w:color w:val="auto"/>
              </w:rPr>
            </w:pPr>
          </w:p>
        </w:tc>
        <w:tc>
          <w:tcPr>
            <w:tcW w:w="120" w:type="dxa"/>
            <w:vAlign w:val="bottom"/>
            <w:tcBorders>
              <w:top w:val="single" w:sz="8" w:color="FEFEFE"/>
            </w:tcBorders>
          </w:tcPr>
          <w:p>
            <w:pPr>
              <w:spacing w:after="0"/>
              <w:rPr>
                <w:sz w:val="19"/>
                <w:szCs w:val="19"/>
                <w:color w:val="auto"/>
              </w:rPr>
            </w:pPr>
          </w:p>
        </w:tc>
        <w:tc>
          <w:tcPr>
            <w:tcW w:w="940" w:type="dxa"/>
            <w:vAlign w:val="bottom"/>
            <w:tcBorders>
              <w:top w:val="single" w:sz="8" w:color="FEFEFE"/>
            </w:tcBorders>
            <w:gridSpan w:val="2"/>
          </w:tcPr>
          <w:p>
            <w:pPr>
              <w:jc w:val="center"/>
              <w:spacing w:after="0"/>
              <w:rPr>
                <w:sz w:val="20"/>
                <w:szCs w:val="20"/>
                <w:color w:val="auto"/>
              </w:rPr>
            </w:pPr>
            <w:r>
              <w:rPr>
                <w:rFonts w:ascii="Arial" w:cs="Arial" w:eastAsia="Arial" w:hAnsi="Arial"/>
                <w:sz w:val="18"/>
                <w:szCs w:val="18"/>
                <w:color w:val="FFFFFF"/>
                <w:w w:val="99"/>
              </w:rPr>
              <w:t>Number of</w:t>
            </w:r>
          </w:p>
        </w:tc>
        <w:tc>
          <w:tcPr>
            <w:tcW w:w="240" w:type="dxa"/>
            <w:vAlign w:val="bottom"/>
            <w:tcBorders>
              <w:top w:val="single" w:sz="8" w:color="FEFEFE"/>
            </w:tcBorders>
          </w:tcPr>
          <w:p>
            <w:pPr>
              <w:spacing w:after="0"/>
              <w:rPr>
                <w:sz w:val="19"/>
                <w:szCs w:val="19"/>
                <w:color w:val="auto"/>
              </w:rPr>
            </w:pPr>
          </w:p>
        </w:tc>
        <w:tc>
          <w:tcPr>
            <w:tcW w:w="260" w:type="dxa"/>
            <w:vAlign w:val="bottom"/>
            <w:tcBorders>
              <w:top w:val="single" w:sz="8" w:color="FEFEFE"/>
            </w:tcBorders>
          </w:tcPr>
          <w:p>
            <w:pPr>
              <w:spacing w:after="0"/>
              <w:rPr>
                <w:sz w:val="19"/>
                <w:szCs w:val="19"/>
                <w:color w:val="auto"/>
              </w:rPr>
            </w:pPr>
          </w:p>
        </w:tc>
        <w:tc>
          <w:tcPr>
            <w:tcW w:w="140" w:type="dxa"/>
            <w:vAlign w:val="bottom"/>
            <w:tcBorders>
              <w:top w:val="single" w:sz="8" w:color="FEFEFE"/>
            </w:tcBorders>
          </w:tcPr>
          <w:p>
            <w:pPr>
              <w:spacing w:after="0"/>
              <w:rPr>
                <w:sz w:val="19"/>
                <w:szCs w:val="19"/>
                <w:color w:val="auto"/>
              </w:rPr>
            </w:pPr>
          </w:p>
        </w:tc>
        <w:tc>
          <w:tcPr>
            <w:tcW w:w="880" w:type="dxa"/>
            <w:vAlign w:val="bottom"/>
            <w:tcBorders>
              <w:top w:val="single" w:sz="8" w:color="FEFEFE"/>
            </w:tcBorders>
            <w:gridSpan w:val="2"/>
          </w:tcPr>
          <w:p>
            <w:pPr>
              <w:ind w:left="160"/>
              <w:spacing w:after="0"/>
              <w:rPr>
                <w:sz w:val="20"/>
                <w:szCs w:val="20"/>
                <w:color w:val="auto"/>
              </w:rPr>
            </w:pPr>
            <w:r>
              <w:rPr>
                <w:rFonts w:ascii="Arial" w:cs="Arial" w:eastAsia="Arial" w:hAnsi="Arial"/>
                <w:sz w:val="18"/>
                <w:szCs w:val="18"/>
                <w:color w:val="FFFFFF"/>
              </w:rPr>
              <w:t>Value</w:t>
            </w:r>
          </w:p>
        </w:tc>
        <w:tc>
          <w:tcPr>
            <w:tcW w:w="220" w:type="dxa"/>
            <w:vAlign w:val="bottom"/>
            <w:tcBorders>
              <w:top w:val="single" w:sz="8" w:color="FEFEFE"/>
            </w:tcBorders>
          </w:tcPr>
          <w:p>
            <w:pPr>
              <w:spacing w:after="0"/>
              <w:rPr>
                <w:sz w:val="19"/>
                <w:szCs w:val="19"/>
                <w:color w:val="auto"/>
              </w:rPr>
            </w:pPr>
          </w:p>
        </w:tc>
        <w:tc>
          <w:tcPr>
            <w:tcW w:w="260" w:type="dxa"/>
            <w:vAlign w:val="bottom"/>
            <w:tcBorders>
              <w:top w:val="single" w:sz="8" w:color="FEFEFE"/>
            </w:tcBorders>
          </w:tcPr>
          <w:p>
            <w:pPr>
              <w:spacing w:after="0"/>
              <w:rPr>
                <w:sz w:val="19"/>
                <w:szCs w:val="19"/>
                <w:color w:val="auto"/>
              </w:rPr>
            </w:pPr>
          </w:p>
        </w:tc>
        <w:tc>
          <w:tcPr>
            <w:tcW w:w="100" w:type="dxa"/>
            <w:vAlign w:val="bottom"/>
            <w:tcBorders>
              <w:top w:val="single" w:sz="8" w:color="FEFEFE"/>
            </w:tcBorders>
          </w:tcPr>
          <w:p>
            <w:pPr>
              <w:spacing w:after="0"/>
              <w:rPr>
                <w:sz w:val="19"/>
                <w:szCs w:val="19"/>
                <w:color w:val="auto"/>
              </w:rPr>
            </w:pPr>
          </w:p>
        </w:tc>
        <w:tc>
          <w:tcPr>
            <w:tcW w:w="940" w:type="dxa"/>
            <w:vAlign w:val="bottom"/>
            <w:tcBorders>
              <w:top w:val="single" w:sz="8" w:color="FEFEFE"/>
            </w:tcBorders>
          </w:tcPr>
          <w:p>
            <w:pPr>
              <w:jc w:val="center"/>
              <w:spacing w:after="0"/>
              <w:rPr>
                <w:sz w:val="20"/>
                <w:szCs w:val="20"/>
                <w:color w:val="auto"/>
              </w:rPr>
            </w:pPr>
            <w:r>
              <w:rPr>
                <w:rFonts w:ascii="Arial" w:cs="Arial" w:eastAsia="Arial" w:hAnsi="Arial"/>
                <w:sz w:val="18"/>
                <w:szCs w:val="18"/>
                <w:color w:val="FFFFFF"/>
                <w:w w:val="99"/>
              </w:rPr>
              <w:t>Number of</w:t>
            </w:r>
          </w:p>
        </w:tc>
        <w:tc>
          <w:tcPr>
            <w:tcW w:w="240" w:type="dxa"/>
            <w:vAlign w:val="bottom"/>
            <w:tcBorders>
              <w:top w:val="single" w:sz="8" w:color="FEFEFE"/>
            </w:tcBorders>
          </w:tcPr>
          <w:p>
            <w:pPr>
              <w:spacing w:after="0"/>
              <w:rPr>
                <w:sz w:val="19"/>
                <w:szCs w:val="19"/>
                <w:color w:val="auto"/>
              </w:rPr>
            </w:pPr>
          </w:p>
        </w:tc>
        <w:tc>
          <w:tcPr>
            <w:tcW w:w="260" w:type="dxa"/>
            <w:vAlign w:val="bottom"/>
            <w:tcBorders>
              <w:top w:val="single" w:sz="8" w:color="FEFEFE"/>
            </w:tcBorders>
          </w:tcPr>
          <w:p>
            <w:pPr>
              <w:spacing w:after="0"/>
              <w:rPr>
                <w:sz w:val="19"/>
                <w:szCs w:val="19"/>
                <w:color w:val="auto"/>
              </w:rPr>
            </w:pPr>
          </w:p>
        </w:tc>
        <w:tc>
          <w:tcPr>
            <w:tcW w:w="80" w:type="dxa"/>
            <w:vAlign w:val="bottom"/>
            <w:tcBorders>
              <w:top w:val="single" w:sz="8" w:color="FEFEFE"/>
            </w:tcBorders>
          </w:tcPr>
          <w:p>
            <w:pPr>
              <w:spacing w:after="0"/>
              <w:rPr>
                <w:sz w:val="19"/>
                <w:szCs w:val="19"/>
                <w:color w:val="auto"/>
              </w:rPr>
            </w:pPr>
          </w:p>
        </w:tc>
        <w:tc>
          <w:tcPr>
            <w:tcW w:w="900" w:type="dxa"/>
            <w:vAlign w:val="bottom"/>
            <w:tcBorders>
              <w:top w:val="single" w:sz="8" w:color="FEFEFE"/>
            </w:tcBorders>
          </w:tcPr>
          <w:p>
            <w:pPr>
              <w:jc w:val="center"/>
              <w:spacing w:after="0"/>
              <w:rPr>
                <w:sz w:val="20"/>
                <w:szCs w:val="20"/>
                <w:color w:val="auto"/>
              </w:rPr>
            </w:pPr>
            <w:r>
              <w:rPr>
                <w:rFonts w:ascii="Arial" w:cs="Arial" w:eastAsia="Arial" w:hAnsi="Arial"/>
                <w:sz w:val="18"/>
                <w:szCs w:val="18"/>
                <w:color w:val="FFFFFF"/>
                <w:w w:val="99"/>
              </w:rPr>
              <w:t>Value</w:t>
            </w:r>
          </w:p>
        </w:tc>
        <w:tc>
          <w:tcPr>
            <w:tcW w:w="60" w:type="dxa"/>
            <w:vAlign w:val="bottom"/>
            <w:tcBorders>
              <w:top w:val="single" w:sz="8" w:color="FEFEFE"/>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spacing w:after="0" w:line="202" w:lineRule="exact"/>
              <w:rPr>
                <w:sz w:val="20"/>
                <w:szCs w:val="20"/>
                <w:color w:val="auto"/>
              </w:rPr>
            </w:pPr>
            <w:r>
              <w:rPr>
                <w:rFonts w:ascii="Arial" w:cs="Arial" w:eastAsia="Arial" w:hAnsi="Arial"/>
                <w:sz w:val="18"/>
                <w:szCs w:val="18"/>
                <w:color w:val="FFFFFF"/>
                <w:w w:val="98"/>
              </w:rPr>
              <w:t>Shares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3"/>
          </w:tcPr>
          <w:p>
            <w:pPr>
              <w:ind w:left="60"/>
              <w:spacing w:after="0" w:line="202" w:lineRule="exact"/>
              <w:rPr>
                <w:sz w:val="20"/>
                <w:szCs w:val="20"/>
                <w:color w:val="auto"/>
              </w:rPr>
            </w:pPr>
            <w:r>
              <w:rPr>
                <w:rFonts w:ascii="Arial" w:cs="Arial" w:eastAsia="Arial" w:hAnsi="Arial"/>
                <w:sz w:val="18"/>
                <w:szCs w:val="18"/>
                <w:color w:val="FFFFFF"/>
                <w:w w:val="98"/>
              </w:rPr>
              <w:t>Realized on</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FFFFFF"/>
              </w:rPr>
              <w:t>Shares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40"/>
              <w:spacing w:after="0" w:line="202" w:lineRule="exact"/>
              <w:rPr>
                <w:sz w:val="20"/>
                <w:szCs w:val="20"/>
                <w:color w:val="auto"/>
              </w:rPr>
            </w:pPr>
            <w:r>
              <w:rPr>
                <w:rFonts w:ascii="Arial" w:cs="Arial" w:eastAsia="Arial" w:hAnsi="Arial"/>
                <w:sz w:val="18"/>
                <w:szCs w:val="18"/>
                <w:color w:val="FFFFFF"/>
                <w:w w:val="96"/>
              </w:rPr>
              <w:t>Realized on</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3"/>
          </w:tcPr>
          <w:p>
            <w:pPr>
              <w:jc w:val="center"/>
              <w:spacing w:after="0" w:line="202" w:lineRule="exact"/>
              <w:rPr>
                <w:sz w:val="20"/>
                <w:szCs w:val="20"/>
                <w:color w:val="auto"/>
              </w:rPr>
            </w:pPr>
            <w:r>
              <w:rPr>
                <w:rFonts w:ascii="Arial" w:cs="Arial" w:eastAsia="Arial" w:hAnsi="Arial"/>
                <w:sz w:val="18"/>
                <w:szCs w:val="18"/>
                <w:color w:val="FFFFFF"/>
                <w:w w:val="99"/>
              </w:rPr>
              <w:t>Acquired on</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40"/>
              <w:spacing w:after="0" w:line="202" w:lineRule="exact"/>
              <w:rPr>
                <w:sz w:val="20"/>
                <w:szCs w:val="20"/>
                <w:color w:val="auto"/>
              </w:rPr>
            </w:pPr>
            <w:r>
              <w:rPr>
                <w:rFonts w:ascii="Arial" w:cs="Arial" w:eastAsia="Arial" w:hAnsi="Arial"/>
                <w:sz w:val="18"/>
                <w:szCs w:val="18"/>
                <w:color w:val="FFFFFF"/>
              </w:rPr>
              <w:t>Exercise</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center"/>
              <w:spacing w:after="0" w:line="202" w:lineRule="exact"/>
              <w:rPr>
                <w:sz w:val="20"/>
                <w:szCs w:val="20"/>
                <w:color w:val="auto"/>
              </w:rPr>
            </w:pPr>
            <w:r>
              <w:rPr>
                <w:rFonts w:ascii="Arial" w:cs="Arial" w:eastAsia="Arial" w:hAnsi="Arial"/>
                <w:sz w:val="18"/>
                <w:szCs w:val="18"/>
                <w:color w:val="FFFFFF"/>
                <w:w w:val="99"/>
              </w:rPr>
              <w:t>Acquired on</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FFFFFF"/>
                <w:w w:val="96"/>
              </w:rPr>
              <w:t>Vesting</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280" w:type="dxa"/>
            <w:vAlign w:val="bottom"/>
          </w:tcPr>
          <w:p>
            <w:pPr>
              <w:jc w:val="right"/>
              <w:ind w:right="2699"/>
              <w:spacing w:after="0"/>
              <w:rPr>
                <w:sz w:val="20"/>
                <w:szCs w:val="20"/>
                <w:color w:val="auto"/>
              </w:rPr>
            </w:pPr>
            <w:r>
              <w:rPr>
                <w:rFonts w:ascii="Arial" w:cs="Arial" w:eastAsia="Arial" w:hAnsi="Arial"/>
                <w:sz w:val="18"/>
                <w:szCs w:val="18"/>
                <w:color w:val="FFFFFF"/>
              </w:rPr>
              <w:t>​Name</w:t>
            </w:r>
          </w:p>
        </w:tc>
        <w:tc>
          <w:tcPr>
            <w:tcW w:w="260" w:type="dxa"/>
            <w:vAlign w:val="bottom"/>
          </w:tcPr>
          <w:p>
            <w:pPr>
              <w:ind w:left="140"/>
              <w:spacing w:after="0"/>
              <w:rPr>
                <w:sz w:val="20"/>
                <w:szCs w:val="20"/>
                <w:color w:val="auto"/>
              </w:rPr>
            </w:pPr>
            <w:r>
              <w:rPr>
                <w:rFonts w:ascii="Arial" w:cs="Arial" w:eastAsia="Arial" w:hAnsi="Arial"/>
                <w:sz w:val="18"/>
                <w:szCs w:val="18"/>
                <w:color w:val="FFFFFF"/>
              </w:rPr>
              <w:t>​</w:t>
            </w:r>
          </w:p>
        </w:tc>
        <w:tc>
          <w:tcPr>
            <w:tcW w:w="220" w:type="dxa"/>
            <w:vAlign w:val="bottom"/>
          </w:tcPr>
          <w:p>
            <w:pPr>
              <w:ind w:left="140"/>
              <w:spacing w:after="0"/>
              <w:rPr>
                <w:sz w:val="20"/>
                <w:szCs w:val="20"/>
                <w:color w:val="auto"/>
              </w:rPr>
            </w:pPr>
            <w:r>
              <w:rPr>
                <w:rFonts w:ascii="Arial" w:cs="Arial" w:eastAsia="Arial" w:hAnsi="Arial"/>
                <w:sz w:val="18"/>
                <w:szCs w:val="18"/>
                <w:color w:val="FFFFFF"/>
              </w:rPr>
              <w:t>​</w:t>
            </w:r>
          </w:p>
        </w:tc>
        <w:tc>
          <w:tcPr>
            <w:tcW w:w="1060" w:type="dxa"/>
            <w:vAlign w:val="bottom"/>
            <w:gridSpan w:val="3"/>
          </w:tcPr>
          <w:p>
            <w:pPr>
              <w:jc w:val="center"/>
              <w:spacing w:after="0"/>
              <w:rPr>
                <w:sz w:val="20"/>
                <w:szCs w:val="20"/>
                <w:color w:val="auto"/>
              </w:rPr>
            </w:pPr>
            <w:r>
              <w:rPr>
                <w:rFonts w:ascii="Arial" w:cs="Arial" w:eastAsia="Arial" w:hAnsi="Arial"/>
                <w:sz w:val="18"/>
                <w:szCs w:val="18"/>
                <w:color w:val="FFFFFF"/>
                <w:w w:val="99"/>
              </w:rPr>
              <w:t>Exercise (#)</w:t>
            </w:r>
          </w:p>
        </w:tc>
        <w:tc>
          <w:tcPr>
            <w:tcW w:w="240" w:type="dxa"/>
            <w:vAlign w:val="bottom"/>
          </w:tcPr>
          <w:p>
            <w:pPr>
              <w:ind w:left="140"/>
              <w:spacing w:after="0"/>
              <w:rPr>
                <w:sz w:val="20"/>
                <w:szCs w:val="20"/>
                <w:color w:val="auto"/>
              </w:rPr>
            </w:pPr>
            <w:r>
              <w:rPr>
                <w:rFonts w:ascii="Arial" w:cs="Arial" w:eastAsia="Arial" w:hAnsi="Arial"/>
                <w:sz w:val="18"/>
                <w:szCs w:val="18"/>
                <w:color w:val="FFFFFF"/>
              </w:rPr>
              <w:t>​</w:t>
            </w:r>
          </w:p>
        </w:tc>
        <w:tc>
          <w:tcPr>
            <w:tcW w:w="260" w:type="dxa"/>
            <w:vAlign w:val="bottom"/>
          </w:tcPr>
          <w:p>
            <w:pPr>
              <w:ind w:left="160"/>
              <w:spacing w:after="0"/>
              <w:rPr>
                <w:sz w:val="20"/>
                <w:szCs w:val="20"/>
                <w:color w:val="auto"/>
              </w:rPr>
            </w:pPr>
            <w:r>
              <w:rPr>
                <w:rFonts w:ascii="Arial" w:cs="Arial" w:eastAsia="Arial" w:hAnsi="Arial"/>
                <w:sz w:val="18"/>
                <w:szCs w:val="18"/>
                <w:color w:val="FFFFFF"/>
              </w:rPr>
              <w:t>​</w:t>
            </w:r>
          </w:p>
        </w:tc>
        <w:tc>
          <w:tcPr>
            <w:tcW w:w="140" w:type="dxa"/>
            <w:vAlign w:val="bottom"/>
          </w:tcPr>
          <w:p>
            <w:pPr>
              <w:spacing w:after="0"/>
              <w:rPr>
                <w:sz w:val="21"/>
                <w:szCs w:val="21"/>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FFFFFF"/>
              </w:rPr>
              <w:t>($)(1)</w:t>
            </w:r>
          </w:p>
        </w:tc>
        <w:tc>
          <w:tcPr>
            <w:tcW w:w="220" w:type="dxa"/>
            <w:vAlign w:val="bottom"/>
          </w:tcPr>
          <w:p>
            <w:pPr>
              <w:ind w:left="120"/>
              <w:spacing w:after="0"/>
              <w:rPr>
                <w:sz w:val="20"/>
                <w:szCs w:val="20"/>
                <w:color w:val="auto"/>
              </w:rPr>
            </w:pPr>
            <w:r>
              <w:rPr>
                <w:rFonts w:ascii="Arial" w:cs="Arial" w:eastAsia="Arial" w:hAnsi="Arial"/>
                <w:sz w:val="18"/>
                <w:szCs w:val="18"/>
                <w:color w:val="FFFFFF"/>
              </w:rPr>
              <w:t>​</w:t>
            </w:r>
          </w:p>
        </w:tc>
        <w:tc>
          <w:tcPr>
            <w:tcW w:w="260" w:type="dxa"/>
            <w:vAlign w:val="bottom"/>
          </w:tcPr>
          <w:p>
            <w:pPr>
              <w:ind w:left="160"/>
              <w:spacing w:after="0"/>
              <w:rPr>
                <w:sz w:val="20"/>
                <w:szCs w:val="20"/>
                <w:color w:val="auto"/>
              </w:rPr>
            </w:pPr>
            <w:r>
              <w:rPr>
                <w:rFonts w:ascii="Arial" w:cs="Arial" w:eastAsia="Arial" w:hAnsi="Arial"/>
                <w:sz w:val="18"/>
                <w:szCs w:val="18"/>
                <w:color w:val="FFFFFF"/>
              </w:rPr>
              <w:t>​</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FFFFFF"/>
                <w:w w:val="98"/>
              </w:rPr>
              <w:t>Vesting (#)</w:t>
            </w:r>
          </w:p>
        </w:tc>
        <w:tc>
          <w:tcPr>
            <w:tcW w:w="240" w:type="dxa"/>
            <w:vAlign w:val="bottom"/>
          </w:tcPr>
          <w:p>
            <w:pPr>
              <w:ind w:left="140"/>
              <w:spacing w:after="0"/>
              <w:rPr>
                <w:sz w:val="20"/>
                <w:szCs w:val="20"/>
                <w:color w:val="auto"/>
              </w:rPr>
            </w:pPr>
            <w:r>
              <w:rPr>
                <w:rFonts w:ascii="Arial" w:cs="Arial" w:eastAsia="Arial" w:hAnsi="Arial"/>
                <w:sz w:val="18"/>
                <w:szCs w:val="18"/>
                <w:color w:val="FFFFFF"/>
              </w:rPr>
              <w:t>​</w:t>
            </w:r>
          </w:p>
        </w:tc>
        <w:tc>
          <w:tcPr>
            <w:tcW w:w="260" w:type="dxa"/>
            <w:vAlign w:val="bottom"/>
          </w:tcPr>
          <w:p>
            <w:pPr>
              <w:ind w:left="160"/>
              <w:spacing w:after="0"/>
              <w:rPr>
                <w:sz w:val="20"/>
                <w:szCs w:val="20"/>
                <w:color w:val="auto"/>
              </w:rPr>
            </w:pPr>
            <w:r>
              <w:rPr>
                <w:rFonts w:ascii="Arial" w:cs="Arial" w:eastAsia="Arial" w:hAnsi="Arial"/>
                <w:sz w:val="18"/>
                <w:szCs w:val="18"/>
                <w:color w:val="FFFFFF"/>
              </w:rPr>
              <w:t>​</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FFFFFF"/>
                <w:w w:val="99"/>
              </w:rPr>
              <w:t>($)(2)</w:t>
            </w:r>
          </w:p>
        </w:tc>
        <w:tc>
          <w:tcPr>
            <w:tcW w:w="100" w:type="dxa"/>
            <w:vAlign w:val="bottom"/>
            <w:gridSpan w:val="2"/>
          </w:tcPr>
          <w:p>
            <w:pPr>
              <w:jc w:val="right"/>
              <w:ind w:right="2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03"/>
        </w:trPr>
        <w:tc>
          <w:tcPr>
            <w:tcW w:w="3280" w:type="dxa"/>
            <w:vAlign w:val="bottom"/>
          </w:tcPr>
          <w:p>
            <w:pPr>
              <w:ind w:left="40"/>
              <w:spacing w:after="0"/>
              <w:rPr>
                <w:sz w:val="20"/>
                <w:szCs w:val="20"/>
                <w:color w:val="auto"/>
              </w:rPr>
            </w:pPr>
            <w:r>
              <w:rPr>
                <w:rFonts w:ascii="Arial" w:cs="Arial" w:eastAsia="Arial" w:hAnsi="Arial"/>
                <w:sz w:val="16"/>
                <w:szCs w:val="16"/>
                <w:color w:val="auto"/>
              </w:rPr>
              <w:t>Liam K. Griffin</w:t>
            </w:r>
          </w:p>
        </w:tc>
        <w:tc>
          <w:tcPr>
            <w:tcW w:w="26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237"/>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32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211,274​</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34,766,022​</w:t>
            </w: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3280" w:type="dxa"/>
            <w:vAlign w:val="bottom"/>
          </w:tcPr>
          <w:p>
            <w:pPr>
              <w:jc w:val="right"/>
              <w:ind w:right="3119"/>
              <w:spacing w:after="0" w:line="54" w:lineRule="exact"/>
              <w:rPr>
                <w:sz w:val="20"/>
                <w:szCs w:val="20"/>
                <w:color w:val="auto"/>
              </w:rPr>
            </w:pPr>
            <w:r>
              <w:rPr>
                <w:rFonts w:ascii="Arial" w:cs="Arial" w:eastAsia="Arial" w:hAnsi="Arial"/>
                <w:sz w:val="6"/>
                <w:szCs w:val="6"/>
                <w:color w:val="auto"/>
              </w:rPr>
              <w:t>​</w:t>
            </w:r>
          </w:p>
        </w:tc>
        <w:tc>
          <w:tcPr>
            <w:tcW w:w="2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40"/>
              <w:spacing w:after="0"/>
              <w:rPr>
                <w:sz w:val="20"/>
                <w:szCs w:val="20"/>
                <w:color w:val="auto"/>
              </w:rPr>
            </w:pPr>
            <w:r>
              <w:rPr>
                <w:rFonts w:ascii="Arial" w:cs="Arial" w:eastAsia="Arial" w:hAnsi="Arial"/>
                <w:sz w:val="16"/>
                <w:szCs w:val="16"/>
                <w:color w:val="auto"/>
              </w:rPr>
              <w:t>Kris Sennesael</w:t>
            </w:r>
          </w:p>
        </w:tc>
        <w:tc>
          <w:tcPr>
            <w:tcW w:w="26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237"/>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32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44,111​</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7,265,809​</w:t>
            </w: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3280" w:type="dxa"/>
            <w:vAlign w:val="bottom"/>
          </w:tcPr>
          <w:p>
            <w:pPr>
              <w:jc w:val="right"/>
              <w:ind w:right="3119"/>
              <w:spacing w:after="0" w:line="54" w:lineRule="exact"/>
              <w:rPr>
                <w:sz w:val="20"/>
                <w:szCs w:val="20"/>
                <w:color w:val="auto"/>
              </w:rPr>
            </w:pPr>
            <w:r>
              <w:rPr>
                <w:rFonts w:ascii="Arial" w:cs="Arial" w:eastAsia="Arial" w:hAnsi="Arial"/>
                <w:sz w:val="6"/>
                <w:szCs w:val="6"/>
                <w:color w:val="auto"/>
              </w:rPr>
              <w:t>​</w:t>
            </w:r>
          </w:p>
        </w:tc>
        <w:tc>
          <w:tcPr>
            <w:tcW w:w="2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40"/>
              <w:spacing w:after="0"/>
              <w:rPr>
                <w:sz w:val="20"/>
                <w:szCs w:val="20"/>
                <w:color w:val="auto"/>
              </w:rPr>
            </w:pPr>
            <w:r>
              <w:rPr>
                <w:rFonts w:ascii="Arial" w:cs="Arial" w:eastAsia="Arial" w:hAnsi="Arial"/>
                <w:sz w:val="16"/>
                <w:szCs w:val="16"/>
                <w:color w:val="auto"/>
              </w:rPr>
              <w:t>Reza Kasnavi</w:t>
            </w:r>
          </w:p>
        </w:tc>
        <w:tc>
          <w:tcPr>
            <w:tcW w:w="26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237"/>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32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37,369​</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6,145,714​</w:t>
            </w: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3280" w:type="dxa"/>
            <w:vAlign w:val="bottom"/>
          </w:tcPr>
          <w:p>
            <w:pPr>
              <w:jc w:val="right"/>
              <w:ind w:right="3119"/>
              <w:spacing w:after="0" w:line="54" w:lineRule="exact"/>
              <w:rPr>
                <w:sz w:val="20"/>
                <w:szCs w:val="20"/>
                <w:color w:val="auto"/>
              </w:rPr>
            </w:pPr>
            <w:r>
              <w:rPr>
                <w:rFonts w:ascii="Arial" w:cs="Arial" w:eastAsia="Arial" w:hAnsi="Arial"/>
                <w:sz w:val="6"/>
                <w:szCs w:val="6"/>
                <w:color w:val="auto"/>
              </w:rPr>
              <w:t>​</w:t>
            </w:r>
          </w:p>
        </w:tc>
        <w:tc>
          <w:tcPr>
            <w:tcW w:w="2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0"/>
              <w:spacing w:after="0"/>
              <w:rPr>
                <w:sz w:val="20"/>
                <w:szCs w:val="20"/>
                <w:color w:val="auto"/>
              </w:rPr>
            </w:pPr>
            <w:r>
              <w:rPr>
                <w:rFonts w:ascii="Arial" w:cs="Arial" w:eastAsia="Arial" w:hAnsi="Arial"/>
                <w:sz w:val="16"/>
                <w:szCs w:val="16"/>
                <w:color w:val="auto"/>
              </w:rPr>
              <w:t>Carlos S. Bori</w:t>
            </w:r>
          </w:p>
        </w:tc>
        <w:tc>
          <w:tcPr>
            <w:tcW w:w="260" w:type="dxa"/>
            <w:vAlign w:val="bottom"/>
          </w:tcPr>
          <w:p>
            <w:pPr>
              <w:spacing w:after="0"/>
              <w:rPr>
                <w:sz w:val="18"/>
                <w:szCs w:val="18"/>
                <w:color w:val="auto"/>
              </w:rPr>
            </w:pP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237"/>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32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39,291​</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6,476,473​</w:t>
            </w: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3280" w:type="dxa"/>
            <w:vAlign w:val="bottom"/>
          </w:tcPr>
          <w:p>
            <w:pPr>
              <w:jc w:val="right"/>
              <w:ind w:right="3119"/>
              <w:spacing w:after="0" w:line="54" w:lineRule="exact"/>
              <w:rPr>
                <w:sz w:val="20"/>
                <w:szCs w:val="20"/>
                <w:color w:val="auto"/>
              </w:rPr>
            </w:pPr>
            <w:r>
              <w:rPr>
                <w:rFonts w:ascii="Arial" w:cs="Arial" w:eastAsia="Arial" w:hAnsi="Arial"/>
                <w:sz w:val="6"/>
                <w:szCs w:val="6"/>
                <w:color w:val="auto"/>
              </w:rPr>
              <w:t>​</w:t>
            </w:r>
          </w:p>
        </w:tc>
        <w:tc>
          <w:tcPr>
            <w:tcW w:w="2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0"/>
              <w:spacing w:after="0"/>
              <w:rPr>
                <w:sz w:val="20"/>
                <w:szCs w:val="20"/>
                <w:color w:val="auto"/>
              </w:rPr>
            </w:pPr>
            <w:r>
              <w:rPr>
                <w:rFonts w:ascii="Arial" w:cs="Arial" w:eastAsia="Arial" w:hAnsi="Arial"/>
                <w:sz w:val="16"/>
                <w:szCs w:val="16"/>
                <w:color w:val="auto"/>
              </w:rPr>
              <w:t>Robert J. Terry</w:t>
            </w:r>
          </w:p>
        </w:tc>
        <w:tc>
          <w:tcPr>
            <w:tcW w:w="260" w:type="dxa"/>
            <w:vAlign w:val="bottom"/>
          </w:tcPr>
          <w:p>
            <w:pPr>
              <w:spacing w:after="0"/>
              <w:rPr>
                <w:sz w:val="18"/>
                <w:szCs w:val="18"/>
                <w:color w:val="auto"/>
              </w:rPr>
            </w:pP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37"/>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502​</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8,398​</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32,101​</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5,280,556​</w:t>
            </w: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3280" w:type="dxa"/>
            <w:vAlign w:val="bottom"/>
          </w:tcPr>
          <w:p>
            <w:pPr>
              <w:jc w:val="right"/>
              <w:ind w:right="3119"/>
              <w:spacing w:after="0" w:line="54" w:lineRule="exact"/>
              <w:rPr>
                <w:sz w:val="20"/>
                <w:szCs w:val="20"/>
                <w:color w:val="auto"/>
              </w:rPr>
            </w:pPr>
            <w:r>
              <w:rPr>
                <w:rFonts w:ascii="Arial" w:cs="Arial" w:eastAsia="Arial" w:hAnsi="Arial"/>
                <w:sz w:val="6"/>
                <w:szCs w:val="6"/>
                <w:color w:val="auto"/>
              </w:rPr>
              <w:t>​</w:t>
            </w:r>
          </w:p>
        </w:tc>
        <w:tc>
          <w:tcPr>
            <w:tcW w:w="2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-831215</wp:posOffset>
            </wp:positionV>
            <wp:extent cx="5974715" cy="163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-505460</wp:posOffset>
            </wp:positionV>
            <wp:extent cx="5974715" cy="1631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-170815</wp:posOffset>
            </wp:positionV>
            <wp:extent cx="5974715"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87" w:lineRule="exact"/>
        <w:rPr>
          <w:sz w:val="20"/>
          <w:szCs w:val="20"/>
          <w:color w:val="auto"/>
        </w:rPr>
      </w:pPr>
    </w:p>
    <w:p>
      <w:pPr>
        <w:ind w:left="1080" w:right="40" w:hanging="354"/>
        <w:spacing w:after="0" w:line="269" w:lineRule="auto"/>
        <w:tabs>
          <w:tab w:leader="none" w:pos="1080"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The value realized on exercise is based on the amount by which the market price of a share of the Company’s common stock at the time of exercise exceeded the applicable exercise price per share of the exercised option.</w:t>
      </w:r>
    </w:p>
    <w:p>
      <w:pPr>
        <w:jc w:val="both"/>
        <w:ind w:left="1080" w:right="500" w:hanging="354"/>
        <w:spacing w:after="0" w:line="258" w:lineRule="auto"/>
        <w:tabs>
          <w:tab w:leader="none" w:pos="1080"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The value realized upon vesting is determined by multiplying (a) the number of shares underlying the stock awards that vested, by (b) the closing price of the Company’s common stock on the Nasdaq Global Select Market on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71" w:lineRule="exact"/>
        <w:rPr>
          <w:sz w:val="20"/>
          <w:szCs w:val="20"/>
          <w:color w:val="auto"/>
        </w:rPr>
      </w:pPr>
    </w:p>
    <w:p>
      <w:pPr>
        <w:ind w:left="660" w:right="260"/>
        <w:spacing w:after="0" w:line="273" w:lineRule="auto"/>
        <w:rPr>
          <w:sz w:val="20"/>
          <w:szCs w:val="20"/>
          <w:color w:val="auto"/>
        </w:rPr>
      </w:pPr>
      <w:r>
        <w:rPr>
          <w:rFonts w:ascii="Arial" w:cs="Arial" w:eastAsia="Arial" w:hAnsi="Arial"/>
          <w:sz w:val="23"/>
          <w:szCs w:val="23"/>
          <w:b w:val="1"/>
          <w:bCs w:val="1"/>
          <w:i w:val="1"/>
          <w:iCs w:val="1"/>
          <w:color w:val="auto"/>
        </w:rPr>
        <w:t>Potential Payments Upon Termination or Change in Control</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5A8"/>
        </w:rPr>
        <w:t>Mr. Griffin</w:t>
      </w:r>
    </w:p>
    <w:p>
      <w:pPr>
        <w:spacing w:after="0" w:line="163" w:lineRule="exact"/>
        <w:rPr>
          <w:sz w:val="20"/>
          <w:szCs w:val="20"/>
          <w:color w:val="auto"/>
        </w:rPr>
      </w:pPr>
    </w:p>
    <w:p>
      <w:pPr>
        <w:ind w:left="660"/>
        <w:spacing w:after="0" w:line="267" w:lineRule="auto"/>
        <w:rPr>
          <w:sz w:val="20"/>
          <w:szCs w:val="20"/>
          <w:color w:val="auto"/>
        </w:rPr>
      </w:pPr>
      <w:r>
        <w:rPr>
          <w:rFonts w:ascii="Arial" w:cs="Arial" w:eastAsia="Arial" w:hAnsi="Arial"/>
          <w:sz w:val="19"/>
          <w:szCs w:val="19"/>
          <w:color w:val="auto"/>
        </w:rPr>
        <w:t>On May 11, 2016, in connection with the appointment of Mr. Griffin as Chief Executive Officer, the Company entered into an amended and restated Change in Control / Severance Agreement with Mr. Griffin (the “Griffin Agreement”). The Griffin Agreement sets out severance benefits that become payable if, while employed by the Company, other than following a change in control, Mr. Griffin either (i) is terminated without cause, or (ii) terminates his employment for good reason. The severance benefits provided to Mr. Griffin under either of these circumstances would consist of: (i) a lump-sum payment equal to two (2) times the sum of (A) his then-current annual base salary immediately prior to such termination and (B) the Bonus Amount (as defined below); (ii) full acceleration of the vesting of all of Mr. Griffin’s outstanding stock options, which stock options would become exercisable for a period of two (2) years after the termination date (but not beyond the expiration of their respective maximum terms), full acceleration of the vesting of all outstanding restricted stock awards, and the right to receive the number of performance shares under outstanding PSAs that are earned but unissued and that he would have earned had he remained employed through the end of the applicable performance period; and (iii) provided he is eligible for and timely elects to continue receiving group medical coverage, certain COBRA continuation for him and his eligible dependents (“COBRA continuation”) for up to fifteen (15) months after the termination date. The Bonus Amount is an amount equal to the greater of</w:t>
      </w:r>
    </w:p>
    <w:p>
      <w:pPr>
        <w:spacing w:after="0" w:line="241" w:lineRule="exact"/>
        <w:rPr>
          <w:sz w:val="20"/>
          <w:szCs w:val="20"/>
          <w:color w:val="auto"/>
        </w:rPr>
      </w:pPr>
    </w:p>
    <w:p>
      <w:pPr>
        <w:ind w:left="660" w:right="80" w:hanging="6"/>
        <w:spacing w:after="0" w:line="255" w:lineRule="auto"/>
        <w:tabs>
          <w:tab w:leader="none" w:pos="946"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average of the short-term cash incentive awards received for the three (3) years prior to the year in which the termination occurs, and (y) the target annual short-term cash incentive award for the year in which the termination occurs.</w:t>
      </w:r>
    </w:p>
    <w:p>
      <w:pPr>
        <w:spacing w:after="0" w:line="209" w:lineRule="exact"/>
        <w:rPr>
          <w:sz w:val="20"/>
          <w:szCs w:val="20"/>
          <w:color w:val="auto"/>
        </w:rPr>
      </w:pPr>
    </w:p>
    <w:p>
      <w:pPr>
        <w:ind w:left="660" w:right="80"/>
        <w:spacing w:after="0" w:line="255" w:lineRule="auto"/>
        <w:rPr>
          <w:sz w:val="20"/>
          <w:szCs w:val="20"/>
          <w:color w:val="auto"/>
        </w:rPr>
      </w:pPr>
      <w:r>
        <w:rPr>
          <w:rFonts w:ascii="Arial" w:cs="Arial" w:eastAsia="Arial" w:hAnsi="Arial"/>
          <w:sz w:val="20"/>
          <w:szCs w:val="20"/>
          <w:color w:val="auto"/>
        </w:rPr>
        <w:t>The Griffin Agreement also sets out severance benefits that become payable if, within the period of time commencing three (3) months prior to and ending two (2) years following a change in control, Mr. Griffin’s employment is either</w:t>
      </w:r>
    </w:p>
    <w:p>
      <w:pPr>
        <w:spacing w:after="0" w:line="200" w:lineRule="exact"/>
        <w:rPr>
          <w:sz w:val="20"/>
          <w:szCs w:val="20"/>
          <w:color w:val="auto"/>
        </w:rPr>
      </w:pPr>
    </w:p>
    <w:p>
      <w:pPr>
        <w:spacing w:after="0" w:line="285"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3" w:hanging="223"/>
        <w:spacing w:after="0"/>
        <w:tabs>
          <w:tab w:leader="none" w:pos="223" w:val="left"/>
        </w:tabs>
        <w:numPr>
          <w:ilvl w:val="0"/>
          <w:numId w:val="62"/>
        </w:numPr>
        <w:rPr>
          <w:rFonts w:ascii="Arial" w:cs="Arial" w:eastAsia="Arial" w:hAnsi="Arial"/>
          <w:sz w:val="20"/>
          <w:szCs w:val="20"/>
          <w:color w:val="auto"/>
        </w:rPr>
      </w:pPr>
      <w:r>
        <w:rPr>
          <w:rFonts w:ascii="Arial" w:cs="Arial" w:eastAsia="Arial" w:hAnsi="Arial"/>
          <w:sz w:val="20"/>
          <w:szCs w:val="20"/>
          <w:color w:val="auto"/>
        </w:rPr>
        <w:t>terminated by the Company without cause, or</w:t>
      </w:r>
    </w:p>
    <w:p>
      <w:pPr>
        <w:ind w:left="3" w:right="60" w:hanging="3"/>
        <w:spacing w:after="0" w:line="243" w:lineRule="auto"/>
        <w:tabs>
          <w:tab w:leader="none" w:pos="278" w:val="left"/>
        </w:tabs>
        <w:numPr>
          <w:ilvl w:val="0"/>
          <w:numId w:val="62"/>
        </w:numPr>
        <w:rPr>
          <w:rFonts w:ascii="Arial" w:cs="Arial" w:eastAsia="Arial" w:hAnsi="Arial"/>
          <w:sz w:val="19"/>
          <w:szCs w:val="19"/>
          <w:color w:val="auto"/>
        </w:rPr>
      </w:pPr>
      <w:r>
        <w:rPr>
          <w:rFonts w:ascii="Arial" w:cs="Arial" w:eastAsia="Arial" w:hAnsi="Arial"/>
          <w:sz w:val="19"/>
          <w:szCs w:val="19"/>
          <w:color w:val="auto"/>
        </w:rPr>
        <w:t>terminated by him for good reason (a “Qualifying Termination”). The severance benefits provided to Mr. Griffin in such circumstances would consist of the following: (i) a lump-sum payment equal to two and one-half  (2</w:t>
      </w:r>
      <w:r>
        <w:rPr>
          <w:rFonts w:ascii="Arial" w:cs="Arial" w:eastAsia="Arial" w:hAnsi="Arial"/>
          <w:sz w:val="26"/>
          <w:szCs w:val="26"/>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2</w:t>
      </w:r>
      <w:r>
        <w:rPr>
          <w:rFonts w:ascii="Arial" w:cs="Arial" w:eastAsia="Arial" w:hAnsi="Arial"/>
          <w:sz w:val="19"/>
          <w:szCs w:val="19"/>
          <w:color w:val="auto"/>
        </w:rPr>
        <w:t>) times the sum of</w:t>
      </w:r>
    </w:p>
    <w:p>
      <w:pPr>
        <w:ind w:left="3" w:right="100"/>
        <w:spacing w:after="0" w:line="256" w:lineRule="auto"/>
        <w:rPr>
          <w:rFonts w:ascii="Arial" w:cs="Arial" w:eastAsia="Arial" w:hAnsi="Arial"/>
          <w:sz w:val="19"/>
          <w:szCs w:val="19"/>
          <w:color w:val="auto"/>
        </w:rPr>
      </w:pPr>
      <w:r>
        <w:rPr>
          <w:rFonts w:ascii="Arial" w:cs="Arial" w:eastAsia="Arial" w:hAnsi="Arial"/>
          <w:sz w:val="19"/>
          <w:szCs w:val="19"/>
          <w:color w:val="auto"/>
        </w:rPr>
        <w:t>(A) his annual base salary immediately prior to the change in control, and (B) the CIC Bonus Amount (as defined below); (ii) all of Mr. Griffin’s then-outstanding stock options would become exercisable for a period of thirty (30) months after the termination date (but not beyond the expiration of their respective maximum terms); and</w:t>
      </w:r>
    </w:p>
    <w:p>
      <w:pPr>
        <w:spacing w:after="0" w:line="2" w:lineRule="exact"/>
        <w:rPr>
          <w:rFonts w:ascii="Arial" w:cs="Arial" w:eastAsia="Arial" w:hAnsi="Arial"/>
          <w:sz w:val="19"/>
          <w:szCs w:val="19"/>
          <w:color w:val="auto"/>
        </w:rPr>
      </w:pPr>
    </w:p>
    <w:p>
      <w:pPr>
        <w:ind w:left="3" w:right="160" w:hanging="3"/>
        <w:spacing w:after="0" w:line="257" w:lineRule="auto"/>
        <w:tabs>
          <w:tab w:leader="none" w:pos="321" w:val="left"/>
        </w:tabs>
        <w:numPr>
          <w:ilvl w:val="0"/>
          <w:numId w:val="62"/>
        </w:numPr>
        <w:rPr>
          <w:rFonts w:ascii="Arial" w:cs="Arial" w:eastAsia="Arial" w:hAnsi="Arial"/>
          <w:sz w:val="19"/>
          <w:szCs w:val="19"/>
          <w:color w:val="auto"/>
        </w:rPr>
      </w:pPr>
      <w:r>
        <w:rPr>
          <w:rFonts w:ascii="Arial" w:cs="Arial" w:eastAsia="Arial" w:hAnsi="Arial"/>
          <w:sz w:val="19"/>
          <w:szCs w:val="19"/>
          <w:color w:val="auto"/>
        </w:rPr>
        <w:t>COBRA continuation for up to eighteen (18) months after the termination date. The CIC Bonus Amount is an amount equal to the greater of</w:t>
      </w:r>
    </w:p>
    <w:p>
      <w:pPr>
        <w:ind w:left="283" w:hanging="283"/>
        <w:spacing w:after="0"/>
        <w:tabs>
          <w:tab w:leader="none" w:pos="283"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average of the annual short-term cash</w:t>
      </w:r>
    </w:p>
    <w:p>
      <w:pPr>
        <w:ind w:left="3" w:right="60"/>
        <w:spacing w:after="0" w:line="248" w:lineRule="auto"/>
        <w:rPr>
          <w:rFonts w:ascii="Arial" w:cs="Arial" w:eastAsia="Arial" w:hAnsi="Arial"/>
          <w:sz w:val="20"/>
          <w:szCs w:val="20"/>
          <w:color w:val="auto"/>
        </w:rPr>
      </w:pPr>
      <w:r>
        <w:rPr>
          <w:rFonts w:ascii="Arial" w:cs="Arial" w:eastAsia="Arial" w:hAnsi="Arial"/>
          <w:sz w:val="20"/>
          <w:szCs w:val="20"/>
          <w:color w:val="auto"/>
        </w:rPr>
        <w:t>incentive awards received for the three (3) years prior to the year in which the change of control occurs and (y) the target annual short-term cash incentive award for the year in which the change of control occurs.</w:t>
      </w:r>
    </w:p>
    <w:p>
      <w:pPr>
        <w:spacing w:after="0" w:line="202" w:lineRule="exact"/>
        <w:rPr>
          <w:sz w:val="20"/>
          <w:szCs w:val="20"/>
          <w:color w:val="auto"/>
        </w:rPr>
      </w:pPr>
    </w:p>
    <w:p>
      <w:pPr>
        <w:ind w:left="3" w:right="40"/>
        <w:spacing w:after="0" w:line="244" w:lineRule="auto"/>
        <w:rPr>
          <w:sz w:val="20"/>
          <w:szCs w:val="20"/>
          <w:color w:val="auto"/>
        </w:rPr>
      </w:pPr>
      <w:r>
        <w:rPr>
          <w:rFonts w:ascii="Arial" w:cs="Arial" w:eastAsia="Arial" w:hAnsi="Arial"/>
          <w:sz w:val="20"/>
          <w:szCs w:val="20"/>
          <w:color w:val="auto"/>
        </w:rPr>
        <w:t>The Griffin Agreement also provides that in the event of a Qualifying Termination, Mr. Griffin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242570</wp:posOffset>
            </wp:positionV>
            <wp:extent cx="780415" cy="2571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80415" cy="2571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2683"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171450</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523"/>
          </w:cols>
          <w:pgMar w:left="580" w:top="132" w:right="121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1" w:lineRule="exact"/>
        <w:rPr>
          <w:sz w:val="20"/>
          <w:szCs w:val="20"/>
          <w:color w:val="auto"/>
        </w:rPr>
      </w:pPr>
    </w:p>
    <w:p>
      <w:pPr>
        <w:ind w:left="660" w:right="40"/>
        <w:spacing w:after="0" w:line="246" w:lineRule="auto"/>
        <w:rPr>
          <w:sz w:val="20"/>
          <w:szCs w:val="20"/>
          <w:color w:val="auto"/>
        </w:rPr>
      </w:pPr>
      <w:r>
        <w:rPr>
          <w:rFonts w:ascii="Arial" w:cs="Arial" w:eastAsia="Arial" w:hAnsi="Arial"/>
          <w:sz w:val="20"/>
          <w:szCs w:val="20"/>
          <w:color w:val="auto"/>
        </w:rPr>
        <w:t>then such awards would accelerate in full as of the change in control.</w:t>
      </w:r>
    </w:p>
    <w:p>
      <w:pPr>
        <w:spacing w:after="0" w:line="217" w:lineRule="exact"/>
        <w:rPr>
          <w:sz w:val="20"/>
          <w:szCs w:val="20"/>
          <w:color w:val="auto"/>
        </w:rPr>
      </w:pPr>
    </w:p>
    <w:p>
      <w:pPr>
        <w:ind w:left="660"/>
        <w:spacing w:after="0" w:line="256" w:lineRule="auto"/>
        <w:rPr>
          <w:sz w:val="20"/>
          <w:szCs w:val="20"/>
          <w:color w:val="auto"/>
        </w:rPr>
      </w:pPr>
      <w:r>
        <w:rPr>
          <w:rFonts w:ascii="Arial" w:cs="Arial" w:eastAsia="Arial" w:hAnsi="Arial"/>
          <w:sz w:val="19"/>
          <w:szCs w:val="19"/>
          <w:color w:val="auto"/>
        </w:rPr>
        <w:t>In the event of Mr. Griffin’s death or permanent disability (within the meaning of Section 22(e)(3) of the IRC), the Griffin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The Griffin Agreement also provides that if Mr. Griffin’s death or permanent disability occurs prior to the end of the performance period of a performance-based equity award, each such award would be deemed earned as to the greater of  (i) the target level of shares for such award, or (ii) 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be exercisable for a period of twelve</w:t>
      </w:r>
    </w:p>
    <w:p>
      <w:pPr>
        <w:spacing w:after="0" w:line="16" w:lineRule="exact"/>
        <w:rPr>
          <w:sz w:val="20"/>
          <w:szCs w:val="20"/>
          <w:color w:val="auto"/>
        </w:rPr>
      </w:pPr>
    </w:p>
    <w:p>
      <w:pPr>
        <w:ind w:left="660" w:right="60" w:hanging="6"/>
        <w:spacing w:after="0" w:line="243" w:lineRule="auto"/>
        <w:tabs>
          <w:tab w:leader="none" w:pos="1067" w:val="left"/>
        </w:tabs>
        <w:numPr>
          <w:ilvl w:val="0"/>
          <w:numId w:val="64"/>
        </w:numPr>
        <w:rPr>
          <w:rFonts w:ascii="Arial" w:cs="Arial" w:eastAsia="Arial" w:hAnsi="Arial"/>
          <w:sz w:val="20"/>
          <w:szCs w:val="20"/>
          <w:color w:val="auto"/>
        </w:rPr>
      </w:pPr>
      <w:r>
        <w:rPr>
          <w:rFonts w:ascii="Arial" w:cs="Arial" w:eastAsia="Arial" w:hAnsi="Arial"/>
          <w:sz w:val="20"/>
          <w:szCs w:val="20"/>
          <w:color w:val="auto"/>
        </w:rPr>
        <w:t>months following the termination of employment (but not beyond the expiration of their respective maximum terms).</w:t>
      </w:r>
    </w:p>
    <w:p>
      <w:pPr>
        <w:spacing w:after="0" w:line="219" w:lineRule="exact"/>
        <w:rPr>
          <w:sz w:val="20"/>
          <w:szCs w:val="20"/>
          <w:color w:val="auto"/>
        </w:rPr>
      </w:pPr>
    </w:p>
    <w:p>
      <w:pPr>
        <w:ind w:left="660" w:right="20"/>
        <w:spacing w:after="0" w:line="244" w:lineRule="auto"/>
        <w:rPr>
          <w:sz w:val="20"/>
          <w:szCs w:val="20"/>
          <w:color w:val="auto"/>
        </w:rPr>
      </w:pPr>
      <w:r>
        <w:rPr>
          <w:rFonts w:ascii="Arial" w:cs="Arial" w:eastAsia="Arial" w:hAnsi="Arial"/>
          <w:sz w:val="20"/>
          <w:szCs w:val="20"/>
          <w:color w:val="auto"/>
        </w:rPr>
        <w:t>The Griffin Agreement is intended to be exempt from or compliant with Section 409A of the IRC and has an initial two (2) year term from May 11, 2016, and thereafter renews automatically on an annual basis for up to five (5) additional years unless either the Company or Mr. Griffin timely provides a notice of non-renewal to the other prior to the end of the then-current term. The payments due to Mr. Griffin under the Griffin Agreement are subject to potential reduction in the event that such payments would otherwise become subject to excise tax incurred under Section 4999 of the IRC, if such reduction would result in his retaining a larger amount, on an after-tax basis, than if he had received all of the payments due.</w:t>
      </w:r>
    </w:p>
    <w:p>
      <w:pPr>
        <w:spacing w:after="0" w:line="219" w:lineRule="exact"/>
        <w:rPr>
          <w:sz w:val="20"/>
          <w:szCs w:val="20"/>
          <w:color w:val="auto"/>
        </w:rPr>
      </w:pPr>
    </w:p>
    <w:p>
      <w:pPr>
        <w:ind w:left="660" w:right="100"/>
        <w:spacing w:after="0" w:line="244" w:lineRule="auto"/>
        <w:rPr>
          <w:sz w:val="20"/>
          <w:szCs w:val="20"/>
          <w:color w:val="auto"/>
        </w:rPr>
      </w:pPr>
      <w:r>
        <w:rPr>
          <w:rFonts w:ascii="Arial" w:cs="Arial" w:eastAsia="Arial" w:hAnsi="Arial"/>
          <w:sz w:val="20"/>
          <w:szCs w:val="20"/>
          <w:color w:val="auto"/>
        </w:rPr>
        <w:t>Additionally, the Griffin Agreement requires that Mr. Griffin sign a release of claims in favor of the Company before he is eligible to receive any benefits under the Griffin Agreement and contains a non-solicitation provision applicable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 w:right="280"/>
        <w:spacing w:after="0" w:line="257" w:lineRule="auto"/>
        <w:rPr>
          <w:sz w:val="20"/>
          <w:szCs w:val="20"/>
          <w:color w:val="auto"/>
        </w:rPr>
      </w:pPr>
      <w:r>
        <w:rPr>
          <w:rFonts w:ascii="Arial" w:cs="Arial" w:eastAsia="Arial" w:hAnsi="Arial"/>
          <w:sz w:val="20"/>
          <w:szCs w:val="20"/>
          <w:color w:val="auto"/>
        </w:rPr>
        <w:t>Mr. Griffin while he is employed by the Company and for twelve (12) months following the termination of his employment.</w:t>
      </w:r>
    </w:p>
    <w:p>
      <w:pPr>
        <w:spacing w:after="0" w:line="206" w:lineRule="exact"/>
        <w:rPr>
          <w:sz w:val="20"/>
          <w:szCs w:val="20"/>
          <w:color w:val="auto"/>
        </w:rPr>
      </w:pPr>
    </w:p>
    <w:p>
      <w:pPr>
        <w:ind w:left="3" w:right="120"/>
        <w:spacing w:after="0" w:line="266" w:lineRule="auto"/>
        <w:rPr>
          <w:sz w:val="20"/>
          <w:szCs w:val="20"/>
          <w:color w:val="auto"/>
        </w:rPr>
      </w:pPr>
      <w:r>
        <w:rPr>
          <w:rFonts w:ascii="Arial" w:cs="Arial" w:eastAsia="Arial" w:hAnsi="Arial"/>
          <w:sz w:val="19"/>
          <w:szCs w:val="19"/>
          <w:color w:val="auto"/>
        </w:rPr>
        <w:t>The terms “change in control,” “cause,” and “good reason” are each defined in the Griffin Agreement. Change in control means, in summary: (i) the acquisition by a person or a group of 40% or more of the outstanding stock of the Company; (ii) a change, without approval by the Board, of a majority of the Board; (iii) the acquisition of the Company by means of a reorganization, merger, consolidation, or asset sale; or (iv) stockholder approval of a liquidation or dissolution of the Company. Cause means, in summary:</w:t>
      </w:r>
    </w:p>
    <w:p>
      <w:pPr>
        <w:spacing w:after="0" w:line="9" w:lineRule="exact"/>
        <w:rPr>
          <w:sz w:val="20"/>
          <w:szCs w:val="20"/>
          <w:color w:val="auto"/>
        </w:rPr>
      </w:pPr>
    </w:p>
    <w:p>
      <w:pPr>
        <w:ind w:left="3" w:right="260" w:hanging="3"/>
        <w:spacing w:after="0" w:line="266" w:lineRule="auto"/>
        <w:tabs>
          <w:tab w:leader="none" w:pos="234" w:val="left"/>
        </w:tabs>
        <w:numPr>
          <w:ilvl w:val="0"/>
          <w:numId w:val="65"/>
        </w:numPr>
        <w:rPr>
          <w:rFonts w:ascii="Arial" w:cs="Arial" w:eastAsia="Arial" w:hAnsi="Arial"/>
          <w:sz w:val="19"/>
          <w:szCs w:val="19"/>
          <w:color w:val="auto"/>
        </w:rPr>
      </w:pPr>
      <w:r>
        <w:rPr>
          <w:rFonts w:ascii="Arial" w:cs="Arial" w:eastAsia="Arial" w:hAnsi="Arial"/>
          <w:sz w:val="19"/>
          <w:szCs w:val="19"/>
          <w:color w:val="auto"/>
        </w:rPr>
        <w:t>deliberate dishonesty that is significantly detrimental to the best interests of the Company;</w:t>
      </w:r>
    </w:p>
    <w:p>
      <w:pPr>
        <w:spacing w:after="0" w:line="1" w:lineRule="exact"/>
        <w:rPr>
          <w:rFonts w:ascii="Arial" w:cs="Arial" w:eastAsia="Arial" w:hAnsi="Arial"/>
          <w:sz w:val="19"/>
          <w:szCs w:val="19"/>
          <w:color w:val="auto"/>
        </w:rPr>
      </w:pPr>
    </w:p>
    <w:p>
      <w:pPr>
        <w:ind w:left="283" w:hanging="283"/>
        <w:spacing w:after="0"/>
        <w:tabs>
          <w:tab w:leader="none" w:pos="283" w:val="left"/>
        </w:tabs>
        <w:numPr>
          <w:ilvl w:val="0"/>
          <w:numId w:val="65"/>
        </w:numPr>
        <w:rPr>
          <w:rFonts w:ascii="Arial" w:cs="Arial" w:eastAsia="Arial" w:hAnsi="Arial"/>
          <w:sz w:val="20"/>
          <w:szCs w:val="20"/>
          <w:color w:val="auto"/>
        </w:rPr>
      </w:pPr>
      <w:r>
        <w:rPr>
          <w:rFonts w:ascii="Arial" w:cs="Arial" w:eastAsia="Arial" w:hAnsi="Arial"/>
          <w:sz w:val="20"/>
          <w:szCs w:val="20"/>
          <w:color w:val="auto"/>
        </w:rPr>
        <w:t>conduct constituting an act of moral turpitude;</w:t>
      </w:r>
    </w:p>
    <w:p>
      <w:pPr>
        <w:spacing w:after="0" w:line="13" w:lineRule="exact"/>
        <w:rPr>
          <w:rFonts w:ascii="Arial" w:cs="Arial" w:eastAsia="Arial" w:hAnsi="Arial"/>
          <w:sz w:val="20"/>
          <w:szCs w:val="20"/>
          <w:color w:val="auto"/>
        </w:rPr>
      </w:pPr>
    </w:p>
    <w:p>
      <w:pPr>
        <w:ind w:left="323" w:hanging="323"/>
        <w:spacing w:after="0"/>
        <w:tabs>
          <w:tab w:leader="none" w:pos="323" w:val="left"/>
        </w:tabs>
        <w:numPr>
          <w:ilvl w:val="0"/>
          <w:numId w:val="65"/>
        </w:numPr>
        <w:rPr>
          <w:rFonts w:ascii="Arial" w:cs="Arial" w:eastAsia="Arial" w:hAnsi="Arial"/>
          <w:sz w:val="20"/>
          <w:szCs w:val="20"/>
          <w:color w:val="auto"/>
        </w:rPr>
      </w:pPr>
      <w:r>
        <w:rPr>
          <w:rFonts w:ascii="Arial" w:cs="Arial" w:eastAsia="Arial" w:hAnsi="Arial"/>
          <w:sz w:val="20"/>
          <w:szCs w:val="20"/>
          <w:color w:val="auto"/>
        </w:rPr>
        <w:t>willful disloyalty or insubordination; or</w:t>
      </w:r>
    </w:p>
    <w:p>
      <w:pPr>
        <w:spacing w:after="0" w:line="13" w:lineRule="exact"/>
        <w:rPr>
          <w:rFonts w:ascii="Arial" w:cs="Arial" w:eastAsia="Arial" w:hAnsi="Arial"/>
          <w:sz w:val="20"/>
          <w:szCs w:val="20"/>
          <w:color w:val="auto"/>
        </w:rPr>
      </w:pPr>
    </w:p>
    <w:p>
      <w:pPr>
        <w:ind w:left="3" w:right="80" w:hanging="3"/>
        <w:spacing w:after="0" w:line="254" w:lineRule="auto"/>
        <w:tabs>
          <w:tab w:leader="none" w:pos="332"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incompetent performance or substantial or continuing inattention to or neglect of duties. Good reason means, in summary: (i) a material diminution in his base compensation, authority, duties, responsibilities, or budget over which he retains authority; (ii) a requirement that Mr. Griffin report to a corporate officer or employee instead of reporting directly to the Board; (iii) a material change in his office location; or (iv) any action or inaction constituting a material breach by the Company of the terms of the agreement.</w:t>
      </w:r>
    </w:p>
    <w:p>
      <w:pPr>
        <w:spacing w:after="0" w:line="173" w:lineRule="exact"/>
        <w:rPr>
          <w:sz w:val="20"/>
          <w:szCs w:val="20"/>
          <w:color w:val="auto"/>
        </w:rPr>
      </w:pPr>
    </w:p>
    <w:p>
      <w:pPr>
        <w:ind w:left="3" w:right="540"/>
        <w:spacing w:after="0" w:line="257" w:lineRule="auto"/>
        <w:rPr>
          <w:sz w:val="20"/>
          <w:szCs w:val="20"/>
          <w:color w:val="auto"/>
        </w:rPr>
      </w:pPr>
      <w:r>
        <w:rPr>
          <w:rFonts w:ascii="Arial" w:cs="Arial" w:eastAsia="Arial" w:hAnsi="Arial"/>
          <w:sz w:val="22"/>
          <w:szCs w:val="22"/>
          <w:i w:val="1"/>
          <w:iCs w:val="1"/>
          <w:color w:val="0075A8"/>
        </w:rPr>
        <w:t>Mr. Sennesael, Mr. Kasnavi, Mr. Bori, and Mr. Terry</w:t>
      </w:r>
    </w:p>
    <w:p>
      <w:pPr>
        <w:spacing w:after="0" w:line="104" w:lineRule="exact"/>
        <w:rPr>
          <w:sz w:val="20"/>
          <w:szCs w:val="20"/>
          <w:color w:val="auto"/>
        </w:rPr>
      </w:pPr>
    </w:p>
    <w:p>
      <w:pPr>
        <w:ind w:left="3" w:right="420"/>
        <w:spacing w:after="0" w:line="253" w:lineRule="auto"/>
        <w:rPr>
          <w:sz w:val="20"/>
          <w:szCs w:val="20"/>
          <w:color w:val="auto"/>
        </w:rPr>
      </w:pPr>
      <w:r>
        <w:rPr>
          <w:rFonts w:ascii="Arial" w:cs="Arial" w:eastAsia="Arial" w:hAnsi="Arial"/>
          <w:sz w:val="20"/>
          <w:szCs w:val="20"/>
          <w:color w:val="auto"/>
        </w:rPr>
        <w:t>The Company entered into Change in Control / Severance Agreements with each of</w:t>
      </w:r>
    </w:p>
    <w:p>
      <w:pPr>
        <w:spacing w:after="0" w:line="1" w:lineRule="exact"/>
        <w:rPr>
          <w:sz w:val="20"/>
          <w:szCs w:val="20"/>
          <w:color w:val="auto"/>
        </w:rPr>
      </w:pPr>
    </w:p>
    <w:p>
      <w:pPr>
        <w:ind w:left="3" w:right="60"/>
        <w:spacing w:after="0" w:line="255" w:lineRule="auto"/>
        <w:rPr>
          <w:sz w:val="20"/>
          <w:szCs w:val="20"/>
          <w:color w:val="auto"/>
        </w:rPr>
      </w:pPr>
      <w:r>
        <w:rPr>
          <w:rFonts w:ascii="Arial" w:cs="Arial" w:eastAsia="Arial" w:hAnsi="Arial"/>
          <w:sz w:val="20"/>
          <w:szCs w:val="20"/>
          <w:color w:val="auto"/>
        </w:rPr>
        <w:t>Mr. Sennesael, Mr. Kasnavi, Mr. Bori, and Mr. Terry on August 29, 2016, November 9, 2016, November 9, 2016, and November 10, 2016, respectively. Each such Change in Control / Severance Agreement is referred to herein as a “CIC Agreement.”</w:t>
      </w:r>
    </w:p>
    <w:p>
      <w:pPr>
        <w:spacing w:after="0" w:line="208" w:lineRule="exact"/>
        <w:rPr>
          <w:sz w:val="20"/>
          <w:szCs w:val="20"/>
          <w:color w:val="auto"/>
        </w:rPr>
      </w:pPr>
    </w:p>
    <w:p>
      <w:pPr>
        <w:ind w:left="3" w:right="180"/>
        <w:spacing w:after="0" w:line="266" w:lineRule="auto"/>
        <w:rPr>
          <w:sz w:val="20"/>
          <w:szCs w:val="20"/>
          <w:color w:val="auto"/>
        </w:rPr>
      </w:pPr>
      <w:r>
        <w:rPr>
          <w:rFonts w:ascii="Arial" w:cs="Arial" w:eastAsia="Arial" w:hAnsi="Arial"/>
          <w:sz w:val="19"/>
          <w:szCs w:val="19"/>
          <w:color w:val="auto"/>
        </w:rPr>
        <w:t>Each CIC Agreement sets out severance benefits that become payable if, within the period of time commencing three (3) months prior to and ending twelve (12) months following a change in control, the executive officer’s employment is either</w:t>
      </w:r>
    </w:p>
    <w:p>
      <w:pPr>
        <w:spacing w:after="0" w:line="4" w:lineRule="exact"/>
        <w:rPr>
          <w:sz w:val="20"/>
          <w:szCs w:val="20"/>
          <w:color w:val="auto"/>
        </w:rPr>
      </w:pPr>
    </w:p>
    <w:p>
      <w:pPr>
        <w:ind w:left="223" w:hanging="223"/>
        <w:spacing w:after="0"/>
        <w:tabs>
          <w:tab w:leader="none" w:pos="223" w:val="left"/>
        </w:tabs>
        <w:numPr>
          <w:ilvl w:val="0"/>
          <w:numId w:val="66"/>
        </w:numPr>
        <w:rPr>
          <w:rFonts w:ascii="Arial" w:cs="Arial" w:eastAsia="Arial" w:hAnsi="Arial"/>
          <w:sz w:val="20"/>
          <w:szCs w:val="20"/>
          <w:color w:val="auto"/>
        </w:rPr>
      </w:pPr>
      <w:r>
        <w:rPr>
          <w:rFonts w:ascii="Arial" w:cs="Arial" w:eastAsia="Arial" w:hAnsi="Arial"/>
          <w:sz w:val="20"/>
          <w:szCs w:val="20"/>
          <w:color w:val="auto"/>
        </w:rPr>
        <w:t>terminated by the Company without cause, or</w:t>
      </w:r>
    </w:p>
    <w:p>
      <w:pPr>
        <w:spacing w:after="0" w:line="13" w:lineRule="exact"/>
        <w:rPr>
          <w:rFonts w:ascii="Arial" w:cs="Arial" w:eastAsia="Arial" w:hAnsi="Arial"/>
          <w:sz w:val="20"/>
          <w:szCs w:val="20"/>
          <w:color w:val="auto"/>
        </w:rPr>
      </w:pPr>
    </w:p>
    <w:p>
      <w:pPr>
        <w:ind w:left="3" w:right="40" w:hanging="3"/>
        <w:spacing w:after="0" w:line="257" w:lineRule="auto"/>
        <w:tabs>
          <w:tab w:leader="none" w:pos="278" w:val="left"/>
        </w:tabs>
        <w:numPr>
          <w:ilvl w:val="0"/>
          <w:numId w:val="66"/>
        </w:numPr>
        <w:rPr>
          <w:rFonts w:ascii="Arial" w:cs="Arial" w:eastAsia="Arial" w:hAnsi="Arial"/>
          <w:sz w:val="20"/>
          <w:szCs w:val="20"/>
          <w:color w:val="auto"/>
        </w:rPr>
      </w:pPr>
      <w:r>
        <w:rPr>
          <w:rFonts w:ascii="Arial" w:cs="Arial" w:eastAsia="Arial" w:hAnsi="Arial"/>
          <w:sz w:val="20"/>
          <w:szCs w:val="20"/>
          <w:color w:val="auto"/>
        </w:rPr>
        <w:t>terminated by the executive for good reason (for each such executive, a “Qualifying Termination”). The severance benefits provided to</w:t>
      </w:r>
    </w:p>
    <w:p>
      <w:pPr>
        <w:spacing w:after="0" w:line="200" w:lineRule="exact"/>
        <w:rPr>
          <w:sz w:val="20"/>
          <w:szCs w:val="20"/>
          <w:color w:val="auto"/>
        </w:rPr>
      </w:pPr>
    </w:p>
    <w:p>
      <w:pPr>
        <w:sectPr>
          <w:pgSz w:w="11900" w:h="16838" w:orient="portrait"/>
          <w:cols w:equalWidth="0" w:num="2">
            <w:col w:w="5120" w:space="457"/>
            <w:col w:w="4523"/>
          </w:cols>
          <w:pgMar w:left="580" w:top="132" w:right="1219" w:bottom="1440" w:gutter="0" w:footer="0" w:header="0"/>
        </w:sectPr>
      </w:pPr>
    </w:p>
    <w:p>
      <w:pPr>
        <w:spacing w:after="0" w:line="124"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​50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91" w:lineRule="exact"/>
        <w:rPr>
          <w:sz w:val="20"/>
          <w:szCs w:val="20"/>
          <w:color w:val="auto"/>
        </w:rPr>
      </w:pPr>
    </w:p>
    <w:p>
      <w:pPr>
        <w:ind w:left="660" w:right="80"/>
        <w:spacing w:after="0" w:line="242" w:lineRule="auto"/>
        <w:rPr>
          <w:sz w:val="20"/>
          <w:szCs w:val="20"/>
          <w:color w:val="auto"/>
        </w:rPr>
      </w:pPr>
      <w:r>
        <w:rPr>
          <w:rFonts w:ascii="Arial" w:cs="Arial" w:eastAsia="Arial" w:hAnsi="Arial"/>
          <w:sz w:val="19"/>
          <w:szCs w:val="19"/>
          <w:color w:val="auto"/>
        </w:rPr>
        <w:t>the executive in such circumstances would consist of the following: (i) a lump sum payment equal to one and one-half  (1</w:t>
      </w:r>
      <w:r>
        <w:rPr>
          <w:rFonts w:ascii="Arial" w:cs="Arial" w:eastAsia="Arial" w:hAnsi="Arial"/>
          <w:sz w:val="26"/>
          <w:szCs w:val="26"/>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2</w:t>
      </w:r>
      <w:r>
        <w:rPr>
          <w:rFonts w:ascii="Arial" w:cs="Arial" w:eastAsia="Arial" w:hAnsi="Arial"/>
          <w:sz w:val="19"/>
          <w:szCs w:val="19"/>
          <w:color w:val="auto"/>
        </w:rPr>
        <w:t>) times the sum of  (A) his or her annual base salary immediately prior to the change in control, and (B) the CIC Bonus Amount;</w:t>
      </w:r>
    </w:p>
    <w:p>
      <w:pPr>
        <w:spacing w:after="0" w:line="5" w:lineRule="exact"/>
        <w:rPr>
          <w:sz w:val="20"/>
          <w:szCs w:val="20"/>
          <w:color w:val="auto"/>
        </w:rPr>
      </w:pPr>
    </w:p>
    <w:p>
      <w:pPr>
        <w:ind w:left="660" w:right="80" w:hanging="6"/>
        <w:spacing w:after="0" w:line="243" w:lineRule="auto"/>
        <w:tabs>
          <w:tab w:leader="none" w:pos="935" w:val="left"/>
        </w:tabs>
        <w:numPr>
          <w:ilvl w:val="0"/>
          <w:numId w:val="67"/>
        </w:numPr>
        <w:rPr>
          <w:rFonts w:ascii="Arial" w:cs="Arial" w:eastAsia="Arial" w:hAnsi="Arial"/>
          <w:sz w:val="20"/>
          <w:szCs w:val="20"/>
          <w:color w:val="auto"/>
        </w:rPr>
      </w:pPr>
      <w:r>
        <w:rPr>
          <w:rFonts w:ascii="Arial" w:cs="Arial" w:eastAsia="Arial" w:hAnsi="Arial"/>
          <w:sz w:val="20"/>
          <w:szCs w:val="20"/>
          <w:color w:val="auto"/>
        </w:rPr>
        <w:t>all of the executive’s then-outstanding stock options would remain exercisable for a period of eighteen (18) months after the termination date (but not beyond the expiration of their respective maximum terms); and (iii) COBRA continuation for up to eighteen (18) months after the termination date.</w:t>
      </w:r>
    </w:p>
    <w:p>
      <w:pPr>
        <w:spacing w:after="0" w:line="220" w:lineRule="exact"/>
        <w:rPr>
          <w:sz w:val="20"/>
          <w:szCs w:val="20"/>
          <w:color w:val="auto"/>
        </w:rPr>
      </w:pPr>
    </w:p>
    <w:p>
      <w:pPr>
        <w:ind w:left="660"/>
        <w:spacing w:after="0" w:line="257" w:lineRule="auto"/>
        <w:rPr>
          <w:sz w:val="20"/>
          <w:szCs w:val="20"/>
          <w:color w:val="auto"/>
        </w:rPr>
      </w:pPr>
      <w:r>
        <w:rPr>
          <w:rFonts w:ascii="Arial" w:cs="Arial" w:eastAsia="Arial" w:hAnsi="Arial"/>
          <w:sz w:val="19"/>
          <w:szCs w:val="19"/>
          <w:color w:val="auto"/>
        </w:rPr>
        <w:t>Each CIC Agreement also provides that in the event of a Qualifying Termination, the executive is entitled to full acceleration of the vesting of all of his or her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w:t>
      </w:r>
    </w:p>
    <w:p>
      <w:pPr>
        <w:spacing w:after="0" w:line="226" w:lineRule="exact"/>
        <w:rPr>
          <w:sz w:val="20"/>
          <w:szCs w:val="20"/>
          <w:color w:val="auto"/>
        </w:rPr>
      </w:pPr>
    </w:p>
    <w:p>
      <w:pPr>
        <w:ind w:left="880" w:hanging="226"/>
        <w:spacing w:after="0"/>
        <w:tabs>
          <w:tab w:leader="none" w:pos="8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target level of shares for such awards, or</w:t>
      </w:r>
    </w:p>
    <w:p>
      <w:pPr>
        <w:spacing w:after="0" w:line="13" w:lineRule="exact"/>
        <w:rPr>
          <w:rFonts w:ascii="Arial" w:cs="Arial" w:eastAsia="Arial" w:hAnsi="Arial"/>
          <w:sz w:val="20"/>
          <w:szCs w:val="20"/>
          <w:color w:val="auto"/>
        </w:rPr>
      </w:pPr>
    </w:p>
    <w:p>
      <w:pPr>
        <w:ind w:left="660" w:hanging="6"/>
        <w:spacing w:after="0" w:line="244" w:lineRule="auto"/>
        <w:tabs>
          <w:tab w:leader="none" w:pos="935"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218" w:lineRule="exact"/>
        <w:rPr>
          <w:sz w:val="20"/>
          <w:szCs w:val="20"/>
          <w:color w:val="auto"/>
        </w:rPr>
      </w:pPr>
    </w:p>
    <w:p>
      <w:pPr>
        <w:ind w:left="660"/>
        <w:spacing w:after="0" w:line="257" w:lineRule="auto"/>
        <w:rPr>
          <w:sz w:val="20"/>
          <w:szCs w:val="20"/>
          <w:color w:val="auto"/>
        </w:rPr>
      </w:pPr>
      <w:r>
        <w:rPr>
          <w:rFonts w:ascii="Arial" w:cs="Arial" w:eastAsia="Arial" w:hAnsi="Arial"/>
          <w:sz w:val="19"/>
          <w:szCs w:val="19"/>
          <w:color w:val="auto"/>
        </w:rPr>
        <w:t>Each CIC Agreement also sets out severance benefits outside a change in control that become payable if the executive’s employment is terminated by the Company without cause. The severance benefits provided to the executive under such circumstance would consist of the following:</w:t>
      </w:r>
    </w:p>
    <w:p>
      <w:pPr>
        <w:ind w:left="660"/>
        <w:spacing w:after="0"/>
        <w:rPr>
          <w:sz w:val="20"/>
          <w:szCs w:val="20"/>
          <w:color w:val="auto"/>
        </w:rPr>
      </w:pPr>
      <w:r>
        <w:rPr>
          <w:rFonts w:ascii="Arial" w:cs="Arial" w:eastAsia="Arial" w:hAnsi="Arial"/>
          <w:sz w:val="20"/>
          <w:szCs w:val="20"/>
          <w:color w:val="auto"/>
        </w:rPr>
        <w:t>(i) biweekly compensation continuation</w:t>
      </w:r>
    </w:p>
    <w:p>
      <w:pPr>
        <w:spacing w:after="0" w:line="200" w:lineRule="exact"/>
        <w:rPr>
          <w:sz w:val="20"/>
          <w:szCs w:val="20"/>
          <w:color w:val="auto"/>
        </w:rPr>
      </w:pPr>
    </w:p>
    <w:p>
      <w:pPr>
        <w:spacing w:after="0" w:line="291"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 w:right="60"/>
        <w:spacing w:after="0" w:line="256" w:lineRule="auto"/>
        <w:rPr>
          <w:sz w:val="20"/>
          <w:szCs w:val="20"/>
          <w:color w:val="auto"/>
        </w:rPr>
      </w:pPr>
      <w:r>
        <w:rPr>
          <w:rFonts w:ascii="Arial" w:cs="Arial" w:eastAsia="Arial" w:hAnsi="Arial"/>
          <w:sz w:val="19"/>
          <w:szCs w:val="19"/>
          <w:color w:val="auto"/>
        </w:rPr>
        <w:t>payments for a period of twelve (12) months, with each such compensation continuation payment being equal to the aggregate payment amount divided by twenty-six (26), where the aggregate payment is equal to the sum of  (x) his or her annual base salary, and (y) any short-term cash incentive award then due; (ii) all then-vested outstanding stock options would remain exercisable for a period of twelve (12) months after the termination date (but not beyond the expiration of their respective maximum terms); and</w:t>
      </w:r>
    </w:p>
    <w:p>
      <w:pPr>
        <w:spacing w:after="0" w:line="1" w:lineRule="exact"/>
        <w:rPr>
          <w:sz w:val="20"/>
          <w:szCs w:val="20"/>
          <w:color w:val="auto"/>
        </w:rPr>
      </w:pPr>
    </w:p>
    <w:p>
      <w:pPr>
        <w:ind w:left="3" w:right="120" w:hanging="3"/>
        <w:spacing w:after="0" w:line="261" w:lineRule="auto"/>
        <w:tabs>
          <w:tab w:leader="none" w:pos="321" w:val="left"/>
        </w:tabs>
        <w:numPr>
          <w:ilvl w:val="0"/>
          <w:numId w:val="69"/>
        </w:numPr>
        <w:rPr>
          <w:rFonts w:ascii="Arial" w:cs="Arial" w:eastAsia="Arial" w:hAnsi="Arial"/>
          <w:sz w:val="20"/>
          <w:szCs w:val="20"/>
          <w:color w:val="auto"/>
        </w:rPr>
      </w:pPr>
      <w:r>
        <w:rPr>
          <w:rFonts w:ascii="Arial" w:cs="Arial" w:eastAsia="Arial" w:hAnsi="Arial"/>
          <w:sz w:val="20"/>
          <w:szCs w:val="20"/>
          <w:color w:val="auto"/>
        </w:rPr>
        <w:t>COBRA continuation coverage for up to twelve (12) months after the termination date.</w:t>
      </w:r>
    </w:p>
    <w:p>
      <w:pPr>
        <w:spacing w:after="0" w:line="188" w:lineRule="exact"/>
        <w:rPr>
          <w:sz w:val="20"/>
          <w:szCs w:val="20"/>
          <w:color w:val="auto"/>
        </w:rPr>
      </w:pPr>
    </w:p>
    <w:p>
      <w:pPr>
        <w:ind w:left="3" w:right="80"/>
        <w:spacing w:after="0" w:line="257" w:lineRule="auto"/>
        <w:rPr>
          <w:sz w:val="20"/>
          <w:szCs w:val="20"/>
          <w:color w:val="auto"/>
        </w:rPr>
      </w:pPr>
      <w:r>
        <w:rPr>
          <w:rFonts w:ascii="Arial" w:cs="Arial" w:eastAsia="Arial" w:hAnsi="Arial"/>
          <w:sz w:val="19"/>
          <w:szCs w:val="19"/>
          <w:color w:val="auto"/>
        </w:rPr>
        <w:t>In the event of the executive’s death or permanent disability (within the meaning of Section 22(e)(3) of the IRC), each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CIC Agreement also provides that for a performance-based equity award where the executive’s death or permanent disability occurs prior to the end of the performance period, such award would be deemed earned as to the greater of  (i) the target level of shares for such award, or</w:t>
      </w:r>
    </w:p>
    <w:p>
      <w:pPr>
        <w:spacing w:after="0" w:line="1" w:lineRule="exact"/>
        <w:rPr>
          <w:sz w:val="20"/>
          <w:szCs w:val="20"/>
          <w:color w:val="auto"/>
        </w:rPr>
      </w:pPr>
    </w:p>
    <w:p>
      <w:pPr>
        <w:ind w:left="3" w:right="120" w:hanging="3"/>
        <w:spacing w:after="0" w:line="244" w:lineRule="auto"/>
        <w:tabs>
          <w:tab w:leader="none" w:pos="278"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number of shares that would have been earned 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w:t>
      </w:r>
    </w:p>
    <w:p>
      <w:pPr>
        <w:spacing w:after="0" w:line="223" w:lineRule="exact"/>
        <w:rPr>
          <w:sz w:val="20"/>
          <w:szCs w:val="20"/>
          <w:color w:val="auto"/>
        </w:rPr>
      </w:pPr>
    </w:p>
    <w:p>
      <w:pPr>
        <w:ind w:left="3" w:right="60"/>
        <w:spacing w:after="0" w:line="245" w:lineRule="auto"/>
        <w:rPr>
          <w:sz w:val="20"/>
          <w:szCs w:val="20"/>
          <w:color w:val="auto"/>
        </w:rPr>
      </w:pPr>
      <w:r>
        <w:rPr>
          <w:rFonts w:ascii="Arial" w:cs="Arial" w:eastAsia="Arial" w:hAnsi="Arial"/>
          <w:sz w:val="20"/>
          <w:szCs w:val="20"/>
          <w:color w:val="auto"/>
        </w:rPr>
        <w:t>Each CIC Agreement is intended to be exempt from or compliant with Section 409A of the IRC and has an initial two (2) year term, and thereafter renews automatically on an annual basis for up to five (5) additional years unless either the Company or the executive timely provides a notice of non-renewal to the other prior to the end of the then-current term. The payments due to each executive under his or her CIC Agreement are subject to potential reduction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243205</wp:posOffset>
            </wp:positionV>
            <wp:extent cx="780415" cy="2571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80415" cy="2571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2683"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171450</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523"/>
          </w:cols>
          <w:pgMar w:left="580" w:top="132" w:right="121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auto"/>
        </w:rPr>
        <w:t>that such payments would otherwise become subject to excise tax incurred under Section 4999 of the IRC, if such reduction would result in the executive retaining a larger amount, on an after-tax basis, than if he or she had received all of the payments due.</w:t>
      </w:r>
    </w:p>
    <w:p>
      <w:pPr>
        <w:spacing w:after="0" w:line="208" w:lineRule="exact"/>
        <w:rPr>
          <w:sz w:val="20"/>
          <w:szCs w:val="20"/>
          <w:color w:val="auto"/>
        </w:rPr>
      </w:pPr>
    </w:p>
    <w:p>
      <w:pPr>
        <w:ind w:left="660" w:right="40"/>
        <w:spacing w:after="0" w:line="254" w:lineRule="auto"/>
        <w:rPr>
          <w:sz w:val="20"/>
          <w:szCs w:val="20"/>
          <w:color w:val="auto"/>
        </w:rPr>
      </w:pPr>
      <w:r>
        <w:rPr>
          <w:rFonts w:ascii="Arial" w:cs="Arial" w:eastAsia="Arial" w:hAnsi="Arial"/>
          <w:sz w:val="20"/>
          <w:szCs w:val="20"/>
          <w:color w:val="auto"/>
        </w:rPr>
        <w:t>Additionally, each CIC Agreement requires that the executive sign a release of claims in favor of the Company before he or she is eligible to receive any benefits under the agreement. Each CIC Agreement also contains non-solicitation provisions applicable to the executive while he or she is employed by the Company and for a period of twelve (12) months following the termination of his or her employment.</w:t>
      </w:r>
    </w:p>
    <w:p>
      <w:pPr>
        <w:spacing w:after="0" w:line="212" w:lineRule="exact"/>
        <w:rPr>
          <w:sz w:val="20"/>
          <w:szCs w:val="20"/>
          <w:color w:val="auto"/>
        </w:rPr>
      </w:pPr>
    </w:p>
    <w:p>
      <w:pPr>
        <w:ind w:left="660" w:right="100"/>
        <w:spacing w:after="0" w:line="273" w:lineRule="auto"/>
        <w:rPr>
          <w:sz w:val="20"/>
          <w:szCs w:val="20"/>
          <w:color w:val="auto"/>
        </w:rPr>
      </w:pPr>
      <w:r>
        <w:rPr>
          <w:rFonts w:ascii="Arial" w:cs="Arial" w:eastAsia="Arial" w:hAnsi="Arial"/>
          <w:sz w:val="19"/>
          <w:szCs w:val="19"/>
          <w:color w:val="auto"/>
        </w:rPr>
        <w:t>The terms “change in control,” “cause,” and “good reason” are each defined in the CIC Agreements. Change in control means, in summary: (i) the acquisition by a person or a group of 40% or more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 w:right="280"/>
        <w:spacing w:after="0" w:line="266" w:lineRule="auto"/>
        <w:rPr>
          <w:sz w:val="20"/>
          <w:szCs w:val="20"/>
          <w:color w:val="auto"/>
        </w:rPr>
      </w:pPr>
      <w:r>
        <w:rPr>
          <w:rFonts w:ascii="Arial" w:cs="Arial" w:eastAsia="Arial" w:hAnsi="Arial"/>
          <w:sz w:val="19"/>
          <w:szCs w:val="19"/>
          <w:color w:val="auto"/>
        </w:rPr>
        <w:t>of the outstanding stock of the Company; (ii) a change, without approval by the Board, of a majority of the Board; (iii) the acquisition of the Company by means of a reorganization, merger, consolidation, or asset sale; or (iv) stockholder approval of a liquidation or dissolution of the Company. Cause means, in summary:</w:t>
      </w:r>
    </w:p>
    <w:p>
      <w:pPr>
        <w:spacing w:after="0" w:line="6" w:lineRule="exact"/>
        <w:rPr>
          <w:sz w:val="20"/>
          <w:szCs w:val="20"/>
          <w:color w:val="auto"/>
        </w:rPr>
      </w:pPr>
    </w:p>
    <w:p>
      <w:pPr>
        <w:ind w:left="3" w:right="260" w:hanging="3"/>
        <w:spacing w:after="0" w:line="266" w:lineRule="auto"/>
        <w:tabs>
          <w:tab w:leader="none" w:pos="234" w:val="left"/>
        </w:tabs>
        <w:numPr>
          <w:ilvl w:val="0"/>
          <w:numId w:val="71"/>
        </w:numPr>
        <w:rPr>
          <w:rFonts w:ascii="Arial" w:cs="Arial" w:eastAsia="Arial" w:hAnsi="Arial"/>
          <w:sz w:val="19"/>
          <w:szCs w:val="19"/>
          <w:color w:val="auto"/>
        </w:rPr>
      </w:pPr>
      <w:r>
        <w:rPr>
          <w:rFonts w:ascii="Arial" w:cs="Arial" w:eastAsia="Arial" w:hAnsi="Arial"/>
          <w:sz w:val="19"/>
          <w:szCs w:val="19"/>
          <w:color w:val="auto"/>
        </w:rPr>
        <w:t>deliberate dishonesty that is significantly detrimental to the best interests of the Company;</w:t>
      </w:r>
    </w:p>
    <w:p>
      <w:pPr>
        <w:spacing w:after="0" w:line="1" w:lineRule="exact"/>
        <w:rPr>
          <w:rFonts w:ascii="Arial" w:cs="Arial" w:eastAsia="Arial" w:hAnsi="Arial"/>
          <w:sz w:val="19"/>
          <w:szCs w:val="19"/>
          <w:color w:val="auto"/>
        </w:rPr>
      </w:pPr>
    </w:p>
    <w:p>
      <w:pPr>
        <w:ind w:left="283" w:hanging="283"/>
        <w:spacing w:after="0"/>
        <w:tabs>
          <w:tab w:leader="none" w:pos="283" w:val="left"/>
        </w:tabs>
        <w:numPr>
          <w:ilvl w:val="0"/>
          <w:numId w:val="71"/>
        </w:numPr>
        <w:rPr>
          <w:rFonts w:ascii="Arial" w:cs="Arial" w:eastAsia="Arial" w:hAnsi="Arial"/>
          <w:sz w:val="20"/>
          <w:szCs w:val="20"/>
          <w:color w:val="auto"/>
        </w:rPr>
      </w:pPr>
      <w:r>
        <w:rPr>
          <w:rFonts w:ascii="Arial" w:cs="Arial" w:eastAsia="Arial" w:hAnsi="Arial"/>
          <w:sz w:val="20"/>
          <w:szCs w:val="20"/>
          <w:color w:val="auto"/>
        </w:rPr>
        <w:t>conduct constituting an act of moral turpitude;</w:t>
      </w:r>
    </w:p>
    <w:p>
      <w:pPr>
        <w:spacing w:after="0" w:line="13" w:lineRule="exact"/>
        <w:rPr>
          <w:rFonts w:ascii="Arial" w:cs="Arial" w:eastAsia="Arial" w:hAnsi="Arial"/>
          <w:sz w:val="20"/>
          <w:szCs w:val="20"/>
          <w:color w:val="auto"/>
        </w:rPr>
      </w:pPr>
    </w:p>
    <w:p>
      <w:pPr>
        <w:ind w:left="323" w:hanging="323"/>
        <w:spacing w:after="0"/>
        <w:tabs>
          <w:tab w:leader="none" w:pos="323" w:val="left"/>
        </w:tabs>
        <w:numPr>
          <w:ilvl w:val="0"/>
          <w:numId w:val="71"/>
        </w:numPr>
        <w:rPr>
          <w:rFonts w:ascii="Arial" w:cs="Arial" w:eastAsia="Arial" w:hAnsi="Arial"/>
          <w:sz w:val="20"/>
          <w:szCs w:val="20"/>
          <w:color w:val="auto"/>
        </w:rPr>
      </w:pPr>
      <w:r>
        <w:rPr>
          <w:rFonts w:ascii="Arial" w:cs="Arial" w:eastAsia="Arial" w:hAnsi="Arial"/>
          <w:sz w:val="20"/>
          <w:szCs w:val="20"/>
          <w:color w:val="auto"/>
        </w:rPr>
        <w:t>willful disloyalty or insubordination; or</w:t>
      </w:r>
    </w:p>
    <w:p>
      <w:pPr>
        <w:spacing w:after="0" w:line="13" w:lineRule="exact"/>
        <w:rPr>
          <w:rFonts w:ascii="Arial" w:cs="Arial" w:eastAsia="Arial" w:hAnsi="Arial"/>
          <w:sz w:val="20"/>
          <w:szCs w:val="20"/>
          <w:color w:val="auto"/>
        </w:rPr>
      </w:pPr>
    </w:p>
    <w:p>
      <w:pPr>
        <w:ind w:left="3" w:right="120" w:hanging="3"/>
        <w:spacing w:after="0" w:line="254" w:lineRule="auto"/>
        <w:tabs>
          <w:tab w:leader="none" w:pos="332" w:val="left"/>
        </w:tabs>
        <w:numPr>
          <w:ilvl w:val="0"/>
          <w:numId w:val="71"/>
        </w:numPr>
        <w:rPr>
          <w:rFonts w:ascii="Arial" w:cs="Arial" w:eastAsia="Arial" w:hAnsi="Arial"/>
          <w:sz w:val="20"/>
          <w:szCs w:val="20"/>
          <w:color w:val="auto"/>
        </w:rPr>
      </w:pPr>
      <w:r>
        <w:rPr>
          <w:rFonts w:ascii="Arial" w:cs="Arial" w:eastAsia="Arial" w:hAnsi="Arial"/>
          <w:sz w:val="20"/>
          <w:szCs w:val="20"/>
          <w:color w:val="auto"/>
        </w:rPr>
        <w:t>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w:t>
      </w:r>
    </w:p>
    <w:p>
      <w:pPr>
        <w:spacing w:after="0" w:line="200" w:lineRule="exact"/>
        <w:rPr>
          <w:sz w:val="20"/>
          <w:szCs w:val="20"/>
          <w:color w:val="auto"/>
        </w:rPr>
      </w:pPr>
    </w:p>
    <w:p>
      <w:pPr>
        <w:sectPr>
          <w:pgSz w:w="11900" w:h="16838" w:orient="portrait"/>
          <w:cols w:equalWidth="0" w:num="2">
            <w:col w:w="5140" w:space="437"/>
            <w:col w:w="4523"/>
          </w:cols>
          <w:pgMar w:left="580" w:top="132"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right="360"/>
        <w:spacing w:after="0" w:line="261" w:lineRule="auto"/>
        <w:rPr>
          <w:sz w:val="20"/>
          <w:szCs w:val="20"/>
          <w:color w:val="auto"/>
        </w:rPr>
      </w:pPr>
      <w:r>
        <w:rPr>
          <w:rFonts w:ascii="Arial" w:cs="Arial" w:eastAsia="Arial" w:hAnsi="Arial"/>
          <w:sz w:val="20"/>
          <w:szCs w:val="20"/>
          <w:color w:val="auto"/>
        </w:rPr>
        <w:t>The following table summarizes the payments and benefits that would be made to the Named Executive Officers as of September 30, 2022, in the following circumstances as of such date:</w:t>
      </w:r>
    </w:p>
    <w:p>
      <w:pPr>
        <w:spacing w:after="0" w:line="188" w:lineRule="exact"/>
        <w:rPr>
          <w:sz w:val="20"/>
          <w:szCs w:val="20"/>
          <w:color w:val="auto"/>
        </w:rPr>
      </w:pPr>
    </w:p>
    <w:p>
      <w:pPr>
        <w:ind w:left="840" w:hanging="186"/>
        <w:spacing w:after="0"/>
        <w:tabs>
          <w:tab w:leader="none" w:pos="8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termination without cause outside of a change in control;</w:t>
      </w:r>
    </w:p>
    <w:p>
      <w:pPr>
        <w:spacing w:after="0" w:line="26" w:lineRule="exact"/>
        <w:rPr>
          <w:rFonts w:ascii="Arial" w:cs="Arial" w:eastAsia="Arial" w:hAnsi="Arial"/>
          <w:sz w:val="20"/>
          <w:szCs w:val="20"/>
          <w:color w:val="auto"/>
        </w:rPr>
      </w:pPr>
    </w:p>
    <w:p>
      <w:pPr>
        <w:ind w:left="840" w:hanging="186"/>
        <w:spacing w:after="0"/>
        <w:tabs>
          <w:tab w:leader="none" w:pos="8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termination without cause or for good reason in connection with a change in control; and</w:t>
      </w:r>
    </w:p>
    <w:p>
      <w:pPr>
        <w:spacing w:after="0" w:line="26" w:lineRule="exact"/>
        <w:rPr>
          <w:rFonts w:ascii="Arial" w:cs="Arial" w:eastAsia="Arial" w:hAnsi="Arial"/>
          <w:sz w:val="20"/>
          <w:szCs w:val="20"/>
          <w:color w:val="auto"/>
        </w:rPr>
      </w:pPr>
    </w:p>
    <w:p>
      <w:pPr>
        <w:ind w:left="840" w:hanging="186"/>
        <w:spacing w:after="0"/>
        <w:tabs>
          <w:tab w:leader="none" w:pos="8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in the event of a termination of employment because of death or disability.</w:t>
      </w:r>
    </w:p>
    <w:p>
      <w:pPr>
        <w:spacing w:after="0" w:line="229" w:lineRule="exact"/>
        <w:rPr>
          <w:sz w:val="20"/>
          <w:szCs w:val="20"/>
          <w:color w:val="auto"/>
        </w:rPr>
      </w:pPr>
    </w:p>
    <w:p>
      <w:pPr>
        <w:jc w:val="both"/>
        <w:ind w:left="660" w:right="280"/>
        <w:spacing w:after="0" w:line="257" w:lineRule="auto"/>
        <w:rPr>
          <w:sz w:val="20"/>
          <w:szCs w:val="20"/>
          <w:color w:val="auto"/>
        </w:rPr>
      </w:pPr>
      <w:r>
        <w:rPr>
          <w:rFonts w:ascii="Arial" w:cs="Arial" w:eastAsia="Arial" w:hAnsi="Arial"/>
          <w:sz w:val="20"/>
          <w:szCs w:val="20"/>
          <w:color w:val="auto"/>
        </w:rPr>
        <w:t>The accelerated equity values in the table reflect a price of  $85.27 per share, which was the closing sale price of the Company’s common stock on the Nasdaq Global Select Market on September 30, 2022. The table does not reflect any equity awards made after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158750</wp:posOffset>
            </wp:positionV>
            <wp:extent cx="5974715" cy="4718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74715" cy="47180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80"/>
        <w:spacing w:after="0"/>
        <w:tabs>
          <w:tab w:leader="none" w:pos="2200" w:val="left"/>
          <w:tab w:leader="none" w:pos="2860" w:val="left"/>
          <w:tab w:leader="none" w:pos="3980" w:val="left"/>
        </w:tabs>
        <w:rPr>
          <w:sz w:val="20"/>
          <w:szCs w:val="20"/>
          <w:color w:val="auto"/>
        </w:rPr>
      </w:pPr>
      <w:r>
        <w:rPr>
          <w:rFonts w:ascii="Arial" w:cs="Arial" w:eastAsia="Arial" w:hAnsi="Arial"/>
          <w:sz w:val="16"/>
          <w:szCs w:val="16"/>
          <w:color w:val="FFFFFF"/>
        </w:rPr>
        <w:t>​Name</w:t>
      </w:r>
      <w:r>
        <w:rPr>
          <w:sz w:val="20"/>
          <w:szCs w:val="20"/>
          <w:color w:val="auto"/>
        </w:rPr>
        <w:tab/>
      </w:r>
      <w:r>
        <w:rPr>
          <w:rFonts w:ascii="Arial" w:cs="Arial" w:eastAsia="Arial" w:hAnsi="Arial"/>
          <w:sz w:val="16"/>
          <w:szCs w:val="16"/>
          <w:color w:val="FFFFFF"/>
        </w:rPr>
        <w:t>​​</w:t>
      </w:r>
      <w:r>
        <w:rPr>
          <w:sz w:val="20"/>
          <w:szCs w:val="20"/>
          <w:color w:val="auto"/>
        </w:rPr>
        <w:tab/>
      </w:r>
      <w:r>
        <w:rPr>
          <w:rFonts w:ascii="Arial" w:cs="Arial" w:eastAsia="Arial" w:hAnsi="Arial"/>
          <w:sz w:val="16"/>
          <w:szCs w:val="16"/>
          <w:color w:val="FFFFFF"/>
        </w:rPr>
        <w:t>Benefit</w:t>
      </w:r>
      <w:r>
        <w:rPr>
          <w:sz w:val="20"/>
          <w:szCs w:val="20"/>
          <w:color w:val="auto"/>
        </w:rPr>
        <w:tab/>
      </w:r>
      <w:r>
        <w:rPr>
          <w:rFonts w:ascii="Arial" w:cs="Arial" w:eastAsia="Arial" w:hAnsi="Arial"/>
          <w:sz w:val="16"/>
          <w:szCs w:val="16"/>
          <w:color w:val="FFFFFF"/>
        </w:rPr>
        <w:t>​​</w:t>
      </w:r>
    </w:p>
    <w:p>
      <w:pPr>
        <w:spacing w:after="0" w:line="5"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6"/>
          <w:szCs w:val="16"/>
          <w:color w:val="auto"/>
        </w:rPr>
        <w:t>​Liam K. Griffin</w:t>
      </w:r>
      <w:r>
        <w:rPr>
          <w:rFonts w:ascii="Arial" w:cs="Arial" w:eastAsia="Arial" w:hAnsi="Arial"/>
          <w:sz w:val="16"/>
          <w:szCs w:val="16"/>
          <w:color w:val="0075A8"/>
        </w:rPr>
        <w:t>(2)</w:t>
      </w:r>
      <w:r>
        <w:rPr>
          <w:sz w:val="20"/>
          <w:szCs w:val="20"/>
          <w:color w:val="auto"/>
        </w:rPr>
        <w:tab/>
      </w:r>
      <w:r>
        <w:rPr>
          <w:rFonts w:ascii="Arial" w:cs="Arial" w:eastAsia="Arial" w:hAnsi="Arial"/>
          <w:sz w:val="16"/>
          <w:szCs w:val="16"/>
          <w:color w:val="auto"/>
        </w:rPr>
        <w:t>​​Salary and Short-Term ​​</w:t>
      </w:r>
    </w:p>
    <w:p>
      <w:pPr>
        <w:spacing w:after="0" w:line="5"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Incentive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FFFFFF"/>
              </w:rPr>
              <w:t>Termination w/o Cause</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2"/>
        </w:trPr>
        <w:tc>
          <w:tcPr>
            <w:tcW w:w="1740" w:type="dxa"/>
            <w:vAlign w:val="bottom"/>
          </w:tcPr>
          <w:p>
            <w:pPr>
              <w:jc w:val="center"/>
              <w:spacing w:after="0" w:line="162" w:lineRule="exact"/>
              <w:rPr>
                <w:sz w:val="20"/>
                <w:szCs w:val="20"/>
                <w:color w:val="auto"/>
              </w:rPr>
            </w:pPr>
            <w:r>
              <w:rPr>
                <w:rFonts w:ascii="Arial" w:cs="Arial" w:eastAsia="Arial" w:hAnsi="Arial"/>
                <w:sz w:val="16"/>
                <w:szCs w:val="16"/>
                <w:color w:val="FFFFFF"/>
              </w:rPr>
              <w:t>Termination w/o Cause</w:t>
            </w:r>
          </w:p>
        </w:tc>
        <w:tc>
          <w:tcPr>
            <w:tcW w:w="260" w:type="dxa"/>
            <w:vAlign w:val="bottom"/>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FFFFFF"/>
              </w:rPr>
              <w:t>or for Good Reason,</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1740" w:type="dxa"/>
            <w:vAlign w:val="bottom"/>
          </w:tcPr>
          <w:p>
            <w:pPr>
              <w:jc w:val="center"/>
              <w:spacing w:after="0" w:line="162" w:lineRule="exact"/>
              <w:rPr>
                <w:sz w:val="20"/>
                <w:szCs w:val="20"/>
                <w:color w:val="auto"/>
              </w:rPr>
            </w:pPr>
            <w:r>
              <w:rPr>
                <w:rFonts w:ascii="Arial" w:cs="Arial" w:eastAsia="Arial" w:hAnsi="Arial"/>
                <w:sz w:val="16"/>
                <w:szCs w:val="16"/>
                <w:color w:val="FFFFFF"/>
              </w:rPr>
              <w:t>Outside Change in</w:t>
            </w:r>
          </w:p>
        </w:tc>
        <w:tc>
          <w:tcPr>
            <w:tcW w:w="260" w:type="dxa"/>
            <w:vAlign w:val="bottom"/>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Arial" w:cs="Arial" w:eastAsia="Arial" w:hAnsi="Arial"/>
                <w:sz w:val="16"/>
                <w:szCs w:val="16"/>
                <w:color w:val="FFFFFF"/>
              </w:rPr>
              <w:t>After</w:t>
            </w:r>
          </w:p>
        </w:tc>
        <w:tc>
          <w:tcPr>
            <w:tcW w:w="340" w:type="dxa"/>
            <w:vAlign w:val="bottom"/>
          </w:tcPr>
          <w:p>
            <w:pPr>
              <w:spacing w:after="0"/>
              <w:rPr>
                <w:sz w:val="14"/>
                <w:szCs w:val="14"/>
                <w:color w:val="auto"/>
              </w:rPr>
            </w:pPr>
          </w:p>
        </w:tc>
        <w:tc>
          <w:tcPr>
            <w:tcW w:w="1460" w:type="dxa"/>
            <w:vAlign w:val="bottom"/>
            <w:gridSpan w:val="2"/>
          </w:tcPr>
          <w:p>
            <w:pPr>
              <w:jc w:val="center"/>
              <w:spacing w:after="0" w:line="162" w:lineRule="exact"/>
              <w:rPr>
                <w:sz w:val="20"/>
                <w:szCs w:val="20"/>
                <w:color w:val="auto"/>
              </w:rPr>
            </w:pPr>
            <w:r>
              <w:rPr>
                <w:rFonts w:ascii="Arial" w:cs="Arial" w:eastAsia="Arial" w:hAnsi="Arial"/>
                <w:sz w:val="16"/>
                <w:szCs w:val="16"/>
                <w:color w:val="FFFFFF"/>
              </w:rPr>
              <w:t>Death/Disability</w:t>
            </w:r>
          </w:p>
        </w:tc>
        <w:tc>
          <w:tcPr>
            <w:tcW w:w="220" w:type="dxa"/>
            <w:vAlign w:val="bottom"/>
          </w:tcPr>
          <w:p>
            <w:pPr>
              <w:spacing w:after="0"/>
              <w:rPr>
                <w:sz w:val="14"/>
                <w:szCs w:val="14"/>
                <w:color w:val="auto"/>
              </w:rPr>
            </w:pPr>
          </w:p>
        </w:tc>
      </w:tr>
      <w:tr>
        <w:trPr>
          <w:trHeight w:val="189"/>
        </w:trPr>
        <w:tc>
          <w:tcPr>
            <w:tcW w:w="1740" w:type="dxa"/>
            <w:vAlign w:val="bottom"/>
          </w:tcPr>
          <w:p>
            <w:pPr>
              <w:jc w:val="center"/>
              <w:spacing w:after="0"/>
              <w:rPr>
                <w:sz w:val="20"/>
                <w:szCs w:val="20"/>
                <w:color w:val="auto"/>
              </w:rPr>
            </w:pPr>
            <w:r>
              <w:rPr>
                <w:rFonts w:ascii="Arial" w:cs="Arial" w:eastAsia="Arial" w:hAnsi="Arial"/>
                <w:sz w:val="16"/>
                <w:szCs w:val="16"/>
                <w:color w:val="FFFFFF"/>
              </w:rPr>
              <w:t>Control ($)(1)</w:t>
            </w:r>
          </w:p>
        </w:tc>
        <w:tc>
          <w:tcPr>
            <w:tcW w:w="260" w:type="dxa"/>
            <w:vAlign w:val="bottom"/>
          </w:tcPr>
          <w:p>
            <w:pPr>
              <w:jc w:val="right"/>
              <w:spacing w:after="0"/>
              <w:rPr>
                <w:sz w:val="20"/>
                <w:szCs w:val="20"/>
                <w:color w:val="auto"/>
              </w:rPr>
            </w:pPr>
            <w:r>
              <w:rPr>
                <w:rFonts w:ascii="Arial" w:cs="Arial" w:eastAsia="Arial" w:hAnsi="Arial"/>
                <w:sz w:val="16"/>
                <w:szCs w:val="16"/>
                <w:color w:val="FFFFFF"/>
              </w:rPr>
              <w:t>​​</w:t>
            </w:r>
          </w:p>
        </w:tc>
        <w:tc>
          <w:tcPr>
            <w:tcW w:w="1820" w:type="dxa"/>
            <w:vAlign w:val="bottom"/>
          </w:tcPr>
          <w:p>
            <w:pPr>
              <w:jc w:val="center"/>
              <w:spacing w:after="0"/>
              <w:rPr>
                <w:sz w:val="20"/>
                <w:szCs w:val="20"/>
                <w:color w:val="auto"/>
              </w:rPr>
            </w:pPr>
            <w:r>
              <w:rPr>
                <w:rFonts w:ascii="Arial" w:cs="Arial" w:eastAsia="Arial" w:hAnsi="Arial"/>
                <w:sz w:val="16"/>
                <w:szCs w:val="16"/>
                <w:color w:val="FFFFFF"/>
              </w:rPr>
              <w:t>Change in Control ($)</w:t>
            </w:r>
          </w:p>
        </w:tc>
        <w:tc>
          <w:tcPr>
            <w:tcW w:w="340" w:type="dxa"/>
            <w:vAlign w:val="bottom"/>
          </w:tcPr>
          <w:p>
            <w:pPr>
              <w:jc w:val="right"/>
              <w:ind w:right="59"/>
              <w:spacing w:after="0"/>
              <w:rPr>
                <w:sz w:val="20"/>
                <w:szCs w:val="20"/>
                <w:color w:val="auto"/>
              </w:rPr>
            </w:pPr>
            <w:r>
              <w:rPr>
                <w:rFonts w:ascii="Arial" w:cs="Arial" w:eastAsia="Arial" w:hAnsi="Arial"/>
                <w:sz w:val="16"/>
                <w:szCs w:val="16"/>
                <w:color w:val="FFFFFF"/>
              </w:rPr>
              <w:t>​​</w:t>
            </w:r>
          </w:p>
        </w:tc>
        <w:tc>
          <w:tcPr>
            <w:tcW w:w="500" w:type="dxa"/>
            <w:vAlign w:val="bottom"/>
          </w:tcPr>
          <w:p>
            <w:pPr>
              <w:spacing w:after="0"/>
              <w:rPr>
                <w:sz w:val="16"/>
                <w:szCs w:val="16"/>
                <w:color w:val="auto"/>
              </w:rPr>
            </w:pPr>
          </w:p>
        </w:tc>
        <w:tc>
          <w:tcPr>
            <w:tcW w:w="960" w:type="dxa"/>
            <w:vAlign w:val="bottom"/>
          </w:tcPr>
          <w:p>
            <w:pPr>
              <w:jc w:val="right"/>
              <w:ind w:right="559"/>
              <w:spacing w:after="0"/>
              <w:rPr>
                <w:sz w:val="20"/>
                <w:szCs w:val="20"/>
                <w:color w:val="auto"/>
              </w:rPr>
            </w:pPr>
            <w:r>
              <w:rPr>
                <w:rFonts w:ascii="Arial" w:cs="Arial" w:eastAsia="Arial" w:hAnsi="Arial"/>
                <w:sz w:val="16"/>
                <w:szCs w:val="16"/>
                <w:color w:val="FFFFFF"/>
              </w:rPr>
              <w:t>($)</w:t>
            </w:r>
          </w:p>
        </w:tc>
        <w:tc>
          <w:tcPr>
            <w:tcW w:w="220" w:type="dxa"/>
            <w:vAlign w:val="bottom"/>
          </w:tcPr>
          <w:p>
            <w:pPr>
              <w:jc w:val="right"/>
              <w:spacing w:after="0"/>
              <w:rPr>
                <w:sz w:val="20"/>
                <w:szCs w:val="20"/>
                <w:color w:val="auto"/>
              </w:rPr>
            </w:pPr>
            <w:r>
              <w:rPr>
                <w:rFonts w:ascii="Arial" w:cs="Arial" w:eastAsia="Arial" w:hAnsi="Arial"/>
                <w:sz w:val="16"/>
                <w:szCs w:val="16"/>
                <w:color w:val="FFFFFF"/>
              </w:rPr>
              <w:t>​</w:t>
            </w:r>
          </w:p>
        </w:tc>
      </w:tr>
      <w:tr>
        <w:trPr>
          <w:trHeight w:val="222"/>
        </w:trPr>
        <w:tc>
          <w:tcPr>
            <w:tcW w:w="1740" w:type="dxa"/>
            <w:vAlign w:val="bottom"/>
          </w:tcPr>
          <w:p>
            <w:pPr>
              <w:jc w:val="center"/>
              <w:spacing w:after="0"/>
              <w:rPr>
                <w:sz w:val="20"/>
                <w:szCs w:val="20"/>
                <w:color w:val="auto"/>
              </w:rPr>
            </w:pPr>
            <w:r>
              <w:rPr>
                <w:rFonts w:ascii="Arial" w:cs="Arial" w:eastAsia="Arial" w:hAnsi="Arial"/>
                <w:sz w:val="16"/>
                <w:szCs w:val="16"/>
                <w:color w:val="auto"/>
              </w:rPr>
              <w:t>​ 6,276,038</w:t>
            </w:r>
            <w:r>
              <w:rPr>
                <w:rFonts w:ascii="Arial" w:cs="Arial" w:eastAsia="Arial" w:hAnsi="Arial"/>
                <w:sz w:val="16"/>
                <w:szCs w:val="16"/>
                <w:color w:val="0075A8"/>
              </w:rPr>
              <w:t>(3)</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820" w:type="dxa"/>
            <w:vAlign w:val="bottom"/>
          </w:tcPr>
          <w:p>
            <w:pPr>
              <w:jc w:val="center"/>
              <w:spacing w:after="0"/>
              <w:rPr>
                <w:sz w:val="20"/>
                <w:szCs w:val="20"/>
                <w:color w:val="auto"/>
              </w:rPr>
            </w:pPr>
            <w:r>
              <w:rPr>
                <w:rFonts w:ascii="Arial" w:cs="Arial" w:eastAsia="Arial" w:hAnsi="Arial"/>
                <w:sz w:val="16"/>
                <w:szCs w:val="16"/>
                <w:color w:val="auto"/>
              </w:rPr>
              <w:t>​ 7,845,047</w:t>
            </w:r>
            <w:r>
              <w:rPr>
                <w:rFonts w:ascii="Arial" w:cs="Arial" w:eastAsia="Arial" w:hAnsi="Arial"/>
                <w:sz w:val="16"/>
                <w:szCs w:val="16"/>
                <w:color w:val="0075A8"/>
              </w:rPr>
              <w:t>(4)</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500" w:type="dxa"/>
            <w:vAlign w:val="bottom"/>
          </w:tcPr>
          <w:p>
            <w:pPr>
              <w:ind w:left="300"/>
              <w:spacing w:after="0"/>
              <w:rPr>
                <w:sz w:val="20"/>
                <w:szCs w:val="20"/>
                <w:color w:val="auto"/>
              </w:rPr>
            </w:pPr>
            <w:r>
              <w:rPr>
                <w:rFonts w:ascii="Arial" w:cs="Arial" w:eastAsia="Arial" w:hAnsi="Arial"/>
                <w:sz w:val="16"/>
                <w:szCs w:val="16"/>
                <w:color w:val="auto"/>
              </w:rPr>
              <w:t>​</w:t>
            </w:r>
          </w:p>
        </w:tc>
        <w:tc>
          <w:tcPr>
            <w:tcW w:w="960" w:type="dxa"/>
            <w:vAlign w:val="bottom"/>
          </w:tcPr>
          <w:p>
            <w:pPr>
              <w:ind w:left="48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-132715</wp:posOffset>
            </wp:positionV>
            <wp:extent cx="5974715" cy="8229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74715" cy="82296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4100" w:space="140"/>
            <w:col w:w="5860"/>
          </w:cols>
          <w:pgMar w:left="580" w:top="132" w:right="1219" w:bottom="1440" w:gutter="0" w:footer="0" w:header="0"/>
          <w:type w:val="continuous"/>
        </w:sectPr>
      </w:pPr>
    </w:p>
    <w:tbl>
      <w:tblPr>
        <w:tblLayout w:type="fixed"/>
        <w:tblInd w:w="660" w:type="dxa"/>
        <w:tblCellMar>
          <w:top w:w="0" w:type="dxa"/>
          <w:left w:w="0" w:type="dxa"/>
          <w:bottom w:w="0" w:type="dxa"/>
          <w:right w:w="0" w:type="dxa"/>
        </w:tblCellMar>
      </w:tblPr>
      <w:tr>
        <w:trPr>
          <w:trHeight w:val="222"/>
        </w:trPr>
        <w:tc>
          <w:tcPr>
            <w:tcW w:w="1540" w:type="dxa"/>
            <w:vAlign w:val="bottom"/>
            <w:gridSpan w:val="2"/>
          </w:tcPr>
          <w:p>
            <w:pPr>
              <w:spacing w:after="0"/>
              <w:rPr>
                <w:sz w:val="20"/>
                <w:szCs w:val="20"/>
                <w:color w:val="auto"/>
              </w:rPr>
            </w:pPr>
            <w:r>
              <w:rPr>
                <w:rFonts w:ascii="Arial" w:cs="Arial" w:eastAsia="Arial" w:hAnsi="Arial"/>
                <w:sz w:val="16"/>
                <w:szCs w:val="16"/>
                <w:color w:val="auto"/>
              </w:rPr>
              <w:t>​​</w:t>
            </w:r>
          </w:p>
        </w:tc>
        <w:tc>
          <w:tcPr>
            <w:tcW w:w="1700" w:type="dxa"/>
            <w:vAlign w:val="bottom"/>
            <w:gridSpan w:val="2"/>
          </w:tcPr>
          <w:p>
            <w:pPr>
              <w:spacing w:after="0"/>
              <w:rPr>
                <w:sz w:val="20"/>
                <w:szCs w:val="20"/>
                <w:color w:val="auto"/>
              </w:rPr>
            </w:pPr>
            <w:r>
              <w:rPr>
                <w:rFonts w:ascii="Arial" w:cs="Arial" w:eastAsia="Arial" w:hAnsi="Arial"/>
                <w:sz w:val="16"/>
                <w:szCs w:val="16"/>
                <w:color w:val="auto"/>
              </w:rPr>
              <w:t>​​Accelerated RSUs</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7,427,699​</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7,427,699​</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7,427,699​</w:t>
            </w:r>
          </w:p>
        </w:tc>
        <w:tc>
          <w:tcPr>
            <w:tcW w:w="2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540" w:type="dxa"/>
            <w:vAlign w:val="bottom"/>
            <w:gridSpan w:val="2"/>
          </w:tcPr>
          <w:p>
            <w:pPr>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​​Accelerated PSAs</w:t>
            </w:r>
            <w:r>
              <w:rPr>
                <w:rFonts w:ascii="Arial" w:cs="Arial" w:eastAsia="Arial" w:hAnsi="Arial"/>
                <w:sz w:val="16"/>
                <w:szCs w:val="16"/>
                <w:color w:val="0075A8"/>
              </w:rPr>
              <w:t>(5)</w:t>
            </w:r>
          </w:p>
        </w:tc>
        <w:tc>
          <w:tcPr>
            <w:tcW w:w="420" w:type="dxa"/>
            <w:vAlign w:val="bottom"/>
            <w:shd w:val="clear" w:color="auto" w:fill="E5E5E5"/>
          </w:tcPr>
          <w:p>
            <w:pPr>
              <w:ind w:left="8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E5E5"/>
          </w:tcPr>
          <w:p>
            <w:pPr>
              <w:ind w:left="240"/>
              <w:spacing w:after="0"/>
              <w:rPr>
                <w:sz w:val="20"/>
                <w:szCs w:val="20"/>
                <w:color w:val="auto"/>
              </w:rPr>
            </w:pPr>
            <w:r>
              <w:rPr>
                <w:rFonts w:ascii="Arial" w:cs="Arial" w:eastAsia="Arial" w:hAnsi="Arial"/>
                <w:sz w:val="16"/>
                <w:szCs w:val="16"/>
                <w:color w:val="auto"/>
              </w:rPr>
              <w:t>​11,924,753​</w:t>
            </w:r>
          </w:p>
        </w:tc>
        <w:tc>
          <w:tcPr>
            <w:tcW w:w="58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500" w:type="dxa"/>
            <w:vAlign w:val="bottom"/>
            <w:gridSpan w:val="2"/>
            <w:shd w:val="clear" w:color="auto" w:fill="E5E5E5"/>
          </w:tcPr>
          <w:p>
            <w:pPr>
              <w:ind w:left="240"/>
              <w:spacing w:after="0"/>
              <w:rPr>
                <w:sz w:val="20"/>
                <w:szCs w:val="20"/>
                <w:color w:val="auto"/>
              </w:rPr>
            </w:pPr>
            <w:r>
              <w:rPr>
                <w:rFonts w:ascii="Arial" w:cs="Arial" w:eastAsia="Arial" w:hAnsi="Arial"/>
                <w:sz w:val="16"/>
                <w:szCs w:val="16"/>
                <w:color w:val="auto"/>
              </w:rPr>
              <w:t>​11,924,753​</w:t>
            </w:r>
          </w:p>
        </w:tc>
        <w:tc>
          <w:tcPr>
            <w:tcW w:w="58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20" w:type="dxa"/>
            <w:vAlign w:val="bottom"/>
            <w:gridSpan w:val="2"/>
            <w:shd w:val="clear" w:color="auto" w:fill="E5E5E5"/>
          </w:tcPr>
          <w:p>
            <w:pPr>
              <w:jc w:val="right"/>
              <w:ind w:right="139"/>
              <w:spacing w:after="0"/>
              <w:rPr>
                <w:sz w:val="20"/>
                <w:szCs w:val="20"/>
                <w:color w:val="auto"/>
              </w:rPr>
            </w:pPr>
            <w:r>
              <w:rPr>
                <w:rFonts w:ascii="Arial" w:cs="Arial" w:eastAsia="Arial" w:hAnsi="Arial"/>
                <w:sz w:val="16"/>
                <w:szCs w:val="16"/>
                <w:color w:val="auto"/>
              </w:rPr>
              <w:t>​11,924,753​</w:t>
            </w:r>
          </w:p>
        </w:tc>
        <w:tc>
          <w:tcPr>
            <w:tcW w:w="260" w:type="dxa"/>
            <w:vAlign w:val="bottom"/>
            <w:shd w:val="clear" w:color="auto" w:fill="E5E5E5"/>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20"/>
                <w:szCs w:val="20"/>
                <w:color w:val="auto"/>
              </w:rPr>
            </w:pPr>
            <w:r>
              <w:rPr>
                <w:rFonts w:ascii="Arial" w:cs="Arial" w:eastAsia="Arial" w:hAnsi="Arial"/>
                <w:sz w:val="16"/>
                <w:szCs w:val="16"/>
                <w:color w:val="auto"/>
              </w:rPr>
              <w:t>Medical</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33,052​</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39,662​</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4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BFBFBF"/>
            </w:tcBorders>
          </w:tcPr>
          <w:p>
            <w:pPr>
              <w:spacing w:after="0"/>
              <w:rPr>
                <w:sz w:val="2"/>
                <w:szCs w:val="2"/>
                <w:color w:val="auto"/>
              </w:rPr>
            </w:pPr>
          </w:p>
        </w:tc>
        <w:tc>
          <w:tcPr>
            <w:tcW w:w="1620" w:type="dxa"/>
            <w:vAlign w:val="bottom"/>
            <w:shd w:val="clear" w:color="auto" w:fill="BFBFBF"/>
          </w:tcPr>
          <w:p>
            <w:pPr>
              <w:spacing w:after="0"/>
              <w:rPr>
                <w:sz w:val="2"/>
                <w:szCs w:val="2"/>
                <w:color w:val="auto"/>
              </w:rPr>
            </w:pPr>
          </w:p>
        </w:tc>
        <w:tc>
          <w:tcPr>
            <w:tcW w:w="420" w:type="dxa"/>
            <w:vAlign w:val="bottom"/>
            <w:shd w:val="clear" w:color="auto" w:fill="BFBFBF"/>
          </w:tcPr>
          <w:p>
            <w:pPr>
              <w:spacing w:after="0"/>
              <w:rPr>
                <w:sz w:val="2"/>
                <w:szCs w:val="2"/>
                <w:color w:val="auto"/>
              </w:rPr>
            </w:pPr>
          </w:p>
        </w:tc>
        <w:tc>
          <w:tcPr>
            <w:tcW w:w="1500" w:type="dxa"/>
            <w:vAlign w:val="bottom"/>
            <w:gridSpan w:val="2"/>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1500" w:type="dxa"/>
            <w:vAlign w:val="bottom"/>
            <w:gridSpan w:val="2"/>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1320" w:type="dxa"/>
            <w:vAlign w:val="bottom"/>
            <w:gridSpan w:val="2"/>
            <w:shd w:val="clear" w:color="auto" w:fill="BFBFBF"/>
          </w:tcPr>
          <w:p>
            <w:pPr>
              <w:spacing w:after="0"/>
              <w:rPr>
                <w:sz w:val="2"/>
                <w:szCs w:val="2"/>
                <w:color w:val="auto"/>
              </w:rPr>
            </w:pPr>
          </w:p>
        </w:tc>
        <w:tc>
          <w:tcPr>
            <w:tcW w:w="260" w:type="dxa"/>
            <w:vAlign w:val="bottom"/>
            <w:shd w:val="clear" w:color="auto" w:fill="BFBFB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540" w:type="dxa"/>
            <w:vAlign w:val="bottom"/>
            <w:tcBorders>
              <w:bottom w:val="single" w:sz="8" w:color="BFBFBF"/>
            </w:tcBorders>
            <w:gridSpan w:val="2"/>
            <w:vMerge w:val="continue"/>
          </w:tcPr>
          <w:p>
            <w:pPr>
              <w:spacing w:after="0"/>
              <w:rPr>
                <w:sz w:val="19"/>
                <w:szCs w:val="19"/>
                <w:color w:val="auto"/>
              </w:rPr>
            </w:pPr>
          </w:p>
        </w:tc>
        <w:tc>
          <w:tcPr>
            <w:tcW w:w="80" w:type="dxa"/>
            <w:vAlign w:val="bottom"/>
            <w:tcBorders>
              <w:bottom w:val="single" w:sz="8" w:color="BFBFBF"/>
            </w:tcBorders>
          </w:tcPr>
          <w:p>
            <w:pPr>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BFBFBF"/>
            </w:tcBorders>
            <w:shd w:val="clear" w:color="auto" w:fill="E5E5E5"/>
          </w:tcPr>
          <w:p>
            <w:pPr>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BFBFBF"/>
            </w:tcBorders>
            <w:shd w:val="clear" w:color="auto" w:fill="E5E5E5"/>
          </w:tcPr>
          <w:p>
            <w:pPr>
              <w:ind w:left="8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BFBFBF"/>
            </w:tcBorders>
            <w:gridSpan w:val="2"/>
            <w:shd w:val="clear" w:color="auto" w:fill="E5E5E5"/>
          </w:tcPr>
          <w:p>
            <w:pPr>
              <w:ind w:left="240"/>
              <w:spacing w:after="0"/>
              <w:rPr>
                <w:sz w:val="20"/>
                <w:szCs w:val="20"/>
                <w:color w:val="auto"/>
              </w:rPr>
            </w:pPr>
            <w:r>
              <w:rPr>
                <w:rFonts w:ascii="Arial" w:cs="Arial" w:eastAsia="Arial" w:hAnsi="Arial"/>
                <w:sz w:val="16"/>
                <w:szCs w:val="16"/>
                <w:color w:val="auto"/>
              </w:rPr>
              <w:t>​25,661,542​</w:t>
            </w:r>
          </w:p>
        </w:tc>
        <w:tc>
          <w:tcPr>
            <w:tcW w:w="58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500" w:type="dxa"/>
            <w:vAlign w:val="bottom"/>
            <w:tcBorders>
              <w:bottom w:val="single" w:sz="8" w:color="BFBFBF"/>
            </w:tcBorders>
            <w:gridSpan w:val="2"/>
            <w:shd w:val="clear" w:color="auto" w:fill="E5E5E5"/>
          </w:tcPr>
          <w:p>
            <w:pPr>
              <w:ind w:left="240"/>
              <w:spacing w:after="0"/>
              <w:rPr>
                <w:sz w:val="20"/>
                <w:szCs w:val="20"/>
                <w:color w:val="auto"/>
              </w:rPr>
            </w:pPr>
            <w:r>
              <w:rPr>
                <w:rFonts w:ascii="Arial" w:cs="Arial" w:eastAsia="Arial" w:hAnsi="Arial"/>
                <w:sz w:val="16"/>
                <w:szCs w:val="16"/>
                <w:color w:val="auto"/>
              </w:rPr>
              <w:t>​27,237,161​</w:t>
            </w:r>
          </w:p>
        </w:tc>
        <w:tc>
          <w:tcPr>
            <w:tcW w:w="58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320" w:type="dxa"/>
            <w:vAlign w:val="bottom"/>
            <w:tcBorders>
              <w:bottom w:val="single" w:sz="8" w:color="BFBFBF"/>
            </w:tcBorders>
            <w:gridSpan w:val="2"/>
            <w:shd w:val="clear" w:color="auto" w:fill="E5E5E5"/>
          </w:tcPr>
          <w:p>
            <w:pPr>
              <w:jc w:val="right"/>
              <w:ind w:right="139"/>
              <w:spacing w:after="0"/>
              <w:rPr>
                <w:sz w:val="20"/>
                <w:szCs w:val="20"/>
                <w:color w:val="auto"/>
              </w:rPr>
            </w:pPr>
            <w:r>
              <w:rPr>
                <w:rFonts w:ascii="Arial" w:cs="Arial" w:eastAsia="Arial" w:hAnsi="Arial"/>
                <w:sz w:val="16"/>
                <w:szCs w:val="16"/>
                <w:color w:val="auto"/>
              </w:rPr>
              <w:t>​19,352,452​</w:t>
            </w:r>
          </w:p>
        </w:tc>
        <w:tc>
          <w:tcPr>
            <w:tcW w:w="260" w:type="dxa"/>
            <w:vAlign w:val="bottom"/>
            <w:tcBorders>
              <w:bottom w:val="single" w:sz="8" w:color="BFBFBF"/>
            </w:tcBorders>
            <w:shd w:val="clear" w:color="auto" w:fill="E5E5E5"/>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540" w:type="dxa"/>
            <w:vAlign w:val="bottom"/>
            <w:gridSpan w:val="2"/>
          </w:tcPr>
          <w:p>
            <w:pPr>
              <w:jc w:val="center"/>
              <w:ind w:right="119"/>
              <w:spacing w:after="0" w:line="178" w:lineRule="exact"/>
              <w:rPr>
                <w:sz w:val="20"/>
                <w:szCs w:val="20"/>
                <w:color w:val="auto"/>
              </w:rPr>
            </w:pPr>
            <w:r>
              <w:rPr>
                <w:rFonts w:ascii="Arial" w:cs="Arial" w:eastAsia="Arial" w:hAnsi="Arial"/>
                <w:sz w:val="16"/>
                <w:szCs w:val="16"/>
                <w:color w:val="auto"/>
              </w:rPr>
              <w:t>​Kris Sennesael</w:t>
            </w:r>
            <w:r>
              <w:rPr>
                <w:rFonts w:ascii="Arial" w:cs="Arial" w:eastAsia="Arial" w:hAnsi="Arial"/>
                <w:sz w:val="16"/>
                <w:szCs w:val="16"/>
                <w:color w:val="0075A8"/>
              </w:rPr>
              <w:t>(2)</w:t>
            </w:r>
          </w:p>
        </w:tc>
        <w:tc>
          <w:tcPr>
            <w:tcW w:w="2120" w:type="dxa"/>
            <w:vAlign w:val="bottom"/>
            <w:gridSpan w:val="3"/>
          </w:tcPr>
          <w:p>
            <w:pPr>
              <w:spacing w:after="0" w:line="178" w:lineRule="exact"/>
              <w:rPr>
                <w:sz w:val="20"/>
                <w:szCs w:val="20"/>
                <w:color w:val="auto"/>
              </w:rPr>
            </w:pPr>
            <w:r>
              <w:rPr>
                <w:rFonts w:ascii="Arial" w:cs="Arial" w:eastAsia="Arial" w:hAnsi="Arial"/>
                <w:sz w:val="16"/>
                <w:szCs w:val="16"/>
                <w:color w:val="auto"/>
              </w:rPr>
              <w:t>​​Salary and Short-Term ​​</w:t>
            </w:r>
          </w:p>
        </w:tc>
        <w:tc>
          <w:tcPr>
            <w:tcW w:w="300" w:type="dxa"/>
            <w:vAlign w:val="bottom"/>
          </w:tcPr>
          <w:p>
            <w:pPr>
              <w:ind w:left="240"/>
              <w:spacing w:after="0" w:line="178"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line="178" w:lineRule="exact"/>
              <w:rPr>
                <w:sz w:val="20"/>
                <w:szCs w:val="20"/>
                <w:color w:val="auto"/>
              </w:rPr>
            </w:pPr>
            <w:r>
              <w:rPr>
                <w:rFonts w:ascii="Arial" w:cs="Arial" w:eastAsia="Arial" w:hAnsi="Arial"/>
                <w:sz w:val="16"/>
                <w:szCs w:val="16"/>
                <w:color w:val="auto"/>
              </w:rPr>
              <w:t>588,000</w:t>
            </w:r>
            <w:r>
              <w:rPr>
                <w:rFonts w:ascii="Arial" w:cs="Arial" w:eastAsia="Arial" w:hAnsi="Arial"/>
                <w:sz w:val="16"/>
                <w:szCs w:val="16"/>
                <w:color w:val="0075A8"/>
              </w:rPr>
              <w:t>(6)</w:t>
            </w:r>
          </w:p>
        </w:tc>
        <w:tc>
          <w:tcPr>
            <w:tcW w:w="580" w:type="dxa"/>
            <w:vAlign w:val="bottom"/>
          </w:tcPr>
          <w:p>
            <w:pPr>
              <w:ind w:left="240"/>
              <w:spacing w:after="0" w:line="178"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line="178"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line="178" w:lineRule="exact"/>
              <w:rPr>
                <w:sz w:val="20"/>
                <w:szCs w:val="20"/>
                <w:color w:val="auto"/>
              </w:rPr>
            </w:pPr>
            <w:r>
              <w:rPr>
                <w:rFonts w:ascii="Arial" w:cs="Arial" w:eastAsia="Arial" w:hAnsi="Arial"/>
                <w:sz w:val="16"/>
                <w:szCs w:val="16"/>
                <w:color w:val="auto"/>
              </w:rPr>
              <w:t>1,853,233</w:t>
            </w:r>
            <w:r>
              <w:rPr>
                <w:rFonts w:ascii="Arial" w:cs="Arial" w:eastAsia="Arial" w:hAnsi="Arial"/>
                <w:sz w:val="16"/>
                <w:szCs w:val="16"/>
                <w:color w:val="0075A8"/>
              </w:rPr>
              <w:t>(7)</w:t>
            </w:r>
          </w:p>
        </w:tc>
        <w:tc>
          <w:tcPr>
            <w:tcW w:w="580" w:type="dxa"/>
            <w:vAlign w:val="bottom"/>
          </w:tcPr>
          <w:p>
            <w:pPr>
              <w:ind w:left="240"/>
              <w:spacing w:after="0" w:line="178"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line="178"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line="178" w:lineRule="exact"/>
              <w:rPr>
                <w:sz w:val="20"/>
                <w:szCs w:val="20"/>
                <w:color w:val="auto"/>
              </w:rPr>
            </w:pPr>
            <w:r>
              <w:rPr>
                <w:rFonts w:ascii="Arial" w:cs="Arial" w:eastAsia="Arial" w:hAnsi="Arial"/>
                <w:sz w:val="16"/>
                <w:szCs w:val="16"/>
                <w:color w:val="auto"/>
              </w:rPr>
              <w:t>—​</w:t>
            </w:r>
          </w:p>
        </w:tc>
        <w:tc>
          <w:tcPr>
            <w:tcW w:w="260" w:type="dxa"/>
            <w:vAlign w:val="bottom"/>
          </w:tcPr>
          <w:p>
            <w:pPr>
              <w:ind w:left="220"/>
              <w:spacing w:after="0" w:line="178"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20"/>
                <w:szCs w:val="20"/>
                <w:color w:val="auto"/>
              </w:rPr>
            </w:pPr>
            <w:r>
              <w:rPr>
                <w:rFonts w:ascii="Arial" w:cs="Arial" w:eastAsia="Arial" w:hAnsi="Arial"/>
                <w:sz w:val="16"/>
                <w:szCs w:val="16"/>
                <w:color w:val="auto"/>
              </w:rPr>
              <w:t>Incentive</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6"/>
                <w:szCs w:val="16"/>
                <w:color w:val="auto"/>
              </w:rPr>
              <w:t>​​</w:t>
            </w:r>
          </w:p>
        </w:tc>
        <w:tc>
          <w:tcPr>
            <w:tcW w:w="1700" w:type="dxa"/>
            <w:vAlign w:val="bottom"/>
            <w:gridSpan w:val="2"/>
          </w:tcPr>
          <w:p>
            <w:pPr>
              <w:spacing w:after="0"/>
              <w:rPr>
                <w:sz w:val="20"/>
                <w:szCs w:val="20"/>
                <w:color w:val="auto"/>
              </w:rPr>
            </w:pPr>
            <w:r>
              <w:rPr>
                <w:rFonts w:ascii="Arial" w:cs="Arial" w:eastAsia="Arial" w:hAnsi="Arial"/>
                <w:sz w:val="16"/>
                <w:szCs w:val="16"/>
                <w:color w:val="auto"/>
              </w:rPr>
              <w:t>​​Accelerated RSUs</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2,302,460​</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2,302,460​</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6"/>
                <w:szCs w:val="16"/>
                <w:color w:val="auto"/>
              </w:rPr>
              <w:t>​​</w:t>
            </w:r>
          </w:p>
        </w:tc>
        <w:tc>
          <w:tcPr>
            <w:tcW w:w="1700" w:type="dxa"/>
            <w:vAlign w:val="bottom"/>
            <w:gridSpan w:val="2"/>
          </w:tcPr>
          <w:p>
            <w:pPr>
              <w:spacing w:after="0"/>
              <w:rPr>
                <w:sz w:val="20"/>
                <w:szCs w:val="20"/>
                <w:color w:val="auto"/>
              </w:rPr>
            </w:pPr>
            <w:r>
              <w:rPr>
                <w:rFonts w:ascii="Arial" w:cs="Arial" w:eastAsia="Arial" w:hAnsi="Arial"/>
                <w:sz w:val="16"/>
                <w:szCs w:val="16"/>
                <w:color w:val="auto"/>
              </w:rPr>
              <w:t>​​Accelerated PSAs</w:t>
            </w:r>
            <w:r>
              <w:rPr>
                <w:rFonts w:ascii="Arial" w:cs="Arial" w:eastAsia="Arial" w:hAnsi="Arial"/>
                <w:sz w:val="16"/>
                <w:szCs w:val="16"/>
                <w:color w:val="0075A8"/>
              </w:rPr>
              <w:t>(5)</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3,749,578​</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3,749,578​</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6"/>
                <w:szCs w:val="16"/>
                <w:color w:val="auto"/>
              </w:rPr>
              <w:t>​​</w:t>
            </w:r>
          </w:p>
        </w:tc>
        <w:tc>
          <w:tcPr>
            <w:tcW w:w="1700" w:type="dxa"/>
            <w:vAlign w:val="bottom"/>
            <w:gridSpan w:val="2"/>
          </w:tcPr>
          <w:p>
            <w:pPr>
              <w:spacing w:after="0"/>
              <w:rPr>
                <w:sz w:val="20"/>
                <w:szCs w:val="20"/>
                <w:color w:val="auto"/>
              </w:rPr>
            </w:pPr>
            <w:r>
              <w:rPr>
                <w:rFonts w:ascii="Arial" w:cs="Arial" w:eastAsia="Arial" w:hAnsi="Arial"/>
                <w:sz w:val="16"/>
                <w:szCs w:val="16"/>
                <w:color w:val="auto"/>
              </w:rPr>
              <w:t>​​Medical</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26,441​</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39,662​</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154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BFBFBF"/>
            </w:tcBorders>
          </w:tcPr>
          <w:p>
            <w:pPr>
              <w:spacing w:after="0"/>
              <w:rPr>
                <w:sz w:val="2"/>
                <w:szCs w:val="2"/>
                <w:color w:val="auto"/>
              </w:rPr>
            </w:pPr>
          </w:p>
        </w:tc>
        <w:tc>
          <w:tcPr>
            <w:tcW w:w="1620" w:type="dxa"/>
            <w:vAlign w:val="bottom"/>
            <w:shd w:val="clear" w:color="auto" w:fill="BFBFBF"/>
          </w:tcPr>
          <w:p>
            <w:pPr>
              <w:spacing w:after="0"/>
              <w:rPr>
                <w:sz w:val="2"/>
                <w:szCs w:val="2"/>
                <w:color w:val="auto"/>
              </w:rPr>
            </w:pPr>
          </w:p>
        </w:tc>
        <w:tc>
          <w:tcPr>
            <w:tcW w:w="420" w:type="dxa"/>
            <w:vAlign w:val="bottom"/>
            <w:shd w:val="clear" w:color="auto" w:fill="BFBFBF"/>
          </w:tcPr>
          <w:p>
            <w:pPr>
              <w:spacing w:after="0"/>
              <w:rPr>
                <w:sz w:val="2"/>
                <w:szCs w:val="2"/>
                <w:color w:val="auto"/>
              </w:rPr>
            </w:pPr>
          </w:p>
        </w:tc>
        <w:tc>
          <w:tcPr>
            <w:tcW w:w="300" w:type="dxa"/>
            <w:vAlign w:val="bottom"/>
            <w:shd w:val="clear" w:color="auto" w:fill="BFBFBF"/>
          </w:tcPr>
          <w:p>
            <w:pPr>
              <w:spacing w:after="0"/>
              <w:rPr>
                <w:sz w:val="2"/>
                <w:szCs w:val="2"/>
                <w:color w:val="auto"/>
              </w:rPr>
            </w:pPr>
          </w:p>
        </w:tc>
        <w:tc>
          <w:tcPr>
            <w:tcW w:w="1200" w:type="dxa"/>
            <w:vAlign w:val="bottom"/>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300" w:type="dxa"/>
            <w:vAlign w:val="bottom"/>
            <w:shd w:val="clear" w:color="auto" w:fill="BFBFBF"/>
          </w:tcPr>
          <w:p>
            <w:pPr>
              <w:spacing w:after="0"/>
              <w:rPr>
                <w:sz w:val="2"/>
                <w:szCs w:val="2"/>
                <w:color w:val="auto"/>
              </w:rPr>
            </w:pPr>
          </w:p>
        </w:tc>
        <w:tc>
          <w:tcPr>
            <w:tcW w:w="1200" w:type="dxa"/>
            <w:vAlign w:val="bottom"/>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300" w:type="dxa"/>
            <w:vAlign w:val="bottom"/>
            <w:shd w:val="clear" w:color="auto" w:fill="BFBFBF"/>
          </w:tcPr>
          <w:p>
            <w:pPr>
              <w:spacing w:after="0"/>
              <w:rPr>
                <w:sz w:val="2"/>
                <w:szCs w:val="2"/>
                <w:color w:val="auto"/>
              </w:rPr>
            </w:pPr>
          </w:p>
        </w:tc>
        <w:tc>
          <w:tcPr>
            <w:tcW w:w="1020" w:type="dxa"/>
            <w:vAlign w:val="bottom"/>
            <w:shd w:val="clear" w:color="auto" w:fill="BFBFBF"/>
          </w:tcPr>
          <w:p>
            <w:pPr>
              <w:spacing w:after="0"/>
              <w:rPr>
                <w:sz w:val="2"/>
                <w:szCs w:val="2"/>
                <w:color w:val="auto"/>
              </w:rPr>
            </w:pPr>
          </w:p>
        </w:tc>
        <w:tc>
          <w:tcPr>
            <w:tcW w:w="280" w:type="dxa"/>
            <w:vAlign w:val="bottom"/>
            <w:gridSpan w:val="2"/>
            <w:shd w:val="clear" w:color="auto" w:fill="BFBFB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540" w:type="dxa"/>
            <w:vAlign w:val="bottom"/>
            <w:gridSpan w:val="2"/>
            <w:vMerge w:val="continue"/>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6"/>
                <w:szCs w:val="16"/>
                <w:color w:val="auto"/>
              </w:rPr>
              <w:t>​​TOTAL</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614,441​</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7,944,933​</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6,052,038​</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7"/>
        </w:trPr>
        <w:tc>
          <w:tcPr>
            <w:tcW w:w="40" w:type="dxa"/>
            <w:vAlign w:val="bottom"/>
            <w:tcBorders>
              <w:top w:val="single" w:sz="8" w:color="BFBFBF"/>
            </w:tcBorders>
            <w:shd w:val="clear" w:color="auto" w:fill="E5E5E5"/>
          </w:tcPr>
          <w:p>
            <w:pPr>
              <w:spacing w:after="0" w:line="178" w:lineRule="exact"/>
              <w:rPr>
                <w:sz w:val="20"/>
                <w:szCs w:val="20"/>
                <w:color w:val="auto"/>
              </w:rPr>
            </w:pPr>
            <w:r>
              <w:rPr>
                <w:rFonts w:ascii="Arial" w:cs="Arial" w:eastAsia="Arial" w:hAnsi="Arial"/>
                <w:sz w:val="16"/>
                <w:szCs w:val="16"/>
                <w:color w:val="auto"/>
              </w:rPr>
              <w:t>​</w:t>
            </w:r>
          </w:p>
        </w:tc>
        <w:tc>
          <w:tcPr>
            <w:tcW w:w="1500" w:type="dxa"/>
            <w:vAlign w:val="bottom"/>
            <w:tcBorders>
              <w:top w:val="single" w:sz="8" w:color="BFBFBF"/>
            </w:tcBorders>
            <w:shd w:val="clear" w:color="auto" w:fill="E5E5E5"/>
          </w:tcPr>
          <w:p>
            <w:pPr>
              <w:jc w:val="center"/>
              <w:ind w:right="219"/>
              <w:spacing w:after="0" w:line="178" w:lineRule="exact"/>
              <w:rPr>
                <w:sz w:val="20"/>
                <w:szCs w:val="20"/>
                <w:color w:val="auto"/>
              </w:rPr>
            </w:pPr>
            <w:r>
              <w:rPr>
                <w:rFonts w:ascii="Arial" w:cs="Arial" w:eastAsia="Arial" w:hAnsi="Arial"/>
                <w:sz w:val="16"/>
                <w:szCs w:val="16"/>
                <w:color w:val="auto"/>
              </w:rPr>
              <w:t>Reza Kasnavi</w:t>
            </w:r>
            <w:r>
              <w:rPr>
                <w:rFonts w:ascii="Arial" w:cs="Arial" w:eastAsia="Arial" w:hAnsi="Arial"/>
                <w:sz w:val="16"/>
                <w:szCs w:val="16"/>
                <w:color w:val="0075A8"/>
              </w:rPr>
              <w:t>(2)</w:t>
            </w:r>
          </w:p>
        </w:tc>
        <w:tc>
          <w:tcPr>
            <w:tcW w:w="2120" w:type="dxa"/>
            <w:vAlign w:val="bottom"/>
            <w:tcBorders>
              <w:top w:val="single" w:sz="8" w:color="BFBFBF"/>
            </w:tcBorders>
            <w:gridSpan w:val="3"/>
            <w:shd w:val="clear" w:color="auto" w:fill="E5E5E5"/>
          </w:tcPr>
          <w:p>
            <w:pPr>
              <w:spacing w:after="0" w:line="178" w:lineRule="exact"/>
              <w:rPr>
                <w:sz w:val="20"/>
                <w:szCs w:val="20"/>
                <w:color w:val="auto"/>
              </w:rPr>
            </w:pPr>
            <w:r>
              <w:rPr>
                <w:rFonts w:ascii="Arial" w:cs="Arial" w:eastAsia="Arial" w:hAnsi="Arial"/>
                <w:sz w:val="16"/>
                <w:szCs w:val="16"/>
                <w:color w:val="auto"/>
              </w:rPr>
              <w:t>​​Salary and Short-Term ​​</w:t>
            </w:r>
          </w:p>
        </w:tc>
        <w:tc>
          <w:tcPr>
            <w:tcW w:w="300" w:type="dxa"/>
            <w:vAlign w:val="bottom"/>
            <w:tcBorders>
              <w:top w:val="single" w:sz="8" w:color="BFBFBF"/>
            </w:tcBorders>
            <w:shd w:val="clear" w:color="auto" w:fill="E5E5E5"/>
          </w:tcPr>
          <w:p>
            <w:pPr>
              <w:ind w:left="240"/>
              <w:spacing w:after="0" w:line="178"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BFBFBF"/>
            </w:tcBorders>
            <w:shd w:val="clear" w:color="auto" w:fill="E5E5E5"/>
          </w:tcPr>
          <w:p>
            <w:pPr>
              <w:jc w:val="right"/>
              <w:ind w:right="159"/>
              <w:spacing w:after="0" w:line="178" w:lineRule="exact"/>
              <w:rPr>
                <w:sz w:val="20"/>
                <w:szCs w:val="20"/>
                <w:color w:val="auto"/>
              </w:rPr>
            </w:pPr>
            <w:r>
              <w:rPr>
                <w:rFonts w:ascii="Arial" w:cs="Arial" w:eastAsia="Arial" w:hAnsi="Arial"/>
                <w:sz w:val="16"/>
                <w:szCs w:val="16"/>
                <w:color w:val="auto"/>
              </w:rPr>
              <w:t>557,000</w:t>
            </w:r>
            <w:r>
              <w:rPr>
                <w:rFonts w:ascii="Arial" w:cs="Arial" w:eastAsia="Arial" w:hAnsi="Arial"/>
                <w:sz w:val="16"/>
                <w:szCs w:val="16"/>
                <w:color w:val="0075A8"/>
              </w:rPr>
              <w:t>(6)</w:t>
            </w:r>
          </w:p>
        </w:tc>
        <w:tc>
          <w:tcPr>
            <w:tcW w:w="580" w:type="dxa"/>
            <w:vAlign w:val="bottom"/>
            <w:tcBorders>
              <w:top w:val="single" w:sz="8" w:color="BFBFBF"/>
            </w:tcBorders>
            <w:shd w:val="clear" w:color="auto" w:fill="E5E5E5"/>
          </w:tcPr>
          <w:p>
            <w:pPr>
              <w:ind w:left="240"/>
              <w:spacing w:after="0" w:line="178"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top w:val="single" w:sz="8" w:color="BFBFBF"/>
            </w:tcBorders>
            <w:shd w:val="clear" w:color="auto" w:fill="E5E5E5"/>
          </w:tcPr>
          <w:p>
            <w:pPr>
              <w:ind w:left="240"/>
              <w:spacing w:after="0" w:line="178"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BFBFBF"/>
            </w:tcBorders>
            <w:shd w:val="clear" w:color="auto" w:fill="E5E5E5"/>
          </w:tcPr>
          <w:p>
            <w:pPr>
              <w:jc w:val="right"/>
              <w:ind w:right="159"/>
              <w:spacing w:after="0" w:line="178" w:lineRule="exact"/>
              <w:rPr>
                <w:sz w:val="20"/>
                <w:szCs w:val="20"/>
                <w:color w:val="auto"/>
              </w:rPr>
            </w:pPr>
            <w:r>
              <w:rPr>
                <w:rFonts w:ascii="Arial" w:cs="Arial" w:eastAsia="Arial" w:hAnsi="Arial"/>
                <w:sz w:val="16"/>
                <w:szCs w:val="16"/>
                <w:color w:val="auto"/>
              </w:rPr>
              <w:t>1,528,689</w:t>
            </w:r>
            <w:r>
              <w:rPr>
                <w:rFonts w:ascii="Arial" w:cs="Arial" w:eastAsia="Arial" w:hAnsi="Arial"/>
                <w:sz w:val="16"/>
                <w:szCs w:val="16"/>
                <w:color w:val="0075A8"/>
              </w:rPr>
              <w:t>(7)</w:t>
            </w:r>
          </w:p>
        </w:tc>
        <w:tc>
          <w:tcPr>
            <w:tcW w:w="580" w:type="dxa"/>
            <w:vAlign w:val="bottom"/>
            <w:tcBorders>
              <w:top w:val="single" w:sz="8" w:color="BFBFBF"/>
            </w:tcBorders>
            <w:shd w:val="clear" w:color="auto" w:fill="E5E5E5"/>
          </w:tcPr>
          <w:p>
            <w:pPr>
              <w:ind w:left="240"/>
              <w:spacing w:after="0" w:line="178"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top w:val="single" w:sz="8" w:color="BFBFBF"/>
            </w:tcBorders>
            <w:shd w:val="clear" w:color="auto" w:fill="E5E5E5"/>
          </w:tcPr>
          <w:p>
            <w:pPr>
              <w:ind w:left="220"/>
              <w:spacing w:after="0" w:line="178"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BFBFBF"/>
            </w:tcBorders>
            <w:shd w:val="clear" w:color="auto" w:fill="E5E5E5"/>
          </w:tcPr>
          <w:p>
            <w:pPr>
              <w:jc w:val="right"/>
              <w:ind w:right="139"/>
              <w:spacing w:after="0" w:line="178"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BFBFBF"/>
            </w:tcBorders>
            <w:shd w:val="clear" w:color="auto" w:fill="E5E5E5"/>
          </w:tcPr>
          <w:p>
            <w:pPr>
              <w:ind w:left="220"/>
              <w:spacing w:after="0" w:line="178"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c>
          <w:tcPr>
            <w:tcW w:w="80" w:type="dxa"/>
            <w:vAlign w:val="bottom"/>
            <w:tcBorders>
              <w:right w:val="single" w:sz="8" w:color="E5E5E5"/>
            </w:tcBorders>
            <w:shd w:val="clear" w:color="auto" w:fill="E5E5E5"/>
          </w:tcPr>
          <w:p>
            <w:pPr>
              <w:spacing w:after="0"/>
              <w:rPr>
                <w:sz w:val="18"/>
                <w:szCs w:val="18"/>
                <w:color w:val="auto"/>
              </w:rPr>
            </w:pPr>
          </w:p>
        </w:tc>
        <w:tc>
          <w:tcPr>
            <w:tcW w:w="1620" w:type="dxa"/>
            <w:vAlign w:val="bottom"/>
            <w:shd w:val="clear" w:color="auto" w:fill="E5E5E5"/>
          </w:tcPr>
          <w:p>
            <w:pPr>
              <w:spacing w:after="0"/>
              <w:rPr>
                <w:sz w:val="20"/>
                <w:szCs w:val="20"/>
                <w:color w:val="auto"/>
              </w:rPr>
            </w:pPr>
            <w:r>
              <w:rPr>
                <w:rFonts w:ascii="Arial" w:cs="Arial" w:eastAsia="Arial" w:hAnsi="Arial"/>
                <w:sz w:val="16"/>
                <w:szCs w:val="16"/>
                <w:color w:val="auto"/>
              </w:rPr>
              <w:t>Incentive</w:t>
            </w:r>
          </w:p>
        </w:tc>
        <w:tc>
          <w:tcPr>
            <w:tcW w:w="4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6"/>
                <w:szCs w:val="16"/>
                <w:color w:val="auto"/>
              </w:rPr>
              <w:t>​​</w:t>
            </w:r>
          </w:p>
        </w:tc>
        <w:tc>
          <w:tcPr>
            <w:tcW w:w="1700" w:type="dxa"/>
            <w:vAlign w:val="bottom"/>
            <w:gridSpan w:val="2"/>
          </w:tcPr>
          <w:p>
            <w:pPr>
              <w:spacing w:after="0"/>
              <w:rPr>
                <w:sz w:val="20"/>
                <w:szCs w:val="20"/>
                <w:color w:val="auto"/>
              </w:rPr>
            </w:pPr>
            <w:r>
              <w:rPr>
                <w:rFonts w:ascii="Arial" w:cs="Arial" w:eastAsia="Arial" w:hAnsi="Arial"/>
                <w:sz w:val="16"/>
                <w:szCs w:val="16"/>
                <w:color w:val="auto"/>
              </w:rPr>
              <w:t>​​Accelerated RSUs</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2,091,332​</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2,091,332​</w:t>
            </w:r>
          </w:p>
        </w:tc>
        <w:tc>
          <w:tcPr>
            <w:tcW w:w="2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540" w:type="dxa"/>
            <w:vAlign w:val="bottom"/>
            <w:gridSpan w:val="2"/>
          </w:tcPr>
          <w:p>
            <w:pPr>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​​Accelerated PSAs</w:t>
            </w:r>
            <w:r>
              <w:rPr>
                <w:rFonts w:ascii="Arial" w:cs="Arial" w:eastAsia="Arial" w:hAnsi="Arial"/>
                <w:sz w:val="16"/>
                <w:szCs w:val="16"/>
                <w:color w:val="0075A8"/>
              </w:rPr>
              <w:t>(5)</w:t>
            </w:r>
          </w:p>
        </w:tc>
        <w:tc>
          <w:tcPr>
            <w:tcW w:w="420" w:type="dxa"/>
            <w:vAlign w:val="bottom"/>
            <w:shd w:val="clear" w:color="auto" w:fill="E5E5E5"/>
          </w:tcPr>
          <w:p>
            <w:pPr>
              <w:ind w:lef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319"/>
              <w:spacing w:after="0"/>
              <w:rPr>
                <w:sz w:val="20"/>
                <w:szCs w:val="20"/>
                <w:color w:val="auto"/>
              </w:rPr>
            </w:pPr>
            <w:r>
              <w:rPr>
                <w:rFonts w:ascii="Arial" w:cs="Arial" w:eastAsia="Arial" w:hAnsi="Arial"/>
                <w:sz w:val="16"/>
                <w:szCs w:val="16"/>
                <w:color w:val="auto"/>
              </w:rPr>
              <w:t>3,535,806​</w:t>
            </w:r>
          </w:p>
        </w:tc>
        <w:tc>
          <w:tcPr>
            <w:tcW w:w="58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3,535,806​</w:t>
            </w:r>
          </w:p>
        </w:tc>
        <w:tc>
          <w:tcPr>
            <w:tcW w:w="260" w:type="dxa"/>
            <w:vAlign w:val="bottom"/>
            <w:shd w:val="clear" w:color="auto" w:fill="E5E5E5"/>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20"/>
                <w:szCs w:val="20"/>
                <w:color w:val="auto"/>
              </w:rPr>
            </w:pPr>
            <w:r>
              <w:rPr>
                <w:rFonts w:ascii="Arial" w:cs="Arial" w:eastAsia="Arial" w:hAnsi="Arial"/>
                <w:sz w:val="16"/>
                <w:szCs w:val="16"/>
                <w:color w:val="auto"/>
              </w:rPr>
              <w:t>Medical</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8,241​</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12,362​</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4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BFBFBF"/>
            </w:tcBorders>
          </w:tcPr>
          <w:p>
            <w:pPr>
              <w:spacing w:after="0"/>
              <w:rPr>
                <w:sz w:val="2"/>
                <w:szCs w:val="2"/>
                <w:color w:val="auto"/>
              </w:rPr>
            </w:pPr>
          </w:p>
        </w:tc>
        <w:tc>
          <w:tcPr>
            <w:tcW w:w="1620" w:type="dxa"/>
            <w:vAlign w:val="bottom"/>
            <w:shd w:val="clear" w:color="auto" w:fill="BFBFBF"/>
          </w:tcPr>
          <w:p>
            <w:pPr>
              <w:spacing w:after="0"/>
              <w:rPr>
                <w:sz w:val="2"/>
                <w:szCs w:val="2"/>
                <w:color w:val="auto"/>
              </w:rPr>
            </w:pPr>
          </w:p>
        </w:tc>
        <w:tc>
          <w:tcPr>
            <w:tcW w:w="420" w:type="dxa"/>
            <w:vAlign w:val="bottom"/>
            <w:shd w:val="clear" w:color="auto" w:fill="BFBFBF"/>
          </w:tcPr>
          <w:p>
            <w:pPr>
              <w:spacing w:after="0"/>
              <w:rPr>
                <w:sz w:val="2"/>
                <w:szCs w:val="2"/>
                <w:color w:val="auto"/>
              </w:rPr>
            </w:pPr>
          </w:p>
        </w:tc>
        <w:tc>
          <w:tcPr>
            <w:tcW w:w="300" w:type="dxa"/>
            <w:vAlign w:val="bottom"/>
            <w:shd w:val="clear" w:color="auto" w:fill="BFBFBF"/>
          </w:tcPr>
          <w:p>
            <w:pPr>
              <w:spacing w:after="0"/>
              <w:rPr>
                <w:sz w:val="2"/>
                <w:szCs w:val="2"/>
                <w:color w:val="auto"/>
              </w:rPr>
            </w:pPr>
          </w:p>
        </w:tc>
        <w:tc>
          <w:tcPr>
            <w:tcW w:w="1200" w:type="dxa"/>
            <w:vAlign w:val="bottom"/>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300" w:type="dxa"/>
            <w:vAlign w:val="bottom"/>
            <w:shd w:val="clear" w:color="auto" w:fill="BFBFBF"/>
          </w:tcPr>
          <w:p>
            <w:pPr>
              <w:spacing w:after="0"/>
              <w:rPr>
                <w:sz w:val="2"/>
                <w:szCs w:val="2"/>
                <w:color w:val="auto"/>
              </w:rPr>
            </w:pPr>
          </w:p>
        </w:tc>
        <w:tc>
          <w:tcPr>
            <w:tcW w:w="1200" w:type="dxa"/>
            <w:vAlign w:val="bottom"/>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300" w:type="dxa"/>
            <w:vAlign w:val="bottom"/>
            <w:shd w:val="clear" w:color="auto" w:fill="BFBFBF"/>
          </w:tcPr>
          <w:p>
            <w:pPr>
              <w:spacing w:after="0"/>
              <w:rPr>
                <w:sz w:val="2"/>
                <w:szCs w:val="2"/>
                <w:color w:val="auto"/>
              </w:rPr>
            </w:pPr>
          </w:p>
        </w:tc>
        <w:tc>
          <w:tcPr>
            <w:tcW w:w="1020" w:type="dxa"/>
            <w:vAlign w:val="bottom"/>
            <w:shd w:val="clear" w:color="auto" w:fill="BFBFBF"/>
          </w:tcPr>
          <w:p>
            <w:pPr>
              <w:spacing w:after="0"/>
              <w:rPr>
                <w:sz w:val="2"/>
                <w:szCs w:val="2"/>
                <w:color w:val="auto"/>
              </w:rPr>
            </w:pPr>
          </w:p>
        </w:tc>
        <w:tc>
          <w:tcPr>
            <w:tcW w:w="260" w:type="dxa"/>
            <w:vAlign w:val="bottom"/>
            <w:shd w:val="clear" w:color="auto" w:fill="BFBFB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540" w:type="dxa"/>
            <w:vAlign w:val="bottom"/>
            <w:tcBorders>
              <w:bottom w:val="single" w:sz="8" w:color="BFBFBF"/>
            </w:tcBorders>
            <w:gridSpan w:val="2"/>
            <w:vMerge w:val="continue"/>
          </w:tcPr>
          <w:p>
            <w:pPr>
              <w:spacing w:after="0"/>
              <w:rPr>
                <w:sz w:val="19"/>
                <w:szCs w:val="19"/>
                <w:color w:val="auto"/>
              </w:rPr>
            </w:pPr>
          </w:p>
        </w:tc>
        <w:tc>
          <w:tcPr>
            <w:tcW w:w="80" w:type="dxa"/>
            <w:vAlign w:val="bottom"/>
            <w:tcBorders>
              <w:bottom w:val="single" w:sz="8" w:color="BFBFBF"/>
            </w:tcBorders>
          </w:tcPr>
          <w:p>
            <w:pPr>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BFBFBF"/>
            </w:tcBorders>
            <w:shd w:val="clear" w:color="auto" w:fill="E5E5E5"/>
          </w:tcPr>
          <w:p>
            <w:pPr>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BFBFBF"/>
            </w:tcBorders>
            <w:shd w:val="clear" w:color="auto" w:fill="E5E5E5"/>
          </w:tcPr>
          <w:p>
            <w:pPr>
              <w:ind w:left="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shd w:val="clear" w:color="auto" w:fill="E5E5E5"/>
          </w:tcPr>
          <w:p>
            <w:pPr>
              <w:jc w:val="right"/>
              <w:ind w:right="319"/>
              <w:spacing w:after="0"/>
              <w:rPr>
                <w:sz w:val="20"/>
                <w:szCs w:val="20"/>
                <w:color w:val="auto"/>
              </w:rPr>
            </w:pPr>
            <w:r>
              <w:rPr>
                <w:rFonts w:ascii="Arial" w:cs="Arial" w:eastAsia="Arial" w:hAnsi="Arial"/>
                <w:sz w:val="16"/>
                <w:szCs w:val="16"/>
                <w:color w:val="auto"/>
              </w:rPr>
              <w:t>565,241​</w:t>
            </w:r>
          </w:p>
        </w:tc>
        <w:tc>
          <w:tcPr>
            <w:tcW w:w="58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shd w:val="clear" w:color="auto" w:fill="E5E5E5"/>
          </w:tcPr>
          <w:p>
            <w:pPr>
              <w:jc w:val="right"/>
              <w:ind w:right="319"/>
              <w:spacing w:after="0"/>
              <w:rPr>
                <w:sz w:val="20"/>
                <w:szCs w:val="20"/>
                <w:color w:val="auto"/>
              </w:rPr>
            </w:pPr>
            <w:r>
              <w:rPr>
                <w:rFonts w:ascii="Arial" w:cs="Arial" w:eastAsia="Arial" w:hAnsi="Arial"/>
                <w:sz w:val="16"/>
                <w:szCs w:val="16"/>
                <w:color w:val="auto"/>
              </w:rPr>
              <w:t>7,168,189​</w:t>
            </w:r>
          </w:p>
        </w:tc>
        <w:tc>
          <w:tcPr>
            <w:tcW w:w="58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bottom w:val="single" w:sz="8" w:color="BFBFBF"/>
            </w:tcBorders>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BFBF"/>
            </w:tcBorders>
            <w:shd w:val="clear" w:color="auto" w:fill="E5E5E5"/>
          </w:tcPr>
          <w:p>
            <w:pPr>
              <w:jc w:val="right"/>
              <w:ind w:right="139"/>
              <w:spacing w:after="0"/>
              <w:rPr>
                <w:sz w:val="20"/>
                <w:szCs w:val="20"/>
                <w:color w:val="auto"/>
              </w:rPr>
            </w:pPr>
            <w:r>
              <w:rPr>
                <w:rFonts w:ascii="Arial" w:cs="Arial" w:eastAsia="Arial" w:hAnsi="Arial"/>
                <w:sz w:val="16"/>
                <w:szCs w:val="16"/>
                <w:color w:val="auto"/>
              </w:rPr>
              <w:t>5,627,138​</w:t>
            </w:r>
          </w:p>
        </w:tc>
        <w:tc>
          <w:tcPr>
            <w:tcW w:w="260" w:type="dxa"/>
            <w:vAlign w:val="bottom"/>
            <w:tcBorders>
              <w:bottom w:val="single" w:sz="8" w:color="BFBFBF"/>
            </w:tcBorders>
            <w:shd w:val="clear" w:color="auto" w:fill="E5E5E5"/>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540" w:type="dxa"/>
            <w:vAlign w:val="bottom"/>
            <w:gridSpan w:val="2"/>
          </w:tcPr>
          <w:p>
            <w:pPr>
              <w:spacing w:after="0" w:line="178" w:lineRule="exact"/>
              <w:rPr>
                <w:sz w:val="20"/>
                <w:szCs w:val="20"/>
                <w:color w:val="auto"/>
              </w:rPr>
            </w:pPr>
            <w:r>
              <w:rPr>
                <w:rFonts w:ascii="Arial" w:cs="Arial" w:eastAsia="Arial" w:hAnsi="Arial"/>
                <w:sz w:val="16"/>
                <w:szCs w:val="16"/>
                <w:color w:val="auto"/>
              </w:rPr>
              <w:t>​Carlos S. Bori</w:t>
            </w:r>
            <w:r>
              <w:rPr>
                <w:rFonts w:ascii="Arial" w:cs="Arial" w:eastAsia="Arial" w:hAnsi="Arial"/>
                <w:sz w:val="16"/>
                <w:szCs w:val="16"/>
                <w:color w:val="0075A8"/>
              </w:rPr>
              <w:t>(2)</w:t>
            </w:r>
          </w:p>
        </w:tc>
        <w:tc>
          <w:tcPr>
            <w:tcW w:w="2120" w:type="dxa"/>
            <w:vAlign w:val="bottom"/>
            <w:gridSpan w:val="3"/>
          </w:tcPr>
          <w:p>
            <w:pPr>
              <w:spacing w:after="0" w:line="178" w:lineRule="exact"/>
              <w:rPr>
                <w:sz w:val="20"/>
                <w:szCs w:val="20"/>
                <w:color w:val="auto"/>
              </w:rPr>
            </w:pPr>
            <w:r>
              <w:rPr>
                <w:rFonts w:ascii="Arial" w:cs="Arial" w:eastAsia="Arial" w:hAnsi="Arial"/>
                <w:sz w:val="16"/>
                <w:szCs w:val="16"/>
                <w:color w:val="auto"/>
              </w:rPr>
              <w:t>​​Salary and Short-Term ​​</w:t>
            </w:r>
          </w:p>
        </w:tc>
        <w:tc>
          <w:tcPr>
            <w:tcW w:w="300" w:type="dxa"/>
            <w:vAlign w:val="bottom"/>
          </w:tcPr>
          <w:p>
            <w:pPr>
              <w:ind w:left="240"/>
              <w:spacing w:after="0" w:line="178"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line="178" w:lineRule="exact"/>
              <w:rPr>
                <w:sz w:val="20"/>
                <w:szCs w:val="20"/>
                <w:color w:val="auto"/>
              </w:rPr>
            </w:pPr>
            <w:r>
              <w:rPr>
                <w:rFonts w:ascii="Arial" w:cs="Arial" w:eastAsia="Arial" w:hAnsi="Arial"/>
                <w:sz w:val="16"/>
                <w:szCs w:val="16"/>
                <w:color w:val="auto"/>
              </w:rPr>
              <w:t>520,000</w:t>
            </w:r>
            <w:r>
              <w:rPr>
                <w:rFonts w:ascii="Arial" w:cs="Arial" w:eastAsia="Arial" w:hAnsi="Arial"/>
                <w:sz w:val="16"/>
                <w:szCs w:val="16"/>
                <w:color w:val="0075A8"/>
              </w:rPr>
              <w:t>(6)</w:t>
            </w:r>
          </w:p>
        </w:tc>
        <w:tc>
          <w:tcPr>
            <w:tcW w:w="580" w:type="dxa"/>
            <w:vAlign w:val="bottom"/>
          </w:tcPr>
          <w:p>
            <w:pPr>
              <w:ind w:left="240"/>
              <w:spacing w:after="0" w:line="178"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line="178"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line="178" w:lineRule="exact"/>
              <w:rPr>
                <w:sz w:val="20"/>
                <w:szCs w:val="20"/>
                <w:color w:val="auto"/>
              </w:rPr>
            </w:pPr>
            <w:r>
              <w:rPr>
                <w:rFonts w:ascii="Arial" w:cs="Arial" w:eastAsia="Arial" w:hAnsi="Arial"/>
                <w:sz w:val="16"/>
                <w:szCs w:val="16"/>
                <w:color w:val="auto"/>
              </w:rPr>
              <w:t>1,446,787</w:t>
            </w:r>
            <w:r>
              <w:rPr>
                <w:rFonts w:ascii="Arial" w:cs="Arial" w:eastAsia="Arial" w:hAnsi="Arial"/>
                <w:sz w:val="16"/>
                <w:szCs w:val="16"/>
                <w:color w:val="0075A8"/>
              </w:rPr>
              <w:t>(7)</w:t>
            </w:r>
          </w:p>
        </w:tc>
        <w:tc>
          <w:tcPr>
            <w:tcW w:w="580" w:type="dxa"/>
            <w:vAlign w:val="bottom"/>
          </w:tcPr>
          <w:p>
            <w:pPr>
              <w:ind w:left="240"/>
              <w:spacing w:after="0" w:line="178"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line="178"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line="178" w:lineRule="exact"/>
              <w:rPr>
                <w:sz w:val="20"/>
                <w:szCs w:val="20"/>
                <w:color w:val="auto"/>
              </w:rPr>
            </w:pPr>
            <w:r>
              <w:rPr>
                <w:rFonts w:ascii="Arial" w:cs="Arial" w:eastAsia="Arial" w:hAnsi="Arial"/>
                <w:sz w:val="16"/>
                <w:szCs w:val="16"/>
                <w:color w:val="auto"/>
              </w:rPr>
              <w:t>—​</w:t>
            </w:r>
          </w:p>
        </w:tc>
        <w:tc>
          <w:tcPr>
            <w:tcW w:w="260" w:type="dxa"/>
            <w:vAlign w:val="bottom"/>
          </w:tcPr>
          <w:p>
            <w:pPr>
              <w:ind w:left="220"/>
              <w:spacing w:after="0" w:line="178"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20"/>
                <w:szCs w:val="20"/>
                <w:color w:val="auto"/>
              </w:rPr>
            </w:pPr>
            <w:r>
              <w:rPr>
                <w:rFonts w:ascii="Arial" w:cs="Arial" w:eastAsia="Arial" w:hAnsi="Arial"/>
                <w:sz w:val="16"/>
                <w:szCs w:val="16"/>
                <w:color w:val="auto"/>
              </w:rPr>
              <w:t>Incentive</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6"/>
                <w:szCs w:val="16"/>
                <w:color w:val="auto"/>
              </w:rPr>
              <w:t>​​</w:t>
            </w:r>
          </w:p>
        </w:tc>
        <w:tc>
          <w:tcPr>
            <w:tcW w:w="1700" w:type="dxa"/>
            <w:vAlign w:val="bottom"/>
            <w:gridSpan w:val="2"/>
          </w:tcPr>
          <w:p>
            <w:pPr>
              <w:spacing w:after="0"/>
              <w:rPr>
                <w:sz w:val="20"/>
                <w:szCs w:val="20"/>
                <w:color w:val="auto"/>
              </w:rPr>
            </w:pPr>
            <w:r>
              <w:rPr>
                <w:rFonts w:ascii="Arial" w:cs="Arial" w:eastAsia="Arial" w:hAnsi="Arial"/>
                <w:sz w:val="16"/>
                <w:szCs w:val="16"/>
                <w:color w:val="auto"/>
              </w:rPr>
              <w:t>​​Accelerated RSUs</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2,092,440​</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2,092,440​</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6"/>
                <w:szCs w:val="16"/>
                <w:color w:val="auto"/>
              </w:rPr>
              <w:t>​​</w:t>
            </w:r>
          </w:p>
        </w:tc>
        <w:tc>
          <w:tcPr>
            <w:tcW w:w="1700" w:type="dxa"/>
            <w:vAlign w:val="bottom"/>
            <w:gridSpan w:val="2"/>
          </w:tcPr>
          <w:p>
            <w:pPr>
              <w:spacing w:after="0"/>
              <w:rPr>
                <w:sz w:val="20"/>
                <w:szCs w:val="20"/>
                <w:color w:val="auto"/>
              </w:rPr>
            </w:pPr>
            <w:r>
              <w:rPr>
                <w:rFonts w:ascii="Arial" w:cs="Arial" w:eastAsia="Arial" w:hAnsi="Arial"/>
                <w:sz w:val="16"/>
                <w:szCs w:val="16"/>
                <w:color w:val="auto"/>
              </w:rPr>
              <w:t>​​Accelerated PSAs</w:t>
            </w:r>
            <w:r>
              <w:rPr>
                <w:rFonts w:ascii="Arial" w:cs="Arial" w:eastAsia="Arial" w:hAnsi="Arial"/>
                <w:sz w:val="16"/>
                <w:szCs w:val="16"/>
                <w:color w:val="0075A8"/>
              </w:rPr>
              <w:t>(5)</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3,393,575​</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3,393,575​</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6"/>
                <w:szCs w:val="16"/>
                <w:color w:val="auto"/>
              </w:rPr>
              <w:t>​​</w:t>
            </w:r>
          </w:p>
        </w:tc>
        <w:tc>
          <w:tcPr>
            <w:tcW w:w="1700" w:type="dxa"/>
            <w:vAlign w:val="bottom"/>
            <w:gridSpan w:val="2"/>
          </w:tcPr>
          <w:p>
            <w:pPr>
              <w:spacing w:after="0"/>
              <w:rPr>
                <w:sz w:val="20"/>
                <w:szCs w:val="20"/>
                <w:color w:val="auto"/>
              </w:rPr>
            </w:pPr>
            <w:r>
              <w:rPr>
                <w:rFonts w:ascii="Arial" w:cs="Arial" w:eastAsia="Arial" w:hAnsi="Arial"/>
                <w:sz w:val="16"/>
                <w:szCs w:val="16"/>
                <w:color w:val="auto"/>
              </w:rPr>
              <w:t>​​Medical</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26,441​</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39,662​</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154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BFBFBF"/>
            </w:tcBorders>
          </w:tcPr>
          <w:p>
            <w:pPr>
              <w:spacing w:after="0"/>
              <w:rPr>
                <w:sz w:val="2"/>
                <w:szCs w:val="2"/>
                <w:color w:val="auto"/>
              </w:rPr>
            </w:pPr>
          </w:p>
        </w:tc>
        <w:tc>
          <w:tcPr>
            <w:tcW w:w="1620" w:type="dxa"/>
            <w:vAlign w:val="bottom"/>
            <w:shd w:val="clear" w:color="auto" w:fill="BFBFBF"/>
          </w:tcPr>
          <w:p>
            <w:pPr>
              <w:spacing w:after="0"/>
              <w:rPr>
                <w:sz w:val="2"/>
                <w:szCs w:val="2"/>
                <w:color w:val="auto"/>
              </w:rPr>
            </w:pPr>
          </w:p>
        </w:tc>
        <w:tc>
          <w:tcPr>
            <w:tcW w:w="420" w:type="dxa"/>
            <w:vAlign w:val="bottom"/>
            <w:shd w:val="clear" w:color="auto" w:fill="BFBFBF"/>
          </w:tcPr>
          <w:p>
            <w:pPr>
              <w:spacing w:after="0"/>
              <w:rPr>
                <w:sz w:val="2"/>
                <w:szCs w:val="2"/>
                <w:color w:val="auto"/>
              </w:rPr>
            </w:pPr>
          </w:p>
        </w:tc>
        <w:tc>
          <w:tcPr>
            <w:tcW w:w="300" w:type="dxa"/>
            <w:vAlign w:val="bottom"/>
            <w:shd w:val="clear" w:color="auto" w:fill="BFBFBF"/>
          </w:tcPr>
          <w:p>
            <w:pPr>
              <w:spacing w:after="0"/>
              <w:rPr>
                <w:sz w:val="2"/>
                <w:szCs w:val="2"/>
                <w:color w:val="auto"/>
              </w:rPr>
            </w:pPr>
          </w:p>
        </w:tc>
        <w:tc>
          <w:tcPr>
            <w:tcW w:w="1200" w:type="dxa"/>
            <w:vAlign w:val="bottom"/>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300" w:type="dxa"/>
            <w:vAlign w:val="bottom"/>
            <w:shd w:val="clear" w:color="auto" w:fill="BFBFBF"/>
          </w:tcPr>
          <w:p>
            <w:pPr>
              <w:spacing w:after="0"/>
              <w:rPr>
                <w:sz w:val="2"/>
                <w:szCs w:val="2"/>
                <w:color w:val="auto"/>
              </w:rPr>
            </w:pPr>
          </w:p>
        </w:tc>
        <w:tc>
          <w:tcPr>
            <w:tcW w:w="1200" w:type="dxa"/>
            <w:vAlign w:val="bottom"/>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300" w:type="dxa"/>
            <w:vAlign w:val="bottom"/>
            <w:shd w:val="clear" w:color="auto" w:fill="BFBFBF"/>
          </w:tcPr>
          <w:p>
            <w:pPr>
              <w:spacing w:after="0"/>
              <w:rPr>
                <w:sz w:val="2"/>
                <w:szCs w:val="2"/>
                <w:color w:val="auto"/>
              </w:rPr>
            </w:pPr>
          </w:p>
        </w:tc>
        <w:tc>
          <w:tcPr>
            <w:tcW w:w="1020" w:type="dxa"/>
            <w:vAlign w:val="bottom"/>
            <w:shd w:val="clear" w:color="auto" w:fill="BFBFBF"/>
          </w:tcPr>
          <w:p>
            <w:pPr>
              <w:spacing w:after="0"/>
              <w:rPr>
                <w:sz w:val="2"/>
                <w:szCs w:val="2"/>
                <w:color w:val="auto"/>
              </w:rPr>
            </w:pPr>
          </w:p>
        </w:tc>
        <w:tc>
          <w:tcPr>
            <w:tcW w:w="280" w:type="dxa"/>
            <w:vAlign w:val="bottom"/>
            <w:gridSpan w:val="2"/>
            <w:shd w:val="clear" w:color="auto" w:fill="BFBFB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540" w:type="dxa"/>
            <w:vAlign w:val="bottom"/>
            <w:gridSpan w:val="2"/>
            <w:vMerge w:val="continue"/>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6"/>
                <w:szCs w:val="16"/>
                <w:color w:val="auto"/>
              </w:rPr>
              <w:t>​​TOTAL</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546,441​</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6,972,464​</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5,486,015​</w:t>
            </w:r>
          </w:p>
        </w:tc>
        <w:tc>
          <w:tcPr>
            <w:tcW w:w="28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7"/>
        </w:trPr>
        <w:tc>
          <w:tcPr>
            <w:tcW w:w="40" w:type="dxa"/>
            <w:vAlign w:val="bottom"/>
            <w:tcBorders>
              <w:top w:val="single" w:sz="8" w:color="BFBFBF"/>
            </w:tcBorders>
            <w:shd w:val="clear" w:color="auto" w:fill="E5E5E5"/>
          </w:tcPr>
          <w:p>
            <w:pPr>
              <w:spacing w:after="0" w:line="178" w:lineRule="exact"/>
              <w:rPr>
                <w:sz w:val="20"/>
                <w:szCs w:val="20"/>
                <w:color w:val="auto"/>
              </w:rPr>
            </w:pPr>
            <w:r>
              <w:rPr>
                <w:rFonts w:ascii="Arial" w:cs="Arial" w:eastAsia="Arial" w:hAnsi="Arial"/>
                <w:sz w:val="16"/>
                <w:szCs w:val="16"/>
                <w:color w:val="auto"/>
              </w:rPr>
              <w:t>​</w:t>
            </w:r>
          </w:p>
        </w:tc>
        <w:tc>
          <w:tcPr>
            <w:tcW w:w="1500" w:type="dxa"/>
            <w:vAlign w:val="bottom"/>
            <w:tcBorders>
              <w:top w:val="single" w:sz="8" w:color="BFBFBF"/>
            </w:tcBorders>
            <w:shd w:val="clear" w:color="auto" w:fill="E5E5E5"/>
          </w:tcPr>
          <w:p>
            <w:pPr>
              <w:jc w:val="center"/>
              <w:ind w:right="159"/>
              <w:spacing w:after="0" w:line="178" w:lineRule="exact"/>
              <w:rPr>
                <w:sz w:val="20"/>
                <w:szCs w:val="20"/>
                <w:color w:val="auto"/>
              </w:rPr>
            </w:pPr>
            <w:r>
              <w:rPr>
                <w:rFonts w:ascii="Arial" w:cs="Arial" w:eastAsia="Arial" w:hAnsi="Arial"/>
                <w:sz w:val="16"/>
                <w:szCs w:val="16"/>
                <w:color w:val="auto"/>
                <w:w w:val="99"/>
              </w:rPr>
              <w:t>Robert J. Terry</w:t>
            </w:r>
            <w:r>
              <w:rPr>
                <w:rFonts w:ascii="Arial" w:cs="Arial" w:eastAsia="Arial" w:hAnsi="Arial"/>
                <w:sz w:val="16"/>
                <w:szCs w:val="16"/>
                <w:color w:val="0075A8"/>
                <w:w w:val="99"/>
              </w:rPr>
              <w:t>(2)</w:t>
            </w:r>
          </w:p>
        </w:tc>
        <w:tc>
          <w:tcPr>
            <w:tcW w:w="2120" w:type="dxa"/>
            <w:vAlign w:val="bottom"/>
            <w:tcBorders>
              <w:top w:val="single" w:sz="8" w:color="BFBFBF"/>
            </w:tcBorders>
            <w:gridSpan w:val="3"/>
            <w:shd w:val="clear" w:color="auto" w:fill="E5E5E5"/>
          </w:tcPr>
          <w:p>
            <w:pPr>
              <w:spacing w:after="0" w:line="178" w:lineRule="exact"/>
              <w:rPr>
                <w:sz w:val="20"/>
                <w:szCs w:val="20"/>
                <w:color w:val="auto"/>
              </w:rPr>
            </w:pPr>
            <w:r>
              <w:rPr>
                <w:rFonts w:ascii="Arial" w:cs="Arial" w:eastAsia="Arial" w:hAnsi="Arial"/>
                <w:sz w:val="16"/>
                <w:szCs w:val="16"/>
                <w:color w:val="auto"/>
              </w:rPr>
              <w:t>​​Salary and Short-Term ​​</w:t>
            </w:r>
          </w:p>
        </w:tc>
        <w:tc>
          <w:tcPr>
            <w:tcW w:w="300" w:type="dxa"/>
            <w:vAlign w:val="bottom"/>
            <w:tcBorders>
              <w:top w:val="single" w:sz="8" w:color="BFBFBF"/>
            </w:tcBorders>
            <w:shd w:val="clear" w:color="auto" w:fill="E5E5E5"/>
          </w:tcPr>
          <w:p>
            <w:pPr>
              <w:ind w:left="240"/>
              <w:spacing w:after="0" w:line="178"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BFBFBF"/>
            </w:tcBorders>
            <w:shd w:val="clear" w:color="auto" w:fill="E5E5E5"/>
          </w:tcPr>
          <w:p>
            <w:pPr>
              <w:jc w:val="right"/>
              <w:ind w:right="159"/>
              <w:spacing w:after="0" w:line="178" w:lineRule="exact"/>
              <w:rPr>
                <w:sz w:val="20"/>
                <w:szCs w:val="20"/>
                <w:color w:val="auto"/>
              </w:rPr>
            </w:pPr>
            <w:r>
              <w:rPr>
                <w:rFonts w:ascii="Arial" w:cs="Arial" w:eastAsia="Arial" w:hAnsi="Arial"/>
                <w:sz w:val="16"/>
                <w:szCs w:val="16"/>
                <w:color w:val="auto"/>
              </w:rPr>
              <w:t>522,000</w:t>
            </w:r>
            <w:r>
              <w:rPr>
                <w:rFonts w:ascii="Arial" w:cs="Arial" w:eastAsia="Arial" w:hAnsi="Arial"/>
                <w:sz w:val="16"/>
                <w:szCs w:val="16"/>
                <w:color w:val="0075A8"/>
              </w:rPr>
              <w:t>(6)</w:t>
            </w:r>
          </w:p>
        </w:tc>
        <w:tc>
          <w:tcPr>
            <w:tcW w:w="580" w:type="dxa"/>
            <w:vAlign w:val="bottom"/>
            <w:tcBorders>
              <w:top w:val="single" w:sz="8" w:color="BFBFBF"/>
            </w:tcBorders>
            <w:shd w:val="clear" w:color="auto" w:fill="E5E5E5"/>
          </w:tcPr>
          <w:p>
            <w:pPr>
              <w:ind w:left="240"/>
              <w:spacing w:after="0" w:line="178"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top w:val="single" w:sz="8" w:color="BFBFBF"/>
            </w:tcBorders>
            <w:shd w:val="clear" w:color="auto" w:fill="E5E5E5"/>
          </w:tcPr>
          <w:p>
            <w:pPr>
              <w:ind w:left="240"/>
              <w:spacing w:after="0" w:line="178"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BFBFBF"/>
            </w:tcBorders>
            <w:shd w:val="clear" w:color="auto" w:fill="E5E5E5"/>
          </w:tcPr>
          <w:p>
            <w:pPr>
              <w:jc w:val="right"/>
              <w:ind w:right="159"/>
              <w:spacing w:after="0" w:line="178" w:lineRule="exact"/>
              <w:rPr>
                <w:sz w:val="20"/>
                <w:szCs w:val="20"/>
                <w:color w:val="auto"/>
              </w:rPr>
            </w:pPr>
            <w:r>
              <w:rPr>
                <w:rFonts w:ascii="Arial" w:cs="Arial" w:eastAsia="Arial" w:hAnsi="Arial"/>
                <w:sz w:val="16"/>
                <w:szCs w:val="16"/>
                <w:color w:val="auto"/>
              </w:rPr>
              <w:t>1,473,256</w:t>
            </w:r>
            <w:r>
              <w:rPr>
                <w:rFonts w:ascii="Arial" w:cs="Arial" w:eastAsia="Arial" w:hAnsi="Arial"/>
                <w:sz w:val="16"/>
                <w:szCs w:val="16"/>
                <w:color w:val="0075A8"/>
              </w:rPr>
              <w:t>(7)</w:t>
            </w:r>
          </w:p>
        </w:tc>
        <w:tc>
          <w:tcPr>
            <w:tcW w:w="580" w:type="dxa"/>
            <w:vAlign w:val="bottom"/>
            <w:tcBorders>
              <w:top w:val="single" w:sz="8" w:color="BFBFBF"/>
            </w:tcBorders>
            <w:shd w:val="clear" w:color="auto" w:fill="E5E5E5"/>
          </w:tcPr>
          <w:p>
            <w:pPr>
              <w:ind w:left="240"/>
              <w:spacing w:after="0" w:line="178"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top w:val="single" w:sz="8" w:color="BFBFBF"/>
            </w:tcBorders>
            <w:shd w:val="clear" w:color="auto" w:fill="E5E5E5"/>
          </w:tcPr>
          <w:p>
            <w:pPr>
              <w:ind w:left="220"/>
              <w:spacing w:after="0" w:line="178"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BFBFBF"/>
            </w:tcBorders>
            <w:shd w:val="clear" w:color="auto" w:fill="E5E5E5"/>
          </w:tcPr>
          <w:p>
            <w:pPr>
              <w:jc w:val="right"/>
              <w:ind w:right="139"/>
              <w:spacing w:after="0" w:line="178"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BFBFBF"/>
            </w:tcBorders>
            <w:shd w:val="clear" w:color="auto" w:fill="E5E5E5"/>
          </w:tcPr>
          <w:p>
            <w:pPr>
              <w:ind w:left="220"/>
              <w:spacing w:after="0" w:line="178"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c>
          <w:tcPr>
            <w:tcW w:w="80" w:type="dxa"/>
            <w:vAlign w:val="bottom"/>
            <w:tcBorders>
              <w:right w:val="single" w:sz="8" w:color="E5E5E5"/>
            </w:tcBorders>
            <w:shd w:val="clear" w:color="auto" w:fill="E5E5E5"/>
          </w:tcPr>
          <w:p>
            <w:pPr>
              <w:spacing w:after="0"/>
              <w:rPr>
                <w:sz w:val="18"/>
                <w:szCs w:val="18"/>
                <w:color w:val="auto"/>
              </w:rPr>
            </w:pPr>
          </w:p>
        </w:tc>
        <w:tc>
          <w:tcPr>
            <w:tcW w:w="1620" w:type="dxa"/>
            <w:vAlign w:val="bottom"/>
            <w:shd w:val="clear" w:color="auto" w:fill="E5E5E5"/>
          </w:tcPr>
          <w:p>
            <w:pPr>
              <w:spacing w:after="0"/>
              <w:rPr>
                <w:sz w:val="20"/>
                <w:szCs w:val="20"/>
                <w:color w:val="auto"/>
              </w:rPr>
            </w:pPr>
            <w:r>
              <w:rPr>
                <w:rFonts w:ascii="Arial" w:cs="Arial" w:eastAsia="Arial" w:hAnsi="Arial"/>
                <w:sz w:val="16"/>
                <w:szCs w:val="16"/>
                <w:color w:val="auto"/>
              </w:rPr>
              <w:t>Incentive</w:t>
            </w:r>
          </w:p>
        </w:tc>
        <w:tc>
          <w:tcPr>
            <w:tcW w:w="4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6"/>
                <w:szCs w:val="16"/>
                <w:color w:val="auto"/>
              </w:rPr>
              <w:t>​​</w:t>
            </w:r>
          </w:p>
        </w:tc>
        <w:tc>
          <w:tcPr>
            <w:tcW w:w="1700" w:type="dxa"/>
            <w:vAlign w:val="bottom"/>
            <w:gridSpan w:val="2"/>
          </w:tcPr>
          <w:p>
            <w:pPr>
              <w:spacing w:after="0"/>
              <w:rPr>
                <w:sz w:val="20"/>
                <w:szCs w:val="20"/>
                <w:color w:val="auto"/>
              </w:rPr>
            </w:pPr>
            <w:r>
              <w:rPr>
                <w:rFonts w:ascii="Arial" w:cs="Arial" w:eastAsia="Arial" w:hAnsi="Arial"/>
                <w:sz w:val="16"/>
                <w:szCs w:val="16"/>
                <w:color w:val="auto"/>
              </w:rPr>
              <w:t>​​Accelerated RSUs</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1,789,476​</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1,789,476​</w:t>
            </w:r>
          </w:p>
        </w:tc>
        <w:tc>
          <w:tcPr>
            <w:tcW w:w="2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540" w:type="dxa"/>
            <w:vAlign w:val="bottom"/>
            <w:gridSpan w:val="2"/>
          </w:tcPr>
          <w:p>
            <w:pPr>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​​Accelerated PSAs</w:t>
            </w:r>
            <w:r>
              <w:rPr>
                <w:rFonts w:ascii="Arial" w:cs="Arial" w:eastAsia="Arial" w:hAnsi="Arial"/>
                <w:sz w:val="16"/>
                <w:szCs w:val="16"/>
                <w:color w:val="0075A8"/>
              </w:rPr>
              <w:t>(5)</w:t>
            </w:r>
          </w:p>
        </w:tc>
        <w:tc>
          <w:tcPr>
            <w:tcW w:w="420" w:type="dxa"/>
            <w:vAlign w:val="bottom"/>
            <w:shd w:val="clear" w:color="auto" w:fill="E5E5E5"/>
          </w:tcPr>
          <w:p>
            <w:pPr>
              <w:ind w:lef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319"/>
              <w:spacing w:after="0"/>
              <w:rPr>
                <w:sz w:val="20"/>
                <w:szCs w:val="20"/>
                <w:color w:val="auto"/>
              </w:rPr>
            </w:pPr>
            <w:r>
              <w:rPr>
                <w:rFonts w:ascii="Arial" w:cs="Arial" w:eastAsia="Arial" w:hAnsi="Arial"/>
                <w:sz w:val="16"/>
                <w:szCs w:val="16"/>
                <w:color w:val="auto"/>
              </w:rPr>
              <w:t>—​</w:t>
            </w:r>
          </w:p>
        </w:tc>
        <w:tc>
          <w:tcPr>
            <w:tcW w:w="58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319"/>
              <w:spacing w:after="0"/>
              <w:rPr>
                <w:sz w:val="20"/>
                <w:szCs w:val="20"/>
                <w:color w:val="auto"/>
              </w:rPr>
            </w:pPr>
            <w:r>
              <w:rPr>
                <w:rFonts w:ascii="Arial" w:cs="Arial" w:eastAsia="Arial" w:hAnsi="Arial"/>
                <w:sz w:val="16"/>
                <w:szCs w:val="16"/>
                <w:color w:val="auto"/>
              </w:rPr>
              <w:t>3,002,953​</w:t>
            </w:r>
          </w:p>
        </w:tc>
        <w:tc>
          <w:tcPr>
            <w:tcW w:w="580" w:type="dxa"/>
            <w:vAlign w:val="bottom"/>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3,002,953​</w:t>
            </w:r>
          </w:p>
        </w:tc>
        <w:tc>
          <w:tcPr>
            <w:tcW w:w="260" w:type="dxa"/>
            <w:vAlign w:val="bottom"/>
            <w:shd w:val="clear" w:color="auto" w:fill="E5E5E5"/>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20"/>
                <w:szCs w:val="20"/>
                <w:color w:val="auto"/>
              </w:rPr>
            </w:pPr>
            <w:r>
              <w:rPr>
                <w:rFonts w:ascii="Arial" w:cs="Arial" w:eastAsia="Arial" w:hAnsi="Arial"/>
                <w:sz w:val="16"/>
                <w:szCs w:val="16"/>
                <w:color w:val="auto"/>
              </w:rPr>
              <w:t>Medical</w:t>
            </w:r>
          </w:p>
        </w:tc>
        <w:tc>
          <w:tcPr>
            <w:tcW w:w="420" w:type="dxa"/>
            <w:vAlign w:val="bottom"/>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26,441​</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39,662​</w:t>
            </w:r>
          </w:p>
        </w:tc>
        <w:tc>
          <w:tcPr>
            <w:tcW w:w="580" w:type="dxa"/>
            <w:vAlign w:val="bottom"/>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4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BFBFBF"/>
            </w:tcBorders>
          </w:tcPr>
          <w:p>
            <w:pPr>
              <w:spacing w:after="0"/>
              <w:rPr>
                <w:sz w:val="2"/>
                <w:szCs w:val="2"/>
                <w:color w:val="auto"/>
              </w:rPr>
            </w:pPr>
          </w:p>
        </w:tc>
        <w:tc>
          <w:tcPr>
            <w:tcW w:w="1620" w:type="dxa"/>
            <w:vAlign w:val="bottom"/>
            <w:shd w:val="clear" w:color="auto" w:fill="BFBFBF"/>
          </w:tcPr>
          <w:p>
            <w:pPr>
              <w:spacing w:after="0"/>
              <w:rPr>
                <w:sz w:val="2"/>
                <w:szCs w:val="2"/>
                <w:color w:val="auto"/>
              </w:rPr>
            </w:pPr>
          </w:p>
        </w:tc>
        <w:tc>
          <w:tcPr>
            <w:tcW w:w="420" w:type="dxa"/>
            <w:vAlign w:val="bottom"/>
            <w:shd w:val="clear" w:color="auto" w:fill="BFBFBF"/>
          </w:tcPr>
          <w:p>
            <w:pPr>
              <w:spacing w:after="0"/>
              <w:rPr>
                <w:sz w:val="2"/>
                <w:szCs w:val="2"/>
                <w:color w:val="auto"/>
              </w:rPr>
            </w:pPr>
          </w:p>
        </w:tc>
        <w:tc>
          <w:tcPr>
            <w:tcW w:w="300" w:type="dxa"/>
            <w:vAlign w:val="bottom"/>
            <w:shd w:val="clear" w:color="auto" w:fill="BFBFBF"/>
          </w:tcPr>
          <w:p>
            <w:pPr>
              <w:spacing w:after="0"/>
              <w:rPr>
                <w:sz w:val="2"/>
                <w:szCs w:val="2"/>
                <w:color w:val="auto"/>
              </w:rPr>
            </w:pPr>
          </w:p>
        </w:tc>
        <w:tc>
          <w:tcPr>
            <w:tcW w:w="1200" w:type="dxa"/>
            <w:vAlign w:val="bottom"/>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300" w:type="dxa"/>
            <w:vAlign w:val="bottom"/>
            <w:shd w:val="clear" w:color="auto" w:fill="BFBFBF"/>
          </w:tcPr>
          <w:p>
            <w:pPr>
              <w:spacing w:after="0"/>
              <w:rPr>
                <w:sz w:val="2"/>
                <w:szCs w:val="2"/>
                <w:color w:val="auto"/>
              </w:rPr>
            </w:pPr>
          </w:p>
        </w:tc>
        <w:tc>
          <w:tcPr>
            <w:tcW w:w="1200" w:type="dxa"/>
            <w:vAlign w:val="bottom"/>
            <w:shd w:val="clear" w:color="auto" w:fill="BFBFBF"/>
          </w:tcPr>
          <w:p>
            <w:pPr>
              <w:spacing w:after="0"/>
              <w:rPr>
                <w:sz w:val="2"/>
                <w:szCs w:val="2"/>
                <w:color w:val="auto"/>
              </w:rPr>
            </w:pPr>
          </w:p>
        </w:tc>
        <w:tc>
          <w:tcPr>
            <w:tcW w:w="580" w:type="dxa"/>
            <w:vAlign w:val="bottom"/>
            <w:shd w:val="clear" w:color="auto" w:fill="BFBFBF"/>
          </w:tcPr>
          <w:p>
            <w:pPr>
              <w:spacing w:after="0"/>
              <w:rPr>
                <w:sz w:val="2"/>
                <w:szCs w:val="2"/>
                <w:color w:val="auto"/>
              </w:rPr>
            </w:pPr>
          </w:p>
        </w:tc>
        <w:tc>
          <w:tcPr>
            <w:tcW w:w="300" w:type="dxa"/>
            <w:vAlign w:val="bottom"/>
            <w:shd w:val="clear" w:color="auto" w:fill="BFBFBF"/>
          </w:tcPr>
          <w:p>
            <w:pPr>
              <w:spacing w:after="0"/>
              <w:rPr>
                <w:sz w:val="2"/>
                <w:szCs w:val="2"/>
                <w:color w:val="auto"/>
              </w:rPr>
            </w:pPr>
          </w:p>
        </w:tc>
        <w:tc>
          <w:tcPr>
            <w:tcW w:w="1020" w:type="dxa"/>
            <w:vAlign w:val="bottom"/>
            <w:shd w:val="clear" w:color="auto" w:fill="BFBFBF"/>
          </w:tcPr>
          <w:p>
            <w:pPr>
              <w:spacing w:after="0"/>
              <w:rPr>
                <w:sz w:val="2"/>
                <w:szCs w:val="2"/>
                <w:color w:val="auto"/>
              </w:rPr>
            </w:pPr>
          </w:p>
        </w:tc>
        <w:tc>
          <w:tcPr>
            <w:tcW w:w="260" w:type="dxa"/>
            <w:vAlign w:val="bottom"/>
            <w:shd w:val="clear" w:color="auto" w:fill="BFBFB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540" w:type="dxa"/>
            <w:vAlign w:val="bottom"/>
            <w:tcBorders>
              <w:bottom w:val="single" w:sz="8" w:color="BFBFBF"/>
            </w:tcBorders>
            <w:gridSpan w:val="2"/>
            <w:vMerge w:val="continue"/>
          </w:tcPr>
          <w:p>
            <w:pPr>
              <w:spacing w:after="0"/>
              <w:rPr>
                <w:sz w:val="19"/>
                <w:szCs w:val="19"/>
                <w:color w:val="auto"/>
              </w:rPr>
            </w:pPr>
          </w:p>
        </w:tc>
        <w:tc>
          <w:tcPr>
            <w:tcW w:w="80" w:type="dxa"/>
            <w:vAlign w:val="bottom"/>
            <w:tcBorders>
              <w:bottom w:val="single" w:sz="8" w:color="BFBFBF"/>
            </w:tcBorders>
          </w:tcPr>
          <w:p>
            <w:pPr>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BFBFBF"/>
            </w:tcBorders>
            <w:shd w:val="clear" w:color="auto" w:fill="E5E5E5"/>
          </w:tcPr>
          <w:p>
            <w:pPr>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BFBFBF"/>
            </w:tcBorders>
            <w:shd w:val="clear" w:color="auto" w:fill="E5E5E5"/>
          </w:tcPr>
          <w:p>
            <w:pPr>
              <w:ind w:left="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shd w:val="clear" w:color="auto" w:fill="E5E5E5"/>
          </w:tcPr>
          <w:p>
            <w:pPr>
              <w:jc w:val="right"/>
              <w:ind w:right="319"/>
              <w:spacing w:after="0"/>
              <w:rPr>
                <w:sz w:val="20"/>
                <w:szCs w:val="20"/>
                <w:color w:val="auto"/>
              </w:rPr>
            </w:pPr>
            <w:r>
              <w:rPr>
                <w:rFonts w:ascii="Arial" w:cs="Arial" w:eastAsia="Arial" w:hAnsi="Arial"/>
                <w:sz w:val="16"/>
                <w:szCs w:val="16"/>
                <w:color w:val="auto"/>
              </w:rPr>
              <w:t>548,441​</w:t>
            </w:r>
          </w:p>
        </w:tc>
        <w:tc>
          <w:tcPr>
            <w:tcW w:w="58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FBF"/>
            </w:tcBorders>
            <w:shd w:val="clear" w:color="auto" w:fill="E5E5E5"/>
          </w:tcPr>
          <w:p>
            <w:pPr>
              <w:jc w:val="right"/>
              <w:ind w:right="319"/>
              <w:spacing w:after="0"/>
              <w:rPr>
                <w:sz w:val="20"/>
                <w:szCs w:val="20"/>
                <w:color w:val="auto"/>
              </w:rPr>
            </w:pPr>
            <w:r>
              <w:rPr>
                <w:rFonts w:ascii="Arial" w:cs="Arial" w:eastAsia="Arial" w:hAnsi="Arial"/>
                <w:sz w:val="16"/>
                <w:szCs w:val="16"/>
                <w:color w:val="auto"/>
              </w:rPr>
              <w:t>6,305,347​</w:t>
            </w:r>
          </w:p>
        </w:tc>
        <w:tc>
          <w:tcPr>
            <w:tcW w:w="580" w:type="dxa"/>
            <w:vAlign w:val="bottom"/>
            <w:tcBorders>
              <w:bottom w:val="single" w:sz="8" w:color="BFBFBF"/>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300" w:type="dxa"/>
            <w:vAlign w:val="bottom"/>
            <w:tcBorders>
              <w:bottom w:val="single" w:sz="8" w:color="BFBFBF"/>
            </w:tcBorders>
            <w:shd w:val="clear" w:color="auto" w:fill="E5E5E5"/>
          </w:tcPr>
          <w:p>
            <w:pPr>
              <w:ind w:lef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BFBF"/>
            </w:tcBorders>
            <w:shd w:val="clear" w:color="auto" w:fill="E5E5E5"/>
          </w:tcPr>
          <w:p>
            <w:pPr>
              <w:jc w:val="right"/>
              <w:ind w:right="139"/>
              <w:spacing w:after="0"/>
              <w:rPr>
                <w:sz w:val="20"/>
                <w:szCs w:val="20"/>
                <w:color w:val="auto"/>
              </w:rPr>
            </w:pPr>
            <w:r>
              <w:rPr>
                <w:rFonts w:ascii="Arial" w:cs="Arial" w:eastAsia="Arial" w:hAnsi="Arial"/>
                <w:sz w:val="16"/>
                <w:szCs w:val="16"/>
                <w:color w:val="auto"/>
              </w:rPr>
              <w:t>4,792,429​</w:t>
            </w:r>
          </w:p>
        </w:tc>
        <w:tc>
          <w:tcPr>
            <w:tcW w:w="260" w:type="dxa"/>
            <w:vAlign w:val="bottom"/>
            <w:tcBorders>
              <w:bottom w:val="single" w:sz="8" w:color="BFBFBF"/>
            </w:tcBorders>
            <w:shd w:val="clear" w:color="auto" w:fill="E5E5E5"/>
          </w:tcPr>
          <w:p>
            <w:pPr>
              <w:ind w:left="2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-856615</wp:posOffset>
            </wp:positionV>
            <wp:extent cx="5974715" cy="8483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74715" cy="84836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-2553970</wp:posOffset>
            </wp:positionV>
            <wp:extent cx="5974715" cy="8483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74715" cy="848360"/>
                    </a:xfrm>
                    <a:prstGeom prst="rect">
                      <a:avLst/>
                    </a:prstGeom>
                    <a:noFill/>
                  </pic:spPr>
                </pic:pic>
              </a:graphicData>
            </a:graphic>
          </wp:anchor>
        </w:drawing>
      </w:r>
    </w:p>
    <w:p>
      <w:pPr>
        <w:spacing w:after="0" w:line="114" w:lineRule="exact"/>
        <w:rPr>
          <w:sz w:val="20"/>
          <w:szCs w:val="20"/>
          <w:color w:val="auto"/>
        </w:rPr>
      </w:pPr>
    </w:p>
    <w:p>
      <w:pPr>
        <w:ind w:left="1080" w:hanging="354"/>
        <w:spacing w:after="0"/>
        <w:tabs>
          <w:tab w:leader="none" w:pos="1080"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For Mr. Griffin, includes amounts payable pursuant to a termination for good reason outside of a change in control.</w:t>
      </w:r>
    </w:p>
    <w:p>
      <w:pPr>
        <w:spacing w:after="0" w:line="32" w:lineRule="exact"/>
        <w:rPr>
          <w:rFonts w:ascii="Arial" w:cs="Arial" w:eastAsia="Arial" w:hAnsi="Arial"/>
          <w:sz w:val="16"/>
          <w:szCs w:val="16"/>
          <w:i w:val="1"/>
          <w:iCs w:val="1"/>
          <w:color w:val="auto"/>
        </w:rPr>
      </w:pPr>
    </w:p>
    <w:p>
      <w:pPr>
        <w:ind w:left="1080" w:hanging="354"/>
        <w:spacing w:after="0"/>
        <w:tabs>
          <w:tab w:leader="none" w:pos="1080"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Excludes the value of accrued vacation/paid time off required by law to be paid upon termination.</w:t>
      </w:r>
    </w:p>
    <w:p>
      <w:pPr>
        <w:spacing w:after="0" w:line="32" w:lineRule="exact"/>
        <w:rPr>
          <w:rFonts w:ascii="Arial" w:cs="Arial" w:eastAsia="Arial" w:hAnsi="Arial"/>
          <w:sz w:val="16"/>
          <w:szCs w:val="16"/>
          <w:i w:val="1"/>
          <w:iCs w:val="1"/>
          <w:color w:val="auto"/>
        </w:rPr>
      </w:pPr>
    </w:p>
    <w:p>
      <w:pPr>
        <w:ind w:left="1080" w:hanging="354"/>
        <w:spacing w:after="0"/>
        <w:tabs>
          <w:tab w:leader="none" w:pos="1080"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two (2) times the sum of  (A) Mr. Griffin’s annual base salary as of September 30, 2022, and</w:t>
      </w:r>
    </w:p>
    <w:p>
      <w:pPr>
        <w:spacing w:after="0" w:line="21" w:lineRule="exact"/>
        <w:rPr>
          <w:rFonts w:ascii="Arial" w:cs="Arial" w:eastAsia="Arial" w:hAnsi="Arial"/>
          <w:sz w:val="16"/>
          <w:szCs w:val="16"/>
          <w:i w:val="1"/>
          <w:iCs w:val="1"/>
          <w:color w:val="auto"/>
        </w:rPr>
      </w:pPr>
    </w:p>
    <w:p>
      <w:pPr>
        <w:ind w:left="108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(B) an Incentive Plan payment, which is equal to the three (3) year average of the actual incentive payments made to</w:t>
      </w:r>
    </w:p>
    <w:p>
      <w:pPr>
        <w:spacing w:after="0" w:line="5" w:lineRule="exact"/>
        <w:rPr>
          <w:sz w:val="20"/>
          <w:szCs w:val="20"/>
          <w:color w:val="auto"/>
        </w:rPr>
      </w:pPr>
    </w:p>
    <w:p>
      <w:pPr>
        <w:ind w:left="1080" w:right="340"/>
        <w:spacing w:after="0" w:line="250" w:lineRule="auto"/>
        <w:rPr>
          <w:sz w:val="20"/>
          <w:szCs w:val="20"/>
          <w:color w:val="auto"/>
        </w:rPr>
      </w:pPr>
      <w:r>
        <w:rPr>
          <w:rFonts w:ascii="Arial" w:cs="Arial" w:eastAsia="Arial" w:hAnsi="Arial"/>
          <w:sz w:val="16"/>
          <w:szCs w:val="16"/>
          <w:i w:val="1"/>
          <w:iCs w:val="1"/>
          <w:color w:val="auto"/>
        </w:rPr>
        <w:t>Mr. Griffin for fiscal years 2019, 2020, and 2021, since such average is greater than the “target” short-term cash incentive award for fiscal year 2022.</w:t>
      </w:r>
    </w:p>
    <w:p>
      <w:pPr>
        <w:ind w:left="1080" w:right="40" w:hanging="354"/>
        <w:spacing w:after="0" w:line="237" w:lineRule="auto"/>
        <w:tabs>
          <w:tab w:leader="none" w:pos="1080" w:val="left"/>
        </w:tabs>
        <w:numPr>
          <w:ilvl w:val="0"/>
          <w:numId w:val="74"/>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two and one-half  (2</w:t>
      </w:r>
      <w:r>
        <w:rPr>
          <w:rFonts w:ascii="Arial" w:cs="Arial" w:eastAsia="Arial" w:hAnsi="Arial"/>
          <w:sz w:val="22"/>
          <w:szCs w:val="22"/>
          <w:i w:val="1"/>
          <w:iCs w:val="1"/>
          <w:color w:val="auto"/>
          <w:vertAlign w:val="superscript"/>
        </w:rPr>
        <w:t>1</w:t>
      </w:r>
      <w:r>
        <w:rPr>
          <w:rFonts w:ascii="Arial" w:cs="Arial" w:eastAsia="Arial" w:hAnsi="Arial"/>
          <w:sz w:val="16"/>
          <w:szCs w:val="16"/>
          <w:i w:val="1"/>
          <w:iCs w:val="1"/>
          <w:color w:val="auto"/>
        </w:rPr>
        <w:t>∕</w:t>
      </w:r>
      <w:r>
        <w:rPr>
          <w:rFonts w:ascii="Arial" w:cs="Arial" w:eastAsia="Arial" w:hAnsi="Arial"/>
          <w:sz w:val="11"/>
          <w:szCs w:val="11"/>
          <w:i w:val="1"/>
          <w:iCs w:val="1"/>
          <w:color w:val="auto"/>
        </w:rPr>
        <w:t>2</w:t>
      </w:r>
      <w:r>
        <w:rPr>
          <w:rFonts w:ascii="Arial" w:cs="Arial" w:eastAsia="Arial" w:hAnsi="Arial"/>
          <w:sz w:val="16"/>
          <w:szCs w:val="16"/>
          <w:i w:val="1"/>
          <w:iCs w:val="1"/>
          <w:color w:val="auto"/>
        </w:rPr>
        <w:t>) times the sum of  (A) Mr. Griffin’s annual base salary as of September 30, 2022, and (B) an Incentive Plan payment, which is equal to the three (3) year average of the actual incentive payments made to Mr. Griffin for fiscal years 2019, 2020, and 2021, since such average is greater than the “target” short-term cash incentive award for fiscal year 2022.</w:t>
      </w:r>
    </w:p>
    <w:p>
      <w:pPr>
        <w:spacing w:after="0" w:line="338"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80" w:right="60" w:hanging="354"/>
        <w:spacing w:after="0" w:line="250" w:lineRule="auto"/>
        <w:tabs>
          <w:tab w:leader="none" w:pos="1080" w:val="left"/>
        </w:tabs>
        <w:numPr>
          <w:ilvl w:val="0"/>
          <w:numId w:val="7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value of PSAs that were unvested and outstanding as of September 30, 2022, in accordance with Item 402(j) of Regulation S-K, using the following assumptions: (a) achievement at the “target” level of performance for the FY20 PSAs (3-year TSR percentile ranking metric) scheduled to vest on November 5, 2022, based on the Company’s actual TSR relative to the applicable peer group for fiscal years 2020-2022 tracking below the “target” level of performance; (b) achievement at 200% of the “target” level of performance for the FY21 PSAs (emerging revenue growth and design wins metrics) scheduled to vest on November 11, 2022, based on the Company’s actual achievement at the “maximum” level of performance with respect to both metrics measured over a one-year performance period consisting of the Company’s fiscal year 2021;</w:t>
      </w:r>
    </w:p>
    <w:p>
      <w:pPr>
        <w:spacing w:after="0" w:line="3" w:lineRule="exact"/>
        <w:rPr>
          <w:rFonts w:ascii="Arial" w:cs="Arial" w:eastAsia="Arial" w:hAnsi="Arial"/>
          <w:sz w:val="16"/>
          <w:szCs w:val="16"/>
          <w:i w:val="1"/>
          <w:iCs w:val="1"/>
          <w:color w:val="auto"/>
        </w:rPr>
      </w:pPr>
    </w:p>
    <w:p>
      <w:pPr>
        <w:ind w:left="1080" w:right="100" w:firstLine="6"/>
        <w:spacing w:after="0" w:line="249" w:lineRule="auto"/>
        <w:tabs>
          <w:tab w:leader="none" w:pos="1314" w:val="left"/>
        </w:tabs>
        <w:numPr>
          <w:ilvl w:val="1"/>
          <w:numId w:val="75"/>
        </w:numPr>
        <w:rPr>
          <w:rFonts w:ascii="Arial" w:cs="Arial" w:eastAsia="Arial" w:hAnsi="Arial"/>
          <w:sz w:val="16"/>
          <w:szCs w:val="16"/>
          <w:i w:val="1"/>
          <w:iCs w:val="1"/>
          <w:color w:val="auto"/>
        </w:rPr>
      </w:pPr>
      <w:r>
        <w:rPr>
          <w:rFonts w:ascii="Arial" w:cs="Arial" w:eastAsia="Arial" w:hAnsi="Arial"/>
          <w:sz w:val="16"/>
          <w:szCs w:val="16"/>
          <w:i w:val="1"/>
          <w:iCs w:val="1"/>
          <w:color w:val="auto"/>
        </w:rPr>
        <w:t>achievement at the “target” level of performance for the FY21 PSAs (3-year TSR percentile ranking metric) scheduled to vest on November 11, 2023, based on the Company’s TSR relative to the applicable peer group for fiscal years 2021 and 2022 tracking below the “target” level of performance; (d) achievement at 200% of the “target” level of performance for the FY22 PSAs emerging revenue growth metric scheduled to vest on November 10, 2023, based on the Company’s actual achievement at the “maximum” level of performance with respect to the performance metric measured over a one-year performance period consisting of the Company’s fiscal year 2022; (e) achievement at 133% of the “target” level of performance for the FY22 PSAs EBITDA margin percentile ranking metric scheduled to vest on November 10, 2023, based on the Company’s tracking of achievement between the “target” and “maximum” levels of performance with respect to the metric measured over a two-year performance period consisting of the Company’s fiscal year 2022 and fiscal year 2023; and</w:t>
      </w:r>
    </w:p>
    <w:p>
      <w:pPr>
        <w:spacing w:after="0" w:line="4" w:lineRule="exact"/>
        <w:rPr>
          <w:rFonts w:ascii="Arial" w:cs="Arial" w:eastAsia="Arial" w:hAnsi="Arial"/>
          <w:sz w:val="16"/>
          <w:szCs w:val="16"/>
          <w:i w:val="1"/>
          <w:iCs w:val="1"/>
          <w:color w:val="auto"/>
        </w:rPr>
      </w:pPr>
    </w:p>
    <w:p>
      <w:pPr>
        <w:ind w:left="1080" w:right="120" w:firstLine="6"/>
        <w:spacing w:after="0" w:line="248" w:lineRule="auto"/>
        <w:tabs>
          <w:tab w:leader="none" w:pos="1278" w:val="left"/>
        </w:tabs>
        <w:numPr>
          <w:ilvl w:val="1"/>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achievement at the “target” level of performance for the FY22 PSAs (3-year TSR percentile ranking metric) scheduled to vest on November 10, 2024, based on the Company’s TSR relative to the applicable peer group for fiscal year 2022 tracking below the “target” level of performance.</w:t>
      </w:r>
    </w:p>
    <w:p>
      <w:pPr>
        <w:spacing w:after="0" w:line="2" w:lineRule="exact"/>
        <w:rPr>
          <w:rFonts w:ascii="Arial" w:cs="Arial" w:eastAsia="Arial" w:hAnsi="Arial"/>
          <w:sz w:val="16"/>
          <w:szCs w:val="16"/>
          <w:i w:val="1"/>
          <w:iCs w:val="1"/>
          <w:color w:val="auto"/>
        </w:rPr>
      </w:pPr>
    </w:p>
    <w:p>
      <w:pPr>
        <w:ind w:left="1080" w:hanging="354"/>
        <w:spacing w:after="0"/>
        <w:tabs>
          <w:tab w:leader="none" w:pos="1080" w:val="left"/>
        </w:tabs>
        <w:numPr>
          <w:ilvl w:val="0"/>
          <w:numId w:val="7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the Named Executive Officer’s annual base salary as of September 30, 2022.</w:t>
      </w:r>
    </w:p>
    <w:p>
      <w:pPr>
        <w:spacing w:after="0" w:line="23" w:lineRule="exact"/>
        <w:rPr>
          <w:rFonts w:ascii="Arial" w:cs="Arial" w:eastAsia="Arial" w:hAnsi="Arial"/>
          <w:sz w:val="16"/>
          <w:szCs w:val="16"/>
          <w:i w:val="1"/>
          <w:iCs w:val="1"/>
          <w:color w:val="auto"/>
        </w:rPr>
      </w:pPr>
    </w:p>
    <w:p>
      <w:pPr>
        <w:ind w:left="1080" w:right="60" w:hanging="354"/>
        <w:spacing w:after="0" w:line="235" w:lineRule="auto"/>
        <w:tabs>
          <w:tab w:leader="none" w:pos="1080" w:val="left"/>
        </w:tabs>
        <w:numPr>
          <w:ilvl w:val="0"/>
          <w:numId w:val="7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one and one-half  (1</w:t>
      </w:r>
      <w:r>
        <w:rPr>
          <w:rFonts w:ascii="Arial" w:cs="Arial" w:eastAsia="Arial" w:hAnsi="Arial"/>
          <w:sz w:val="22"/>
          <w:szCs w:val="22"/>
          <w:i w:val="1"/>
          <w:iCs w:val="1"/>
          <w:color w:val="auto"/>
          <w:vertAlign w:val="superscript"/>
        </w:rPr>
        <w:t>1</w:t>
      </w:r>
      <w:r>
        <w:rPr>
          <w:rFonts w:ascii="Arial" w:cs="Arial" w:eastAsia="Arial" w:hAnsi="Arial"/>
          <w:sz w:val="16"/>
          <w:szCs w:val="16"/>
          <w:i w:val="1"/>
          <w:iCs w:val="1"/>
          <w:color w:val="auto"/>
        </w:rPr>
        <w:t>∕</w:t>
      </w:r>
      <w:r>
        <w:rPr>
          <w:rFonts w:ascii="Arial" w:cs="Arial" w:eastAsia="Arial" w:hAnsi="Arial"/>
          <w:sz w:val="11"/>
          <w:szCs w:val="11"/>
          <w:i w:val="1"/>
          <w:iCs w:val="1"/>
          <w:color w:val="auto"/>
        </w:rPr>
        <w:t>2</w:t>
      </w:r>
      <w:r>
        <w:rPr>
          <w:rFonts w:ascii="Arial" w:cs="Arial" w:eastAsia="Arial" w:hAnsi="Arial"/>
          <w:sz w:val="16"/>
          <w:szCs w:val="16"/>
          <w:i w:val="1"/>
          <w:iCs w:val="1"/>
          <w:color w:val="auto"/>
        </w:rPr>
        <w:t>) times the sum of  (A) the Named Executive Officer’s annual base salary as of September 30, 2022, and (B) an Incentive Plan payment, which is equal to the three (3) year average of the actual incentive payments made to the Named Executive Officer for fiscal years 2019, 2020, and 2021, since such average is greater than the Named Executive Officer’s “target” short-term cash incentive award for fiscal year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CEO Pay Ratio</w:t>
      </w:r>
    </w:p>
    <w:p>
      <w:pPr>
        <w:spacing w:after="0" w:line="161" w:lineRule="exact"/>
        <w:rPr>
          <w:sz w:val="20"/>
          <w:szCs w:val="20"/>
          <w:color w:val="auto"/>
        </w:rPr>
      </w:pPr>
    </w:p>
    <w:p>
      <w:pPr>
        <w:ind w:left="660" w:right="160"/>
        <w:spacing w:after="0" w:line="272" w:lineRule="auto"/>
        <w:rPr>
          <w:sz w:val="20"/>
          <w:szCs w:val="20"/>
          <w:color w:val="auto"/>
        </w:rPr>
      </w:pPr>
      <w:r>
        <w:rPr>
          <w:rFonts w:ascii="Arial" w:cs="Arial" w:eastAsia="Arial" w:hAnsi="Arial"/>
          <w:sz w:val="19"/>
          <w:szCs w:val="19"/>
          <w:color w:val="auto"/>
        </w:rPr>
        <w:t>Following is an estimate, prepared under applicable SEC rules, of the ratio of the annual total compensation of our Chief Executive Officer to the median of the annual total compensation of our other employees. For fiscal year 2022:</w:t>
      </w:r>
    </w:p>
    <w:p>
      <w:pPr>
        <w:spacing w:after="0" w:line="193" w:lineRule="exact"/>
        <w:rPr>
          <w:sz w:val="20"/>
          <w:szCs w:val="20"/>
          <w:color w:val="auto"/>
        </w:rPr>
      </w:pPr>
    </w:p>
    <w:p>
      <w:pPr>
        <w:ind w:left="840" w:right="520" w:hanging="186"/>
        <w:spacing w:after="0" w:line="260" w:lineRule="auto"/>
        <w:tabs>
          <w:tab w:leader="none" w:pos="8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annual total compensation of our Chief Executive Officer was $16,667,162.</w:t>
      </w:r>
    </w:p>
    <w:p>
      <w:pPr>
        <w:spacing w:after="0" w:line="1" w:lineRule="exact"/>
        <w:rPr>
          <w:rFonts w:ascii="Arial" w:cs="Arial" w:eastAsia="Arial" w:hAnsi="Arial"/>
          <w:sz w:val="20"/>
          <w:szCs w:val="20"/>
          <w:color w:val="auto"/>
        </w:rPr>
      </w:pPr>
    </w:p>
    <w:p>
      <w:pPr>
        <w:ind w:left="840" w:right="340" w:hanging="186"/>
        <w:spacing w:after="0" w:line="274" w:lineRule="auto"/>
        <w:tabs>
          <w:tab w:leader="none" w:pos="8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annual total compensation of our median compensated employee was $30,180.</w:t>
      </w:r>
    </w:p>
    <w:p>
      <w:pPr>
        <w:ind w:left="840" w:right="360" w:hanging="186"/>
        <w:spacing w:after="0" w:line="267" w:lineRule="auto"/>
        <w:tabs>
          <w:tab w:leader="none" w:pos="8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Based on the foregoing, we estimate that our Chief Executive Officer’s total annual</w:t>
      </w:r>
    </w:p>
    <w:p>
      <w:pPr>
        <w:spacing w:after="0" w:line="1" w:lineRule="exact"/>
        <w:rPr>
          <w:rFonts w:ascii="Arial" w:cs="Arial" w:eastAsia="Arial" w:hAnsi="Arial"/>
          <w:sz w:val="20"/>
          <w:szCs w:val="20"/>
          <w:color w:val="auto"/>
        </w:rPr>
      </w:pPr>
    </w:p>
    <w:p>
      <w:pPr>
        <w:ind w:left="840" w:right="80"/>
        <w:spacing w:after="0" w:line="261" w:lineRule="auto"/>
        <w:rPr>
          <w:rFonts w:ascii="Arial" w:cs="Arial" w:eastAsia="Arial" w:hAnsi="Arial"/>
          <w:sz w:val="20"/>
          <w:szCs w:val="20"/>
          <w:color w:val="auto"/>
        </w:rPr>
      </w:pPr>
      <w:r>
        <w:rPr>
          <w:rFonts w:ascii="Arial" w:cs="Arial" w:eastAsia="Arial" w:hAnsi="Arial"/>
          <w:sz w:val="20"/>
          <w:szCs w:val="20"/>
          <w:color w:val="auto"/>
        </w:rPr>
        <w:t>compensation was approximately 552 times that of our median employee.</w:t>
      </w:r>
    </w:p>
    <w:p>
      <w:pPr>
        <w:spacing w:after="0" w:line="215" w:lineRule="exact"/>
        <w:rPr>
          <w:sz w:val="20"/>
          <w:szCs w:val="20"/>
          <w:color w:val="auto"/>
        </w:rPr>
      </w:pPr>
    </w:p>
    <w:p>
      <w:pPr>
        <w:ind w:left="660" w:right="160"/>
        <w:spacing w:after="0" w:line="277" w:lineRule="auto"/>
        <w:rPr>
          <w:sz w:val="20"/>
          <w:szCs w:val="20"/>
          <w:color w:val="auto"/>
        </w:rPr>
      </w:pPr>
      <w:r>
        <w:rPr>
          <w:rFonts w:ascii="Arial" w:cs="Arial" w:eastAsia="Arial" w:hAnsi="Arial"/>
          <w:sz w:val="19"/>
          <w:szCs w:val="19"/>
          <w:color w:val="auto"/>
        </w:rPr>
        <w:t>To determine the median of the annual total compensation of our employees, we applied the following methodology and material assumptions:</w:t>
      </w:r>
    </w:p>
    <w:p>
      <w:pPr>
        <w:spacing w:after="0" w:line="175" w:lineRule="exact"/>
        <w:rPr>
          <w:sz w:val="20"/>
          <w:szCs w:val="20"/>
          <w:color w:val="auto"/>
        </w:rPr>
      </w:pPr>
    </w:p>
    <w:p>
      <w:pPr>
        <w:ind w:left="840" w:right="340" w:hanging="186"/>
        <w:spacing w:after="0" w:line="281" w:lineRule="auto"/>
        <w:tabs>
          <w:tab w:leader="none" w:pos="8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We did not use the de minimis exception to exclude any non-U.S. employees. We have a</w:t>
      </w:r>
    </w:p>
    <w:p>
      <w:pPr>
        <w:spacing w:after="0" w:line="1" w:lineRule="exact"/>
        <w:rPr>
          <w:rFonts w:ascii="Arial" w:cs="Arial" w:eastAsia="Arial" w:hAnsi="Arial"/>
          <w:sz w:val="19"/>
          <w:szCs w:val="19"/>
          <w:color w:val="auto"/>
        </w:rPr>
      </w:pPr>
    </w:p>
    <w:p>
      <w:pPr>
        <w:jc w:val="both"/>
        <w:ind w:left="840"/>
        <w:spacing w:after="0" w:line="276" w:lineRule="auto"/>
        <w:rPr>
          <w:rFonts w:ascii="Arial" w:cs="Arial" w:eastAsia="Arial" w:hAnsi="Arial"/>
          <w:sz w:val="19"/>
          <w:szCs w:val="19"/>
          <w:color w:val="auto"/>
        </w:rPr>
      </w:pPr>
      <w:r>
        <w:rPr>
          <w:rFonts w:ascii="Arial" w:cs="Arial" w:eastAsia="Arial" w:hAnsi="Arial"/>
          <w:sz w:val="19"/>
          <w:szCs w:val="19"/>
          <w:color w:val="auto"/>
        </w:rPr>
        <w:t>globally diverse workforce with total headcount of approximately 11,150 as of September 30, 2022, of which approximately 77% are located outside</w:t>
      </w:r>
    </w:p>
    <w:p>
      <w:pPr>
        <w:spacing w:after="0" w:line="2" w:lineRule="exact"/>
        <w:rPr>
          <w:rFonts w:ascii="Arial" w:cs="Arial" w:eastAsia="Arial" w:hAnsi="Arial"/>
          <w:sz w:val="19"/>
          <w:szCs w:val="19"/>
          <w:color w:val="auto"/>
        </w:rPr>
      </w:pPr>
    </w:p>
    <w:p>
      <w:pPr>
        <w:ind w:left="840" w:right="540"/>
        <w:spacing w:after="0" w:line="276" w:lineRule="auto"/>
        <w:rPr>
          <w:rFonts w:ascii="Arial" w:cs="Arial" w:eastAsia="Arial" w:hAnsi="Arial"/>
          <w:sz w:val="19"/>
          <w:szCs w:val="19"/>
          <w:color w:val="auto"/>
        </w:rPr>
      </w:pPr>
      <w:r>
        <w:rPr>
          <w:rFonts w:ascii="Arial" w:cs="Arial" w:eastAsia="Arial" w:hAnsi="Arial"/>
          <w:sz w:val="19"/>
          <w:szCs w:val="19"/>
          <w:color w:val="auto"/>
        </w:rPr>
        <w:t>the United States, primarily in locations employing large direct labor forces such as Mexico and Singapore where wages are</w:t>
      </w:r>
    </w:p>
    <w:p>
      <w:pPr>
        <w:spacing w:after="0" w:line="2" w:lineRule="exact"/>
        <w:rPr>
          <w:rFonts w:ascii="Arial" w:cs="Arial" w:eastAsia="Arial" w:hAnsi="Arial"/>
          <w:sz w:val="19"/>
          <w:szCs w:val="19"/>
          <w:color w:val="auto"/>
        </w:rPr>
      </w:pPr>
    </w:p>
    <w:p>
      <w:pPr>
        <w:ind w:left="840" w:right="80"/>
        <w:spacing w:after="0" w:line="262" w:lineRule="auto"/>
        <w:rPr>
          <w:rFonts w:ascii="Arial" w:cs="Arial" w:eastAsia="Arial" w:hAnsi="Arial"/>
          <w:sz w:val="19"/>
          <w:szCs w:val="19"/>
          <w:color w:val="auto"/>
        </w:rPr>
      </w:pPr>
      <w:r>
        <w:rPr>
          <w:rFonts w:ascii="Arial" w:cs="Arial" w:eastAsia="Arial" w:hAnsi="Arial"/>
          <w:sz w:val="20"/>
          <w:szCs w:val="20"/>
          <w:color w:val="auto"/>
        </w:rPr>
        <w:t>significantly lower than in the United States. The median employee within our employee population was identified, consistent with</w:t>
      </w:r>
    </w:p>
    <w:p>
      <w:pPr>
        <w:spacing w:after="0" w:line="2" w:lineRule="exact"/>
        <w:rPr>
          <w:rFonts w:ascii="Arial" w:cs="Arial" w:eastAsia="Arial" w:hAnsi="Arial"/>
          <w:sz w:val="19"/>
          <w:szCs w:val="19"/>
          <w:color w:val="auto"/>
        </w:rPr>
      </w:pPr>
    </w:p>
    <w:p>
      <w:pPr>
        <w:ind w:left="840" w:right="220"/>
        <w:spacing w:after="0" w:line="262" w:lineRule="auto"/>
        <w:rPr>
          <w:rFonts w:ascii="Arial" w:cs="Arial" w:eastAsia="Arial" w:hAnsi="Arial"/>
          <w:sz w:val="19"/>
          <w:szCs w:val="19"/>
          <w:color w:val="auto"/>
        </w:rPr>
      </w:pPr>
      <w:r>
        <w:rPr>
          <w:rFonts w:ascii="Arial" w:cs="Arial" w:eastAsia="Arial" w:hAnsi="Arial"/>
          <w:sz w:val="20"/>
          <w:szCs w:val="20"/>
          <w:color w:val="auto"/>
        </w:rPr>
        <w:t>prior years, as of the last day of our fiscal year, or September 30, 2022, and is a full-time employee in our Mexicali, Mexico facility.</w:t>
      </w:r>
    </w:p>
    <w:p>
      <w:pPr>
        <w:spacing w:after="0" w:line="2" w:lineRule="exact"/>
        <w:rPr>
          <w:rFonts w:ascii="Arial" w:cs="Arial" w:eastAsia="Arial" w:hAnsi="Arial"/>
          <w:sz w:val="19"/>
          <w:szCs w:val="19"/>
          <w:color w:val="auto"/>
        </w:rPr>
      </w:pPr>
    </w:p>
    <w:p>
      <w:pPr>
        <w:ind w:left="840" w:right="80" w:hanging="186"/>
        <w:spacing w:after="0" w:line="264" w:lineRule="auto"/>
        <w:tabs>
          <w:tab w:leader="none" w:pos="84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To identify the median employee, we used a consistently applied compensation measure that included total taxable earnings paid to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3" w:right="40"/>
        <w:spacing w:after="0" w:line="252" w:lineRule="auto"/>
        <w:rPr>
          <w:sz w:val="20"/>
          <w:szCs w:val="20"/>
          <w:color w:val="auto"/>
        </w:rPr>
      </w:pPr>
      <w:r>
        <w:rPr>
          <w:rFonts w:ascii="Arial" w:cs="Arial" w:eastAsia="Arial" w:hAnsi="Arial"/>
          <w:sz w:val="20"/>
          <w:szCs w:val="20"/>
          <w:color w:val="auto"/>
        </w:rPr>
        <w:t>employees in the most recently completed taxable year in their respective jurisdictions. This included base salary, overtime pay, shift premiums, recognition bonuses, annual cash incentive awards, and long-term stock-based incentive awards. We annualized the compensation of permanent, full-time, and part-time employees who were hired after the beginning of the most recently completed taxable year in their respective jurisdictions.</w:t>
      </w:r>
    </w:p>
    <w:p>
      <w:pPr>
        <w:spacing w:after="0" w:line="2" w:lineRule="exact"/>
        <w:rPr>
          <w:sz w:val="20"/>
          <w:szCs w:val="20"/>
          <w:color w:val="auto"/>
        </w:rPr>
      </w:pPr>
    </w:p>
    <w:p>
      <w:pPr>
        <w:ind w:left="183" w:right="400" w:hanging="183"/>
        <w:spacing w:after="0" w:line="281" w:lineRule="auto"/>
        <w:tabs>
          <w:tab w:leader="none" w:pos="183" w:val="left"/>
        </w:tabs>
        <w:numPr>
          <w:ilvl w:val="0"/>
          <w:numId w:val="80"/>
        </w:numPr>
        <w:rPr>
          <w:rFonts w:ascii="Arial" w:cs="Arial" w:eastAsia="Arial" w:hAnsi="Arial"/>
          <w:sz w:val="19"/>
          <w:szCs w:val="19"/>
          <w:color w:val="auto"/>
        </w:rPr>
      </w:pPr>
      <w:r>
        <w:rPr>
          <w:rFonts w:ascii="Arial" w:cs="Arial" w:eastAsia="Arial" w:hAnsi="Arial"/>
          <w:sz w:val="19"/>
          <w:szCs w:val="19"/>
          <w:color w:val="auto"/>
        </w:rPr>
        <w:t>Using this consistently applied compensation measure, we identified an employee at the</w:t>
      </w:r>
    </w:p>
    <w:p>
      <w:pPr>
        <w:spacing w:after="0" w:line="1" w:lineRule="exact"/>
        <w:rPr>
          <w:rFonts w:ascii="Arial" w:cs="Arial" w:eastAsia="Arial" w:hAnsi="Arial"/>
          <w:sz w:val="19"/>
          <w:szCs w:val="19"/>
          <w:color w:val="auto"/>
        </w:rPr>
      </w:pPr>
    </w:p>
    <w:p>
      <w:pPr>
        <w:ind w:left="183" w:right="100"/>
        <w:spacing w:after="0" w:line="271" w:lineRule="auto"/>
        <w:rPr>
          <w:rFonts w:ascii="Arial" w:cs="Arial" w:eastAsia="Arial" w:hAnsi="Arial"/>
          <w:sz w:val="19"/>
          <w:szCs w:val="19"/>
          <w:color w:val="auto"/>
        </w:rPr>
      </w:pPr>
      <w:r>
        <w:rPr>
          <w:rFonts w:ascii="Arial" w:cs="Arial" w:eastAsia="Arial" w:hAnsi="Arial"/>
          <w:sz w:val="19"/>
          <w:szCs w:val="19"/>
          <w:color w:val="auto"/>
        </w:rPr>
        <w:t>median and calculated such employee’s total compensation for fiscal year 2022 in accordance with Item 402(c)(2)(x) of Regulation S-K.</w:t>
      </w:r>
    </w:p>
    <w:p>
      <w:pPr>
        <w:spacing w:after="0" w:line="2" w:lineRule="exact"/>
        <w:rPr>
          <w:rFonts w:ascii="Arial" w:cs="Arial" w:eastAsia="Arial" w:hAnsi="Arial"/>
          <w:sz w:val="19"/>
          <w:szCs w:val="19"/>
          <w:color w:val="auto"/>
        </w:rPr>
      </w:pPr>
    </w:p>
    <w:p>
      <w:pPr>
        <w:ind w:left="183" w:right="160" w:hanging="183"/>
        <w:spacing w:after="0" w:line="260" w:lineRule="auto"/>
        <w:tabs>
          <w:tab w:leader="none" w:pos="183" w:val="left"/>
        </w:tabs>
        <w:numPr>
          <w:ilvl w:val="0"/>
          <w:numId w:val="80"/>
        </w:numPr>
        <w:rPr>
          <w:rFonts w:ascii="Arial" w:cs="Arial" w:eastAsia="Arial" w:hAnsi="Arial"/>
          <w:sz w:val="20"/>
          <w:szCs w:val="20"/>
          <w:color w:val="auto"/>
        </w:rPr>
      </w:pPr>
      <w:r>
        <w:rPr>
          <w:rFonts w:ascii="Arial" w:cs="Arial" w:eastAsia="Arial" w:hAnsi="Arial"/>
          <w:sz w:val="20"/>
          <w:szCs w:val="20"/>
          <w:color w:val="auto"/>
        </w:rPr>
        <w:t>We did not use any cost-of-living adjustments in identifying the median employee.</w:t>
      </w:r>
    </w:p>
    <w:p>
      <w:pPr>
        <w:spacing w:after="0" w:line="1" w:lineRule="exact"/>
        <w:rPr>
          <w:rFonts w:ascii="Arial" w:cs="Arial" w:eastAsia="Arial" w:hAnsi="Arial"/>
          <w:sz w:val="20"/>
          <w:szCs w:val="20"/>
          <w:color w:val="auto"/>
        </w:rPr>
      </w:pPr>
    </w:p>
    <w:p>
      <w:pPr>
        <w:ind w:left="183" w:right="280" w:hanging="183"/>
        <w:spacing w:after="0" w:line="281" w:lineRule="auto"/>
        <w:tabs>
          <w:tab w:leader="none" w:pos="183"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annual total compensation of our Chief Executive Officer is the amount reported in the</w:t>
      </w:r>
    </w:p>
    <w:p>
      <w:pPr>
        <w:spacing w:after="0" w:line="1" w:lineRule="exact"/>
        <w:rPr>
          <w:rFonts w:ascii="Arial" w:cs="Arial" w:eastAsia="Arial" w:hAnsi="Arial"/>
          <w:sz w:val="19"/>
          <w:szCs w:val="19"/>
          <w:color w:val="auto"/>
        </w:rPr>
      </w:pPr>
    </w:p>
    <w:p>
      <w:pPr>
        <w:ind w:left="183" w:right="300"/>
        <w:spacing w:after="0" w:line="261" w:lineRule="auto"/>
        <w:rPr>
          <w:rFonts w:ascii="Arial" w:cs="Arial" w:eastAsia="Arial" w:hAnsi="Arial"/>
          <w:sz w:val="19"/>
          <w:szCs w:val="19"/>
          <w:color w:val="auto"/>
        </w:rPr>
      </w:pPr>
      <w:r>
        <w:rPr>
          <w:rFonts w:ascii="Arial" w:cs="Arial" w:eastAsia="Arial" w:hAnsi="Arial"/>
          <w:sz w:val="20"/>
          <w:szCs w:val="20"/>
          <w:color w:val="auto"/>
        </w:rPr>
        <w:t>“Total” column of our Summary Compensation Table for fiscal year 2022.</w:t>
      </w:r>
    </w:p>
    <w:p>
      <w:pPr>
        <w:spacing w:after="0" w:line="215" w:lineRule="exact"/>
        <w:rPr>
          <w:sz w:val="20"/>
          <w:szCs w:val="20"/>
          <w:color w:val="auto"/>
        </w:rPr>
      </w:pPr>
    </w:p>
    <w:p>
      <w:pPr>
        <w:ind w:left="3" w:right="40"/>
        <w:spacing w:after="0" w:line="268" w:lineRule="auto"/>
        <w:rPr>
          <w:sz w:val="20"/>
          <w:szCs w:val="20"/>
          <w:color w:val="auto"/>
        </w:rPr>
      </w:pPr>
      <w:r>
        <w:rPr>
          <w:rFonts w:ascii="Arial" w:cs="Arial" w:eastAsia="Arial" w:hAnsi="Arial"/>
          <w:sz w:val="19"/>
          <w:szCs w:val="19"/>
          <w:color w:val="auto"/>
        </w:rPr>
        <w:t>We believe our pay ratio presented above is a reasonable estimate calculated in a manner consistent with Item 402(u)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As a result,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417" w:lineRule="exact"/>
        <w:rPr>
          <w:sz w:val="20"/>
          <w:szCs w:val="20"/>
          <w:color w:val="auto"/>
        </w:rPr>
      </w:pPr>
    </w:p>
    <w:p>
      <w:pPr>
        <w:sectPr>
          <w:pgSz w:w="11900" w:h="16838" w:orient="portrait"/>
          <w:cols w:equalWidth="0" w:num="2">
            <w:col w:w="5140" w:space="437"/>
            <w:col w:w="4523"/>
          </w:cols>
          <w:pgMar w:left="580" w:top="132"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76" w:lineRule="exact"/>
        <w:rPr>
          <w:sz w:val="20"/>
          <w:szCs w:val="20"/>
          <w:color w:val="auto"/>
        </w:rPr>
      </w:pPr>
    </w:p>
    <w:p>
      <w:pPr>
        <w:jc w:val="right"/>
        <w:ind w:right="6260"/>
        <w:spacing w:after="0"/>
        <w:rPr>
          <w:sz w:val="20"/>
          <w:szCs w:val="20"/>
          <w:color w:val="auto"/>
        </w:rPr>
      </w:pPr>
      <w:r>
        <w:rPr>
          <w:rFonts w:ascii="Arial" w:cs="Arial" w:eastAsia="Arial" w:hAnsi="Arial"/>
          <w:sz w:val="29"/>
          <w:szCs w:val="29"/>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p>
      <w:pPr>
        <w:spacing w:after="0" w:line="243"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The Board sets the compensation for the Company’s non-employee directors, after receiving the recommendations of the Compensation Committee. In formulating its recommendations, the Compensation Committee seeks and receives input from Aon/Radford related to the amounts, terms, and conditions of director cash compensation and stock-based compensation awards, with the goal of establishing non-employee director compensation that is similar to, and competitive with, the compensation of non-employee directors at peer companies in the semiconductor industry.</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Cash Compensation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Non-employee directors are paid, in quarterly</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installments, an annual retainer of  $80,000</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(increased from $75,000 effective February 9,</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2022). Additional annual retainers for Chairman,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Lead Independent Director, and/or committee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service (paid in quarterly installments) are as</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follows: any non-employee Chairman of the Board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($130,000); the Lead Independent Director, if one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has been appointed ($50,000); the Chairman of the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Audit Committee ($30,000); the Chairman of the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Compensation Committee ($20,000); the Chairman</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of the Nominating and Governance Committee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($15,000); non-chair member of Audit Committee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($15,000); non-chair member of Compensation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Committee ($10,000); and non-chair member of</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Nominating and Corporate Governance Committee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($7,500). In addition, the Compensation Committee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continues to retain discretion to recommend to the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full Board that additional cash payments be made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 a non-employee director for extraordinary</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service during a fiscal year.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3"/>
        <w:spacing w:after="0"/>
        <w:rPr>
          <w:sz w:val="20"/>
          <w:szCs w:val="20"/>
          <w:color w:val="auto"/>
        </w:rPr>
      </w:pPr>
      <w:r>
        <w:rPr>
          <w:rFonts w:ascii="Arial" w:cs="Arial" w:eastAsia="Arial" w:hAnsi="Arial"/>
          <w:sz w:val="23"/>
          <w:szCs w:val="23"/>
          <w:b w:val="1"/>
          <w:bCs w:val="1"/>
          <w:i w:val="1"/>
          <w:iCs w:val="1"/>
          <w:color w:val="auto"/>
        </w:rPr>
        <w:t>Equity Compensation</w:t>
      </w:r>
    </w:p>
    <w:p>
      <w:pPr>
        <w:spacing w:after="0" w:line="161" w:lineRule="exact"/>
        <w:rPr>
          <w:sz w:val="20"/>
          <w:szCs w:val="20"/>
          <w:color w:val="auto"/>
        </w:rPr>
      </w:pPr>
    </w:p>
    <w:p>
      <w:pPr>
        <w:ind w:left="3" w:right="40"/>
        <w:spacing w:after="0" w:line="266" w:lineRule="auto"/>
        <w:rPr>
          <w:sz w:val="20"/>
          <w:szCs w:val="20"/>
          <w:color w:val="auto"/>
        </w:rPr>
      </w:pPr>
      <w:r>
        <w:rPr>
          <w:rFonts w:ascii="Arial" w:cs="Arial" w:eastAsia="Arial" w:hAnsi="Arial"/>
          <w:sz w:val="19"/>
          <w:szCs w:val="19"/>
          <w:color w:val="auto"/>
        </w:rPr>
        <w:t>Currently, following each annual meeting of stockholders, each non-employee director who is reelected will receive a grant of RSUs having a value of approximately $225,000 (increased from $200,000 effective February 9, 2022). Any newly appointed non-employee director will receive an initial equity grant of RSUs having a value of approximately $225,000 (increased from $200,000 effective February 9, 2022). The number of shares subject to a non-employee director’s initial RSU award or annual award is determined by dividing the approximate value of the award, as stated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w:t>
      </w:r>
    </w:p>
    <w:p>
      <w:pPr>
        <w:spacing w:after="0" w:line="17" w:lineRule="exact"/>
        <w:rPr>
          <w:sz w:val="20"/>
          <w:szCs w:val="20"/>
          <w:color w:val="auto"/>
        </w:rPr>
      </w:pPr>
    </w:p>
    <w:p>
      <w:pPr>
        <w:ind w:left="3" w:right="40" w:hanging="3"/>
        <w:spacing w:after="0" w:line="269" w:lineRule="auto"/>
        <w:tabs>
          <w:tab w:leader="none" w:pos="3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 non-employee director’s initial equity grant of RSUs will vest in three (3) equal annual installments on the first three anniversaries of the date of grant, and (b) a non-employee director’s annual equity grant of RSUs will vest on the first anniversary of the date of grant. In the event of a change in control of the Company, any outstanding options and RSUs awarded under the 2008 Director Long-Term Incentive Plan will become fully exercisable and deemed fully vested, respectively.</w:t>
      </w:r>
    </w:p>
    <w:p>
      <w:pPr>
        <w:spacing w:after="0" w:line="197" w:lineRule="exact"/>
        <w:rPr>
          <w:sz w:val="20"/>
          <w:szCs w:val="20"/>
          <w:color w:val="auto"/>
        </w:rPr>
      </w:pPr>
    </w:p>
    <w:p>
      <w:pPr>
        <w:ind w:left="3" w:right="120"/>
        <w:spacing w:after="0" w:line="256" w:lineRule="auto"/>
        <w:rPr>
          <w:sz w:val="20"/>
          <w:szCs w:val="20"/>
          <w:color w:val="auto"/>
        </w:rPr>
      </w:pPr>
      <w:r>
        <w:rPr>
          <w:rFonts w:ascii="Arial" w:cs="Arial" w:eastAsia="Arial" w:hAnsi="Arial"/>
          <w:sz w:val="20"/>
          <w:szCs w:val="20"/>
          <w:color w:val="auto"/>
        </w:rPr>
        <w:t>No director who is also an employee receives separate compensation for services rendered as a director. Mr. Griffin is currently the only director who is also an employee of the Company.</w:t>
      </w:r>
    </w:p>
    <w:p>
      <w:pPr>
        <w:spacing w:after="0" w:line="258" w:lineRule="exact"/>
        <w:rPr>
          <w:sz w:val="20"/>
          <w:szCs w:val="20"/>
          <w:color w:val="auto"/>
        </w:rPr>
      </w:pPr>
    </w:p>
    <w:p>
      <w:pPr>
        <w:sectPr>
          <w:pgSz w:w="11900" w:h="16838" w:orient="portrait"/>
          <w:cols w:equalWidth="0" w:num="2">
            <w:col w:w="5140" w:space="437"/>
            <w:col w:w="4523"/>
          </w:cols>
          <w:pgMar w:left="580" w:top="132"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Director Compensation Table</w:t>
      </w:r>
    </w:p>
    <w:p>
      <w:pPr>
        <w:spacing w:after="0" w:line="161" w:lineRule="exact"/>
        <w:rPr>
          <w:sz w:val="20"/>
          <w:szCs w:val="20"/>
          <w:color w:val="auto"/>
        </w:rPr>
      </w:pPr>
    </w:p>
    <w:p>
      <w:pPr>
        <w:ind w:left="660" w:right="120"/>
        <w:spacing w:after="0" w:line="261" w:lineRule="auto"/>
        <w:rPr>
          <w:sz w:val="20"/>
          <w:szCs w:val="20"/>
          <w:color w:val="auto"/>
        </w:rPr>
      </w:pPr>
      <w:r>
        <w:rPr>
          <w:rFonts w:ascii="Arial" w:cs="Arial" w:eastAsia="Arial" w:hAnsi="Arial"/>
          <w:sz w:val="20"/>
          <w:szCs w:val="20"/>
          <w:color w:val="auto"/>
        </w:rPr>
        <w:t>The following table summarizes the compensation paid to the Company’s non-employee directors for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70485</wp:posOffset>
            </wp:positionV>
            <wp:extent cx="5974715" cy="402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74715" cy="402590"/>
                    </a:xfrm>
                    <a:prstGeom prst="rect">
                      <a:avLst/>
                    </a:prstGeom>
                    <a:noFill/>
                  </pic:spPr>
                </pic:pic>
              </a:graphicData>
            </a:graphic>
          </wp:anchor>
        </w:drawing>
      </w:r>
    </w:p>
    <w:p>
      <w:pPr>
        <w:spacing w:after="0" w:line="91"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980" w:type="dxa"/>
            <w:vAlign w:val="bottom"/>
            <w:gridSpan w:val="2"/>
          </w:tcPr>
          <w:p>
            <w:pPr>
              <w:ind w:left="1740"/>
              <w:spacing w:after="0"/>
              <w:rPr>
                <w:sz w:val="20"/>
                <w:szCs w:val="20"/>
                <w:color w:val="auto"/>
              </w:rPr>
            </w:pPr>
            <w:r>
              <w:rPr>
                <w:rFonts w:ascii="Arial" w:cs="Arial" w:eastAsia="Arial" w:hAnsi="Arial"/>
                <w:sz w:val="18"/>
                <w:szCs w:val="18"/>
                <w:color w:val="FFFFFF"/>
                <w:w w:val="98"/>
              </w:rPr>
              <w:t>Fees Earned or</w:t>
            </w:r>
          </w:p>
        </w:tc>
        <w:tc>
          <w:tcPr>
            <w:tcW w:w="320" w:type="dxa"/>
            <w:vAlign w:val="bottom"/>
          </w:tcPr>
          <w:p>
            <w:pPr>
              <w:spacing w:after="0"/>
              <w:rPr>
                <w:sz w:val="19"/>
                <w:szCs w:val="19"/>
                <w:color w:val="auto"/>
              </w:rPr>
            </w:pPr>
          </w:p>
        </w:tc>
        <w:tc>
          <w:tcPr>
            <w:tcW w:w="840" w:type="dxa"/>
            <w:vAlign w:val="bottom"/>
          </w:tcPr>
          <w:p>
            <w:pPr>
              <w:jc w:val="center"/>
              <w:ind w:right="296"/>
              <w:spacing w:after="0"/>
              <w:rPr>
                <w:sz w:val="20"/>
                <w:szCs w:val="20"/>
                <w:color w:val="auto"/>
              </w:rPr>
            </w:pPr>
            <w:r>
              <w:rPr>
                <w:rFonts w:ascii="Arial" w:cs="Arial" w:eastAsia="Arial" w:hAnsi="Arial"/>
                <w:sz w:val="18"/>
                <w:szCs w:val="18"/>
                <w:color w:val="FFFFFF"/>
              </w:rPr>
              <w:t>Stock</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60" w:type="dxa"/>
            <w:vAlign w:val="bottom"/>
          </w:tcPr>
          <w:p>
            <w:pPr>
              <w:jc w:val="center"/>
              <w:ind w:right="17"/>
              <w:spacing w:after="0" w:line="189" w:lineRule="exact"/>
              <w:rPr>
                <w:sz w:val="20"/>
                <w:szCs w:val="20"/>
                <w:color w:val="auto"/>
              </w:rPr>
            </w:pPr>
            <w:r>
              <w:rPr>
                <w:rFonts w:ascii="Arial" w:cs="Arial" w:eastAsia="Arial" w:hAnsi="Arial"/>
                <w:sz w:val="18"/>
                <w:szCs w:val="18"/>
                <w:color w:val="FFFFFF"/>
                <w:w w:val="99"/>
              </w:rPr>
              <w:t>Paid in Cash</w:t>
            </w:r>
          </w:p>
        </w:tc>
        <w:tc>
          <w:tcPr>
            <w:tcW w:w="1160" w:type="dxa"/>
            <w:vAlign w:val="bottom"/>
            <w:gridSpan w:val="2"/>
          </w:tcPr>
          <w:p>
            <w:pPr>
              <w:jc w:val="center"/>
              <w:spacing w:after="0" w:line="189" w:lineRule="exact"/>
              <w:rPr>
                <w:sz w:val="20"/>
                <w:szCs w:val="20"/>
                <w:color w:val="auto"/>
              </w:rPr>
            </w:pPr>
            <w:r>
              <w:rPr>
                <w:rFonts w:ascii="Arial" w:cs="Arial" w:eastAsia="Arial" w:hAnsi="Arial"/>
                <w:sz w:val="18"/>
                <w:szCs w:val="18"/>
                <w:color w:val="FFFFFF"/>
                <w:w w:val="96"/>
              </w:rPr>
              <w:t>Awards</w:t>
            </w:r>
          </w:p>
        </w:tc>
        <w:tc>
          <w:tcPr>
            <w:tcW w:w="600" w:type="dxa"/>
            <w:vAlign w:val="bottom"/>
          </w:tcPr>
          <w:p>
            <w:pPr>
              <w:ind w:left="60"/>
              <w:spacing w:after="0" w:line="189" w:lineRule="exact"/>
              <w:rPr>
                <w:sz w:val="20"/>
                <w:szCs w:val="20"/>
                <w:color w:val="auto"/>
              </w:rPr>
            </w:pPr>
            <w:r>
              <w:rPr>
                <w:rFonts w:ascii="Arial" w:cs="Arial" w:eastAsia="Arial" w:hAnsi="Arial"/>
                <w:sz w:val="18"/>
                <w:szCs w:val="18"/>
                <w:color w:val="FFFFFF"/>
              </w:rPr>
              <w:t>Total</w:t>
            </w:r>
          </w:p>
        </w:tc>
        <w:tc>
          <w:tcPr>
            <w:tcW w:w="40" w:type="dxa"/>
            <w:vAlign w:val="bottom"/>
          </w:tcPr>
          <w:p>
            <w:pPr>
              <w:spacing w:after="0"/>
              <w:rPr>
                <w:sz w:val="16"/>
                <w:szCs w:val="16"/>
                <w:color w:val="auto"/>
              </w:rPr>
            </w:pPr>
          </w:p>
        </w:tc>
      </w:tr>
      <w:tr>
        <w:trPr>
          <w:trHeight w:val="217"/>
        </w:trPr>
        <w:tc>
          <w:tcPr>
            <w:tcW w:w="620" w:type="dxa"/>
            <w:vAlign w:val="bottom"/>
            <w:gridSpan w:val="3"/>
          </w:tcPr>
          <w:p>
            <w:pPr>
              <w:ind w:left="20"/>
              <w:spacing w:after="0"/>
              <w:rPr>
                <w:sz w:val="20"/>
                <w:szCs w:val="20"/>
                <w:color w:val="auto"/>
              </w:rPr>
            </w:pPr>
            <w:r>
              <w:rPr>
                <w:rFonts w:ascii="Arial" w:cs="Arial" w:eastAsia="Arial" w:hAnsi="Arial"/>
                <w:sz w:val="18"/>
                <w:szCs w:val="18"/>
                <w:color w:val="FFFFFF"/>
              </w:rPr>
              <w:t>​Name</w:t>
            </w:r>
          </w:p>
        </w:tc>
        <w:tc>
          <w:tcPr>
            <w:tcW w:w="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20" w:type="dxa"/>
            <w:vAlign w:val="bottom"/>
          </w:tcPr>
          <w:p>
            <w:pPr>
              <w:ind w:left="1580"/>
              <w:spacing w:after="0"/>
              <w:rPr>
                <w:sz w:val="20"/>
                <w:szCs w:val="20"/>
                <w:color w:val="auto"/>
              </w:rPr>
            </w:pPr>
            <w:r>
              <w:rPr>
                <w:rFonts w:ascii="Arial" w:cs="Arial" w:eastAsia="Arial" w:hAnsi="Arial"/>
                <w:sz w:val="18"/>
                <w:szCs w:val="18"/>
                <w:color w:val="FFFFFF"/>
              </w:rPr>
              <w:t>​ ​</w:t>
            </w:r>
          </w:p>
        </w:tc>
        <w:tc>
          <w:tcPr>
            <w:tcW w:w="1160" w:type="dxa"/>
            <w:vAlign w:val="bottom"/>
          </w:tcPr>
          <w:p>
            <w:pPr>
              <w:jc w:val="center"/>
              <w:ind w:right="17"/>
              <w:spacing w:after="0"/>
              <w:rPr>
                <w:sz w:val="20"/>
                <w:szCs w:val="20"/>
                <w:color w:val="auto"/>
              </w:rPr>
            </w:pPr>
            <w:r>
              <w:rPr>
                <w:rFonts w:ascii="Arial" w:cs="Arial" w:eastAsia="Arial" w:hAnsi="Arial"/>
                <w:sz w:val="18"/>
                <w:szCs w:val="18"/>
                <w:color w:val="FFFFFF"/>
                <w:w w:val="99"/>
              </w:rPr>
              <w:t>($)</w:t>
            </w:r>
          </w:p>
        </w:tc>
        <w:tc>
          <w:tcPr>
            <w:tcW w:w="1160" w:type="dxa"/>
            <w:vAlign w:val="bottom"/>
            <w:gridSpan w:val="2"/>
          </w:tcPr>
          <w:p>
            <w:pPr>
              <w:ind w:left="40"/>
              <w:spacing w:after="0"/>
              <w:rPr>
                <w:sz w:val="20"/>
                <w:szCs w:val="20"/>
                <w:color w:val="auto"/>
              </w:rPr>
            </w:pPr>
            <w:r>
              <w:rPr>
                <w:rFonts w:ascii="Arial" w:cs="Arial" w:eastAsia="Arial" w:hAnsi="Arial"/>
                <w:sz w:val="18"/>
                <w:szCs w:val="18"/>
                <w:color w:val="FFFFFF"/>
              </w:rPr>
              <w:t>​ ​($)(1)(2) ​ ​</w:t>
            </w:r>
          </w:p>
        </w:tc>
        <w:tc>
          <w:tcPr>
            <w:tcW w:w="640" w:type="dxa"/>
            <w:vAlign w:val="bottom"/>
            <w:gridSpan w:val="2"/>
          </w:tcPr>
          <w:p>
            <w:pPr>
              <w:jc w:val="right"/>
              <w:spacing w:after="0"/>
              <w:rPr>
                <w:sz w:val="20"/>
                <w:szCs w:val="20"/>
                <w:color w:val="auto"/>
              </w:rPr>
            </w:pPr>
            <w:r>
              <w:rPr>
                <w:rFonts w:ascii="Arial" w:cs="Arial" w:eastAsia="Arial" w:hAnsi="Arial"/>
                <w:sz w:val="18"/>
                <w:szCs w:val="18"/>
                <w:color w:val="FFFFFF"/>
              </w:rPr>
              <w:t>($)   ​</w:t>
            </w:r>
          </w:p>
        </w:tc>
      </w:tr>
      <w:tr>
        <w:trPr>
          <w:trHeight w:val="189"/>
        </w:trPr>
        <w:tc>
          <w:tcPr>
            <w:tcW w:w="700" w:type="dxa"/>
            <w:vAlign w:val="bottom"/>
            <w:gridSpan w:val="4"/>
            <w:shd w:val="clear" w:color="auto" w:fill="E5E5E5"/>
          </w:tcPr>
          <w:p>
            <w:pPr>
              <w:ind w:left="40"/>
              <w:spacing w:after="0"/>
              <w:rPr>
                <w:sz w:val="20"/>
                <w:szCs w:val="20"/>
                <w:color w:val="auto"/>
              </w:rPr>
            </w:pPr>
            <w:r>
              <w:rPr>
                <w:rFonts w:ascii="Arial" w:cs="Arial" w:eastAsia="Arial" w:hAnsi="Arial"/>
                <w:sz w:val="16"/>
                <w:szCs w:val="16"/>
                <w:color w:val="auto"/>
              </w:rPr>
              <w:t>Christine​</w:t>
            </w:r>
          </w:p>
        </w:tc>
        <w:tc>
          <w:tcPr>
            <w:tcW w:w="3960" w:type="dxa"/>
            <w:vAlign w:val="bottom"/>
            <w:shd w:val="clear" w:color="auto" w:fill="E5E5E5"/>
          </w:tcPr>
          <w:p>
            <w:pPr>
              <w:ind w:left="20"/>
              <w:spacing w:after="0"/>
              <w:rPr>
                <w:sz w:val="20"/>
                <w:szCs w:val="20"/>
                <w:color w:val="auto"/>
              </w:rPr>
            </w:pPr>
            <w:r>
              <w:rPr>
                <w:rFonts w:ascii="Arial" w:cs="Arial" w:eastAsia="Arial" w:hAnsi="Arial"/>
                <w:sz w:val="16"/>
                <w:szCs w:val="16"/>
                <w:color w:val="auto"/>
              </w:rPr>
              <w:t>King, Lead Independent Director</w:t>
            </w:r>
          </w:p>
        </w:tc>
        <w:tc>
          <w:tcPr>
            <w:tcW w:w="182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 ​</w:t>
            </w:r>
          </w:p>
        </w:tc>
        <w:tc>
          <w:tcPr>
            <w:tcW w:w="11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​163,750​</w:t>
            </w:r>
          </w:p>
        </w:tc>
        <w:tc>
          <w:tcPr>
            <w:tcW w:w="176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 ​ ​​188,708​​ ​ ​352,458​​</w:t>
            </w:r>
          </w:p>
        </w:tc>
        <w:tc>
          <w:tcPr>
            <w:tcW w:w="40" w:type="dxa"/>
            <w:vAlign w:val="bottom"/>
          </w:tcPr>
          <w:p>
            <w:pPr>
              <w:spacing w:after="0"/>
              <w:rPr>
                <w:sz w:val="16"/>
                <w:szCs w:val="16"/>
                <w:color w:val="auto"/>
              </w:rPr>
            </w:pPr>
          </w:p>
        </w:tc>
      </w:tr>
      <w:tr>
        <w:trPr>
          <w:trHeight w:val="189"/>
        </w:trPr>
        <w:tc>
          <w:tcPr>
            <w:tcW w:w="380" w:type="dxa"/>
            <w:vAlign w:val="bottom"/>
          </w:tcPr>
          <w:p>
            <w:pPr>
              <w:ind w:left="40"/>
              <w:spacing w:after="0"/>
              <w:rPr>
                <w:sz w:val="20"/>
                <w:szCs w:val="20"/>
                <w:color w:val="auto"/>
              </w:rPr>
            </w:pPr>
            <w:r>
              <w:rPr>
                <w:rFonts w:ascii="Arial" w:cs="Arial" w:eastAsia="Arial" w:hAnsi="Arial"/>
                <w:sz w:val="16"/>
                <w:szCs w:val="16"/>
                <w:color w:val="auto"/>
                <w:w w:val="99"/>
              </w:rPr>
              <w:t>Alan​</w:t>
            </w:r>
          </w:p>
        </w:tc>
        <w:tc>
          <w:tcPr>
            <w:tcW w:w="4280" w:type="dxa"/>
            <w:vAlign w:val="bottom"/>
            <w:gridSpan w:val="4"/>
          </w:tcPr>
          <w:p>
            <w:pPr>
              <w:ind w:left="20"/>
              <w:spacing w:after="0"/>
              <w:rPr>
                <w:sz w:val="20"/>
                <w:szCs w:val="20"/>
                <w:color w:val="auto"/>
              </w:rPr>
            </w:pPr>
            <w:r>
              <w:rPr>
                <w:rFonts w:ascii="Arial" w:cs="Arial" w:eastAsia="Arial" w:hAnsi="Arial"/>
                <w:sz w:val="16"/>
                <w:szCs w:val="16"/>
                <w:color w:val="auto"/>
              </w:rPr>
              <w:t>S. Batey</w:t>
            </w:r>
          </w:p>
        </w:tc>
        <w:tc>
          <w:tcPr>
            <w:tcW w:w="1820" w:type="dxa"/>
            <w:vAlign w:val="bottom"/>
          </w:tcPr>
          <w:p>
            <w:pPr>
              <w:ind w:left="162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 87,218​</w:t>
            </w:r>
          </w:p>
        </w:tc>
        <w:tc>
          <w:tcPr>
            <w:tcW w:w="1800" w:type="dxa"/>
            <w:vAlign w:val="bottom"/>
            <w:gridSpan w:val="4"/>
          </w:tcPr>
          <w:p>
            <w:pPr>
              <w:spacing w:after="0"/>
              <w:rPr>
                <w:sz w:val="20"/>
                <w:szCs w:val="20"/>
                <w:color w:val="auto"/>
              </w:rPr>
            </w:pPr>
            <w:r>
              <w:rPr>
                <w:rFonts w:ascii="Arial" w:cs="Arial" w:eastAsia="Arial" w:hAnsi="Arial"/>
                <w:sz w:val="16"/>
                <w:szCs w:val="16"/>
                <w:color w:val="auto"/>
              </w:rPr>
              <w:t>​ ​ ​​188,708​​ ​ ​275,926​​</w:t>
            </w:r>
          </w:p>
        </w:tc>
      </w:tr>
      <w:tr>
        <w:trPr>
          <w:trHeight w:val="189"/>
        </w:trPr>
        <w:tc>
          <w:tcPr>
            <w:tcW w:w="460" w:type="dxa"/>
            <w:vAlign w:val="bottom"/>
            <w:gridSpan w:val="2"/>
            <w:shd w:val="clear" w:color="auto" w:fill="E5E5E5"/>
          </w:tcPr>
          <w:p>
            <w:pPr>
              <w:ind w:left="40"/>
              <w:spacing w:after="0"/>
              <w:rPr>
                <w:sz w:val="20"/>
                <w:szCs w:val="20"/>
                <w:color w:val="auto"/>
              </w:rPr>
            </w:pPr>
            <w:r>
              <w:rPr>
                <w:rFonts w:ascii="Arial" w:cs="Arial" w:eastAsia="Arial" w:hAnsi="Arial"/>
                <w:sz w:val="16"/>
                <w:szCs w:val="16"/>
                <w:color w:val="auto"/>
                <w:w w:val="99"/>
              </w:rPr>
              <w:t>Kevin​</w:t>
            </w:r>
          </w:p>
        </w:tc>
        <w:tc>
          <w:tcPr>
            <w:tcW w:w="4200" w:type="dxa"/>
            <w:vAlign w:val="bottom"/>
            <w:gridSpan w:val="3"/>
            <w:shd w:val="clear" w:color="auto" w:fill="E5E5E5"/>
          </w:tcPr>
          <w:p>
            <w:pPr>
              <w:ind w:left="20"/>
              <w:spacing w:after="0"/>
              <w:rPr>
                <w:sz w:val="20"/>
                <w:szCs w:val="20"/>
                <w:color w:val="auto"/>
              </w:rPr>
            </w:pPr>
            <w:r>
              <w:rPr>
                <w:rFonts w:ascii="Arial" w:cs="Arial" w:eastAsia="Arial" w:hAnsi="Arial"/>
                <w:sz w:val="16"/>
                <w:szCs w:val="16"/>
                <w:color w:val="auto"/>
              </w:rPr>
              <w:t>L. Beebe</w:t>
            </w:r>
          </w:p>
        </w:tc>
        <w:tc>
          <w:tcPr>
            <w:tcW w:w="182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 ​</w:t>
            </w:r>
          </w:p>
        </w:tc>
        <w:tc>
          <w:tcPr>
            <w:tcW w:w="11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 93,750​</w:t>
            </w:r>
          </w:p>
        </w:tc>
        <w:tc>
          <w:tcPr>
            <w:tcW w:w="176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 ​ ​​188,708​​ ​ ​282,458​​</w:t>
            </w:r>
          </w:p>
        </w:tc>
        <w:tc>
          <w:tcPr>
            <w:tcW w:w="40" w:type="dxa"/>
            <w:vAlign w:val="bottom"/>
          </w:tcPr>
          <w:p>
            <w:pPr>
              <w:spacing w:after="0"/>
              <w:rPr>
                <w:sz w:val="16"/>
                <w:szCs w:val="16"/>
                <w:color w:val="auto"/>
              </w:rPr>
            </w:pPr>
          </w:p>
        </w:tc>
      </w:tr>
      <w:tr>
        <w:trPr>
          <w:trHeight w:val="189"/>
        </w:trPr>
        <w:tc>
          <w:tcPr>
            <w:tcW w:w="620" w:type="dxa"/>
            <w:vAlign w:val="bottom"/>
            <w:gridSpan w:val="3"/>
          </w:tcPr>
          <w:p>
            <w:pPr>
              <w:ind w:left="40"/>
              <w:spacing w:after="0"/>
              <w:rPr>
                <w:sz w:val="20"/>
                <w:szCs w:val="20"/>
                <w:color w:val="auto"/>
              </w:rPr>
            </w:pPr>
            <w:r>
              <w:rPr>
                <w:rFonts w:ascii="Arial" w:cs="Arial" w:eastAsia="Arial" w:hAnsi="Arial"/>
                <w:sz w:val="16"/>
                <w:szCs w:val="16"/>
                <w:color w:val="auto"/>
                <w:w w:val="98"/>
              </w:rPr>
              <w:t>Timothy​</w:t>
            </w:r>
          </w:p>
        </w:tc>
        <w:tc>
          <w:tcPr>
            <w:tcW w:w="4040" w:type="dxa"/>
            <w:vAlign w:val="bottom"/>
            <w:gridSpan w:val="2"/>
          </w:tcPr>
          <w:p>
            <w:pPr>
              <w:ind w:left="40"/>
              <w:spacing w:after="0"/>
              <w:rPr>
                <w:sz w:val="20"/>
                <w:szCs w:val="20"/>
                <w:color w:val="auto"/>
              </w:rPr>
            </w:pPr>
            <w:r>
              <w:rPr>
                <w:rFonts w:ascii="Arial" w:cs="Arial" w:eastAsia="Arial" w:hAnsi="Arial"/>
                <w:sz w:val="16"/>
                <w:szCs w:val="16"/>
                <w:color w:val="auto"/>
              </w:rPr>
              <w:t>R. Furey, Former Director</w:t>
            </w:r>
            <w:r>
              <w:rPr>
                <w:rFonts w:ascii="Arial" w:cs="Arial" w:eastAsia="Arial" w:hAnsi="Arial"/>
                <w:sz w:val="16"/>
                <w:szCs w:val="16"/>
                <w:color w:val="0075A8"/>
              </w:rPr>
              <w:t>(3)</w:t>
            </w:r>
          </w:p>
        </w:tc>
        <w:tc>
          <w:tcPr>
            <w:tcW w:w="1820" w:type="dxa"/>
            <w:vAlign w:val="bottom"/>
          </w:tcPr>
          <w:p>
            <w:pPr>
              <w:ind w:left="162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 61,545​</w:t>
            </w:r>
          </w:p>
        </w:tc>
        <w:tc>
          <w:tcPr>
            <w:tcW w:w="320" w:type="dxa"/>
            <w:vAlign w:val="bottom"/>
          </w:tcPr>
          <w:p>
            <w:pPr>
              <w:spacing w:after="0"/>
              <w:rPr>
                <w:sz w:val="20"/>
                <w:szCs w:val="20"/>
                <w:color w:val="auto"/>
              </w:rPr>
            </w:pPr>
            <w:r>
              <w:rPr>
                <w:rFonts w:ascii="Arial" w:cs="Arial" w:eastAsia="Arial" w:hAnsi="Arial"/>
                <w:sz w:val="16"/>
                <w:szCs w:val="16"/>
                <w:color w:val="auto"/>
              </w:rPr>
              <w:t>​ ​ ​​</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 ​ ​ 61,545​​</w:t>
            </w:r>
          </w:p>
        </w:tc>
      </w:tr>
      <w:tr>
        <w:trPr>
          <w:trHeight w:val="203"/>
        </w:trPr>
        <w:tc>
          <w:tcPr>
            <w:tcW w:w="4660" w:type="dxa"/>
            <w:vAlign w:val="bottom"/>
            <w:gridSpan w:val="5"/>
            <w:shd w:val="clear" w:color="auto" w:fill="E5E5E5"/>
          </w:tcPr>
          <w:p>
            <w:pPr>
              <w:ind w:left="40"/>
              <w:spacing w:after="0"/>
              <w:rPr>
                <w:sz w:val="20"/>
                <w:szCs w:val="20"/>
                <w:color w:val="auto"/>
              </w:rPr>
            </w:pPr>
            <w:r>
              <w:rPr>
                <w:rFonts w:ascii="Arial" w:cs="Arial" w:eastAsia="Arial" w:hAnsi="Arial"/>
                <w:sz w:val="16"/>
                <w:szCs w:val="16"/>
                <w:color w:val="auto"/>
              </w:rPr>
              <w:t>​Eric J. Guerin</w:t>
            </w:r>
          </w:p>
        </w:tc>
        <w:tc>
          <w:tcPr>
            <w:tcW w:w="182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 ​</w:t>
            </w:r>
          </w:p>
        </w:tc>
        <w:tc>
          <w:tcPr>
            <w:tcW w:w="11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 56,239​</w:t>
            </w:r>
          </w:p>
        </w:tc>
        <w:tc>
          <w:tcPr>
            <w:tcW w:w="176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 ​ ​​388,770​​ ​ ​445,009​​</w:t>
            </w:r>
          </w:p>
        </w:tc>
        <w:tc>
          <w:tcPr>
            <w:tcW w:w="40" w:type="dxa"/>
            <w:vAlign w:val="bottom"/>
          </w:tcPr>
          <w:p>
            <w:pPr>
              <w:spacing w:after="0"/>
              <w:rPr>
                <w:sz w:val="17"/>
                <w:szCs w:val="17"/>
                <w:color w:val="auto"/>
              </w:rPr>
            </w:pPr>
          </w:p>
        </w:tc>
      </w:tr>
      <w:tr>
        <w:trPr>
          <w:trHeight w:val="203"/>
        </w:trPr>
        <w:tc>
          <w:tcPr>
            <w:tcW w:w="4660" w:type="dxa"/>
            <w:vAlign w:val="bottom"/>
            <w:gridSpan w:val="5"/>
          </w:tcPr>
          <w:p>
            <w:pPr>
              <w:ind w:left="40"/>
              <w:spacing w:after="0"/>
              <w:rPr>
                <w:sz w:val="20"/>
                <w:szCs w:val="20"/>
                <w:color w:val="auto"/>
              </w:rPr>
            </w:pPr>
            <w:r>
              <w:rPr>
                <w:rFonts w:ascii="Arial" w:cs="Arial" w:eastAsia="Arial" w:hAnsi="Arial"/>
                <w:sz w:val="16"/>
                <w:szCs w:val="16"/>
                <w:color w:val="auto"/>
              </w:rPr>
              <w:t>​Suzanne E. McBride</w:t>
            </w:r>
          </w:p>
        </w:tc>
        <w:tc>
          <w:tcPr>
            <w:tcW w:w="1820" w:type="dxa"/>
            <w:vAlign w:val="bottom"/>
          </w:tcPr>
          <w:p>
            <w:pPr>
              <w:ind w:left="162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 55,794​</w:t>
            </w:r>
          </w:p>
        </w:tc>
        <w:tc>
          <w:tcPr>
            <w:tcW w:w="1800" w:type="dxa"/>
            <w:vAlign w:val="bottom"/>
            <w:gridSpan w:val="4"/>
          </w:tcPr>
          <w:p>
            <w:pPr>
              <w:spacing w:after="0"/>
              <w:rPr>
                <w:sz w:val="20"/>
                <w:szCs w:val="20"/>
                <w:color w:val="auto"/>
              </w:rPr>
            </w:pPr>
            <w:r>
              <w:rPr>
                <w:rFonts w:ascii="Arial" w:cs="Arial" w:eastAsia="Arial" w:hAnsi="Arial"/>
                <w:sz w:val="16"/>
                <w:szCs w:val="16"/>
                <w:color w:val="auto"/>
              </w:rPr>
              <w:t>​ ​ ​​388,751​​ ​ ​444,545​​</w:t>
            </w:r>
          </w:p>
        </w:tc>
      </w:tr>
      <w:tr>
        <w:trPr>
          <w:trHeight w:val="203"/>
        </w:trPr>
        <w:tc>
          <w:tcPr>
            <w:tcW w:w="4660" w:type="dxa"/>
            <w:vAlign w:val="bottom"/>
            <w:gridSpan w:val="5"/>
            <w:shd w:val="clear" w:color="auto" w:fill="E5E5E5"/>
          </w:tcPr>
          <w:p>
            <w:pPr>
              <w:ind w:left="40"/>
              <w:spacing w:after="0"/>
              <w:rPr>
                <w:sz w:val="20"/>
                <w:szCs w:val="20"/>
                <w:color w:val="auto"/>
              </w:rPr>
            </w:pPr>
            <w:r>
              <w:rPr>
                <w:rFonts w:ascii="Arial" w:cs="Arial" w:eastAsia="Arial" w:hAnsi="Arial"/>
                <w:sz w:val="16"/>
                <w:szCs w:val="16"/>
                <w:color w:val="auto"/>
              </w:rPr>
              <w:t>​David P. McGlade</w:t>
            </w:r>
          </w:p>
        </w:tc>
        <w:tc>
          <w:tcPr>
            <w:tcW w:w="182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 ​</w:t>
            </w:r>
          </w:p>
        </w:tc>
        <w:tc>
          <w:tcPr>
            <w:tcW w:w="11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​117,782​</w:t>
            </w:r>
          </w:p>
        </w:tc>
        <w:tc>
          <w:tcPr>
            <w:tcW w:w="176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 ​ ​​188,708​​ ​ ​306,490​​</w:t>
            </w:r>
          </w:p>
        </w:tc>
        <w:tc>
          <w:tcPr>
            <w:tcW w:w="40" w:type="dxa"/>
            <w:vAlign w:val="bottom"/>
          </w:tcPr>
          <w:p>
            <w:pPr>
              <w:spacing w:after="0"/>
              <w:rPr>
                <w:sz w:val="17"/>
                <w:szCs w:val="17"/>
                <w:color w:val="auto"/>
              </w:rPr>
            </w:pPr>
          </w:p>
        </w:tc>
      </w:tr>
      <w:tr>
        <w:trPr>
          <w:trHeight w:val="203"/>
        </w:trPr>
        <w:tc>
          <w:tcPr>
            <w:tcW w:w="4660" w:type="dxa"/>
            <w:vAlign w:val="bottom"/>
            <w:gridSpan w:val="5"/>
          </w:tcPr>
          <w:p>
            <w:pPr>
              <w:ind w:left="40"/>
              <w:spacing w:after="0"/>
              <w:rPr>
                <w:sz w:val="20"/>
                <w:szCs w:val="20"/>
                <w:color w:val="auto"/>
              </w:rPr>
            </w:pPr>
            <w:r>
              <w:rPr>
                <w:rFonts w:ascii="Arial" w:cs="Arial" w:eastAsia="Arial" w:hAnsi="Arial"/>
                <w:sz w:val="16"/>
                <w:szCs w:val="16"/>
                <w:color w:val="auto"/>
              </w:rPr>
              <w:t>​Robert A. Schriesheim</w:t>
            </w:r>
          </w:p>
        </w:tc>
        <w:tc>
          <w:tcPr>
            <w:tcW w:w="1820" w:type="dxa"/>
            <w:vAlign w:val="bottom"/>
          </w:tcPr>
          <w:p>
            <w:pPr>
              <w:ind w:left="1620"/>
              <w:spacing w:after="0"/>
              <w:rPr>
                <w:sz w:val="20"/>
                <w:szCs w:val="20"/>
                <w:color w:val="auto"/>
              </w:rPr>
            </w:pPr>
            <w:r>
              <w:rPr>
                <w:rFonts w:ascii="Arial" w:cs="Arial" w:eastAsia="Arial" w:hAnsi="Arial"/>
                <w:sz w:val="16"/>
                <w:szCs w:val="16"/>
                <w:color w:val="auto"/>
              </w:rPr>
              <w:t>​ ​</w:t>
            </w:r>
          </w:p>
        </w:tc>
        <w:tc>
          <w:tcPr>
            <w:tcW w:w="1160" w:type="dxa"/>
            <w:vAlign w:val="bottom"/>
          </w:tcPr>
          <w:p>
            <w:pPr>
              <w:jc w:val="center"/>
              <w:spacing w:after="0"/>
              <w:rPr>
                <w:sz w:val="20"/>
                <w:szCs w:val="20"/>
                <w:color w:val="auto"/>
              </w:rPr>
            </w:pPr>
            <w:r>
              <w:rPr>
                <w:rFonts w:ascii="Arial" w:cs="Arial" w:eastAsia="Arial" w:hAnsi="Arial"/>
                <w:sz w:val="16"/>
                <w:szCs w:val="16"/>
                <w:color w:val="auto"/>
              </w:rPr>
              <w:t>​103,750​</w:t>
            </w:r>
          </w:p>
        </w:tc>
        <w:tc>
          <w:tcPr>
            <w:tcW w:w="1800" w:type="dxa"/>
            <w:vAlign w:val="bottom"/>
            <w:gridSpan w:val="4"/>
          </w:tcPr>
          <w:p>
            <w:pPr>
              <w:spacing w:after="0"/>
              <w:rPr>
                <w:sz w:val="20"/>
                <w:szCs w:val="20"/>
                <w:color w:val="auto"/>
              </w:rPr>
            </w:pPr>
            <w:r>
              <w:rPr>
                <w:rFonts w:ascii="Arial" w:cs="Arial" w:eastAsia="Arial" w:hAnsi="Arial"/>
                <w:sz w:val="16"/>
                <w:szCs w:val="16"/>
                <w:color w:val="auto"/>
              </w:rPr>
              <w:t>​ ​ ​​188,708​​ ​ ​292,458​​</w:t>
            </w:r>
          </w:p>
        </w:tc>
      </w:tr>
      <w:tr>
        <w:trPr>
          <w:trHeight w:val="216"/>
        </w:trPr>
        <w:tc>
          <w:tcPr>
            <w:tcW w:w="4660" w:type="dxa"/>
            <w:vAlign w:val="bottom"/>
            <w:tcBorders>
              <w:bottom w:val="single" w:sz="8" w:color="BFBFBF"/>
            </w:tcBorders>
            <w:gridSpan w:val="5"/>
            <w:shd w:val="clear" w:color="auto" w:fill="E5E5E5"/>
          </w:tcPr>
          <w:p>
            <w:pPr>
              <w:ind w:left="40"/>
              <w:spacing w:after="0"/>
              <w:rPr>
                <w:sz w:val="20"/>
                <w:szCs w:val="20"/>
                <w:color w:val="auto"/>
              </w:rPr>
            </w:pPr>
            <w:r>
              <w:rPr>
                <w:rFonts w:ascii="Arial" w:cs="Arial" w:eastAsia="Arial" w:hAnsi="Arial"/>
                <w:sz w:val="16"/>
                <w:szCs w:val="16"/>
                <w:color w:val="auto"/>
              </w:rPr>
              <w:t>​Kimberly S. Stevenson, Former Director</w:t>
            </w:r>
            <w:r>
              <w:rPr>
                <w:rFonts w:ascii="Arial" w:cs="Arial" w:eastAsia="Arial" w:hAnsi="Arial"/>
                <w:sz w:val="16"/>
                <w:szCs w:val="16"/>
                <w:color w:val="0075A8"/>
              </w:rPr>
              <w:t>(3)</w:t>
            </w:r>
          </w:p>
        </w:tc>
        <w:tc>
          <w:tcPr>
            <w:tcW w:w="1820" w:type="dxa"/>
            <w:vAlign w:val="bottom"/>
            <w:tcBorders>
              <w:bottom w:val="single" w:sz="8" w:color="BFBFBF"/>
            </w:tcBorders>
            <w:shd w:val="clear" w:color="auto" w:fill="E5E5E5"/>
          </w:tcPr>
          <w:p>
            <w:pPr>
              <w:ind w:left="16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BFBFBF"/>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52,356​</w:t>
            </w:r>
          </w:p>
        </w:tc>
        <w:tc>
          <w:tcPr>
            <w:tcW w:w="320" w:type="dxa"/>
            <w:vAlign w:val="bottom"/>
            <w:tcBorders>
              <w:bottom w:val="single" w:sz="8" w:color="BFBFBF"/>
            </w:tcBorders>
            <w:shd w:val="clear" w:color="auto" w:fill="E5E5E5"/>
          </w:tcPr>
          <w:p>
            <w:pPr>
              <w:spacing w:after="0"/>
              <w:rPr>
                <w:sz w:val="20"/>
                <w:szCs w:val="20"/>
                <w:color w:val="auto"/>
              </w:rPr>
            </w:pPr>
            <w:r>
              <w:rPr>
                <w:rFonts w:ascii="Arial" w:cs="Arial" w:eastAsia="Arial" w:hAnsi="Arial"/>
                <w:sz w:val="16"/>
                <w:szCs w:val="16"/>
                <w:color w:val="auto"/>
              </w:rPr>
              <w:t>​ ​ ​</w:t>
            </w:r>
            <w:r>
              <w:rPr>
                <w:rFonts w:ascii="Arial" w:cs="Arial" w:eastAsia="Arial" w:hAnsi="Arial"/>
                <w:sz w:val="16"/>
                <w:szCs w:val="16"/>
                <w:b w:val="1"/>
                <w:bCs w:val="1"/>
                <w:color w:val="auto"/>
              </w:rPr>
              <w:t>​</w:t>
            </w:r>
          </w:p>
        </w:tc>
        <w:tc>
          <w:tcPr>
            <w:tcW w:w="1440" w:type="dxa"/>
            <w:vAlign w:val="bottom"/>
            <w:tcBorders>
              <w:bottom w:val="single" w:sz="8" w:color="BFBFBF"/>
            </w:tcBorders>
            <w:gridSpan w:val="2"/>
            <w:shd w:val="clear" w:color="auto" w:fill="E5E5E5"/>
          </w:tcPr>
          <w:p>
            <w:pPr>
              <w:ind w:left="3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w:t>
            </w:r>
            <w:r>
              <w:rPr>
                <w:rFonts w:ascii="Arial" w:cs="Arial" w:eastAsia="Arial" w:hAnsi="Arial"/>
                <w:sz w:val="16"/>
                <w:szCs w:val="16"/>
                <w:color w:val="auto"/>
              </w:rPr>
              <w:t xml:space="preserve"> 52,356</w:t>
            </w:r>
            <w:r>
              <w:rPr>
                <w:rFonts w:ascii="Arial" w:cs="Arial" w:eastAsia="Arial" w:hAnsi="Arial"/>
                <w:sz w:val="16"/>
                <w:szCs w:val="16"/>
                <w:b w:val="1"/>
                <w:bCs w:val="1"/>
                <w:color w:val="auto"/>
              </w:rPr>
              <w:t>​</w:t>
            </w: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21" w:lineRule="exact"/>
        <w:rPr>
          <w:sz w:val="20"/>
          <w:szCs w:val="20"/>
          <w:color w:val="auto"/>
        </w:rPr>
      </w:pPr>
    </w:p>
    <w:p>
      <w:pPr>
        <w:ind w:left="1080" w:right="160" w:hanging="354"/>
        <w:spacing w:after="0" w:line="281" w:lineRule="auto"/>
        <w:tabs>
          <w:tab w:leader="none" w:pos="108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The non-employee members of the Board who were directors on September 30, 2022, held the following aggregate number of unexercised stock options and unvested RSU awards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52705</wp:posOffset>
            </wp:positionV>
            <wp:extent cx="4603115" cy="6515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603115" cy="651510"/>
                    </a:xfrm>
                    <a:prstGeom prst="rect">
                      <a:avLst/>
                    </a:prstGeom>
                    <a:noFill/>
                  </pic:spPr>
                </pic:pic>
              </a:graphicData>
            </a:graphic>
          </wp:anchor>
        </w:drawing>
      </w:r>
    </w:p>
    <w:p>
      <w:pPr>
        <w:spacing w:after="0" w:line="63" w:lineRule="exact"/>
        <w:rPr>
          <w:sz w:val="20"/>
          <w:szCs w:val="20"/>
          <w:color w:val="auto"/>
        </w:rPr>
      </w:pPr>
    </w:p>
    <w:tbl>
      <w:tblPr>
        <w:tblLayout w:type="fixed"/>
        <w:tblInd w:w="1740" w:type="dxa"/>
        <w:tblCellMar>
          <w:top w:w="0" w:type="dxa"/>
          <w:left w:w="0" w:type="dxa"/>
          <w:bottom w:w="0" w:type="dxa"/>
          <w:right w:w="0" w:type="dxa"/>
        </w:tblCellMar>
      </w:tblPr>
      <w:tr>
        <w:trPr>
          <w:trHeight w:val="229"/>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FFFFFF"/>
                <w:w w:val="99"/>
              </w:rPr>
              <w:t>Number of</w:t>
            </w: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FFFFFF"/>
              </w:rPr>
              <w:t>Securities</w:t>
            </w: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FFFFFF"/>
                <w:w w:val="99"/>
              </w:rPr>
              <w:t>Underlying</w:t>
            </w:r>
          </w:p>
        </w:tc>
        <w:tc>
          <w:tcPr>
            <w:tcW w:w="1740" w:type="dxa"/>
            <w:vAlign w:val="bottom"/>
            <w:gridSpan w:val="2"/>
          </w:tcPr>
          <w:p>
            <w:pPr>
              <w:jc w:val="center"/>
              <w:ind w:left="197"/>
              <w:spacing w:after="0" w:line="202" w:lineRule="exact"/>
              <w:rPr>
                <w:sz w:val="20"/>
                <w:szCs w:val="20"/>
                <w:color w:val="auto"/>
              </w:rPr>
            </w:pPr>
            <w:r>
              <w:rPr>
                <w:rFonts w:ascii="Arial" w:cs="Arial" w:eastAsia="Arial" w:hAnsi="Arial"/>
                <w:sz w:val="18"/>
                <w:szCs w:val="18"/>
                <w:color w:val="FFFFFF"/>
                <w:w w:val="99"/>
              </w:rPr>
              <w:t>Number of Shares</w:t>
            </w:r>
          </w:p>
        </w:tc>
        <w:tc>
          <w:tcPr>
            <w:tcW w:w="100" w:type="dxa"/>
            <w:vAlign w:val="bottom"/>
          </w:tcPr>
          <w:p>
            <w:pPr>
              <w:spacing w:after="0"/>
              <w:rPr>
                <w:sz w:val="17"/>
                <w:szCs w:val="17"/>
                <w:color w:val="auto"/>
              </w:rPr>
            </w:pPr>
          </w:p>
        </w:tc>
      </w:tr>
      <w:tr>
        <w:trPr>
          <w:trHeight w:val="189"/>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FFFFFF"/>
                <w:w w:val="99"/>
              </w:rPr>
              <w:t>Unexercised</w:t>
            </w:r>
          </w:p>
        </w:tc>
        <w:tc>
          <w:tcPr>
            <w:tcW w:w="3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8"/>
                <w:szCs w:val="18"/>
                <w:color w:val="FFFFFF"/>
                <w:w w:val="99"/>
              </w:rPr>
              <w:t>Subject to</w:t>
            </w:r>
          </w:p>
        </w:tc>
        <w:tc>
          <w:tcPr>
            <w:tcW w:w="100" w:type="dxa"/>
            <w:vAlign w:val="bottom"/>
          </w:tcPr>
          <w:p>
            <w:pPr>
              <w:spacing w:after="0"/>
              <w:rPr>
                <w:sz w:val="16"/>
                <w:szCs w:val="16"/>
                <w:color w:val="auto"/>
              </w:rPr>
            </w:pPr>
          </w:p>
        </w:tc>
      </w:tr>
      <w:tr>
        <w:trPr>
          <w:trHeight w:val="217"/>
        </w:trPr>
        <w:tc>
          <w:tcPr>
            <w:tcW w:w="700" w:type="dxa"/>
            <w:vAlign w:val="bottom"/>
            <w:gridSpan w:val="3"/>
          </w:tcPr>
          <w:p>
            <w:pPr>
              <w:ind w:left="20"/>
              <w:spacing w:after="0"/>
              <w:rPr>
                <w:sz w:val="20"/>
                <w:szCs w:val="20"/>
                <w:color w:val="auto"/>
              </w:rPr>
            </w:pPr>
            <w:r>
              <w:rPr>
                <w:rFonts w:ascii="Arial" w:cs="Arial" w:eastAsia="Arial" w:hAnsi="Arial"/>
                <w:sz w:val="18"/>
                <w:szCs w:val="18"/>
                <w:color w:val="FFFFFF"/>
              </w:rPr>
              <w:t>​Name</w:t>
            </w:r>
          </w:p>
        </w:tc>
        <w:tc>
          <w:tcPr>
            <w:tcW w:w="292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8"/>
                <w:szCs w:val="18"/>
                <w:color w:val="FFFFFF"/>
              </w:rPr>
              <w:t>​ ​</w:t>
            </w:r>
          </w:p>
        </w:tc>
        <w:tc>
          <w:tcPr>
            <w:tcW w:w="1020" w:type="dxa"/>
            <w:vAlign w:val="bottom"/>
          </w:tcPr>
          <w:p>
            <w:pPr>
              <w:jc w:val="center"/>
              <w:spacing w:after="0"/>
              <w:rPr>
                <w:sz w:val="20"/>
                <w:szCs w:val="20"/>
                <w:color w:val="auto"/>
              </w:rPr>
            </w:pPr>
            <w:r>
              <w:rPr>
                <w:rFonts w:ascii="Arial" w:cs="Arial" w:eastAsia="Arial" w:hAnsi="Arial"/>
                <w:sz w:val="18"/>
                <w:szCs w:val="18"/>
                <w:color w:val="FFFFFF"/>
                <w:w w:val="99"/>
              </w:rPr>
              <w:t>Options</w:t>
            </w:r>
          </w:p>
        </w:tc>
        <w:tc>
          <w:tcPr>
            <w:tcW w:w="320" w:type="dxa"/>
            <w:vAlign w:val="bottom"/>
          </w:tcPr>
          <w:p>
            <w:pPr>
              <w:jc w:val="center"/>
              <w:spacing w:after="0"/>
              <w:rPr>
                <w:sz w:val="20"/>
                <w:szCs w:val="20"/>
                <w:color w:val="auto"/>
              </w:rPr>
            </w:pPr>
            <w:r>
              <w:rPr>
                <w:rFonts w:ascii="Arial" w:cs="Arial" w:eastAsia="Arial" w:hAnsi="Arial"/>
                <w:sz w:val="18"/>
                <w:szCs w:val="18"/>
                <w:color w:val="FFFFFF"/>
              </w:rPr>
              <w:t>​ ​</w:t>
            </w:r>
          </w:p>
        </w:tc>
        <w:tc>
          <w:tcPr>
            <w:tcW w:w="1420" w:type="dxa"/>
            <w:vAlign w:val="bottom"/>
          </w:tcPr>
          <w:p>
            <w:pPr>
              <w:jc w:val="center"/>
              <w:spacing w:after="0"/>
              <w:rPr>
                <w:sz w:val="20"/>
                <w:szCs w:val="20"/>
                <w:color w:val="auto"/>
              </w:rPr>
            </w:pPr>
            <w:r>
              <w:rPr>
                <w:rFonts w:ascii="Arial" w:cs="Arial" w:eastAsia="Arial" w:hAnsi="Arial"/>
                <w:sz w:val="18"/>
                <w:szCs w:val="18"/>
                <w:color w:val="FFFFFF"/>
                <w:w w:val="99"/>
              </w:rPr>
              <w:t>Unvested RSUs</w:t>
            </w:r>
          </w:p>
        </w:tc>
        <w:tc>
          <w:tcPr>
            <w:tcW w:w="100" w:type="dxa"/>
            <w:vAlign w:val="bottom"/>
          </w:tcPr>
          <w:p>
            <w:pPr>
              <w:jc w:val="right"/>
              <w:spacing w:after="0"/>
              <w:rPr>
                <w:sz w:val="20"/>
                <w:szCs w:val="20"/>
                <w:color w:val="auto"/>
              </w:rPr>
            </w:pPr>
            <w:r>
              <w:rPr>
                <w:rFonts w:ascii="Arial" w:cs="Arial" w:eastAsia="Arial" w:hAnsi="Arial"/>
                <w:sz w:val="18"/>
                <w:szCs w:val="18"/>
                <w:color w:val="FFFFFF"/>
              </w:rPr>
              <w:t>​</w:t>
            </w:r>
          </w:p>
        </w:tc>
      </w:tr>
      <w:tr>
        <w:trPr>
          <w:trHeight w:val="189"/>
        </w:trPr>
        <w:tc>
          <w:tcPr>
            <w:tcW w:w="700" w:type="dxa"/>
            <w:vAlign w:val="bottom"/>
            <w:gridSpan w:val="3"/>
          </w:tcPr>
          <w:p>
            <w:pPr>
              <w:ind w:left="40"/>
              <w:spacing w:after="0"/>
              <w:rPr>
                <w:sz w:val="20"/>
                <w:szCs w:val="20"/>
                <w:color w:val="auto"/>
              </w:rPr>
            </w:pPr>
            <w:r>
              <w:rPr>
                <w:rFonts w:ascii="Arial" w:cs="Arial" w:eastAsia="Arial" w:hAnsi="Arial"/>
                <w:sz w:val="16"/>
                <w:szCs w:val="16"/>
                <w:color w:val="auto"/>
              </w:rPr>
              <w:t>Christine​</w:t>
            </w:r>
          </w:p>
        </w:tc>
        <w:tc>
          <w:tcPr>
            <w:tcW w:w="2920" w:type="dxa"/>
            <w:vAlign w:val="bottom"/>
          </w:tcPr>
          <w:p>
            <w:pPr>
              <w:ind w:left="20"/>
              <w:spacing w:after="0"/>
              <w:rPr>
                <w:sz w:val="20"/>
                <w:szCs w:val="20"/>
                <w:color w:val="auto"/>
              </w:rPr>
            </w:pPr>
            <w:r>
              <w:rPr>
                <w:rFonts w:ascii="Arial" w:cs="Arial" w:eastAsia="Arial" w:hAnsi="Arial"/>
                <w:sz w:val="16"/>
                <w:szCs w:val="16"/>
                <w:color w:val="auto"/>
              </w:rPr>
              <w:t>King, Lead Independent Director</w:t>
            </w:r>
          </w:p>
        </w:tc>
        <w:tc>
          <w:tcPr>
            <w:tcW w:w="800" w:type="dxa"/>
            <w:vAlign w:val="bottom"/>
          </w:tcPr>
          <w:p>
            <w:pPr>
              <w:ind w:left="640"/>
              <w:spacing w:after="0"/>
              <w:rPr>
                <w:sz w:val="20"/>
                <w:szCs w:val="20"/>
                <w:color w:val="auto"/>
              </w:rPr>
            </w:pPr>
            <w:r>
              <w:rPr>
                <w:rFonts w:ascii="Arial" w:cs="Arial" w:eastAsia="Arial" w:hAnsi="Arial"/>
                <w:sz w:val="16"/>
                <w:szCs w:val="16"/>
                <w:color w:val="auto"/>
              </w:rPr>
              <w:t>​ ​</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 ​ ​</w:t>
            </w:r>
          </w:p>
        </w:tc>
        <w:tc>
          <w:tcPr>
            <w:tcW w:w="1420" w:type="dxa"/>
            <w:vAlign w:val="bottom"/>
          </w:tcPr>
          <w:p>
            <w:pPr>
              <w:jc w:val="center"/>
              <w:spacing w:after="0"/>
              <w:rPr>
                <w:sz w:val="20"/>
                <w:szCs w:val="20"/>
                <w:color w:val="auto"/>
              </w:rPr>
            </w:pPr>
            <w:r>
              <w:rPr>
                <w:rFonts w:ascii="Arial" w:cs="Arial" w:eastAsia="Arial" w:hAnsi="Arial"/>
                <w:sz w:val="16"/>
                <w:szCs w:val="16"/>
                <w:color w:val="auto"/>
              </w:rPr>
              <w:t>​1,900</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60" w:type="dxa"/>
            <w:vAlign w:val="bottom"/>
          </w:tcPr>
          <w:p>
            <w:pPr>
              <w:ind w:left="40"/>
              <w:spacing w:after="0"/>
              <w:rPr>
                <w:sz w:val="20"/>
                <w:szCs w:val="20"/>
                <w:color w:val="auto"/>
              </w:rPr>
            </w:pPr>
            <w:r>
              <w:rPr>
                <w:rFonts w:ascii="Arial" w:cs="Arial" w:eastAsia="Arial" w:hAnsi="Arial"/>
                <w:sz w:val="16"/>
                <w:szCs w:val="16"/>
                <w:color w:val="auto"/>
                <w:w w:val="93"/>
              </w:rPr>
              <w:t>Alan​</w:t>
            </w:r>
          </w:p>
        </w:tc>
        <w:tc>
          <w:tcPr>
            <w:tcW w:w="3260" w:type="dxa"/>
            <w:vAlign w:val="bottom"/>
            <w:gridSpan w:val="3"/>
          </w:tcPr>
          <w:p>
            <w:pPr>
              <w:jc w:val="right"/>
              <w:ind w:right="2519"/>
              <w:spacing w:after="0"/>
              <w:rPr>
                <w:sz w:val="20"/>
                <w:szCs w:val="20"/>
                <w:color w:val="auto"/>
              </w:rPr>
            </w:pPr>
            <w:r>
              <w:rPr>
                <w:rFonts w:ascii="Arial" w:cs="Arial" w:eastAsia="Arial" w:hAnsi="Arial"/>
                <w:sz w:val="16"/>
                <w:szCs w:val="16"/>
                <w:color w:val="auto"/>
              </w:rPr>
              <w:t>S. Batey</w:t>
            </w:r>
          </w:p>
        </w:tc>
        <w:tc>
          <w:tcPr>
            <w:tcW w:w="800" w:type="dxa"/>
            <w:vAlign w:val="bottom"/>
          </w:tcPr>
          <w:p>
            <w:pPr>
              <w:ind w:left="640"/>
              <w:spacing w:after="0"/>
              <w:rPr>
                <w:sz w:val="20"/>
                <w:szCs w:val="20"/>
                <w:color w:val="auto"/>
              </w:rPr>
            </w:pPr>
            <w:r>
              <w:rPr>
                <w:rFonts w:ascii="Arial" w:cs="Arial" w:eastAsia="Arial" w:hAnsi="Arial"/>
                <w:sz w:val="16"/>
                <w:szCs w:val="16"/>
                <w:color w:val="auto"/>
              </w:rPr>
              <w:t>​ ​</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 ​ ​</w:t>
            </w:r>
          </w:p>
        </w:tc>
        <w:tc>
          <w:tcPr>
            <w:tcW w:w="1420" w:type="dxa"/>
            <w:vAlign w:val="bottom"/>
          </w:tcPr>
          <w:p>
            <w:pPr>
              <w:jc w:val="center"/>
              <w:spacing w:after="0"/>
              <w:rPr>
                <w:sz w:val="20"/>
                <w:szCs w:val="20"/>
                <w:color w:val="auto"/>
              </w:rPr>
            </w:pPr>
            <w:r>
              <w:rPr>
                <w:rFonts w:ascii="Arial" w:cs="Arial" w:eastAsia="Arial" w:hAnsi="Arial"/>
                <w:sz w:val="16"/>
                <w:szCs w:val="16"/>
                <w:color w:val="auto"/>
              </w:rPr>
              <w:t>​1,900</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60" w:type="dxa"/>
            <w:vAlign w:val="bottom"/>
            <w:gridSpan w:val="2"/>
          </w:tcPr>
          <w:p>
            <w:pPr>
              <w:ind w:left="40"/>
              <w:spacing w:after="0"/>
              <w:rPr>
                <w:sz w:val="20"/>
                <w:szCs w:val="20"/>
                <w:color w:val="auto"/>
              </w:rPr>
            </w:pPr>
            <w:r>
              <w:rPr>
                <w:rFonts w:ascii="Arial" w:cs="Arial" w:eastAsia="Arial" w:hAnsi="Arial"/>
                <w:sz w:val="16"/>
                <w:szCs w:val="16"/>
                <w:color w:val="auto"/>
                <w:w w:val="99"/>
              </w:rPr>
              <w:t>Kevin​</w:t>
            </w:r>
          </w:p>
        </w:tc>
        <w:tc>
          <w:tcPr>
            <w:tcW w:w="3160" w:type="dxa"/>
            <w:vAlign w:val="bottom"/>
            <w:gridSpan w:val="2"/>
          </w:tcPr>
          <w:p>
            <w:pPr>
              <w:jc w:val="right"/>
              <w:ind w:right="2399"/>
              <w:spacing w:after="0"/>
              <w:rPr>
                <w:sz w:val="20"/>
                <w:szCs w:val="20"/>
                <w:color w:val="auto"/>
              </w:rPr>
            </w:pPr>
            <w:r>
              <w:rPr>
                <w:rFonts w:ascii="Arial" w:cs="Arial" w:eastAsia="Arial" w:hAnsi="Arial"/>
                <w:sz w:val="16"/>
                <w:szCs w:val="16"/>
                <w:color w:val="auto"/>
              </w:rPr>
              <w:t>L. Beebe</w:t>
            </w:r>
          </w:p>
        </w:tc>
        <w:tc>
          <w:tcPr>
            <w:tcW w:w="800" w:type="dxa"/>
            <w:vAlign w:val="bottom"/>
          </w:tcPr>
          <w:p>
            <w:pPr>
              <w:ind w:left="640"/>
              <w:spacing w:after="0"/>
              <w:rPr>
                <w:sz w:val="20"/>
                <w:szCs w:val="20"/>
                <w:color w:val="auto"/>
              </w:rPr>
            </w:pPr>
            <w:r>
              <w:rPr>
                <w:rFonts w:ascii="Arial" w:cs="Arial" w:eastAsia="Arial" w:hAnsi="Arial"/>
                <w:sz w:val="16"/>
                <w:szCs w:val="16"/>
                <w:color w:val="auto"/>
              </w:rPr>
              <w:t>​ ​</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 ​ ​</w:t>
            </w:r>
          </w:p>
        </w:tc>
        <w:tc>
          <w:tcPr>
            <w:tcW w:w="1420" w:type="dxa"/>
            <w:vAlign w:val="bottom"/>
          </w:tcPr>
          <w:p>
            <w:pPr>
              <w:jc w:val="center"/>
              <w:spacing w:after="0"/>
              <w:rPr>
                <w:sz w:val="20"/>
                <w:szCs w:val="20"/>
                <w:color w:val="auto"/>
              </w:rPr>
            </w:pPr>
            <w:r>
              <w:rPr>
                <w:rFonts w:ascii="Arial" w:cs="Arial" w:eastAsia="Arial" w:hAnsi="Arial"/>
                <w:sz w:val="16"/>
                <w:szCs w:val="16"/>
                <w:color w:val="auto"/>
              </w:rPr>
              <w:t>​1,900</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60" w:type="dxa"/>
            <w:vAlign w:val="bottom"/>
          </w:tcPr>
          <w:p>
            <w:pPr>
              <w:ind w:left="40"/>
              <w:spacing w:after="0"/>
              <w:rPr>
                <w:sz w:val="20"/>
                <w:szCs w:val="20"/>
                <w:color w:val="auto"/>
              </w:rPr>
            </w:pPr>
            <w:r>
              <w:rPr>
                <w:rFonts w:ascii="Arial" w:cs="Arial" w:eastAsia="Arial" w:hAnsi="Arial"/>
                <w:sz w:val="16"/>
                <w:szCs w:val="16"/>
                <w:color w:val="auto"/>
              </w:rPr>
              <w:t>Eric​</w:t>
            </w:r>
          </w:p>
        </w:tc>
        <w:tc>
          <w:tcPr>
            <w:tcW w:w="3260" w:type="dxa"/>
            <w:vAlign w:val="bottom"/>
            <w:gridSpan w:val="3"/>
          </w:tcPr>
          <w:p>
            <w:pPr>
              <w:jc w:val="right"/>
              <w:ind w:right="2519"/>
              <w:spacing w:after="0"/>
              <w:rPr>
                <w:sz w:val="20"/>
                <w:szCs w:val="20"/>
                <w:color w:val="auto"/>
              </w:rPr>
            </w:pPr>
            <w:r>
              <w:rPr>
                <w:rFonts w:ascii="Arial" w:cs="Arial" w:eastAsia="Arial" w:hAnsi="Arial"/>
                <w:sz w:val="16"/>
                <w:szCs w:val="16"/>
                <w:color w:val="auto"/>
                <w:w w:val="98"/>
              </w:rPr>
              <w:t>J. Guerin</w:t>
            </w:r>
          </w:p>
        </w:tc>
        <w:tc>
          <w:tcPr>
            <w:tcW w:w="800" w:type="dxa"/>
            <w:vAlign w:val="bottom"/>
          </w:tcPr>
          <w:p>
            <w:pPr>
              <w:ind w:left="640"/>
              <w:spacing w:after="0"/>
              <w:rPr>
                <w:sz w:val="20"/>
                <w:szCs w:val="20"/>
                <w:color w:val="auto"/>
              </w:rPr>
            </w:pPr>
            <w:r>
              <w:rPr>
                <w:rFonts w:ascii="Arial" w:cs="Arial" w:eastAsia="Arial" w:hAnsi="Arial"/>
                <w:sz w:val="16"/>
                <w:szCs w:val="16"/>
                <w:color w:val="auto"/>
              </w:rPr>
              <w:t>​ ​</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 ​ ​</w:t>
            </w:r>
          </w:p>
        </w:tc>
        <w:tc>
          <w:tcPr>
            <w:tcW w:w="1420" w:type="dxa"/>
            <w:vAlign w:val="bottom"/>
          </w:tcPr>
          <w:p>
            <w:pPr>
              <w:jc w:val="center"/>
              <w:spacing w:after="0"/>
              <w:rPr>
                <w:sz w:val="20"/>
                <w:szCs w:val="20"/>
                <w:color w:val="auto"/>
              </w:rPr>
            </w:pPr>
            <w:r>
              <w:rPr>
                <w:rFonts w:ascii="Arial" w:cs="Arial" w:eastAsia="Arial" w:hAnsi="Arial"/>
                <w:sz w:val="16"/>
                <w:szCs w:val="16"/>
                <w:color w:val="auto"/>
              </w:rPr>
              <w:t>​3,240</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00" w:type="dxa"/>
            <w:vAlign w:val="bottom"/>
            <w:gridSpan w:val="3"/>
          </w:tcPr>
          <w:p>
            <w:pPr>
              <w:ind w:left="40"/>
              <w:spacing w:after="0"/>
              <w:rPr>
                <w:sz w:val="20"/>
                <w:szCs w:val="20"/>
                <w:color w:val="auto"/>
              </w:rPr>
            </w:pPr>
            <w:r>
              <w:rPr>
                <w:rFonts w:ascii="Arial" w:cs="Arial" w:eastAsia="Arial" w:hAnsi="Arial"/>
                <w:sz w:val="16"/>
                <w:szCs w:val="16"/>
                <w:color w:val="auto"/>
              </w:rPr>
              <w:t>Suzanne​</w:t>
            </w:r>
          </w:p>
        </w:tc>
        <w:tc>
          <w:tcPr>
            <w:tcW w:w="2920" w:type="dxa"/>
            <w:vAlign w:val="bottom"/>
          </w:tcPr>
          <w:p>
            <w:pPr>
              <w:ind w:left="20"/>
              <w:spacing w:after="0"/>
              <w:rPr>
                <w:sz w:val="20"/>
                <w:szCs w:val="20"/>
                <w:color w:val="auto"/>
              </w:rPr>
            </w:pPr>
            <w:r>
              <w:rPr>
                <w:rFonts w:ascii="Arial" w:cs="Arial" w:eastAsia="Arial" w:hAnsi="Arial"/>
                <w:sz w:val="16"/>
                <w:szCs w:val="16"/>
                <w:color w:val="auto"/>
              </w:rPr>
              <w:t>E. McBride</w:t>
            </w:r>
          </w:p>
        </w:tc>
        <w:tc>
          <w:tcPr>
            <w:tcW w:w="800" w:type="dxa"/>
            <w:vAlign w:val="bottom"/>
          </w:tcPr>
          <w:p>
            <w:pPr>
              <w:ind w:left="640"/>
              <w:spacing w:after="0"/>
              <w:rPr>
                <w:sz w:val="20"/>
                <w:szCs w:val="20"/>
                <w:color w:val="auto"/>
              </w:rPr>
            </w:pPr>
            <w:r>
              <w:rPr>
                <w:rFonts w:ascii="Arial" w:cs="Arial" w:eastAsia="Arial" w:hAnsi="Arial"/>
                <w:sz w:val="16"/>
                <w:szCs w:val="16"/>
                <w:color w:val="auto"/>
              </w:rPr>
              <w:t>​ ​</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 ​ ​</w:t>
            </w:r>
          </w:p>
        </w:tc>
        <w:tc>
          <w:tcPr>
            <w:tcW w:w="1420" w:type="dxa"/>
            <w:vAlign w:val="bottom"/>
          </w:tcPr>
          <w:p>
            <w:pPr>
              <w:jc w:val="center"/>
              <w:spacing w:after="0"/>
              <w:rPr>
                <w:sz w:val="20"/>
                <w:szCs w:val="20"/>
                <w:color w:val="auto"/>
              </w:rPr>
            </w:pPr>
            <w:r>
              <w:rPr>
                <w:rFonts w:ascii="Arial" w:cs="Arial" w:eastAsia="Arial" w:hAnsi="Arial"/>
                <w:sz w:val="16"/>
                <w:szCs w:val="16"/>
                <w:color w:val="auto"/>
              </w:rPr>
              <w:t>​3,248</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60" w:type="dxa"/>
            <w:vAlign w:val="bottom"/>
            <w:gridSpan w:val="2"/>
          </w:tcPr>
          <w:p>
            <w:pPr>
              <w:ind w:left="40"/>
              <w:spacing w:after="0"/>
              <w:rPr>
                <w:sz w:val="20"/>
                <w:szCs w:val="20"/>
                <w:color w:val="auto"/>
              </w:rPr>
            </w:pPr>
            <w:r>
              <w:rPr>
                <w:rFonts w:ascii="Arial" w:cs="Arial" w:eastAsia="Arial" w:hAnsi="Arial"/>
                <w:sz w:val="16"/>
                <w:szCs w:val="16"/>
                <w:color w:val="auto"/>
                <w:w w:val="97"/>
              </w:rPr>
              <w:t>David​</w:t>
            </w:r>
          </w:p>
        </w:tc>
        <w:tc>
          <w:tcPr>
            <w:tcW w:w="3160" w:type="dxa"/>
            <w:vAlign w:val="bottom"/>
            <w:gridSpan w:val="2"/>
          </w:tcPr>
          <w:p>
            <w:pPr>
              <w:jc w:val="right"/>
              <w:ind w:right="2219"/>
              <w:spacing w:after="0"/>
              <w:rPr>
                <w:sz w:val="20"/>
                <w:szCs w:val="20"/>
                <w:color w:val="auto"/>
              </w:rPr>
            </w:pPr>
            <w:r>
              <w:rPr>
                <w:rFonts w:ascii="Arial" w:cs="Arial" w:eastAsia="Arial" w:hAnsi="Arial"/>
                <w:sz w:val="16"/>
                <w:szCs w:val="16"/>
                <w:color w:val="auto"/>
              </w:rPr>
              <w:t>P. McGlade</w:t>
            </w:r>
          </w:p>
        </w:tc>
        <w:tc>
          <w:tcPr>
            <w:tcW w:w="800" w:type="dxa"/>
            <w:vAlign w:val="bottom"/>
          </w:tcPr>
          <w:p>
            <w:pPr>
              <w:ind w:left="640"/>
              <w:spacing w:after="0"/>
              <w:rPr>
                <w:sz w:val="20"/>
                <w:szCs w:val="20"/>
                <w:color w:val="auto"/>
              </w:rPr>
            </w:pPr>
            <w:r>
              <w:rPr>
                <w:rFonts w:ascii="Arial" w:cs="Arial" w:eastAsia="Arial" w:hAnsi="Arial"/>
                <w:sz w:val="16"/>
                <w:szCs w:val="16"/>
                <w:color w:val="auto"/>
              </w:rPr>
              <w:t>​ ​</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 ​ ​</w:t>
            </w:r>
          </w:p>
        </w:tc>
        <w:tc>
          <w:tcPr>
            <w:tcW w:w="1420" w:type="dxa"/>
            <w:vAlign w:val="bottom"/>
          </w:tcPr>
          <w:p>
            <w:pPr>
              <w:jc w:val="center"/>
              <w:spacing w:after="0"/>
              <w:rPr>
                <w:sz w:val="20"/>
                <w:szCs w:val="20"/>
                <w:color w:val="auto"/>
              </w:rPr>
            </w:pPr>
            <w:r>
              <w:rPr>
                <w:rFonts w:ascii="Arial" w:cs="Arial" w:eastAsia="Arial" w:hAnsi="Arial"/>
                <w:sz w:val="16"/>
                <w:szCs w:val="16"/>
                <w:color w:val="auto"/>
              </w:rPr>
              <w:t>​1,900</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620" w:type="dxa"/>
            <w:vAlign w:val="bottom"/>
            <w:gridSpan w:val="4"/>
          </w:tcPr>
          <w:p>
            <w:pPr>
              <w:ind w:left="40"/>
              <w:spacing w:after="0"/>
              <w:rPr>
                <w:sz w:val="20"/>
                <w:szCs w:val="20"/>
                <w:color w:val="auto"/>
              </w:rPr>
            </w:pPr>
            <w:r>
              <w:rPr>
                <w:rFonts w:ascii="Arial" w:cs="Arial" w:eastAsia="Arial" w:hAnsi="Arial"/>
                <w:sz w:val="16"/>
                <w:szCs w:val="16"/>
                <w:color w:val="auto"/>
              </w:rPr>
              <w:t>​Robert A. Schriesheim</w:t>
            </w:r>
          </w:p>
        </w:tc>
        <w:tc>
          <w:tcPr>
            <w:tcW w:w="800" w:type="dxa"/>
            <w:vAlign w:val="bottom"/>
          </w:tcPr>
          <w:p>
            <w:pPr>
              <w:ind w:left="640"/>
              <w:spacing w:after="0"/>
              <w:rPr>
                <w:sz w:val="20"/>
                <w:szCs w:val="20"/>
                <w:color w:val="auto"/>
              </w:rPr>
            </w:pPr>
            <w:r>
              <w:rPr>
                <w:rFonts w:ascii="Arial" w:cs="Arial" w:eastAsia="Arial" w:hAnsi="Arial"/>
                <w:sz w:val="16"/>
                <w:szCs w:val="16"/>
                <w:color w:val="auto"/>
              </w:rPr>
              <w:t>​ ​</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 ​ ​</w:t>
            </w:r>
          </w:p>
        </w:tc>
        <w:tc>
          <w:tcPr>
            <w:tcW w:w="1420" w:type="dxa"/>
            <w:vAlign w:val="bottom"/>
          </w:tcPr>
          <w:p>
            <w:pPr>
              <w:jc w:val="center"/>
              <w:spacing w:after="0"/>
              <w:rPr>
                <w:sz w:val="20"/>
                <w:szCs w:val="20"/>
                <w:color w:val="auto"/>
              </w:rPr>
            </w:pPr>
            <w:r>
              <w:rPr>
                <w:rFonts w:ascii="Arial" w:cs="Arial" w:eastAsia="Arial" w:hAnsi="Arial"/>
                <w:sz w:val="16"/>
                <w:szCs w:val="16"/>
                <w:color w:val="auto"/>
              </w:rPr>
              <w:t>​1,900</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-890905</wp:posOffset>
            </wp:positionV>
            <wp:extent cx="4603115" cy="1200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603115" cy="12001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-650875</wp:posOffset>
            </wp:positionV>
            <wp:extent cx="4603115"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603115" cy="12890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-393700</wp:posOffset>
            </wp:positionV>
            <wp:extent cx="4603115"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603115" cy="12890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-136525</wp:posOffset>
            </wp:positionV>
            <wp:extent cx="4603115"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603115" cy="137160"/>
                    </a:xfrm>
                    <a:prstGeom prst="rect">
                      <a:avLst/>
                    </a:prstGeom>
                    <a:noFill/>
                  </pic:spPr>
                </pic:pic>
              </a:graphicData>
            </a:graphic>
          </wp:anchor>
        </w:drawing>
      </w:r>
    </w:p>
    <w:p>
      <w:pPr>
        <w:spacing w:after="0" w:line="101" w:lineRule="exact"/>
        <w:rPr>
          <w:sz w:val="20"/>
          <w:szCs w:val="20"/>
          <w:color w:val="auto"/>
        </w:rPr>
      </w:pPr>
    </w:p>
    <w:p>
      <w:pPr>
        <w:ind w:left="1080" w:right="100" w:hanging="354"/>
        <w:spacing w:after="0" w:line="251" w:lineRule="auto"/>
        <w:tabs>
          <w:tab w:leader="none" w:pos="108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Reflects, for each non-employee director elected at the 2022 Annual Meeting of Stockholders (i.e. Ms. King and Messrs. Batey, Beebe, McGlade, and Schriesheim), the grant date fair value of 1,900 RSUs granted on May 11, 2022, computed in accordance with the provisions of ASC 718 using a price of  $99.32 per share, which was the closing sale price of the Company’s common stock on the Nasdaq Global Select Market on May 11, 2022. Upon first being elected to serve as a director, new directors received a grant having a grant date fair value approximating $200,000, vesting annually over three years, where the grant date fair value was based on the 30-day average of the stock price on the fifth business day following the director’s appointment. The value in this column also reflects the grant date fair value of 1,340 RSUs granted to Mr. Guerin on January 31, 2022 using a price of  $149.30 per share and 1,348 RSUs granted to Ms. McBride on February 2, 2022 using a price of $148.40 per share</w:t>
      </w:r>
      <w:r>
        <w:rPr>
          <w:rFonts w:ascii="Arial" w:cs="Arial" w:eastAsia="Arial" w:hAnsi="Arial"/>
          <w:sz w:val="16"/>
          <w:szCs w:val="16"/>
          <w:color w:val="auto"/>
        </w:rPr>
        <w:t>.</w:t>
      </w:r>
    </w:p>
    <w:p>
      <w:pPr>
        <w:spacing w:after="0" w:line="4" w:lineRule="exact"/>
        <w:rPr>
          <w:rFonts w:ascii="Arial" w:cs="Arial" w:eastAsia="Arial" w:hAnsi="Arial"/>
          <w:sz w:val="16"/>
          <w:szCs w:val="16"/>
          <w:i w:val="1"/>
          <w:iCs w:val="1"/>
          <w:color w:val="auto"/>
        </w:rPr>
      </w:pPr>
    </w:p>
    <w:p>
      <w:pPr>
        <w:ind w:left="1080" w:hanging="354"/>
        <w:spacing w:after="0"/>
        <w:tabs>
          <w:tab w:leader="none" w:pos="108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Mr. Furey and Ms. Stevenson each served as a director until the 2022 Annual Meeting of Stockholders on May 11, 2022.</w:t>
      </w:r>
    </w:p>
    <w:p>
      <w:pPr>
        <w:sectPr>
          <w:pgSz w:w="11900" w:h="16838" w:orient="portrait"/>
          <w:cols w:equalWidth="0" w:num="1">
            <w:col w:w="10100"/>
          </w:cols>
          <w:pgMar w:left="580" w:top="132" w:right="1219" w:bottom="1440" w:gutter="0" w:footer="0" w:header="0"/>
        </w:sectPr>
      </w:pPr>
    </w:p>
    <w:p>
      <w:pPr>
        <w:spacing w:after="0" w:line="95" w:lineRule="exact"/>
        <w:rPr>
          <w:sz w:val="20"/>
          <w:szCs w:val="20"/>
          <w:color w:val="auto"/>
        </w:rPr>
      </w:pPr>
    </w:p>
    <w:p>
      <w:pPr>
        <w:ind w:left="660" w:right="1620"/>
        <w:spacing w:after="0" w:line="286" w:lineRule="auto"/>
        <w:rPr>
          <w:sz w:val="20"/>
          <w:szCs w:val="20"/>
          <w:color w:val="auto"/>
        </w:rPr>
      </w:pPr>
      <w:r>
        <w:rPr>
          <w:rFonts w:ascii="Arial" w:cs="Arial" w:eastAsia="Arial" w:hAnsi="Arial"/>
          <w:sz w:val="23"/>
          <w:szCs w:val="23"/>
          <w:b w:val="1"/>
          <w:bCs w:val="1"/>
          <w:i w:val="1"/>
          <w:iCs w:val="1"/>
          <w:color w:val="auto"/>
        </w:rPr>
        <w:t>Director Stock Ownership Requirements</w:t>
      </w:r>
    </w:p>
    <w:p>
      <w:pPr>
        <w:spacing w:after="0" w:line="65" w:lineRule="exact"/>
        <w:rPr>
          <w:sz w:val="20"/>
          <w:szCs w:val="20"/>
          <w:color w:val="auto"/>
        </w:rPr>
      </w:pPr>
    </w:p>
    <w:p>
      <w:pPr>
        <w:ind w:left="660"/>
        <w:spacing w:after="0" w:line="244" w:lineRule="auto"/>
        <w:rPr>
          <w:sz w:val="20"/>
          <w:szCs w:val="20"/>
          <w:color w:val="auto"/>
        </w:rPr>
      </w:pPr>
      <w:r>
        <w:rPr>
          <w:rFonts w:ascii="Arial" w:cs="Arial" w:eastAsia="Arial" w:hAnsi="Arial"/>
          <w:sz w:val="20"/>
          <w:szCs w:val="20"/>
          <w:color w:val="auto"/>
        </w:rPr>
        <w:t>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$80,000) multiplied by five (5), divided by the fair market value of the Company’s common stock (rounded to the nearest 100 shares). For purposes of the Director Stock Ownership guidelines, the fair market value of the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140"/>
        <w:spacing w:after="0" w:line="276" w:lineRule="auto"/>
        <w:rPr>
          <w:sz w:val="20"/>
          <w:szCs w:val="20"/>
          <w:color w:val="auto"/>
        </w:rPr>
      </w:pPr>
      <w:r>
        <w:rPr>
          <w:rFonts w:ascii="Arial" w:cs="Arial" w:eastAsia="Arial" w:hAnsi="Arial"/>
          <w:sz w:val="19"/>
          <w:szCs w:val="19"/>
          <w:color w:val="auto"/>
        </w:rPr>
        <w:t>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directors have met the stock ownership guidelines as of the date hereof  (with the exception of</w:t>
      </w:r>
    </w:p>
    <w:p>
      <w:pPr>
        <w:spacing w:after="0" w:line="7" w:lineRule="exact"/>
        <w:rPr>
          <w:sz w:val="20"/>
          <w:szCs w:val="20"/>
          <w:color w:val="auto"/>
        </w:rPr>
      </w:pPr>
    </w:p>
    <w:p>
      <w:pPr>
        <w:jc w:val="both"/>
        <w:ind w:right="40"/>
        <w:spacing w:after="0" w:line="265" w:lineRule="auto"/>
        <w:rPr>
          <w:sz w:val="20"/>
          <w:szCs w:val="20"/>
          <w:color w:val="auto"/>
        </w:rPr>
      </w:pPr>
      <w:r>
        <w:rPr>
          <w:rFonts w:ascii="Arial" w:cs="Arial" w:eastAsia="Arial" w:hAnsi="Arial"/>
          <w:sz w:val="20"/>
          <w:szCs w:val="20"/>
          <w:color w:val="auto"/>
        </w:rPr>
        <w:t>Mr. Guerin, Ms. McBride and Ms. Turcke, who are not required to comply with the guidelines until the fifth anniversary of their respective appointments to the Board).</w:t>
      </w:r>
    </w:p>
    <w:p>
      <w:pPr>
        <w:spacing w:after="0" w:line="617" w:lineRule="exact"/>
        <w:rPr>
          <w:sz w:val="20"/>
          <w:szCs w:val="20"/>
          <w:color w:val="auto"/>
        </w:rPr>
      </w:pPr>
    </w:p>
    <w:p>
      <w:pPr>
        <w:sectPr>
          <w:pgSz w:w="11900" w:h="16838" w:orient="portrait"/>
          <w:cols w:equalWidth="0" w:num="2">
            <w:col w:w="5140" w:space="440"/>
            <w:col w:w="4520"/>
          </w:cols>
          <w:pgMar w:left="580" w:top="132" w:right="1219" w:bottom="1440" w:gutter="0" w:footer="0" w:header="0"/>
          <w:type w:val="continuous"/>
        </w:sectPr>
      </w:pPr>
    </w:p>
    <w:p>
      <w:pPr>
        <w:spacing w:after="0" w:line="146"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0075A8"/>
        </w:rPr>
        <w:t>COMPENSATION COMMITTEE REPORT</w:t>
      </w:r>
    </w:p>
    <w:p>
      <w:pPr>
        <w:spacing w:after="0" w:line="259" w:lineRule="exact"/>
        <w:rPr>
          <w:sz w:val="20"/>
          <w:szCs w:val="20"/>
          <w:color w:val="auto"/>
        </w:rPr>
      </w:pPr>
    </w:p>
    <w:p>
      <w:pPr>
        <w:ind w:left="660" w:right="160"/>
        <w:spacing w:after="0" w:line="256" w:lineRule="auto"/>
        <w:rPr>
          <w:sz w:val="20"/>
          <w:szCs w:val="20"/>
          <w:color w:val="auto"/>
        </w:rPr>
      </w:pPr>
      <w:r>
        <w:rPr>
          <w:rFonts w:ascii="Arial" w:cs="Arial" w:eastAsia="Arial" w:hAnsi="Arial"/>
          <w:sz w:val="20"/>
          <w:szCs w:val="20"/>
          <w:color w:val="auto"/>
        </w:rPr>
        <w:t>The Compensation Committee has reviewed and discussed the Compensation Discussion and Analysis included herein with management, and based on the review and discussions, the Compensation Committee recommended to the Board that the Compensation Discussion and Analysis be included in this Proxy Statement for the 2023 Annual Meeting of Stockholders.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COMPENSATION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Christine King, Chairman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Alan S. Batey</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Robert A. Schriesheim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bookmarkStart w:id="63" w:name="page64"/>
    <w:bookmarkEnd w:id="63"/>
    <w:p>
      <w:pPr>
        <w:ind w:left="100"/>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480810" cy="402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80810" cy="402590"/>
                    </a:xfrm>
                    <a:prstGeom prst="rect">
                      <a:avLst/>
                    </a:prstGeom>
                    <a:noFill/>
                  </pic:spPr>
                </pic:pic>
              </a:graphicData>
            </a:graphic>
          </wp:anchor>
        </w:drawing>
      </w:r>
    </w:p>
    <w:p>
      <w:pPr>
        <w:spacing w:after="0" w:line="25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4:</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1060"/>
        <w:spacing w:after="0" w:line="248" w:lineRule="auto"/>
        <w:rPr>
          <w:sz w:val="20"/>
          <w:szCs w:val="20"/>
          <w:color w:val="auto"/>
        </w:rPr>
      </w:pPr>
      <w:r>
        <w:rPr>
          <w:rFonts w:ascii="Arial" w:cs="Arial" w:eastAsia="Arial" w:hAnsi="Arial"/>
          <w:sz w:val="32"/>
          <w:szCs w:val="32"/>
          <w:b w:val="1"/>
          <w:bCs w:val="1"/>
          <w:color w:val="0075A8"/>
        </w:rPr>
        <w:t>ADVISORY VOTE ON THE FREQUENCY OF FUTURE ADVISORY VOTES ON THE COMPENSATION OF OUR NAMED EXECUTIVE OFFICERS (SAY-ON-FREQUENCY VOTE)</w:t>
      </w:r>
    </w:p>
    <w:p>
      <w:pPr>
        <w:sectPr>
          <w:pgSz w:w="11900" w:h="16838" w:orient="portrait"/>
          <w:cols w:equalWidth="0" w:num="1">
            <w:col w:w="10200"/>
          </w:cols>
          <w:pgMar w:left="480" w:top="132" w:right="1219" w:bottom="1440" w:gutter="0" w:footer="0" w:header="0"/>
        </w:sectPr>
      </w:pPr>
    </w:p>
    <w:p>
      <w:pPr>
        <w:spacing w:after="0" w:line="226" w:lineRule="exact"/>
        <w:rPr>
          <w:sz w:val="20"/>
          <w:szCs w:val="20"/>
          <w:color w:val="auto"/>
        </w:rPr>
      </w:pPr>
    </w:p>
    <w:p>
      <w:pPr>
        <w:ind w:left="760"/>
        <w:spacing w:after="0" w:line="267" w:lineRule="auto"/>
        <w:rPr>
          <w:sz w:val="20"/>
          <w:szCs w:val="20"/>
          <w:color w:val="auto"/>
        </w:rPr>
      </w:pPr>
      <w:r>
        <w:rPr>
          <w:rFonts w:ascii="Arial" w:cs="Arial" w:eastAsia="Arial" w:hAnsi="Arial"/>
          <w:sz w:val="19"/>
          <w:szCs w:val="19"/>
          <w:color w:val="auto"/>
        </w:rPr>
        <w:t>Pursuant to Section 14A of the Exchange Act, we are providing our stockholders with the opportunity to vote, on a non-binding basis, on the frequency of future advisory votes on the compensation of the Company’s Named Executive Officers, which is commonly referred to as “say-on-frequency.” Stockholders may indicate whether they would prefer that we conduct future advisory say-on-pay votes once every one, two, or three years, or they may abstain from casting a vote on this Proposal 4. We last held an advisory say-on-frequency vote at our 2017 Annual Meeting of stockholders, in which more than 90% of the votes cast by our stockholders were in favor of the Company holding advisory say-on-pay votes every year. Following such vote in 2017, the Board of Directors determined that the Company would continue to hold advisory say-on-pay votes on an annual basis until the Board of Directors determines that a different frequency for such votes is in the best interests of the Company’s stockholders. We continue to believe that advisory say-on-pay votes should be conducted on an annual basis, to allow stockholders to express their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color w:val="auto"/>
        </w:rPr>
        <w:t>views on the compensation of our named executive officers and to react to emerging trends in compensation.</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As an advisory vote, this proposal is not binding and will not overrule any decision by the Company or the Board of Directors (or any committee thereof), nor will it create or imply any change or addition to the fiduciary duties of the Company or the Board of Directors (or any committee thereof). However, our Compensation Committee and Board of Directors value the opinions expressed by our stockholders in their votes on this proposal and will consider the outcome of the vote when making future decisions regarding the frequency of say-on-pay votes.</w:t>
      </w:r>
    </w:p>
    <w:p>
      <w:pPr>
        <w:spacing w:after="0" w:line="211" w:lineRule="exact"/>
        <w:rPr>
          <w:sz w:val="20"/>
          <w:szCs w:val="20"/>
          <w:color w:val="auto"/>
        </w:rPr>
      </w:pPr>
    </w:p>
    <w:p>
      <w:pPr>
        <w:ind w:right="140"/>
        <w:spacing w:after="0" w:line="272" w:lineRule="auto"/>
        <w:rPr>
          <w:sz w:val="20"/>
          <w:szCs w:val="20"/>
          <w:color w:val="auto"/>
        </w:rPr>
      </w:pPr>
      <w:r>
        <w:rPr>
          <w:rFonts w:ascii="Arial" w:cs="Arial" w:eastAsia="Arial" w:hAnsi="Arial"/>
          <w:sz w:val="19"/>
          <w:szCs w:val="19"/>
          <w:color w:val="auto"/>
        </w:rPr>
        <w:t>Section 14A of the Exchange Act requires that the say-on-frequency vote be held at least once every six years. Following the Annual Meeting, the next advisory say-on-frequency vote is expected to be held at our 2029 Annual Meeting of stockholders.</w:t>
      </w:r>
    </w:p>
    <w:p>
      <w:pPr>
        <w:spacing w:after="0" w:line="475" w:lineRule="exact"/>
        <w:rPr>
          <w:sz w:val="20"/>
          <w:szCs w:val="20"/>
          <w:color w:val="auto"/>
        </w:rPr>
      </w:pPr>
    </w:p>
    <w:p>
      <w:pPr>
        <w:sectPr>
          <w:pgSz w:w="11900" w:h="16838" w:orient="portrait"/>
          <w:cols w:equalWidth="0" w:num="2">
            <w:col w:w="5240" w:space="440"/>
            <w:col w:w="4520"/>
          </w:cols>
          <w:pgMar w:left="480" w:top="132" w:right="1219" w:bottom="1440" w:gutter="0" w:footer="0" w:header="0"/>
          <w:type w:val="continuous"/>
        </w:sectPr>
      </w:pPr>
    </w:p>
    <w:p>
      <w:pPr>
        <w:spacing w:after="0" w:line="268" w:lineRule="exact"/>
        <w:rPr>
          <w:sz w:val="20"/>
          <w:szCs w:val="20"/>
          <w:color w:val="auto"/>
        </w:rPr>
      </w:pPr>
    </w:p>
    <w:tbl>
      <w:tblPr>
        <w:tblLayout w:type="fixed"/>
        <w:tblInd w:w="1670" w:type="dxa"/>
        <w:tblCellMar>
          <w:top w:w="0" w:type="dxa"/>
          <w:left w:w="0" w:type="dxa"/>
          <w:bottom w:w="0" w:type="dxa"/>
          <w:right w:w="0" w:type="dxa"/>
        </w:tblCellMar>
      </w:tblPr>
      <w:tr>
        <w:trPr>
          <w:trHeight w:val="494"/>
        </w:trPr>
        <w:tc>
          <w:tcPr>
            <w:tcW w:w="540" w:type="dxa"/>
            <w:vAlign w:val="bottom"/>
            <w:tcBorders>
              <w:top w:val="single" w:sz="8" w:color="0075A8"/>
              <w:left w:val="single" w:sz="8" w:color="0075A8"/>
            </w:tcBorders>
            <w:vMerge w:val="restart"/>
          </w:tcPr>
          <w:p>
            <w:pPr>
              <w:ind w:left="20"/>
              <w:spacing w:after="0"/>
              <w:rPr>
                <w:sz w:val="20"/>
                <w:szCs w:val="20"/>
                <w:color w:val="auto"/>
              </w:rPr>
            </w:pPr>
            <w:r>
              <w:rPr>
                <w:rFonts w:ascii="Arial" w:cs="Arial" w:eastAsia="Arial" w:hAnsi="Arial"/>
                <w:sz w:val="18"/>
                <w:szCs w:val="18"/>
                <w:i w:val="1"/>
                <w:iCs w:val="1"/>
                <w:color w:val="0075A8"/>
              </w:rPr>
              <w:t>​</w:t>
            </w:r>
          </w:p>
        </w:tc>
        <w:tc>
          <w:tcPr>
            <w:tcW w:w="680" w:type="dxa"/>
            <w:vAlign w:val="bottom"/>
            <w:tcBorders>
              <w:top w:val="single" w:sz="8" w:color="0075A8"/>
            </w:tcBorders>
            <w:vMerge w:val="restart"/>
          </w:tcPr>
          <w:p>
            <w:pPr>
              <w:ind w:left="500"/>
              <w:spacing w:after="0"/>
              <w:rPr>
                <w:sz w:val="20"/>
                <w:szCs w:val="20"/>
                <w:color w:val="auto"/>
              </w:rPr>
            </w:pPr>
            <w:r>
              <w:rPr>
                <w:rFonts w:ascii="Arial" w:cs="Arial" w:eastAsia="Arial" w:hAnsi="Arial"/>
                <w:sz w:val="18"/>
                <w:szCs w:val="18"/>
                <w:i w:val="1"/>
                <w:iCs w:val="1"/>
                <w:color w:val="0075A8"/>
              </w:rPr>
              <w:t>​​</w:t>
            </w:r>
          </w:p>
        </w:tc>
        <w:tc>
          <w:tcPr>
            <w:tcW w:w="6200" w:type="dxa"/>
            <w:vAlign w:val="bottom"/>
            <w:tcBorders>
              <w:top w:val="single" w:sz="8" w:color="0075A8"/>
            </w:tcBorders>
          </w:tcPr>
          <w:p>
            <w:pPr>
              <w:jc w:val="center"/>
              <w:spacing w:after="0"/>
              <w:rPr>
                <w:sz w:val="20"/>
                <w:szCs w:val="20"/>
                <w:color w:val="auto"/>
              </w:rPr>
            </w:pPr>
            <w:r>
              <w:rPr>
                <w:rFonts w:ascii="Arial" w:cs="Arial" w:eastAsia="Arial" w:hAnsi="Arial"/>
                <w:sz w:val="18"/>
                <w:szCs w:val="18"/>
                <w:i w:val="1"/>
                <w:iCs w:val="1"/>
                <w:color w:val="0075A8"/>
                <w:w w:val="99"/>
              </w:rPr>
              <w:t>THE BOARD OF DIRECTORS UNANIMOUSLY RECOMMENDS A VOTE</w:t>
            </w:r>
          </w:p>
        </w:tc>
        <w:tc>
          <w:tcPr>
            <w:tcW w:w="200" w:type="dxa"/>
            <w:vAlign w:val="bottom"/>
            <w:tcBorders>
              <w:top w:val="single" w:sz="8" w:color="0075A8"/>
              <w:right w:val="single" w:sz="8" w:color="0075A8"/>
            </w:tcBorders>
            <w:vMerge w:val="restart"/>
          </w:tcPr>
          <w:p>
            <w:pPr>
              <w:ind w:left="60"/>
              <w:spacing w:after="0"/>
              <w:rPr>
                <w:sz w:val="20"/>
                <w:szCs w:val="20"/>
                <w:color w:val="auto"/>
              </w:rPr>
            </w:pPr>
            <w:r>
              <w:rPr>
                <w:rFonts w:ascii="Arial" w:cs="Arial" w:eastAsia="Arial" w:hAnsi="Arial"/>
                <w:sz w:val="18"/>
                <w:szCs w:val="18"/>
                <w:i w:val="1"/>
                <w:iCs w:val="1"/>
                <w:color w:val="0075A8"/>
              </w:rPr>
              <w:t>​</w:t>
            </w:r>
          </w:p>
        </w:tc>
        <w:tc>
          <w:tcPr>
            <w:tcW w:w="0" w:type="dxa"/>
            <w:vAlign w:val="bottom"/>
          </w:tcPr>
          <w:p>
            <w:pPr>
              <w:spacing w:after="0"/>
              <w:rPr>
                <w:sz w:val="1"/>
                <w:szCs w:val="1"/>
                <w:color w:val="auto"/>
              </w:rPr>
            </w:pPr>
          </w:p>
        </w:tc>
      </w:tr>
      <w:tr>
        <w:trPr>
          <w:trHeight w:val="235"/>
        </w:trPr>
        <w:tc>
          <w:tcPr>
            <w:tcW w:w="540" w:type="dxa"/>
            <w:vAlign w:val="bottom"/>
            <w:tcBorders>
              <w:left w:val="single" w:sz="8" w:color="0075A8"/>
            </w:tcBorders>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6200" w:type="dxa"/>
            <w:vAlign w:val="bottom"/>
          </w:tcPr>
          <w:p>
            <w:pPr>
              <w:jc w:val="center"/>
              <w:spacing w:after="0"/>
              <w:rPr>
                <w:sz w:val="20"/>
                <w:szCs w:val="20"/>
                <w:color w:val="auto"/>
              </w:rPr>
            </w:pPr>
            <w:r>
              <w:rPr>
                <w:rFonts w:ascii="Arial" w:cs="Arial" w:eastAsia="Arial" w:hAnsi="Arial"/>
                <w:sz w:val="18"/>
                <w:szCs w:val="18"/>
                <w:i w:val="1"/>
                <w:iCs w:val="1"/>
                <w:color w:val="0075A8"/>
                <w:w w:val="98"/>
              </w:rPr>
              <w:t>TO HOLD FUTURE ADVISORY SAY-ON-PAY VOTES EVERY “ONE YEAR”</w:t>
            </w:r>
          </w:p>
        </w:tc>
        <w:tc>
          <w:tcPr>
            <w:tcW w:w="200" w:type="dxa"/>
            <w:vAlign w:val="bottom"/>
            <w:tcBorders>
              <w:right w:val="single" w:sz="8" w:color="0075A8"/>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40" w:type="dxa"/>
            <w:vAlign w:val="bottom"/>
            <w:tcBorders>
              <w:left w:val="single" w:sz="8" w:color="0075A8"/>
              <w:bottom w:val="single" w:sz="8" w:color="0075A8"/>
            </w:tcBorders>
          </w:tcPr>
          <w:p>
            <w:pPr>
              <w:spacing w:after="0"/>
              <w:rPr>
                <w:sz w:val="24"/>
                <w:szCs w:val="24"/>
                <w:color w:val="auto"/>
              </w:rPr>
            </w:pPr>
          </w:p>
        </w:tc>
        <w:tc>
          <w:tcPr>
            <w:tcW w:w="680" w:type="dxa"/>
            <w:vAlign w:val="bottom"/>
            <w:tcBorders>
              <w:bottom w:val="single" w:sz="8" w:color="0075A8"/>
            </w:tcBorders>
          </w:tcPr>
          <w:p>
            <w:pPr>
              <w:spacing w:after="0"/>
              <w:rPr>
                <w:sz w:val="24"/>
                <w:szCs w:val="24"/>
                <w:color w:val="auto"/>
              </w:rPr>
            </w:pPr>
          </w:p>
        </w:tc>
        <w:tc>
          <w:tcPr>
            <w:tcW w:w="6200" w:type="dxa"/>
            <w:vAlign w:val="bottom"/>
            <w:tcBorders>
              <w:bottom w:val="single" w:sz="8" w:color="0075A8"/>
            </w:tcBorders>
          </w:tcPr>
          <w:p>
            <w:pPr>
              <w:spacing w:after="0"/>
              <w:rPr>
                <w:sz w:val="24"/>
                <w:szCs w:val="24"/>
                <w:color w:val="auto"/>
              </w:rPr>
            </w:pPr>
          </w:p>
        </w:tc>
        <w:tc>
          <w:tcPr>
            <w:tcW w:w="200" w:type="dxa"/>
            <w:vAlign w:val="bottom"/>
            <w:tcBorders>
              <w:bottom w:val="single" w:sz="8" w:color="0075A8"/>
              <w:right w:val="single" w:sz="8" w:color="0075A8"/>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-574040</wp:posOffset>
            </wp:positionV>
            <wp:extent cx="514350" cy="4889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60"/>
        <w:spacing w:after="0"/>
        <w:tabs>
          <w:tab w:leader="none" w:pos="2260" w:val="left"/>
          <w:tab w:leader="none" w:pos="2500" w:val="left"/>
          <w:tab w:leader="none" w:pos="8580" w:val="left"/>
          <w:tab w:leader="none" w:pos="99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132" w:right="1219" w:bottom="1440" w:gutter="0" w:footer="0" w:header="0"/>
          <w:type w:val="continuous"/>
        </w:sectPr>
      </w:pPr>
    </w:p>
    <w:bookmarkStart w:id="64" w:name="page65"/>
    <w:bookmarkEnd w:id="64"/>
    <w:p>
      <w:pPr>
        <w:ind w:left="100"/>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480810" cy="402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480810" cy="402590"/>
                    </a:xfrm>
                    <a:prstGeom prst="rect">
                      <a:avLst/>
                    </a:prstGeom>
                    <a:noFill/>
                  </pic:spPr>
                </pic:pic>
              </a:graphicData>
            </a:graphic>
          </wp:anchor>
        </w:drawing>
      </w:r>
    </w:p>
    <w:p>
      <w:pPr>
        <w:spacing w:after="0" w:line="25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5:</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60"/>
        <w:spacing w:after="0" w:line="248" w:lineRule="auto"/>
        <w:rPr>
          <w:sz w:val="20"/>
          <w:szCs w:val="20"/>
          <w:color w:val="auto"/>
        </w:rPr>
      </w:pPr>
      <w:r>
        <w:rPr>
          <w:rFonts w:ascii="Arial" w:cs="Arial" w:eastAsia="Arial" w:hAnsi="Arial"/>
          <w:sz w:val="32"/>
          <w:szCs w:val="32"/>
          <w:b w:val="1"/>
          <w:bCs w:val="1"/>
          <w:color w:val="0075A8"/>
        </w:rPr>
        <w:t>APPROVAL OF AMENDMENT TO THE COMPANY’S RESTATED CERTIFICATE OF INCORPORATION TO REFLECT NEW DELAWARE LAW PROVISIONS REGARDING EXCULPATION OF OFFICERS</w:t>
      </w:r>
    </w:p>
    <w:p>
      <w:pPr>
        <w:sectPr>
          <w:pgSz w:w="11900" w:h="16838" w:orient="portrait"/>
          <w:cols w:equalWidth="0" w:num="1">
            <w:col w:w="10200"/>
          </w:cols>
          <w:pgMar w:left="480" w:top="132" w:right="1219" w:bottom="1440" w:gutter="0" w:footer="0" w:header="0"/>
        </w:sectPr>
      </w:pPr>
    </w:p>
    <w:p>
      <w:pPr>
        <w:spacing w:after="0" w:line="206" w:lineRule="exact"/>
        <w:rPr>
          <w:sz w:val="20"/>
          <w:szCs w:val="20"/>
          <w:color w:val="auto"/>
        </w:rPr>
      </w:pPr>
    </w:p>
    <w:p>
      <w:pPr>
        <w:ind w:left="760" w:right="580"/>
        <w:spacing w:after="0" w:line="286" w:lineRule="auto"/>
        <w:rPr>
          <w:sz w:val="20"/>
          <w:szCs w:val="20"/>
          <w:color w:val="auto"/>
        </w:rPr>
      </w:pPr>
      <w:r>
        <w:rPr>
          <w:rFonts w:ascii="Arial" w:cs="Arial" w:eastAsia="Arial" w:hAnsi="Arial"/>
          <w:sz w:val="23"/>
          <w:szCs w:val="23"/>
          <w:b w:val="1"/>
          <w:bCs w:val="1"/>
          <w:i w:val="1"/>
          <w:iCs w:val="1"/>
          <w:color w:val="auto"/>
        </w:rPr>
        <w:t>Background and Description of the Proposed Amendment</w:t>
      </w:r>
    </w:p>
    <w:p>
      <w:pPr>
        <w:spacing w:after="0" w:line="78" w:lineRule="exact"/>
        <w:rPr>
          <w:sz w:val="20"/>
          <w:szCs w:val="20"/>
          <w:color w:val="auto"/>
        </w:rPr>
      </w:pPr>
    </w:p>
    <w:p>
      <w:pPr>
        <w:ind w:left="760" w:right="100"/>
        <w:spacing w:after="0" w:line="253" w:lineRule="auto"/>
        <w:rPr>
          <w:sz w:val="20"/>
          <w:szCs w:val="20"/>
          <w:color w:val="auto"/>
        </w:rPr>
      </w:pPr>
      <w:r>
        <w:rPr>
          <w:rFonts w:ascii="Arial" w:cs="Arial" w:eastAsia="Arial" w:hAnsi="Arial"/>
          <w:sz w:val="20"/>
          <w:szCs w:val="20"/>
          <w:color w:val="auto"/>
        </w:rPr>
        <w:t>The State of Delaware, which is the Company’s state of incorporation, enacted legislation effective August 1, 2022 that enables Delaware corporations to limit the liability of certain of their officers in limited circumstances under</w:t>
      </w:r>
    </w:p>
    <w:p>
      <w:pPr>
        <w:spacing w:after="0" w:line="3" w:lineRule="exact"/>
        <w:rPr>
          <w:sz w:val="20"/>
          <w:szCs w:val="20"/>
          <w:color w:val="auto"/>
        </w:rPr>
      </w:pPr>
    </w:p>
    <w:p>
      <w:pPr>
        <w:ind w:left="760" w:right="760"/>
        <w:spacing w:after="0" w:line="261" w:lineRule="auto"/>
        <w:rPr>
          <w:sz w:val="20"/>
          <w:szCs w:val="20"/>
          <w:color w:val="auto"/>
        </w:rPr>
      </w:pPr>
      <w:r>
        <w:rPr>
          <w:rFonts w:ascii="Arial" w:cs="Arial" w:eastAsia="Arial" w:hAnsi="Arial"/>
          <w:sz w:val="20"/>
          <w:szCs w:val="20"/>
          <w:color w:val="auto"/>
        </w:rPr>
        <w:t>Section 102(b)(7) of the Delaware General Corporation Law.</w:t>
      </w:r>
    </w:p>
    <w:p>
      <w:pPr>
        <w:spacing w:after="0" w:line="202" w:lineRule="exact"/>
        <w:rPr>
          <w:sz w:val="20"/>
          <w:szCs w:val="20"/>
          <w:color w:val="auto"/>
        </w:rPr>
      </w:pPr>
    </w:p>
    <w:p>
      <w:pPr>
        <w:ind w:left="760" w:right="180"/>
        <w:spacing w:after="0" w:line="271" w:lineRule="auto"/>
        <w:rPr>
          <w:sz w:val="20"/>
          <w:szCs w:val="20"/>
          <w:color w:val="auto"/>
        </w:rPr>
      </w:pPr>
      <w:r>
        <w:rPr>
          <w:rFonts w:ascii="Arial" w:cs="Arial" w:eastAsia="Arial" w:hAnsi="Arial"/>
          <w:sz w:val="19"/>
          <w:szCs w:val="19"/>
          <w:color w:val="auto"/>
        </w:rPr>
        <w:t>In light of this recently enacted legislation, we are proposing to amend the Company’s Restated Certificate of Incorporation (“Charter”) to add a provision exculpating certain of the Company’s officers from monetary liability in limited circumstances, as permitted by Delaware law.</w:t>
      </w:r>
    </w:p>
    <w:p>
      <w:pPr>
        <w:spacing w:after="0" w:line="194" w:lineRule="exact"/>
        <w:rPr>
          <w:sz w:val="20"/>
          <w:szCs w:val="20"/>
          <w:color w:val="auto"/>
        </w:rPr>
      </w:pPr>
    </w:p>
    <w:p>
      <w:pPr>
        <w:ind w:left="760"/>
        <w:spacing w:after="0" w:line="254" w:lineRule="auto"/>
        <w:rPr>
          <w:sz w:val="20"/>
          <w:szCs w:val="20"/>
          <w:color w:val="auto"/>
        </w:rPr>
      </w:pPr>
      <w:r>
        <w:rPr>
          <w:rFonts w:ascii="Arial" w:cs="Arial" w:eastAsia="Arial" w:hAnsi="Arial"/>
          <w:sz w:val="20"/>
          <w:szCs w:val="20"/>
          <w:color w:val="auto"/>
        </w:rPr>
        <w:t>Consistent with Delaware law, the proposed amendment relating to officer exculpation is more limited in scope than the existing director exculpation provision in the Charter and only permits exculpation of officers for certain direct claims. Further, the proposed amendment does not permit officers to be exculpated for liability arising out of:</w:t>
      </w:r>
    </w:p>
    <w:p>
      <w:pPr>
        <w:spacing w:after="0" w:line="199" w:lineRule="exact"/>
        <w:rPr>
          <w:sz w:val="20"/>
          <w:szCs w:val="20"/>
          <w:color w:val="auto"/>
        </w:rPr>
      </w:pPr>
    </w:p>
    <w:p>
      <w:pPr>
        <w:ind w:left="940" w:hanging="186"/>
        <w:spacing w:after="0"/>
        <w:tabs>
          <w:tab w:leader="none" w:pos="9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claims brought by the Company itself</w:t>
      </w:r>
    </w:p>
    <w:p>
      <w:pPr>
        <w:spacing w:after="0" w:line="26" w:lineRule="exact"/>
        <w:rPr>
          <w:rFonts w:ascii="Arial" w:cs="Arial" w:eastAsia="Arial" w:hAnsi="Arial"/>
          <w:sz w:val="20"/>
          <w:szCs w:val="20"/>
          <w:color w:val="auto"/>
        </w:rPr>
      </w:pPr>
    </w:p>
    <w:p>
      <w:pPr>
        <w:ind w:left="940" w:right="280" w:hanging="186"/>
        <w:spacing w:after="0" w:line="260" w:lineRule="auto"/>
        <w:tabs>
          <w:tab w:leader="none" w:pos="9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claims brought by stockholders in the name of the Company (derivative claims)</w:t>
      </w:r>
    </w:p>
    <w:p>
      <w:pPr>
        <w:spacing w:after="0" w:line="1" w:lineRule="exact"/>
        <w:rPr>
          <w:rFonts w:ascii="Arial" w:cs="Arial" w:eastAsia="Arial" w:hAnsi="Arial"/>
          <w:sz w:val="20"/>
          <w:szCs w:val="20"/>
          <w:color w:val="auto"/>
        </w:rPr>
      </w:pPr>
    </w:p>
    <w:p>
      <w:pPr>
        <w:ind w:left="940" w:right="220" w:hanging="186"/>
        <w:spacing w:after="0" w:line="260" w:lineRule="auto"/>
        <w:tabs>
          <w:tab w:leader="none" w:pos="9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breaches of the duty of loyalty to the Company or its stockholders</w:t>
      </w:r>
    </w:p>
    <w:p>
      <w:pPr>
        <w:spacing w:after="0" w:line="1" w:lineRule="exact"/>
        <w:rPr>
          <w:rFonts w:ascii="Arial" w:cs="Arial" w:eastAsia="Arial" w:hAnsi="Arial"/>
          <w:sz w:val="20"/>
          <w:szCs w:val="20"/>
          <w:color w:val="auto"/>
        </w:rPr>
      </w:pPr>
    </w:p>
    <w:p>
      <w:pPr>
        <w:ind w:left="940" w:hanging="186"/>
        <w:spacing w:after="0"/>
        <w:tabs>
          <w:tab w:leader="none" w:pos="9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acts or omissions not in good faith</w:t>
      </w:r>
    </w:p>
    <w:p>
      <w:pPr>
        <w:spacing w:after="0" w:line="26" w:lineRule="exact"/>
        <w:rPr>
          <w:rFonts w:ascii="Arial" w:cs="Arial" w:eastAsia="Arial" w:hAnsi="Arial"/>
          <w:sz w:val="20"/>
          <w:szCs w:val="20"/>
          <w:color w:val="auto"/>
        </w:rPr>
      </w:pPr>
    </w:p>
    <w:p>
      <w:pPr>
        <w:ind w:left="940" w:right="760" w:hanging="186"/>
        <w:spacing w:after="0" w:line="260" w:lineRule="auto"/>
        <w:tabs>
          <w:tab w:leader="none" w:pos="9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acts or omissions that involve intentional misconduct</w:t>
      </w:r>
    </w:p>
    <w:p>
      <w:pPr>
        <w:spacing w:after="0" w:line="1" w:lineRule="exact"/>
        <w:rPr>
          <w:rFonts w:ascii="Arial" w:cs="Arial" w:eastAsia="Arial" w:hAnsi="Arial"/>
          <w:sz w:val="20"/>
          <w:szCs w:val="20"/>
          <w:color w:val="auto"/>
        </w:rPr>
      </w:pPr>
    </w:p>
    <w:p>
      <w:pPr>
        <w:ind w:left="940" w:hanging="186"/>
        <w:spacing w:after="0" w:line="267" w:lineRule="auto"/>
        <w:tabs>
          <w:tab w:leader="none" w:pos="9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acts or omissions that involve a knowing violation of law</w:t>
      </w:r>
    </w:p>
    <w:p>
      <w:pPr>
        <w:spacing w:after="0" w:line="1" w:lineRule="exact"/>
        <w:rPr>
          <w:rFonts w:ascii="Arial" w:cs="Arial" w:eastAsia="Arial" w:hAnsi="Arial"/>
          <w:sz w:val="20"/>
          <w:szCs w:val="20"/>
          <w:color w:val="auto"/>
        </w:rPr>
      </w:pPr>
    </w:p>
    <w:p>
      <w:pPr>
        <w:ind w:left="940" w:right="300" w:hanging="186"/>
        <w:spacing w:after="0" w:line="261" w:lineRule="auto"/>
        <w:tabs>
          <w:tab w:leader="none" w:pos="9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any transaction in which the officer derived an improper personal benefit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Purpose of the Proposed Amendment</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i w:val="1"/>
          <w:iCs w:val="1"/>
          <w:color w:val="0075A8"/>
        </w:rPr>
        <w:t>Discourages Meritless Litigation</w:t>
      </w:r>
    </w:p>
    <w:p>
      <w:pPr>
        <w:spacing w:after="0" w:line="163"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auto"/>
        </w:rPr>
        <w:t>The Board considered that the role of directors and officers requires them to make decisions on crucial matters in response to time-sensitive opportunities and challenges, which can create substantial risk of investigations, claims, actions, suits or proceedings seeking to impose liability on the basis of hindsight, particularly in the current litigious environment and regardless of the lack of any underlying merit. This amendment will better align the protections available to our officers with those currently available to our directors and avoid an emerging practice among plaintiff’s lawyers of adding officers to direct claims relating to the duty of care in M&amp;A-related and other litigation so that claims against the officers continue even when identical claims against directors are dismissed. The Board believes that limiting concern about personal liability will empower officers to best exercise their business judgment in furtherance of stockholder interests without the distraction of potentially being subject to claims following actions taken in good faith.</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i w:val="1"/>
          <w:iCs w:val="1"/>
          <w:color w:val="0075A8"/>
        </w:rPr>
        <w:t>Enhances Ability to Recruit Officers</w:t>
      </w:r>
    </w:p>
    <w:p>
      <w:pPr>
        <w:spacing w:after="0" w:line="163"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color w:val="auto"/>
        </w:rPr>
        <w:t>In addition, the Company expects that other companies with which it competes for employees may adopt exculpation clauses that limit the personal liability of officers as now permitted by Delaware law. The Board believes that failing to adopt the proposed amendment will impact recruitment of talented officers who conclude that the potential exposure to liabilities, costs of defense and other risks of proceedings exceeds the benefits of serving as an officer of the Company as compared to serving as an officer at another company that does exculpate officers. Attracting</w:t>
      </w:r>
    </w:p>
    <w:p>
      <w:pPr>
        <w:spacing w:after="0" w:line="200" w:lineRule="exact"/>
        <w:rPr>
          <w:sz w:val="20"/>
          <w:szCs w:val="20"/>
          <w:color w:val="auto"/>
        </w:rPr>
      </w:pPr>
    </w:p>
    <w:p>
      <w:pPr>
        <w:sectPr>
          <w:pgSz w:w="11900" w:h="16838" w:orient="portrait"/>
          <w:cols w:equalWidth="0" w:num="2">
            <w:col w:w="5240" w:space="440"/>
            <w:col w:w="4520"/>
          </w:cols>
          <w:pgMar w:left="480" w:top="132" w:right="1219" w:bottom="1440" w:gutter="0" w:footer="0" w:header="0"/>
          <w:type w:val="continuous"/>
        </w:sectPr>
      </w:pPr>
    </w:p>
    <w:p>
      <w:pPr>
        <w:spacing w:after="0" w:line="102" w:lineRule="exact"/>
        <w:rPr>
          <w:sz w:val="20"/>
          <w:szCs w:val="20"/>
          <w:color w:val="auto"/>
        </w:rPr>
      </w:pPr>
    </w:p>
    <w:p>
      <w:pPr>
        <w:ind w:left="760"/>
        <w:spacing w:after="0"/>
        <w:tabs>
          <w:tab w:leader="none" w:pos="2240" w:val="left"/>
          <w:tab w:leader="none" w:pos="2480" w:val="left"/>
          <w:tab w:leader="none" w:pos="8580" w:val="left"/>
          <w:tab w:leader="none" w:pos="8940" w:val="left"/>
        </w:tabs>
        <w:rPr>
          <w:sz w:val="20"/>
          <w:szCs w:val="20"/>
          <w:color w:val="auto"/>
        </w:rPr>
      </w:pPr>
      <w:r>
        <w:rPr>
          <w:rFonts w:ascii="Arial" w:cs="Arial" w:eastAsia="Arial" w:hAnsi="Arial"/>
          <w:sz w:val="16"/>
          <w:szCs w:val="16"/>
          <w:color w:val="auto"/>
        </w:rPr>
        <w:t>​60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132" w:right="121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p>
    <w:p>
      <w:pPr>
        <w:sectPr>
          <w:pgSz w:w="11900" w:h="16838" w:orient="portrait"/>
          <w:cols w:equalWidth="0" w:num="1">
            <w:col w:w="10100"/>
          </w:cols>
          <w:pgMar w:left="580" w:top="132" w:right="121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660" w:right="400"/>
        <w:spacing w:after="0" w:line="256" w:lineRule="auto"/>
        <w:rPr>
          <w:sz w:val="20"/>
          <w:szCs w:val="20"/>
          <w:color w:val="auto"/>
        </w:rPr>
      </w:pPr>
      <w:r>
        <w:rPr>
          <w:rFonts w:ascii="Arial" w:cs="Arial" w:eastAsia="Arial" w:hAnsi="Arial"/>
          <w:sz w:val="20"/>
          <w:szCs w:val="20"/>
          <w:color w:val="auto"/>
        </w:rPr>
        <w:t>top executive talent in the competitive semiconductor industry is key to achieving our business objectives and driving long-term stockholder value.</w:t>
      </w:r>
    </w:p>
    <w:p>
      <w:pPr>
        <w:spacing w:after="0" w:line="207"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Therefore, taking into account the narrow class and type of claims for which officers’ liability would be exculpated, and the benefits that the Board believes would accrue to the Company and its stockholders from providing such exculpation, the Board unanimously determined that it is in the best interests of the Company and our stockholders to amend the Charter as described herein.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Proposed Amendment</w:t>
      </w:r>
    </w:p>
    <w:p>
      <w:pPr>
        <w:spacing w:after="0" w:line="174" w:lineRule="exact"/>
        <w:rPr>
          <w:sz w:val="20"/>
          <w:szCs w:val="20"/>
          <w:color w:val="auto"/>
        </w:rPr>
      </w:pPr>
    </w:p>
    <w:p>
      <w:pPr>
        <w:ind w:left="660" w:right="220"/>
        <w:spacing w:after="0" w:line="256" w:lineRule="auto"/>
        <w:rPr>
          <w:sz w:val="20"/>
          <w:szCs w:val="20"/>
          <w:color w:val="auto"/>
        </w:rPr>
      </w:pPr>
      <w:r>
        <w:rPr>
          <w:rFonts w:ascii="Arial" w:cs="Arial" w:eastAsia="Arial" w:hAnsi="Arial"/>
          <w:sz w:val="20"/>
          <w:szCs w:val="20"/>
          <w:color w:val="auto"/>
        </w:rPr>
        <w:t>The amendment to the Charter that would be effected by approval of this Proposal is shown in the text of a new Article FOURTEENTH of the Charter as set forth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FOURTEENTH: To the fullest extent permitted by law, no officer of the Corporation shall be liable to the Corporation or its stockholders for monetary damages for breach of fiduciary duty as an officer, except for liability (i) for any breach of the officer’s duty of loyalty to the Corporation or its stockholders, (ii) for acts or omissions not in good faith or which involve intentional misconduct or a knowing violation of law, (iii) for any transaction from which the officer derived an improper personal benefit, or (iv) for any action by or in the right of the Corporation. No repeal or modification of this Article Fourteenth, directly or by adoption of an inconsistent provision of this Certificate of Incorporation, by the stockholders of the Corporation shall be effective with respect to any cause of action, suit, claim or other matter that, but for this Article Fourteenth, would accrue or arise prior to such repeal or modification.</w:t>
      </w:r>
    </w:p>
    <w:p>
      <w:pPr>
        <w:spacing w:after="0" w:line="377" w:lineRule="exact"/>
        <w:rPr>
          <w:sz w:val="20"/>
          <w:szCs w:val="20"/>
          <w:color w:val="auto"/>
        </w:rPr>
      </w:pPr>
    </w:p>
    <w:p>
      <w:pPr>
        <w:sectPr>
          <w:pgSz w:w="11900" w:h="16838" w:orient="portrait"/>
          <w:cols w:equalWidth="0" w:num="2">
            <w:col w:w="5100" w:space="480"/>
            <w:col w:w="4520"/>
          </w:cols>
          <w:pgMar w:left="580" w:top="132" w:right="1219" w:bottom="1440" w:gutter="0" w:footer="0" w:header="0"/>
          <w:type w:val="continuous"/>
        </w:sectPr>
      </w:pPr>
    </w:p>
    <w:p>
      <w:pPr>
        <w:spacing w:after="0" w:line="4" w:lineRule="exact"/>
        <w:rPr>
          <w:sz w:val="20"/>
          <w:szCs w:val="20"/>
          <w:color w:val="auto"/>
        </w:rPr>
      </w:pPr>
    </w:p>
    <w:tbl>
      <w:tblPr>
        <w:tblLayout w:type="fixed"/>
        <w:tblInd w:w="1570" w:type="dxa"/>
        <w:tblCellMar>
          <w:top w:w="0" w:type="dxa"/>
          <w:left w:w="0" w:type="dxa"/>
          <w:bottom w:w="0" w:type="dxa"/>
          <w:right w:w="0" w:type="dxa"/>
        </w:tblCellMar>
      </w:tblPr>
      <w:tr>
        <w:trPr>
          <w:trHeight w:val="526"/>
        </w:trPr>
        <w:tc>
          <w:tcPr>
            <w:tcW w:w="660" w:type="dxa"/>
            <w:vAlign w:val="bottom"/>
            <w:tcBorders>
              <w:top w:val="single" w:sz="8" w:color="0075A8"/>
              <w:left w:val="single" w:sz="8" w:color="0075A8"/>
            </w:tcBorders>
          </w:tcPr>
          <w:p>
            <w:pPr>
              <w:ind w:left="20"/>
              <w:spacing w:after="0"/>
              <w:rPr>
                <w:sz w:val="20"/>
                <w:szCs w:val="20"/>
                <w:color w:val="auto"/>
              </w:rPr>
            </w:pPr>
            <w:r>
              <w:rPr>
                <w:rFonts w:ascii="Arial" w:cs="Arial" w:eastAsia="Arial" w:hAnsi="Arial"/>
                <w:sz w:val="18"/>
                <w:szCs w:val="18"/>
                <w:i w:val="1"/>
                <w:iCs w:val="1"/>
                <w:color w:val="0075A8"/>
              </w:rPr>
              <w:t>​</w:t>
            </w:r>
          </w:p>
        </w:tc>
        <w:tc>
          <w:tcPr>
            <w:tcW w:w="820" w:type="dxa"/>
            <w:vAlign w:val="bottom"/>
            <w:tcBorders>
              <w:top w:val="single" w:sz="8" w:color="0075A8"/>
            </w:tcBorders>
          </w:tcPr>
          <w:p>
            <w:pPr>
              <w:ind w:left="620"/>
              <w:spacing w:after="0"/>
              <w:rPr>
                <w:sz w:val="20"/>
                <w:szCs w:val="20"/>
                <w:color w:val="auto"/>
              </w:rPr>
            </w:pPr>
            <w:r>
              <w:rPr>
                <w:rFonts w:ascii="Arial" w:cs="Arial" w:eastAsia="Arial" w:hAnsi="Arial"/>
                <w:sz w:val="18"/>
                <w:szCs w:val="18"/>
                <w:i w:val="1"/>
                <w:iCs w:val="1"/>
                <w:color w:val="0075A8"/>
              </w:rPr>
              <w:t>​ ​</w:t>
            </w:r>
          </w:p>
        </w:tc>
        <w:tc>
          <w:tcPr>
            <w:tcW w:w="5960" w:type="dxa"/>
            <w:vAlign w:val="bottom"/>
            <w:tcBorders>
              <w:top w:val="single" w:sz="8" w:color="0075A8"/>
            </w:tcBorders>
          </w:tcPr>
          <w:p>
            <w:pPr>
              <w:jc w:val="center"/>
              <w:spacing w:after="0"/>
              <w:rPr>
                <w:sz w:val="20"/>
                <w:szCs w:val="20"/>
                <w:color w:val="auto"/>
              </w:rPr>
            </w:pPr>
            <w:r>
              <w:rPr>
                <w:rFonts w:ascii="Arial" w:cs="Arial" w:eastAsia="Arial" w:hAnsi="Arial"/>
                <w:sz w:val="18"/>
                <w:szCs w:val="18"/>
                <w:i w:val="1"/>
                <w:iCs w:val="1"/>
                <w:color w:val="0075A8"/>
                <w:w w:val="99"/>
              </w:rPr>
              <w:t>THE BOARD OF DIRECTORS UNANIMOUSLY RECOMMENDS A VOTE</w:t>
            </w:r>
          </w:p>
        </w:tc>
        <w:tc>
          <w:tcPr>
            <w:tcW w:w="180" w:type="dxa"/>
            <w:vAlign w:val="bottom"/>
            <w:tcBorders>
              <w:top w:val="single" w:sz="8" w:color="0075A8"/>
              <w:right w:val="single" w:sz="8" w:color="0075A8"/>
            </w:tcBorders>
          </w:tcPr>
          <w:p>
            <w:pPr>
              <w:ind w:left="40"/>
              <w:spacing w:after="0"/>
              <w:rPr>
                <w:sz w:val="20"/>
                <w:szCs w:val="20"/>
                <w:color w:val="auto"/>
              </w:rPr>
            </w:pPr>
            <w:r>
              <w:rPr>
                <w:rFonts w:ascii="Arial" w:cs="Arial" w:eastAsia="Arial" w:hAnsi="Arial"/>
                <w:sz w:val="18"/>
                <w:szCs w:val="18"/>
                <w:i w:val="1"/>
                <w:iCs w:val="1"/>
                <w:color w:val="0075A8"/>
              </w:rPr>
              <w:t>​</w:t>
            </w:r>
          </w:p>
        </w:tc>
      </w:tr>
      <w:tr>
        <w:trPr>
          <w:trHeight w:val="235"/>
        </w:trPr>
        <w:tc>
          <w:tcPr>
            <w:tcW w:w="660" w:type="dxa"/>
            <w:vAlign w:val="bottom"/>
            <w:tcBorders>
              <w:left w:val="single" w:sz="8" w:color="0075A8"/>
            </w:tcBorders>
          </w:tcPr>
          <w:p>
            <w:pPr>
              <w:spacing w:after="0"/>
              <w:rPr>
                <w:sz w:val="20"/>
                <w:szCs w:val="20"/>
                <w:color w:val="auto"/>
              </w:rPr>
            </w:pPr>
          </w:p>
        </w:tc>
        <w:tc>
          <w:tcPr>
            <w:tcW w:w="82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Arial" w:cs="Arial" w:eastAsia="Arial" w:hAnsi="Arial"/>
                <w:sz w:val="18"/>
                <w:szCs w:val="18"/>
                <w:i w:val="1"/>
                <w:iCs w:val="1"/>
                <w:color w:val="0075A8"/>
                <w:w w:val="99"/>
              </w:rPr>
              <w:t>“FOR” THIS PROPOSAL 5</w:t>
            </w:r>
          </w:p>
        </w:tc>
        <w:tc>
          <w:tcPr>
            <w:tcW w:w="180" w:type="dxa"/>
            <w:vAlign w:val="bottom"/>
            <w:tcBorders>
              <w:right w:val="single" w:sz="8" w:color="0075A8"/>
            </w:tcBorders>
          </w:tcPr>
          <w:p>
            <w:pPr>
              <w:spacing w:after="0"/>
              <w:rPr>
                <w:sz w:val="20"/>
                <w:szCs w:val="20"/>
                <w:color w:val="auto"/>
              </w:rPr>
            </w:pPr>
          </w:p>
        </w:tc>
      </w:tr>
      <w:tr>
        <w:trPr>
          <w:trHeight w:val="252"/>
        </w:trPr>
        <w:tc>
          <w:tcPr>
            <w:tcW w:w="660" w:type="dxa"/>
            <w:vAlign w:val="bottom"/>
            <w:tcBorders>
              <w:left w:val="single" w:sz="8" w:color="0075A8"/>
              <w:bottom w:val="single" w:sz="8" w:color="0075A8"/>
            </w:tcBorders>
          </w:tcPr>
          <w:p>
            <w:pPr>
              <w:spacing w:after="0"/>
              <w:rPr>
                <w:sz w:val="21"/>
                <w:szCs w:val="21"/>
                <w:color w:val="auto"/>
              </w:rPr>
            </w:pPr>
          </w:p>
        </w:tc>
        <w:tc>
          <w:tcPr>
            <w:tcW w:w="820" w:type="dxa"/>
            <w:vAlign w:val="bottom"/>
            <w:tcBorders>
              <w:bottom w:val="single" w:sz="8" w:color="0075A8"/>
            </w:tcBorders>
          </w:tcPr>
          <w:p>
            <w:pPr>
              <w:spacing w:after="0"/>
              <w:rPr>
                <w:sz w:val="21"/>
                <w:szCs w:val="21"/>
                <w:color w:val="auto"/>
              </w:rPr>
            </w:pPr>
          </w:p>
        </w:tc>
        <w:tc>
          <w:tcPr>
            <w:tcW w:w="5960" w:type="dxa"/>
            <w:vAlign w:val="bottom"/>
            <w:tcBorders>
              <w:bottom w:val="single" w:sz="8" w:color="0075A8"/>
            </w:tcBorders>
          </w:tcPr>
          <w:p>
            <w:pPr>
              <w:spacing w:after="0"/>
              <w:rPr>
                <w:sz w:val="21"/>
                <w:szCs w:val="21"/>
                <w:color w:val="auto"/>
              </w:rPr>
            </w:pPr>
          </w:p>
        </w:tc>
        <w:tc>
          <w:tcPr>
            <w:tcW w:w="180" w:type="dxa"/>
            <w:vAlign w:val="bottom"/>
            <w:tcBorders>
              <w:bottom w:val="single" w:sz="8" w:color="0075A8"/>
              <w:right w:val="single" w:sz="8" w:color="0075A8"/>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-574040</wp:posOffset>
            </wp:positionV>
            <wp:extent cx="514350" cy="4889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66" w:name="page67"/>
    <w:bookmarkEnd w:id="66"/>
    <w:p>
      <w:pPr>
        <w:ind w:left="100"/>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480810" cy="402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80810" cy="402590"/>
                    </a:xfrm>
                    <a:prstGeom prst="rect">
                      <a:avLst/>
                    </a:prstGeom>
                    <a:noFill/>
                  </pic:spPr>
                </pic:pic>
              </a:graphicData>
            </a:graphic>
          </wp:anchor>
        </w:drawing>
      </w:r>
    </w:p>
    <w:p>
      <w:pPr>
        <w:spacing w:after="0" w:line="25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PROPOSAL 6:</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1680"/>
        <w:spacing w:after="0" w:line="268" w:lineRule="auto"/>
        <w:rPr>
          <w:sz w:val="20"/>
          <w:szCs w:val="20"/>
          <w:color w:val="auto"/>
        </w:rPr>
      </w:pPr>
      <w:r>
        <w:rPr>
          <w:rFonts w:ascii="Arial" w:cs="Arial" w:eastAsia="Arial" w:hAnsi="Arial"/>
          <w:sz w:val="32"/>
          <w:szCs w:val="32"/>
          <w:b w:val="1"/>
          <w:bCs w:val="1"/>
          <w:color w:val="0075A8"/>
        </w:rPr>
        <w:t>STOCKHOLDER PROPOSAL REGARDING SIMPLE MAJORITY VOTE</w:t>
      </w:r>
    </w:p>
    <w:p>
      <w:pPr>
        <w:sectPr>
          <w:pgSz w:w="11900" w:h="16838" w:orient="portrait"/>
          <w:cols w:equalWidth="0" w:num="1">
            <w:col w:w="10200"/>
          </w:cols>
          <w:pgMar w:left="480" w:top="132" w:right="1219" w:bottom="1440" w:gutter="0" w:footer="0" w:header="0"/>
        </w:sectPr>
      </w:pPr>
    </w:p>
    <w:p>
      <w:pPr>
        <w:spacing w:after="0" w:line="210" w:lineRule="exact"/>
        <w:rPr>
          <w:sz w:val="20"/>
          <w:szCs w:val="20"/>
          <w:color w:val="auto"/>
        </w:rPr>
      </w:pPr>
    </w:p>
    <w:p>
      <w:pPr>
        <w:ind w:left="760"/>
        <w:spacing w:after="0" w:line="250" w:lineRule="auto"/>
        <w:rPr>
          <w:sz w:val="20"/>
          <w:szCs w:val="20"/>
          <w:color w:val="auto"/>
        </w:rPr>
      </w:pPr>
      <w:r>
        <w:rPr>
          <w:rFonts w:ascii="Arial" w:cs="Arial" w:eastAsia="Arial" w:hAnsi="Arial"/>
          <w:sz w:val="19"/>
          <w:szCs w:val="19"/>
          <w:color w:val="auto"/>
        </w:rPr>
        <w:t>In accordance with SEC rules, we have set forth below a stockholder proposal from Mr. John Chevedden, 2215 Nelson Avenue, No. 205, Redondo Beach, CA 90278. Mr. Chevedden has notified us that he is the beneficial owner of 100 shares of the Company’s common stock and that he intends to present the following proposal at the Annual Meeting. The stockholder proposal will be voted upon at the Annual Meeting if properly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auto"/>
        </w:rPr>
        <w:t>presented. The Company assumes no responsibility for the content or accuracy of the text of the stockholder’s resolution or the statement and graphic the stockholder furnished to us in support thereof, which appear below exactly as submitted. The stockholder proposal includes some assertions the Company believes are incorrect.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439420</wp:posOffset>
            </wp:positionV>
            <wp:extent cx="59747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655" w:lineRule="exact"/>
        <w:rPr>
          <w:sz w:val="20"/>
          <w:szCs w:val="20"/>
          <w:color w:val="auto"/>
        </w:rPr>
      </w:pPr>
    </w:p>
    <w:p>
      <w:pPr>
        <w:sectPr>
          <w:pgSz w:w="11900" w:h="16838" w:orient="portrait"/>
          <w:cols w:equalWidth="0" w:num="2">
            <w:col w:w="5120" w:space="560"/>
            <w:col w:w="4520"/>
          </w:cols>
          <w:pgMar w:left="480" w:top="132" w:right="1219" w:bottom="1440" w:gutter="0" w:footer="0" w:header="0"/>
          <w:type w:val="continuous"/>
        </w:sectPr>
      </w:pPr>
    </w:p>
    <w:p>
      <w:pPr>
        <w:spacing w:after="0" w:line="297" w:lineRule="exact"/>
        <w:rPr>
          <w:sz w:val="20"/>
          <w:szCs w:val="20"/>
          <w:color w:val="auto"/>
        </w:rPr>
      </w:pPr>
    </w:p>
    <w:p>
      <w:pPr>
        <w:ind w:left="1100"/>
        <w:spacing w:after="0"/>
        <w:rPr>
          <w:sz w:val="20"/>
          <w:szCs w:val="20"/>
          <w:color w:val="auto"/>
        </w:rPr>
      </w:pPr>
      <w:r>
        <w:rPr>
          <w:rFonts w:ascii="Arial" w:cs="Arial" w:eastAsia="Arial" w:hAnsi="Arial"/>
          <w:sz w:val="23"/>
          <w:szCs w:val="23"/>
          <w:b w:val="1"/>
          <w:bCs w:val="1"/>
          <w:color w:val="auto"/>
        </w:rPr>
        <w:t>Proposal 6 —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189865</wp:posOffset>
            </wp:positionV>
            <wp:extent cx="1962785" cy="3860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9627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60" w:right="60"/>
        <w:spacing w:after="0" w:line="235" w:lineRule="auto"/>
        <w:rPr>
          <w:sz w:val="20"/>
          <w:szCs w:val="20"/>
          <w:color w:val="auto"/>
        </w:rPr>
      </w:pPr>
      <w:r>
        <w:rPr>
          <w:rFonts w:ascii="Arial" w:cs="Arial" w:eastAsia="Arial" w:hAnsi="Arial"/>
          <w:sz w:val="20"/>
          <w:szCs w:val="20"/>
          <w:color w:val="auto"/>
        </w:rPr>
        <w:t>Shareholders request that our board take each step necessary so that each voting requirement in our charter and bylaws (that is explicit or implicit due to default to state law) that calls for a greater than simple majority vote be replaced by a requirement for a majority of the votes cast for and against such proposals , or a simple majority in compliance with applicable laws.</w:t>
      </w:r>
    </w:p>
    <w:p>
      <w:pPr>
        <w:spacing w:after="0" w:line="75" w:lineRule="exact"/>
        <w:rPr>
          <w:sz w:val="20"/>
          <w:szCs w:val="20"/>
          <w:color w:val="auto"/>
        </w:rPr>
      </w:pPr>
    </w:p>
    <w:p>
      <w:pPr>
        <w:ind w:left="760"/>
        <w:spacing w:after="0" w:line="235" w:lineRule="auto"/>
        <w:rPr>
          <w:sz w:val="20"/>
          <w:szCs w:val="20"/>
          <w:color w:val="auto"/>
        </w:rPr>
      </w:pPr>
      <w:r>
        <w:rPr>
          <w:rFonts w:ascii="Arial" w:cs="Arial" w:eastAsia="Arial" w:hAnsi="Arial"/>
          <w:sz w:val="20"/>
          <w:szCs w:val="20"/>
          <w:color w:val="auto"/>
        </w:rPr>
        <w:t>This means the closest standard to a majority of the votes cast for and against such proposals consistent with applicable laws. This includes any existing supermajority vote requirement that results from default to state law and can be subject to replacement. This proposal topic is important because it was approved by 99% of Skyworks Solutions shares that voted in 2022.</w:t>
      </w:r>
    </w:p>
    <w:p>
      <w:pPr>
        <w:spacing w:after="0" w:line="75" w:lineRule="exact"/>
        <w:rPr>
          <w:sz w:val="20"/>
          <w:szCs w:val="20"/>
          <w:color w:val="auto"/>
        </w:rPr>
      </w:pPr>
    </w:p>
    <w:p>
      <w:pPr>
        <w:ind w:left="760"/>
        <w:spacing w:after="0" w:line="248" w:lineRule="auto"/>
        <w:rPr>
          <w:sz w:val="20"/>
          <w:szCs w:val="20"/>
          <w:color w:val="auto"/>
        </w:rPr>
      </w:pPr>
      <w:r>
        <w:rPr>
          <w:rFonts w:ascii="Arial" w:cs="Arial" w:eastAsia="Arial" w:hAnsi="Arial"/>
          <w:sz w:val="19"/>
          <w:szCs w:val="19"/>
          <w:color w:val="auto"/>
        </w:rPr>
        <w:t>This 2023 proposal includes that the Board take all the steps necessary at its discretion to help ensure that the topic of this proposal is approved by the requirement of 80% of all outstanding shares including a commitment to hire a proxy solicitor to conduct an intensive campaign if necessary, a commitment to adjourn the annual meeting to obtain the votes required if necessary and to take a 2-year process to adopt this proposal topic if applicable. This proposal does not restrict the Board from using a means to obtain the necessary vote that is not mentioned in this proposal.</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For instance PPG Industries, Inc. (PPG) adjourned its annual meeting for weeks to obtain the necessary votes on this proposal topic in 2022 and Raytheon Technologies Corporation (RTX) announced a 2-year process to obtain shareholder approval of this proposal topic in its 2022 proxy.</w:t>
      </w:r>
    </w:p>
    <w:p>
      <w:pPr>
        <w:spacing w:after="0" w:line="65" w:lineRule="exact"/>
        <w:rPr>
          <w:sz w:val="20"/>
          <w:szCs w:val="20"/>
          <w:color w:val="auto"/>
        </w:rPr>
      </w:pPr>
    </w:p>
    <w:p>
      <w:pPr>
        <w:ind w:right="140"/>
        <w:spacing w:after="0" w:line="235" w:lineRule="auto"/>
        <w:rPr>
          <w:sz w:val="20"/>
          <w:szCs w:val="20"/>
          <w:color w:val="auto"/>
        </w:rPr>
      </w:pPr>
      <w:r>
        <w:rPr>
          <w:rFonts w:ascii="Arial" w:cs="Arial" w:eastAsia="Arial" w:hAnsi="Arial"/>
          <w:sz w:val="20"/>
          <w:szCs w:val="20"/>
          <w:color w:val="auto"/>
        </w:rPr>
        <w:t>This proposal includes that the Board make an EDGAR filing approximately 10-days before the annual meeting urging shareholders to vote in favor and explaining all the efforts the board has taken or will take to obtain the necessary vote and all the available efforts that the Board has not taken with an explanation for each available effort not taken.</w:t>
      </w:r>
    </w:p>
    <w:p>
      <w:pPr>
        <w:spacing w:after="0" w:line="75" w:lineRule="exact"/>
        <w:rPr>
          <w:sz w:val="20"/>
          <w:szCs w:val="20"/>
          <w:color w:val="auto"/>
        </w:rPr>
      </w:pPr>
    </w:p>
    <w:p>
      <w:pPr>
        <w:ind w:right="200"/>
        <w:spacing w:after="0" w:line="238" w:lineRule="auto"/>
        <w:rPr>
          <w:sz w:val="20"/>
          <w:szCs w:val="20"/>
          <w:color w:val="auto"/>
        </w:rPr>
      </w:pPr>
      <w:r>
        <w:rPr>
          <w:rFonts w:ascii="Arial" w:cs="Arial" w:eastAsia="Arial" w:hAnsi="Arial"/>
          <w:sz w:val="20"/>
          <w:szCs w:val="20"/>
          <w:color w:val="auto"/>
        </w:rPr>
        <w:t>It is important to make an all-out effort now to obtain shareholder approval of this proposal topic in preference to the expense of conducting failed votes on this proposal topic every year into the foreseeable future.</w:t>
      </w:r>
    </w:p>
    <w:p>
      <w:pPr>
        <w:spacing w:after="0" w:line="61"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color w:val="auto"/>
        </w:rPr>
        <w:t>Extraordinary measures need to be taken to adopt this proposal topic due to the dead hand of our undemocratic governance provisions that require an 80% approval from all Skyworks Solutions shares outstanding to improve the corporate governance of Skyworks Solutions − given the reality that less than 80% of Skyworks Solutions shares typically vote at the annual meeting.</w:t>
      </w:r>
    </w:p>
    <w:p>
      <w:pPr>
        <w:spacing w:after="0" w:line="9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Please vote yes: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Simple Majority Vote — Proposal 6</w:t>
      </w:r>
    </w:p>
    <w:p>
      <w:pPr>
        <w:spacing w:after="0" w:line="994" w:lineRule="exact"/>
        <w:rPr>
          <w:sz w:val="20"/>
          <w:szCs w:val="20"/>
          <w:color w:val="auto"/>
        </w:rPr>
      </w:pPr>
    </w:p>
    <w:p>
      <w:pPr>
        <w:sectPr>
          <w:pgSz w:w="11900" w:h="16838" w:orient="portrait"/>
          <w:cols w:equalWidth="0" w:num="2">
            <w:col w:w="5240" w:space="440"/>
            <w:col w:w="4520"/>
          </w:cols>
          <w:pgMar w:left="480" w:top="132" w:right="1219" w:bottom="1440" w:gutter="0" w:footer="0" w:header="0"/>
          <w:type w:val="continuous"/>
        </w:sectPr>
      </w:pPr>
    </w:p>
    <w:p>
      <w:pPr>
        <w:ind w:left="760"/>
        <w:spacing w:after="0"/>
        <w:tabs>
          <w:tab w:leader="none" w:pos="2240" w:val="left"/>
          <w:tab w:leader="none" w:pos="2480" w:val="left"/>
          <w:tab w:leader="none" w:pos="8580" w:val="left"/>
          <w:tab w:leader="none" w:pos="894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107315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132" w:right="121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Statement by the Board of Directors on the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p>
      <w:pPr>
        <w:spacing w:after="0" w:line="255" w:lineRule="exact"/>
        <w:rPr>
          <w:sz w:val="20"/>
          <w:szCs w:val="20"/>
          <w:color w:val="auto"/>
        </w:rPr>
      </w:pPr>
    </w:p>
    <w:p>
      <w:pPr>
        <w:ind w:left="660" w:right="80"/>
        <w:spacing w:after="0" w:line="254" w:lineRule="auto"/>
        <w:rPr>
          <w:sz w:val="20"/>
          <w:szCs w:val="20"/>
          <w:color w:val="auto"/>
        </w:rPr>
      </w:pPr>
      <w:r>
        <w:rPr>
          <w:rFonts w:ascii="Arial" w:cs="Arial" w:eastAsia="Arial" w:hAnsi="Arial"/>
          <w:sz w:val="20"/>
          <w:szCs w:val="20"/>
          <w:color w:val="auto"/>
        </w:rPr>
        <w:t>By way of background, at the Company’s 2016 Annual Meeting, we presented five Company proposals that, if approved by the stockholders, would have removed all existing supermajority voting provisions from the Charter. Despite the recommendation of the Board in favor of all five proposals, only one of the five proposals (which required the affirmative vote of only two-thirds of the shares of the Company’s outstanding common stock) passed.</w:t>
      </w:r>
    </w:p>
    <w:p>
      <w:pPr>
        <w:spacing w:after="0" w:line="212" w:lineRule="exact"/>
        <w:rPr>
          <w:sz w:val="20"/>
          <w:szCs w:val="20"/>
          <w:color w:val="auto"/>
        </w:rPr>
      </w:pPr>
    </w:p>
    <w:p>
      <w:pPr>
        <w:ind w:left="660" w:right="20"/>
        <w:spacing w:after="0" w:line="254" w:lineRule="auto"/>
        <w:rPr>
          <w:sz w:val="20"/>
          <w:szCs w:val="20"/>
          <w:color w:val="auto"/>
        </w:rPr>
      </w:pPr>
      <w:r>
        <w:rPr>
          <w:rFonts w:ascii="Arial" w:cs="Arial" w:eastAsia="Arial" w:hAnsi="Arial"/>
          <w:sz w:val="20"/>
          <w:szCs w:val="20"/>
          <w:color w:val="auto"/>
        </w:rPr>
        <w:t>After taking into consideration the approval by our stockholders of a stockholder proposal in 2019 requesting that the Board take steps to remove the supermajority provisions in the Charter, the four proposals that did not pass in 2016 were again presented at the 2020 Annual Meeting for stockholder approval. Despite the recommendation of the Board once again in favor of all four proposals, as well as the Company engaging in enhanced solicitation of stockholder votes for the 2020 Annual Meeting with the goal of increasing the number of shares represented at the meeting, none of the four proposals passed.​</w:t>
      </w:r>
    </w:p>
    <w:p>
      <w:pPr>
        <w:spacing w:after="0" w:line="211"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After taking into consideration the approval by our stockholders of a stockholder proposal in 2021 requesting that the Board take steps to remove the supermajority provisions in the Charter, as well as the feedback received from stockholders following the 2021 Annual Meeting, the Board again presented the four proposals that did not pass in 2016 or in 2020 at the 2022 Annual Meeting for stockholder approval. However, despite the recommendation of the Board of Directors in favor of all four proposals, as well as the Company again engaging in enhanced solicitation of stockholder votes for the 2022 Annual Meeting with the goal of increasing the number of shares represented at the meeting, none of the four proposals passed.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3" w:right="100"/>
        <w:spacing w:after="0" w:line="255" w:lineRule="auto"/>
        <w:rPr>
          <w:sz w:val="20"/>
          <w:szCs w:val="20"/>
          <w:color w:val="auto"/>
        </w:rPr>
      </w:pPr>
      <w:r>
        <w:rPr>
          <w:rFonts w:ascii="Arial" w:cs="Arial" w:eastAsia="Arial" w:hAnsi="Arial"/>
          <w:sz w:val="20"/>
          <w:szCs w:val="20"/>
          <w:color w:val="auto"/>
        </w:rPr>
        <w:t>Specifically, the four proposals that failed to pass at each of the 2016 Annual Meeting, the 2020 Annual Meeting and the 2022 Annual Meeting were for approval of amendments to the Charter to eliminate the supermajority voting provisions relating to the following:</w:t>
      </w:r>
    </w:p>
    <w:p>
      <w:pPr>
        <w:spacing w:after="0" w:line="194" w:lineRule="exact"/>
        <w:rPr>
          <w:sz w:val="20"/>
          <w:szCs w:val="20"/>
          <w:color w:val="auto"/>
        </w:rPr>
      </w:pPr>
    </w:p>
    <w:p>
      <w:pPr>
        <w:ind w:left="183" w:right="40" w:hanging="183"/>
        <w:spacing w:after="0" w:line="281" w:lineRule="auto"/>
        <w:tabs>
          <w:tab w:leader="none" w:pos="183" w:val="left"/>
        </w:tabs>
        <w:numPr>
          <w:ilvl w:val="0"/>
          <w:numId w:val="85"/>
        </w:numPr>
        <w:rPr>
          <w:rFonts w:ascii="Arial" w:cs="Arial" w:eastAsia="Arial" w:hAnsi="Arial"/>
          <w:sz w:val="19"/>
          <w:szCs w:val="19"/>
          <w:color w:val="auto"/>
        </w:rPr>
      </w:pPr>
      <w:r>
        <w:rPr>
          <w:rFonts w:ascii="Arial" w:cs="Arial" w:eastAsia="Arial" w:hAnsi="Arial"/>
          <w:sz w:val="19"/>
          <w:szCs w:val="19"/>
          <w:color w:val="auto"/>
        </w:rPr>
        <w:t>Stockholder approval of a merger or consolidation, disposition of all or substantially all</w:t>
      </w:r>
    </w:p>
    <w:p>
      <w:pPr>
        <w:spacing w:after="0" w:line="1" w:lineRule="exact"/>
        <w:rPr>
          <w:rFonts w:ascii="Arial" w:cs="Arial" w:eastAsia="Arial" w:hAnsi="Arial"/>
          <w:sz w:val="19"/>
          <w:szCs w:val="19"/>
          <w:color w:val="auto"/>
        </w:rPr>
      </w:pPr>
    </w:p>
    <w:p>
      <w:pPr>
        <w:ind w:left="183" w:right="40"/>
        <w:spacing w:after="0" w:line="260" w:lineRule="auto"/>
        <w:rPr>
          <w:rFonts w:ascii="Arial" w:cs="Arial" w:eastAsia="Arial" w:hAnsi="Arial"/>
          <w:sz w:val="19"/>
          <w:szCs w:val="19"/>
          <w:color w:val="auto"/>
        </w:rPr>
      </w:pPr>
      <w:r>
        <w:rPr>
          <w:rFonts w:ascii="Arial" w:cs="Arial" w:eastAsia="Arial" w:hAnsi="Arial"/>
          <w:sz w:val="20"/>
          <w:szCs w:val="20"/>
          <w:color w:val="auto"/>
        </w:rPr>
        <w:t>of our assets, or issuance of a substantial amount of our securities (requiring the affirmative vote of at least 80% of the shares of the Company’s outstanding common stock);</w:t>
      </w:r>
    </w:p>
    <w:p>
      <w:pPr>
        <w:spacing w:after="0" w:line="2" w:lineRule="exact"/>
        <w:rPr>
          <w:rFonts w:ascii="Arial" w:cs="Arial" w:eastAsia="Arial" w:hAnsi="Arial"/>
          <w:sz w:val="19"/>
          <w:szCs w:val="19"/>
          <w:color w:val="auto"/>
        </w:rPr>
      </w:pPr>
    </w:p>
    <w:p>
      <w:pPr>
        <w:jc w:val="both"/>
        <w:ind w:left="183" w:right="120" w:hanging="183"/>
        <w:spacing w:after="0" w:line="281" w:lineRule="auto"/>
        <w:tabs>
          <w:tab w:leader="none" w:pos="183" w:val="left"/>
        </w:tabs>
        <w:numPr>
          <w:ilvl w:val="0"/>
          <w:numId w:val="85"/>
        </w:numPr>
        <w:rPr>
          <w:rFonts w:ascii="Arial" w:cs="Arial" w:eastAsia="Arial" w:hAnsi="Arial"/>
          <w:sz w:val="19"/>
          <w:szCs w:val="19"/>
          <w:color w:val="auto"/>
        </w:rPr>
      </w:pPr>
      <w:r>
        <w:rPr>
          <w:rFonts w:ascii="Arial" w:cs="Arial" w:eastAsia="Arial" w:hAnsi="Arial"/>
          <w:sz w:val="19"/>
          <w:szCs w:val="19"/>
          <w:color w:val="auto"/>
        </w:rPr>
        <w:t>Stockholder approval of a business combination with any related person (requiring the affirmative</w:t>
      </w:r>
    </w:p>
    <w:p>
      <w:pPr>
        <w:spacing w:after="0" w:line="1" w:lineRule="exact"/>
        <w:rPr>
          <w:rFonts w:ascii="Arial" w:cs="Arial" w:eastAsia="Arial" w:hAnsi="Arial"/>
          <w:sz w:val="19"/>
          <w:szCs w:val="19"/>
          <w:color w:val="auto"/>
        </w:rPr>
      </w:pPr>
    </w:p>
    <w:p>
      <w:pPr>
        <w:jc w:val="both"/>
        <w:ind w:left="183" w:right="820"/>
        <w:spacing w:after="0" w:line="274" w:lineRule="auto"/>
        <w:rPr>
          <w:rFonts w:ascii="Arial" w:cs="Arial" w:eastAsia="Arial" w:hAnsi="Arial"/>
          <w:sz w:val="19"/>
          <w:szCs w:val="19"/>
          <w:color w:val="auto"/>
        </w:rPr>
      </w:pPr>
      <w:r>
        <w:rPr>
          <w:rFonts w:ascii="Arial" w:cs="Arial" w:eastAsia="Arial" w:hAnsi="Arial"/>
          <w:sz w:val="19"/>
          <w:szCs w:val="19"/>
          <w:color w:val="auto"/>
        </w:rPr>
        <w:t>vote of at least 90% of the shares of the Company’s outstanding common stock);</w:t>
      </w:r>
    </w:p>
    <w:p>
      <w:pPr>
        <w:ind w:left="183" w:hanging="183"/>
        <w:spacing w:after="0"/>
        <w:tabs>
          <w:tab w:leader="none" w:pos="183" w:val="left"/>
        </w:tabs>
        <w:numPr>
          <w:ilvl w:val="0"/>
          <w:numId w:val="85"/>
        </w:numPr>
        <w:rPr>
          <w:rFonts w:ascii="Arial" w:cs="Arial" w:eastAsia="Arial" w:hAnsi="Arial"/>
          <w:sz w:val="20"/>
          <w:szCs w:val="20"/>
          <w:color w:val="auto"/>
        </w:rPr>
      </w:pPr>
      <w:r>
        <w:rPr>
          <w:rFonts w:ascii="Arial" w:cs="Arial" w:eastAsia="Arial" w:hAnsi="Arial"/>
          <w:sz w:val="20"/>
          <w:szCs w:val="20"/>
          <w:color w:val="auto"/>
        </w:rPr>
        <w:t>Stockholder amendment of Charter provisions</w:t>
      </w:r>
    </w:p>
    <w:p>
      <w:pPr>
        <w:spacing w:after="0" w:line="26" w:lineRule="exact"/>
        <w:rPr>
          <w:rFonts w:ascii="Arial" w:cs="Arial" w:eastAsia="Arial" w:hAnsi="Arial"/>
          <w:sz w:val="20"/>
          <w:szCs w:val="20"/>
          <w:color w:val="auto"/>
        </w:rPr>
      </w:pPr>
    </w:p>
    <w:p>
      <w:pPr>
        <w:ind w:left="183" w:right="40"/>
        <w:spacing w:after="0" w:line="262" w:lineRule="auto"/>
        <w:rPr>
          <w:rFonts w:ascii="Arial" w:cs="Arial" w:eastAsia="Arial" w:hAnsi="Arial"/>
          <w:sz w:val="20"/>
          <w:szCs w:val="20"/>
          <w:color w:val="auto"/>
        </w:rPr>
      </w:pPr>
      <w:r>
        <w:rPr>
          <w:rFonts w:ascii="Arial" w:cs="Arial" w:eastAsia="Arial" w:hAnsi="Arial"/>
          <w:sz w:val="20"/>
          <w:szCs w:val="20"/>
          <w:color w:val="auto"/>
        </w:rPr>
        <w:t>governing directors (requiring the affirmative vote of at least 80% of the shares of the Company’s outstanding common stock); and</w:t>
      </w:r>
    </w:p>
    <w:p>
      <w:pPr>
        <w:spacing w:after="0" w:line="2" w:lineRule="exact"/>
        <w:rPr>
          <w:rFonts w:ascii="Arial" w:cs="Arial" w:eastAsia="Arial" w:hAnsi="Arial"/>
          <w:sz w:val="20"/>
          <w:szCs w:val="20"/>
          <w:color w:val="auto"/>
        </w:rPr>
      </w:pPr>
    </w:p>
    <w:p>
      <w:pPr>
        <w:ind w:left="183" w:right="220" w:hanging="183"/>
        <w:spacing w:after="0" w:line="283" w:lineRule="auto"/>
        <w:tabs>
          <w:tab w:leader="none" w:pos="183" w:val="left"/>
        </w:tabs>
        <w:numPr>
          <w:ilvl w:val="0"/>
          <w:numId w:val="85"/>
        </w:numPr>
        <w:rPr>
          <w:rFonts w:ascii="Arial" w:cs="Arial" w:eastAsia="Arial" w:hAnsi="Arial"/>
          <w:sz w:val="19"/>
          <w:szCs w:val="19"/>
          <w:color w:val="auto"/>
        </w:rPr>
      </w:pPr>
      <w:r>
        <w:rPr>
          <w:rFonts w:ascii="Arial" w:cs="Arial" w:eastAsia="Arial" w:hAnsi="Arial"/>
          <w:sz w:val="19"/>
          <w:szCs w:val="19"/>
          <w:color w:val="auto"/>
        </w:rPr>
        <w:t>Stockholder amendment of Charter provisions governing action by stockholders (requiring the affirmative vote of at least 80% of the shares of the Company’s outstanding common stock).</w:t>
      </w:r>
    </w:p>
    <w:p>
      <w:pPr>
        <w:spacing w:after="0" w:line="184" w:lineRule="exact"/>
        <w:rPr>
          <w:sz w:val="20"/>
          <w:szCs w:val="20"/>
          <w:color w:val="auto"/>
        </w:rPr>
      </w:pPr>
    </w:p>
    <w:p>
      <w:pPr>
        <w:ind w:left="3" w:right="140"/>
        <w:spacing w:after="0" w:line="254" w:lineRule="auto"/>
        <w:rPr>
          <w:sz w:val="20"/>
          <w:szCs w:val="20"/>
          <w:color w:val="auto"/>
        </w:rPr>
      </w:pPr>
      <w:r>
        <w:rPr>
          <w:rFonts w:ascii="Arial" w:cs="Arial" w:eastAsia="Arial" w:hAnsi="Arial"/>
          <w:sz w:val="20"/>
          <w:szCs w:val="20"/>
          <w:color w:val="auto"/>
        </w:rPr>
        <w:t>We view the advisory vote on the stockholder proposal above as an opportunity for our stockholders to indicate whether there might be sufficient support to pass the four previously failed proposals should they be reintroduced in the future. The Board of Directors will again carefully consider the outcome of the vote on this proposal, together with additional investor input received in the course of the Company’s regular stockholder engagement program, in reaching a decision regarding how to proceed.</w:t>
      </w:r>
    </w:p>
    <w:p>
      <w:pPr>
        <w:spacing w:after="0" w:line="790" w:lineRule="exact"/>
        <w:rPr>
          <w:sz w:val="20"/>
          <w:szCs w:val="20"/>
          <w:color w:val="auto"/>
        </w:rPr>
      </w:pPr>
    </w:p>
    <w:p>
      <w:pPr>
        <w:sectPr>
          <w:pgSz w:w="11900" w:h="16838" w:orient="portrait"/>
          <w:cols w:equalWidth="0" w:num="2">
            <w:col w:w="5140" w:space="437"/>
            <w:col w:w="4523"/>
          </w:cols>
          <w:pgMar w:left="580" w:top="132" w:right="1219" w:bottom="1440" w:gutter="0" w:footer="0" w:header="0"/>
          <w:type w:val="continuous"/>
        </w:sectPr>
      </w:pPr>
    </w:p>
    <w:p>
      <w:pPr>
        <w:spacing w:after="0" w:line="12" w:lineRule="exact"/>
        <w:rPr>
          <w:sz w:val="20"/>
          <w:szCs w:val="20"/>
          <w:color w:val="auto"/>
        </w:rPr>
      </w:pPr>
    </w:p>
    <w:tbl>
      <w:tblPr>
        <w:tblLayout w:type="fixed"/>
        <w:tblInd w:w="1570" w:type="dxa"/>
        <w:tblCellMar>
          <w:top w:w="0" w:type="dxa"/>
          <w:left w:w="0" w:type="dxa"/>
          <w:bottom w:w="0" w:type="dxa"/>
          <w:right w:w="0" w:type="dxa"/>
        </w:tblCellMar>
      </w:tblPr>
      <w:tr>
        <w:trPr>
          <w:trHeight w:val="494"/>
        </w:trPr>
        <w:tc>
          <w:tcPr>
            <w:tcW w:w="560" w:type="dxa"/>
            <w:vAlign w:val="bottom"/>
            <w:tcBorders>
              <w:top w:val="single" w:sz="8" w:color="0075A8"/>
              <w:left w:val="single" w:sz="8" w:color="0075A8"/>
            </w:tcBorders>
            <w:vMerge w:val="restart"/>
          </w:tcPr>
          <w:p>
            <w:pPr>
              <w:ind w:left="20"/>
              <w:spacing w:after="0"/>
              <w:rPr>
                <w:sz w:val="20"/>
                <w:szCs w:val="20"/>
                <w:color w:val="auto"/>
              </w:rPr>
            </w:pPr>
            <w:r>
              <w:rPr>
                <w:rFonts w:ascii="Arial" w:cs="Arial" w:eastAsia="Arial" w:hAnsi="Arial"/>
                <w:sz w:val="18"/>
                <w:szCs w:val="18"/>
                <w:i w:val="1"/>
                <w:iCs w:val="1"/>
                <w:color w:val="0075A8"/>
              </w:rPr>
              <w:t>​</w:t>
            </w:r>
          </w:p>
        </w:tc>
        <w:tc>
          <w:tcPr>
            <w:tcW w:w="700" w:type="dxa"/>
            <w:vAlign w:val="bottom"/>
            <w:tcBorders>
              <w:top w:val="single" w:sz="8" w:color="0075A8"/>
            </w:tcBorders>
            <w:vMerge w:val="restart"/>
          </w:tcPr>
          <w:p>
            <w:pPr>
              <w:ind w:left="500"/>
              <w:spacing w:after="0"/>
              <w:rPr>
                <w:sz w:val="20"/>
                <w:szCs w:val="20"/>
                <w:color w:val="auto"/>
              </w:rPr>
            </w:pPr>
            <w:r>
              <w:rPr>
                <w:rFonts w:ascii="Arial" w:cs="Arial" w:eastAsia="Arial" w:hAnsi="Arial"/>
                <w:sz w:val="18"/>
                <w:szCs w:val="18"/>
                <w:i w:val="1"/>
                <w:iCs w:val="1"/>
                <w:color w:val="0075A8"/>
              </w:rPr>
              <w:t>​​</w:t>
            </w:r>
          </w:p>
        </w:tc>
        <w:tc>
          <w:tcPr>
            <w:tcW w:w="6140" w:type="dxa"/>
            <w:vAlign w:val="bottom"/>
            <w:tcBorders>
              <w:top w:val="single" w:sz="8" w:color="0075A8"/>
            </w:tcBorders>
          </w:tcPr>
          <w:p>
            <w:pPr>
              <w:jc w:val="center"/>
              <w:spacing w:after="0"/>
              <w:rPr>
                <w:sz w:val="20"/>
                <w:szCs w:val="20"/>
                <w:color w:val="auto"/>
              </w:rPr>
            </w:pPr>
            <w:r>
              <w:rPr>
                <w:rFonts w:ascii="Arial" w:cs="Arial" w:eastAsia="Arial" w:hAnsi="Arial"/>
                <w:sz w:val="18"/>
                <w:szCs w:val="18"/>
                <w:i w:val="1"/>
                <w:iCs w:val="1"/>
                <w:color w:val="0075A8"/>
                <w:w w:val="99"/>
              </w:rPr>
              <w:t>THE BOARD OF DIRECTORS MAKES NO RECOMMENDATION</w:t>
            </w:r>
          </w:p>
        </w:tc>
        <w:tc>
          <w:tcPr>
            <w:tcW w:w="220" w:type="dxa"/>
            <w:vAlign w:val="bottom"/>
            <w:tcBorders>
              <w:top w:val="single" w:sz="8" w:color="0075A8"/>
              <w:right w:val="single" w:sz="8" w:color="0075A8"/>
            </w:tcBorders>
            <w:vMerge w:val="restart"/>
          </w:tcPr>
          <w:p>
            <w:pPr>
              <w:ind w:left="80"/>
              <w:spacing w:after="0"/>
              <w:rPr>
                <w:sz w:val="20"/>
                <w:szCs w:val="20"/>
                <w:color w:val="auto"/>
              </w:rPr>
            </w:pPr>
            <w:r>
              <w:rPr>
                <w:rFonts w:ascii="Arial" w:cs="Arial" w:eastAsia="Arial" w:hAnsi="Arial"/>
                <w:sz w:val="18"/>
                <w:szCs w:val="18"/>
                <w:i w:val="1"/>
                <w:iCs w:val="1"/>
                <w:color w:val="0075A8"/>
              </w:rPr>
              <w:t>​</w:t>
            </w:r>
          </w:p>
        </w:tc>
        <w:tc>
          <w:tcPr>
            <w:tcW w:w="0" w:type="dxa"/>
            <w:vAlign w:val="bottom"/>
          </w:tcPr>
          <w:p>
            <w:pPr>
              <w:spacing w:after="0"/>
              <w:rPr>
                <w:sz w:val="1"/>
                <w:szCs w:val="1"/>
                <w:color w:val="auto"/>
              </w:rPr>
            </w:pPr>
          </w:p>
        </w:tc>
      </w:tr>
      <w:tr>
        <w:trPr>
          <w:trHeight w:val="235"/>
        </w:trPr>
        <w:tc>
          <w:tcPr>
            <w:tcW w:w="560" w:type="dxa"/>
            <w:vAlign w:val="bottom"/>
            <w:tcBorders>
              <w:left w:val="single" w:sz="8" w:color="0075A8"/>
            </w:tcBorders>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6140" w:type="dxa"/>
            <w:vAlign w:val="bottom"/>
          </w:tcPr>
          <w:p>
            <w:pPr>
              <w:jc w:val="center"/>
              <w:spacing w:after="0"/>
              <w:rPr>
                <w:sz w:val="20"/>
                <w:szCs w:val="20"/>
                <w:color w:val="auto"/>
              </w:rPr>
            </w:pPr>
            <w:r>
              <w:rPr>
                <w:rFonts w:ascii="Arial" w:cs="Arial" w:eastAsia="Arial" w:hAnsi="Arial"/>
                <w:sz w:val="18"/>
                <w:szCs w:val="18"/>
                <w:i w:val="1"/>
                <w:iCs w:val="1"/>
                <w:color w:val="0075A8"/>
                <w:w w:val="99"/>
              </w:rPr>
              <w:t>REGARDING HOW STOCKHOLDERS SHOULD VOTE ON PROPOSAL 6</w:t>
            </w:r>
          </w:p>
        </w:tc>
        <w:tc>
          <w:tcPr>
            <w:tcW w:w="220" w:type="dxa"/>
            <w:vAlign w:val="bottom"/>
            <w:tcBorders>
              <w:right w:val="single" w:sz="8" w:color="0075A8"/>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60" w:type="dxa"/>
            <w:vAlign w:val="bottom"/>
            <w:tcBorders>
              <w:left w:val="single" w:sz="8" w:color="0075A8"/>
              <w:bottom w:val="single" w:sz="8" w:color="0075A8"/>
            </w:tcBorders>
          </w:tcPr>
          <w:p>
            <w:pPr>
              <w:spacing w:after="0"/>
              <w:rPr>
                <w:sz w:val="24"/>
                <w:szCs w:val="24"/>
                <w:color w:val="auto"/>
              </w:rPr>
            </w:pPr>
          </w:p>
        </w:tc>
        <w:tc>
          <w:tcPr>
            <w:tcW w:w="700" w:type="dxa"/>
            <w:vAlign w:val="bottom"/>
            <w:tcBorders>
              <w:bottom w:val="single" w:sz="8" w:color="0075A8"/>
            </w:tcBorders>
          </w:tcPr>
          <w:p>
            <w:pPr>
              <w:spacing w:after="0"/>
              <w:rPr>
                <w:sz w:val="24"/>
                <w:szCs w:val="24"/>
                <w:color w:val="auto"/>
              </w:rPr>
            </w:pPr>
          </w:p>
        </w:tc>
        <w:tc>
          <w:tcPr>
            <w:tcW w:w="6140" w:type="dxa"/>
            <w:vAlign w:val="bottom"/>
            <w:tcBorders>
              <w:bottom w:val="single" w:sz="8" w:color="0075A8"/>
            </w:tcBorders>
          </w:tcPr>
          <w:p>
            <w:pPr>
              <w:spacing w:after="0"/>
              <w:rPr>
                <w:sz w:val="24"/>
                <w:szCs w:val="24"/>
                <w:color w:val="auto"/>
              </w:rPr>
            </w:pPr>
          </w:p>
        </w:tc>
        <w:tc>
          <w:tcPr>
            <w:tcW w:w="220" w:type="dxa"/>
            <w:vAlign w:val="bottom"/>
            <w:tcBorders>
              <w:bottom w:val="single" w:sz="8" w:color="0075A8"/>
              <w:right w:val="single" w:sz="8" w:color="0075A8"/>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-574040</wp:posOffset>
            </wp:positionV>
            <wp:extent cx="514350" cy="4883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0" cy="488315"/>
                    </a:xfrm>
                    <a:prstGeom prst="rect">
                      <a:avLst/>
                    </a:prstGeom>
                    <a:noFill/>
                  </pic:spPr>
                </pic:pic>
              </a:graphicData>
            </a:graphic>
          </wp:anchor>
        </w:drawing>
      </w:r>
    </w:p>
    <w:p>
      <w:pPr>
        <w:spacing w:after="0" w:line="297"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67" w:lineRule="exact"/>
        <w:rPr>
          <w:sz w:val="20"/>
          <w:szCs w:val="20"/>
          <w:color w:val="auto"/>
        </w:rPr>
      </w:pPr>
    </w:p>
    <w:p>
      <w:pPr>
        <w:ind w:left="660" w:right="100"/>
        <w:spacing w:after="0" w:line="268" w:lineRule="auto"/>
        <w:rPr>
          <w:sz w:val="20"/>
          <w:szCs w:val="20"/>
          <w:color w:val="auto"/>
        </w:rPr>
      </w:pPr>
      <w:r>
        <w:rPr>
          <w:rFonts w:ascii="Arial" w:cs="Arial" w:eastAsia="Arial" w:hAnsi="Arial"/>
          <w:sz w:val="32"/>
          <w:szCs w:val="32"/>
          <w:b w:val="1"/>
          <w:bCs w:val="1"/>
          <w:color w:val="0075A8"/>
        </w:rPr>
        <w:t>SECURITY OWNERSHIP OF CERTAIN BENEFICIAL OWNERS AND MANAGEMENT</w:t>
      </w:r>
    </w:p>
    <w:p>
      <w:pPr>
        <w:spacing w:after="0" w:line="169" w:lineRule="exact"/>
        <w:rPr>
          <w:sz w:val="20"/>
          <w:szCs w:val="20"/>
          <w:color w:val="auto"/>
        </w:rPr>
      </w:pPr>
    </w:p>
    <w:p>
      <w:pPr>
        <w:ind w:left="660" w:right="180"/>
        <w:spacing w:after="0" w:line="255" w:lineRule="auto"/>
        <w:rPr>
          <w:sz w:val="20"/>
          <w:szCs w:val="20"/>
          <w:color w:val="auto"/>
        </w:rPr>
      </w:pPr>
      <w:r>
        <w:rPr>
          <w:rFonts w:ascii="Arial" w:cs="Arial" w:eastAsia="Arial" w:hAnsi="Arial"/>
          <w:sz w:val="20"/>
          <w:szCs w:val="20"/>
          <w:color w:val="auto"/>
        </w:rPr>
        <w:t>To the Company’s knowledge, the following table sets forth the beneficial ownership of the Company’s common stock as of March 1, 2023, by the following individuals or entities: (i) each person or entity who beneficially owns five percent (5%) or more of the outstanding shares of the Company’s common stock as of March 1, 2023; (ii) the Named Executive Officers (as defined above under “</w:t>
      </w:r>
      <w:r>
        <w:rPr>
          <w:rFonts w:ascii="Arial" w:cs="Arial" w:eastAsia="Arial" w:hAnsi="Arial"/>
          <w:sz w:val="20"/>
          <w:szCs w:val="20"/>
          <w:i w:val="1"/>
          <w:iCs w:val="1"/>
          <w:color w:val="auto"/>
        </w:rPr>
        <w:t>Information About Executive</w:t>
      </w:r>
      <w:r>
        <w:rPr>
          <w:rFonts w:ascii="Arial" w:cs="Arial" w:eastAsia="Arial" w:hAnsi="Arial"/>
          <w:sz w:val="20"/>
          <w:szCs w:val="20"/>
          <w:color w:val="auto"/>
        </w:rPr>
        <w:t xml:space="preserve"> </w:t>
      </w:r>
      <w:r>
        <w:rPr>
          <w:rFonts w:ascii="Arial" w:cs="Arial" w:eastAsia="Arial" w:hAnsi="Arial"/>
          <w:sz w:val="20"/>
          <w:szCs w:val="20"/>
          <w:i w:val="1"/>
          <w:iCs w:val="1"/>
          <w:color w:val="auto"/>
        </w:rPr>
        <w:t>and Director Compensation</w:t>
      </w:r>
      <w:r>
        <w:rPr>
          <w:rFonts w:ascii="Arial" w:cs="Arial" w:eastAsia="Arial" w:hAnsi="Arial"/>
          <w:sz w:val="20"/>
          <w:szCs w:val="20"/>
          <w:color w:val="auto"/>
        </w:rPr>
        <w:t>”); (iii) each director and nominee for director; and (iv) all current executive</w:t>
      </w:r>
      <w:r>
        <w:rPr>
          <w:rFonts w:ascii="Arial" w:cs="Arial" w:eastAsia="Arial" w:hAnsi="Arial"/>
          <w:sz w:val="20"/>
          <w:szCs w:val="20"/>
          <w:i w:val="1"/>
          <w:iCs w:val="1"/>
          <w:color w:val="auto"/>
        </w:rPr>
        <w:t xml:space="preserve"> </w:t>
      </w:r>
      <w:r>
        <w:rPr>
          <w:rFonts w:ascii="Arial" w:cs="Arial" w:eastAsia="Arial" w:hAnsi="Arial"/>
          <w:sz w:val="20"/>
          <w:szCs w:val="20"/>
          <w:color w:val="auto"/>
        </w:rPr>
        <w:t>officers and directors of the Company, as a group.</w:t>
      </w:r>
    </w:p>
    <w:p>
      <w:pPr>
        <w:spacing w:after="0" w:line="208" w:lineRule="exact"/>
        <w:rPr>
          <w:sz w:val="20"/>
          <w:szCs w:val="20"/>
          <w:color w:val="auto"/>
        </w:rPr>
      </w:pPr>
    </w:p>
    <w:p>
      <w:pPr>
        <w:ind w:left="660" w:right="140"/>
        <w:spacing w:after="0" w:line="256" w:lineRule="auto"/>
        <w:rPr>
          <w:sz w:val="20"/>
          <w:szCs w:val="20"/>
          <w:color w:val="auto"/>
        </w:rPr>
      </w:pPr>
      <w:r>
        <w:rPr>
          <w:rFonts w:ascii="Arial" w:cs="Arial" w:eastAsia="Arial" w:hAnsi="Arial"/>
          <w:sz w:val="20"/>
          <w:szCs w:val="20"/>
          <w:color w:val="auto"/>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March 1, 2023, there were 159,153,152 shares of the Company’s common stock outstanding.</w:t>
      </w:r>
    </w:p>
    <w:p>
      <w:pPr>
        <w:spacing w:after="0" w:line="207" w:lineRule="exact"/>
        <w:rPr>
          <w:sz w:val="20"/>
          <w:szCs w:val="20"/>
          <w:color w:val="auto"/>
        </w:rPr>
      </w:pPr>
    </w:p>
    <w:p>
      <w:pPr>
        <w:ind w:left="660" w:right="180"/>
        <w:spacing w:after="0" w:line="255" w:lineRule="auto"/>
        <w:rPr>
          <w:sz w:val="20"/>
          <w:szCs w:val="20"/>
          <w:color w:val="auto"/>
        </w:rPr>
      </w:pPr>
      <w:r>
        <w:rPr>
          <w:rFonts w:ascii="Arial" w:cs="Arial" w:eastAsia="Arial" w:hAnsi="Arial"/>
          <w:sz w:val="20"/>
          <w:szCs w:val="20"/>
          <w:color w:val="auto"/>
        </w:rPr>
        <w:t>In computing the number of shares of Company common stock beneficially owned by a person and the percentage ownership of that person, shares of Company common stock that are subject to stock options or other rights held by that person that are currently exercisable or that will become exercisable within sixty (60) days of March 1, 2023, are deemed outstanding. These shares are not, however, deemed outstanding for the purpose of computing the percentage ownership of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152400</wp:posOffset>
            </wp:positionV>
            <wp:extent cx="5974715" cy="291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74715" cy="29146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680"/>
        <w:spacing w:after="0"/>
        <w:rPr>
          <w:sz w:val="20"/>
          <w:szCs w:val="20"/>
          <w:color w:val="auto"/>
        </w:rPr>
      </w:pPr>
      <w:r>
        <w:rPr>
          <w:rFonts w:ascii="Arial" w:cs="Arial" w:eastAsia="Arial" w:hAnsi="Arial"/>
          <w:sz w:val="18"/>
          <w:szCs w:val="18"/>
          <w:color w:val="FFFFFF"/>
        </w:rPr>
        <w:t>​Names and Addresses of Beneficial Owners(1)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23495</wp:posOffset>
            </wp:positionV>
            <wp:extent cx="5974715" cy="1631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Vanguard Group, Inc.</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BlackRock,​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10795</wp:posOffset>
            </wp:positionV>
            <wp:extent cx="5974715" cy="162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Alan​ S. Batey</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Kevin​ L.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10795</wp:posOffset>
            </wp:positionV>
            <wp:extent cx="5974715" cy="162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Carlos​ S. Bori</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10795</wp:posOffset>
            </wp:positionV>
            <wp:extent cx="5974715" cy="162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Eric​ J. Guerin</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Reza​ Kasnavi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10795</wp:posOffset>
            </wp:positionV>
            <wp:extent cx="5974715" cy="162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Christine​ King</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Suzanne​ E.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10795</wp:posOffset>
            </wp:positionV>
            <wp:extent cx="5974715" cy="1714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David​ P. McGlade</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Robert​ A. Schriesheim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10795</wp:posOffset>
            </wp:positionV>
            <wp:extent cx="5974715"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Kris​ Sennesael</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Robert​ J.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10795</wp:posOffset>
            </wp:positionV>
            <wp:extent cx="5974715"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Maryann​ Turcke</w:t>
      </w:r>
    </w:p>
    <w:p>
      <w:pPr>
        <w:ind w:left="700"/>
        <w:spacing w:after="0" w:line="182" w:lineRule="auto"/>
        <w:rPr>
          <w:sz w:val="20"/>
          <w:szCs w:val="20"/>
          <w:color w:val="auto"/>
        </w:rPr>
      </w:pPr>
      <w:r>
        <w:rPr>
          <w:rFonts w:ascii="Arial" w:cs="Arial" w:eastAsia="Arial" w:hAnsi="Arial"/>
          <w:sz w:val="16"/>
          <w:szCs w:val="16"/>
          <w:color w:val="auto"/>
        </w:rPr>
        <w:t>All current directors and executive officers as a group (14 persons)</w:t>
      </w:r>
    </w:p>
    <w:p>
      <w:pPr>
        <w:ind w:left="7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-5715</wp:posOffset>
            </wp:positionV>
            <wp:extent cx="59747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FFFFFF"/>
        </w:rPr>
        <w:t>Number of Shares</w:t>
      </w:r>
    </w:p>
    <w:p>
      <w:pPr>
        <w:spacing w:after="0"/>
        <w:rPr>
          <w:sz w:val="20"/>
          <w:szCs w:val="20"/>
          <w:color w:val="auto"/>
        </w:rPr>
      </w:pPr>
      <w:r>
        <w:rPr>
          <w:rFonts w:ascii="Arial" w:cs="Arial" w:eastAsia="Arial" w:hAnsi="Arial"/>
          <w:sz w:val="18"/>
          <w:szCs w:val="18"/>
          <w:color w:val="FFFFFF"/>
        </w:rPr>
        <w:t>​ ​ Beneficially Owned(2) ​ ​Percent of Class ​</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18,248,544​</w:t>
            </w:r>
            <w:r>
              <w:rPr>
                <w:rFonts w:ascii="Arial" w:cs="Arial" w:eastAsia="Arial" w:hAnsi="Arial"/>
                <w:sz w:val="16"/>
                <w:szCs w:val="16"/>
                <w:color w:val="0075A8"/>
              </w:rPr>
              <w:t>(3)</w:t>
            </w:r>
          </w:p>
        </w:tc>
        <w:tc>
          <w:tcPr>
            <w:tcW w:w="620" w:type="dxa"/>
            <w:vAlign w:val="bottom"/>
          </w:tcPr>
          <w:p>
            <w:pPr>
              <w:ind w:left="160"/>
              <w:spacing w:after="0"/>
              <w:rPr>
                <w:sz w:val="20"/>
                <w:szCs w:val="20"/>
                <w:color w:val="auto"/>
              </w:rPr>
            </w:pPr>
            <w:r>
              <w:rPr>
                <w:rFonts w:ascii="Arial" w:cs="Arial" w:eastAsia="Arial" w:hAnsi="Arial"/>
                <w:sz w:val="16"/>
                <w:szCs w:val="16"/>
                <w:color w:val="auto"/>
              </w:rPr>
              <w:t>​ ​ ​</w:t>
            </w:r>
          </w:p>
        </w:tc>
        <w:tc>
          <w:tcPr>
            <w:tcW w:w="920" w:type="dxa"/>
            <w:vAlign w:val="bottom"/>
            <w:gridSpan w:val="2"/>
          </w:tcPr>
          <w:p>
            <w:pPr>
              <w:ind w:left="2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11.47​%</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13,169,064​</w:t>
            </w:r>
            <w:r>
              <w:rPr>
                <w:rFonts w:ascii="Arial" w:cs="Arial" w:eastAsia="Arial" w:hAnsi="Arial"/>
                <w:sz w:val="16"/>
                <w:szCs w:val="16"/>
                <w:color w:val="0075A8"/>
              </w:rPr>
              <w:t>(4)</w:t>
            </w:r>
          </w:p>
        </w:tc>
        <w:tc>
          <w:tcPr>
            <w:tcW w:w="620" w:type="dxa"/>
            <w:vAlign w:val="bottom"/>
          </w:tcPr>
          <w:p>
            <w:pPr>
              <w:ind w:left="160"/>
              <w:spacing w:after="0"/>
              <w:rPr>
                <w:sz w:val="20"/>
                <w:szCs w:val="20"/>
                <w:color w:val="auto"/>
              </w:rPr>
            </w:pPr>
            <w:r>
              <w:rPr>
                <w:rFonts w:ascii="Arial" w:cs="Arial" w:eastAsia="Arial" w:hAnsi="Arial"/>
                <w:sz w:val="16"/>
                <w:szCs w:val="16"/>
                <w:color w:val="auto"/>
              </w:rPr>
              <w:t>​ ​ ​</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8.27​%</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5,745​</w:t>
            </w:r>
          </w:p>
        </w:tc>
        <w:tc>
          <w:tcPr>
            <w:tcW w:w="620" w:type="dxa"/>
            <w:vAlign w:val="bottom"/>
          </w:tcPr>
          <w:p>
            <w:pPr>
              <w:ind w:left="160"/>
              <w:spacing w:after="0"/>
              <w:rPr>
                <w:sz w:val="20"/>
                <w:szCs w:val="20"/>
                <w:color w:val="auto"/>
              </w:rPr>
            </w:pPr>
            <w:r>
              <w:rPr>
                <w:rFonts w:ascii="Arial" w:cs="Arial" w:eastAsia="Arial" w:hAnsi="Arial"/>
                <w:sz w:val="16"/>
                <w:szCs w:val="16"/>
                <w:color w:val="auto"/>
              </w:rPr>
              <w:t>​ ​ ​</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54,806​</w:t>
            </w:r>
          </w:p>
        </w:tc>
        <w:tc>
          <w:tcPr>
            <w:tcW w:w="620" w:type="dxa"/>
            <w:vAlign w:val="bottom"/>
          </w:tcPr>
          <w:p>
            <w:pPr>
              <w:ind w:left="160"/>
              <w:spacing w:after="0"/>
              <w:rPr>
                <w:sz w:val="20"/>
                <w:szCs w:val="20"/>
                <w:color w:val="auto"/>
              </w:rPr>
            </w:pPr>
            <w:r>
              <w:rPr>
                <w:rFonts w:ascii="Arial" w:cs="Arial" w:eastAsia="Arial" w:hAnsi="Arial"/>
                <w:sz w:val="16"/>
                <w:szCs w:val="16"/>
                <w:color w:val="auto"/>
              </w:rPr>
              <w:t>​ ​ ​</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35,851​</w:t>
            </w:r>
            <w:r>
              <w:rPr>
                <w:rFonts w:ascii="Arial" w:cs="Arial" w:eastAsia="Arial" w:hAnsi="Arial"/>
                <w:sz w:val="16"/>
                <w:szCs w:val="16"/>
                <w:color w:val="0075A8"/>
              </w:rPr>
              <w:t>(5)</w:t>
            </w:r>
          </w:p>
        </w:tc>
        <w:tc>
          <w:tcPr>
            <w:tcW w:w="620" w:type="dxa"/>
            <w:vAlign w:val="bottom"/>
          </w:tcPr>
          <w:p>
            <w:pPr>
              <w:ind w:left="160"/>
              <w:spacing w:after="0"/>
              <w:rPr>
                <w:sz w:val="20"/>
                <w:szCs w:val="20"/>
                <w:color w:val="auto"/>
              </w:rPr>
            </w:pPr>
            <w:r>
              <w:rPr>
                <w:rFonts w:ascii="Arial" w:cs="Arial" w:eastAsia="Arial" w:hAnsi="Arial"/>
                <w:sz w:val="16"/>
                <w:szCs w:val="16"/>
                <w:color w:val="auto"/>
              </w:rPr>
              <w:t>​ ​ ​</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114,669​</w:t>
            </w:r>
            <w:r>
              <w:rPr>
                <w:rFonts w:ascii="Arial" w:cs="Arial" w:eastAsia="Arial" w:hAnsi="Arial"/>
                <w:sz w:val="16"/>
                <w:szCs w:val="16"/>
                <w:color w:val="0075A8"/>
              </w:rPr>
              <w:t>(5)</w:t>
            </w:r>
          </w:p>
        </w:tc>
        <w:tc>
          <w:tcPr>
            <w:tcW w:w="620" w:type="dxa"/>
            <w:vAlign w:val="bottom"/>
          </w:tcPr>
          <w:p>
            <w:pPr>
              <w:ind w:left="160"/>
              <w:spacing w:after="0"/>
              <w:rPr>
                <w:sz w:val="20"/>
                <w:szCs w:val="20"/>
                <w:color w:val="auto"/>
              </w:rPr>
            </w:pPr>
            <w:r>
              <w:rPr>
                <w:rFonts w:ascii="Arial" w:cs="Arial" w:eastAsia="Arial" w:hAnsi="Arial"/>
                <w:sz w:val="16"/>
                <w:szCs w:val="16"/>
                <w:color w:val="auto"/>
              </w:rPr>
              <w:t>​ ​ ​</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447​</w:t>
            </w:r>
          </w:p>
        </w:tc>
        <w:tc>
          <w:tcPr>
            <w:tcW w:w="620" w:type="dxa"/>
            <w:vAlign w:val="bottom"/>
          </w:tcPr>
          <w:p>
            <w:pPr>
              <w:ind w:left="160"/>
              <w:spacing w:after="0"/>
              <w:rPr>
                <w:sz w:val="20"/>
                <w:szCs w:val="20"/>
                <w:color w:val="auto"/>
              </w:rPr>
            </w:pPr>
            <w:r>
              <w:rPr>
                <w:rFonts w:ascii="Arial" w:cs="Arial" w:eastAsia="Arial" w:hAnsi="Arial"/>
                <w:sz w:val="16"/>
                <w:szCs w:val="16"/>
                <w:color w:val="auto"/>
              </w:rPr>
              <w:t>​ ​ ​</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17,933​</w:t>
            </w:r>
            <w:r>
              <w:rPr>
                <w:rFonts w:ascii="Arial" w:cs="Arial" w:eastAsia="Arial" w:hAnsi="Arial"/>
                <w:sz w:val="16"/>
                <w:szCs w:val="16"/>
                <w:color w:val="0075A8"/>
              </w:rPr>
              <w:t>(5)</w:t>
            </w:r>
          </w:p>
        </w:tc>
        <w:tc>
          <w:tcPr>
            <w:tcW w:w="620" w:type="dxa"/>
            <w:vAlign w:val="bottom"/>
          </w:tcPr>
          <w:p>
            <w:pPr>
              <w:ind w:left="160"/>
              <w:spacing w:after="0"/>
              <w:rPr>
                <w:sz w:val="20"/>
                <w:szCs w:val="20"/>
                <w:color w:val="auto"/>
              </w:rPr>
            </w:pPr>
            <w:r>
              <w:rPr>
                <w:rFonts w:ascii="Arial" w:cs="Arial" w:eastAsia="Arial" w:hAnsi="Arial"/>
                <w:sz w:val="16"/>
                <w:szCs w:val="16"/>
                <w:color w:val="auto"/>
              </w:rPr>
              <w:t>​ ​ ​</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19,079​</w:t>
            </w:r>
          </w:p>
        </w:tc>
        <w:tc>
          <w:tcPr>
            <w:tcW w:w="620" w:type="dxa"/>
            <w:vAlign w:val="bottom"/>
          </w:tcPr>
          <w:p>
            <w:pPr>
              <w:ind w:left="160"/>
              <w:spacing w:after="0"/>
              <w:rPr>
                <w:sz w:val="20"/>
                <w:szCs w:val="20"/>
                <w:color w:val="auto"/>
              </w:rPr>
            </w:pPr>
            <w:r>
              <w:rPr>
                <w:rFonts w:ascii="Arial" w:cs="Arial" w:eastAsia="Arial" w:hAnsi="Arial"/>
                <w:sz w:val="16"/>
                <w:szCs w:val="16"/>
                <w:color w:val="auto"/>
              </w:rPr>
              <w:t>​ ​ ​</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450​</w:t>
            </w:r>
          </w:p>
        </w:tc>
        <w:tc>
          <w:tcPr>
            <w:tcW w:w="620" w:type="dxa"/>
            <w:vAlign w:val="bottom"/>
          </w:tcPr>
          <w:p>
            <w:pPr>
              <w:ind w:left="160"/>
              <w:spacing w:after="0"/>
              <w:rPr>
                <w:sz w:val="20"/>
                <w:szCs w:val="20"/>
                <w:color w:val="auto"/>
              </w:rPr>
            </w:pPr>
            <w:r>
              <w:rPr>
                <w:rFonts w:ascii="Arial" w:cs="Arial" w:eastAsia="Arial" w:hAnsi="Arial"/>
                <w:sz w:val="16"/>
                <w:szCs w:val="16"/>
                <w:color w:val="auto"/>
              </w:rPr>
              <w:t>​ ​ ​</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41,016​</w:t>
            </w:r>
          </w:p>
        </w:tc>
        <w:tc>
          <w:tcPr>
            <w:tcW w:w="620" w:type="dxa"/>
            <w:vAlign w:val="bottom"/>
          </w:tcPr>
          <w:p>
            <w:pPr>
              <w:ind w:left="160"/>
              <w:spacing w:after="0"/>
              <w:rPr>
                <w:sz w:val="20"/>
                <w:szCs w:val="20"/>
                <w:color w:val="auto"/>
              </w:rPr>
            </w:pPr>
            <w:r>
              <w:rPr>
                <w:rFonts w:ascii="Arial" w:cs="Arial" w:eastAsia="Arial" w:hAnsi="Arial"/>
                <w:sz w:val="16"/>
                <w:szCs w:val="16"/>
                <w:color w:val="auto"/>
              </w:rPr>
              <w:t>​ ​ ​</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82,336​</w:t>
            </w:r>
          </w:p>
        </w:tc>
        <w:tc>
          <w:tcPr>
            <w:tcW w:w="620" w:type="dxa"/>
            <w:vAlign w:val="bottom"/>
          </w:tcPr>
          <w:p>
            <w:pPr>
              <w:ind w:left="160"/>
              <w:spacing w:after="0"/>
              <w:rPr>
                <w:sz w:val="20"/>
                <w:szCs w:val="20"/>
                <w:color w:val="auto"/>
              </w:rPr>
            </w:pPr>
            <w:r>
              <w:rPr>
                <w:rFonts w:ascii="Arial" w:cs="Arial" w:eastAsia="Arial" w:hAnsi="Arial"/>
                <w:sz w:val="16"/>
                <w:szCs w:val="16"/>
                <w:color w:val="auto"/>
              </w:rPr>
              <w:t>​ ​ ​</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140,593​</w:t>
            </w:r>
          </w:p>
        </w:tc>
        <w:tc>
          <w:tcPr>
            <w:tcW w:w="620" w:type="dxa"/>
            <w:vAlign w:val="bottom"/>
          </w:tcPr>
          <w:p>
            <w:pPr>
              <w:ind w:left="160"/>
              <w:spacing w:after="0"/>
              <w:rPr>
                <w:sz w:val="20"/>
                <w:szCs w:val="20"/>
                <w:color w:val="auto"/>
              </w:rPr>
            </w:pPr>
            <w:r>
              <w:rPr>
                <w:rFonts w:ascii="Arial" w:cs="Arial" w:eastAsia="Arial" w:hAnsi="Arial"/>
                <w:sz w:val="16"/>
                <w:szCs w:val="16"/>
                <w:color w:val="auto"/>
              </w:rPr>
              <w:t>​ ​ ​</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14,143​</w:t>
            </w:r>
            <w:r>
              <w:rPr>
                <w:rFonts w:ascii="Arial" w:cs="Arial" w:eastAsia="Arial" w:hAnsi="Arial"/>
                <w:sz w:val="16"/>
                <w:szCs w:val="16"/>
                <w:color w:val="0075A8"/>
              </w:rPr>
              <w:t>(5)</w:t>
            </w:r>
          </w:p>
        </w:tc>
        <w:tc>
          <w:tcPr>
            <w:tcW w:w="620" w:type="dxa"/>
            <w:vAlign w:val="bottom"/>
          </w:tcPr>
          <w:p>
            <w:pPr>
              <w:ind w:left="160"/>
              <w:spacing w:after="0"/>
              <w:rPr>
                <w:sz w:val="20"/>
                <w:szCs w:val="20"/>
                <w:color w:val="auto"/>
              </w:rPr>
            </w:pPr>
            <w:r>
              <w:rPr>
                <w:rFonts w:ascii="Arial" w:cs="Arial" w:eastAsia="Arial" w:hAnsi="Arial"/>
                <w:sz w:val="16"/>
                <w:szCs w:val="16"/>
                <w:color w:val="auto"/>
              </w:rPr>
              <w:t>​ ​ ​</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20" w:type="dxa"/>
            <w:vAlign w:val="bottom"/>
          </w:tcPr>
          <w:p>
            <w:pPr>
              <w:ind w:left="160"/>
              <w:spacing w:after="0"/>
              <w:rPr>
                <w:sz w:val="20"/>
                <w:szCs w:val="20"/>
                <w:color w:val="auto"/>
              </w:rPr>
            </w:pPr>
            <w:r>
              <w:rPr>
                <w:rFonts w:ascii="Arial" w:cs="Arial" w:eastAsia="Arial" w:hAnsi="Arial"/>
                <w:sz w:val="16"/>
                <w:szCs w:val="16"/>
                <w:color w:val="auto"/>
              </w:rPr>
              <w:t>​ ​ ​</w:t>
            </w:r>
          </w:p>
        </w:tc>
        <w:tc>
          <w:tcPr>
            <w:tcW w:w="26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380" w:type="dxa"/>
            <w:vAlign w:val="bottom"/>
            <w:vMerge w:val="restart"/>
          </w:tcPr>
          <w:p>
            <w:pPr>
              <w:spacing w:after="0"/>
              <w:rPr>
                <w:sz w:val="20"/>
                <w:szCs w:val="20"/>
                <w:color w:val="auto"/>
              </w:rPr>
            </w:pPr>
            <w:r>
              <w:rPr>
                <w:rFonts w:ascii="Arial" w:cs="Arial" w:eastAsia="Arial" w:hAnsi="Arial"/>
                <w:sz w:val="16"/>
                <w:szCs w:val="16"/>
                <w:color w:val="auto"/>
              </w:rPr>
              <w:t>​ ​</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540,694​</w:t>
            </w:r>
            <w:r>
              <w:rPr>
                <w:rFonts w:ascii="Arial" w:cs="Arial" w:eastAsia="Arial" w:hAnsi="Arial"/>
                <w:sz w:val="16"/>
                <w:szCs w:val="16"/>
                <w:color w:val="0075A8"/>
              </w:rPr>
              <w:t>(5)</w:t>
            </w:r>
          </w:p>
        </w:tc>
        <w:tc>
          <w:tcPr>
            <w:tcW w:w="620" w:type="dxa"/>
            <w:vAlign w:val="bottom"/>
            <w:vMerge w:val="restart"/>
          </w:tcPr>
          <w:p>
            <w:pPr>
              <w:ind w:left="160"/>
              <w:spacing w:after="0"/>
              <w:rPr>
                <w:sz w:val="20"/>
                <w:szCs w:val="20"/>
                <w:color w:val="auto"/>
              </w:rPr>
            </w:pPr>
            <w:r>
              <w:rPr>
                <w:rFonts w:ascii="Arial" w:cs="Arial" w:eastAsia="Arial" w:hAnsi="Arial"/>
                <w:sz w:val="16"/>
                <w:szCs w:val="16"/>
                <w:color w:val="auto"/>
              </w:rPr>
              <w:t>​ ​ ​</w:t>
            </w: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380" w:type="dxa"/>
            <w:vAlign w:val="bottom"/>
            <w:vMerge w:val="continue"/>
          </w:tcPr>
          <w:p>
            <w:pPr>
              <w:spacing w:after="0"/>
              <w:rPr>
                <w:sz w:val="16"/>
                <w:szCs w:val="16"/>
                <w:color w:val="auto"/>
              </w:rPr>
            </w:pP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ind w:left="20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ectPr>
          <w:pgSz w:w="11900" w:h="16838" w:orient="portrait"/>
          <w:cols w:equalWidth="0" w:num="2">
            <w:col w:w="5760" w:space="720"/>
            <w:col w:w="3620"/>
          </w:cols>
          <w:pgMar w:left="580" w:top="132" w:right="1219" w:bottom="1440" w:gutter="0" w:footer="0" w:header="0"/>
          <w:type w:val="continuous"/>
        </w:sectPr>
      </w:pPr>
    </w:p>
    <w:p>
      <w:pPr>
        <w:ind w:left="1080" w:hanging="354"/>
        <w:spacing w:after="0"/>
        <w:tabs>
          <w:tab w:leader="none" w:pos="1080" w:val="left"/>
        </w:tabs>
        <w:numPr>
          <w:ilvl w:val="0"/>
          <w:numId w:val="86"/>
        </w:numPr>
        <w:rPr>
          <w:rFonts w:ascii="Arial" w:cs="Arial" w:eastAsia="Arial" w:hAnsi="Arial"/>
          <w:sz w:val="16"/>
          <w:szCs w:val="16"/>
          <w:i w:val="1"/>
          <w:iCs w:val="1"/>
          <w:color w:val="auto"/>
        </w:rPr>
      </w:pPr>
      <w:r>
        <w:rPr>
          <w:rFonts w:ascii="Arial" w:cs="Arial" w:eastAsia="Arial" w:hAnsi="Arial"/>
          <w:sz w:val="16"/>
          <w:szCs w:val="16"/>
          <w:i w:val="1"/>
          <w:iCs w:val="1"/>
          <w:color w:val="auto"/>
        </w:rPr>
        <w:t>Less than 1%</w:t>
      </w:r>
    </w:p>
    <w:p>
      <w:pPr>
        <w:spacing w:after="0" w:line="32" w:lineRule="exact"/>
        <w:rPr>
          <w:sz w:val="20"/>
          <w:szCs w:val="20"/>
          <w:color w:val="auto"/>
        </w:rPr>
      </w:pPr>
    </w:p>
    <w:p>
      <w:pPr>
        <w:ind w:left="1080" w:right="140" w:hanging="354"/>
        <w:spacing w:after="0" w:line="264" w:lineRule="auto"/>
        <w:tabs>
          <w:tab w:leader="none" w:pos="1080" w:val="left"/>
        </w:tabs>
        <w:numPr>
          <w:ilvl w:val="0"/>
          <w:numId w:val="87"/>
        </w:numPr>
        <w:rPr>
          <w:rFonts w:ascii="Arial" w:cs="Arial" w:eastAsia="Arial" w:hAnsi="Arial"/>
          <w:sz w:val="16"/>
          <w:szCs w:val="16"/>
          <w:i w:val="1"/>
          <w:iCs w:val="1"/>
          <w:color w:val="auto"/>
        </w:rPr>
      </w:pPr>
      <w:r>
        <w:rPr>
          <w:rFonts w:ascii="Arial" w:cs="Arial" w:eastAsia="Arial" w:hAnsi="Arial"/>
          <w:sz w:val="16"/>
          <w:szCs w:val="16"/>
          <w:i w:val="1"/>
          <w:iCs w:val="1"/>
          <w:color w:val="auto"/>
        </w:rPr>
        <w:t>Unless otherwise set forth in the following notes, each person’s address is the address of the Company’s principal executive offices at Skyworks Solutions, Inc., 5260 California Avenue, Irvine, CA 92617, and stockholders have sole voting and sole investment power with respect to the shares, except to the extent such power may be shared by a spouse or otherwise subject to applicable community property laws.</w:t>
      </w:r>
    </w:p>
    <w:p>
      <w:pPr>
        <w:ind w:left="1080" w:right="160" w:hanging="354"/>
        <w:spacing w:after="0" w:line="269" w:lineRule="auto"/>
        <w:tabs>
          <w:tab w:leader="none" w:pos="1080" w:val="left"/>
        </w:tabs>
        <w:numPr>
          <w:ilvl w:val="0"/>
          <w:numId w:val="8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number of shares of Company common stock subject to stock options held by that person that are currently exercisable or will become exercisable within sixty (60) days of March 1, 2023 (the “Current Options”), as follows: Mr. Griffin — 13,211 shares under Current Options; Mr. Sennesael — 52,770 shares under Current Options; current directors and executive officers as a group (14 persons) — 65,981 shares under Current Options.</w:t>
      </w:r>
    </w:p>
    <w:p>
      <w:pPr>
        <w:spacing w:after="0" w:line="316"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80" w:right="80"/>
        <w:spacing w:after="0" w:line="259" w:lineRule="auto"/>
        <w:rPr>
          <w:sz w:val="20"/>
          <w:szCs w:val="20"/>
          <w:color w:val="auto"/>
        </w:rPr>
      </w:pPr>
      <w:r>
        <w:rPr>
          <w:rFonts w:ascii="Arial" w:cs="Arial" w:eastAsia="Arial" w:hAnsi="Arial"/>
          <w:sz w:val="16"/>
          <w:szCs w:val="16"/>
          <w:i w:val="1"/>
          <w:iCs w:val="1"/>
          <w:color w:val="auto"/>
        </w:rPr>
        <w:t>The table does not reflect the number of shares of Company common stock to be issued pursuant to unvested restricted stock units (the “Unvested RSUs”) and earned, but unissued, performance share awards subject to time-based vesting only (the “Unvested PSAs”) that are not scheduled to vest within sixty (60) days of March 1, 2023, as follows: Mr. Batey — 1,900 shares under Unvested RSUs; Mr. Beebe — 1,900 shares under Unvested RSUs; Mr. Bori — 31,722 shares under Unvested RSUs and 14,634 shares under Unvested PSAs; Mr. Griffin — 107,930 shares under Unvested RSUs and 47,720 shares under Unvested PSAs; Mr. Guerin — 2,793 shares under Unvested RSUs; Mr. Kasnavi — 32,278 shares under Unvested RSUs and 14,634 shares under Unvested PSAs; Ms. King — 1,900 shares under Unvested RSUs; Ms. McBride — 2,798 shares under Unvested RSUs; Mr. McGlade — 1,900 shares under Unvested RSUs; Mr. Schriesheim  — 1,900 shares under Unvested RSUs; Mr. Sennesael — 32,191 shares under Unvested RSUs and 15,064 shares under Unvested PSAs; Mr. Terry — 26,937 shares under Unvested RSUs and 12,051 shares under Unvested PSAs; Ms. Turcke — 2,077 shares under Unvested RSUs; current directors and executive officers as a group (14 persons) — 265,800 shares under Unvested RSUs and 112,280 shares under Unvested PSAs.</w:t>
      </w:r>
    </w:p>
    <w:p>
      <w:pPr>
        <w:spacing w:after="0" w:line="7" w:lineRule="exact"/>
        <w:rPr>
          <w:sz w:val="20"/>
          <w:szCs w:val="20"/>
          <w:color w:val="auto"/>
        </w:rPr>
      </w:pPr>
    </w:p>
    <w:p>
      <w:pPr>
        <w:ind w:left="1080" w:right="40" w:hanging="354"/>
        <w:spacing w:after="0" w:line="260" w:lineRule="auto"/>
        <w:tabs>
          <w:tab w:leader="none" w:pos="1080" w:val="left"/>
        </w:tabs>
        <w:numPr>
          <w:ilvl w:val="0"/>
          <w:numId w:val="88"/>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beneficially owned by The Vanguard Group, Inc. (“Vanguard”), which has sole voting power with respect to zero shares, shared voting power with respect to 228,432 shares, sole dispositive power with respect to 17,587,130 shares and shared dispositive power with respect to 661,414 shares. With respect to the information relating to Vanguard, the Company has relied on information supplied by Vanguard on a Schedule 13G/A filed with the SEC on February 9, 2023. The address of Vanguard is 100 Vanguard Blvd., Malvern, PA 19355.</w:t>
      </w:r>
    </w:p>
    <w:p>
      <w:pPr>
        <w:spacing w:after="0" w:line="2" w:lineRule="exact"/>
        <w:rPr>
          <w:rFonts w:ascii="Arial" w:cs="Arial" w:eastAsia="Arial" w:hAnsi="Arial"/>
          <w:sz w:val="16"/>
          <w:szCs w:val="16"/>
          <w:i w:val="1"/>
          <w:iCs w:val="1"/>
          <w:color w:val="auto"/>
        </w:rPr>
      </w:pPr>
    </w:p>
    <w:p>
      <w:pPr>
        <w:ind w:left="1080" w:right="100" w:hanging="354"/>
        <w:spacing w:after="0" w:line="261" w:lineRule="auto"/>
        <w:tabs>
          <w:tab w:leader="none" w:pos="1080" w:val="left"/>
        </w:tabs>
        <w:numPr>
          <w:ilvl w:val="0"/>
          <w:numId w:val="88"/>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beneficially owned by BlackRock, Inc. (“BlackRock”), in its capacity as a parent holding company of various subsidiaries under Rule 13d-1(b)(1)(ii)(G). In its capacity as a parent holding company or control person, BlackRock has sole voting power with respect to 12,059,793 shares and sole dispositive power with respect to 13,169,064 shares which are held by the following of its subsidiaries: BlackRock Life Limited, BlackRock International Limited, BlackRock Advisors, LLC, Aperio Group,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(Luxembourg) S.A., BlackRock Investment Management (Australia) Limited, BlackRock Advisors (UK) Limited, BlackRock Fund Advisors, BlackRock Asset Management North Asia Limited, BlackRock (Singapore) Limited, and BlackRock Fund Managers Ltd. With respect to the information relating to BlackRock and its affiliated entities, we have relied on information supplied by BlackRock on a Schedule 13G filed with the SEC on February 3, 2023. The address of BlackRock is 55 East 52nd Street, New York, NY 10055.</w:t>
      </w:r>
    </w:p>
    <w:p>
      <w:pPr>
        <w:spacing w:after="0" w:line="190" w:lineRule="exact"/>
        <w:rPr>
          <w:rFonts w:ascii="Arial" w:cs="Arial" w:eastAsia="Arial" w:hAnsi="Arial"/>
          <w:sz w:val="16"/>
          <w:szCs w:val="16"/>
          <w:i w:val="1"/>
          <w:iCs w:val="1"/>
          <w:color w:val="auto"/>
        </w:rPr>
      </w:pPr>
    </w:p>
    <w:p>
      <w:pPr>
        <w:ind w:left="1080" w:hanging="354"/>
        <w:spacing w:after="0"/>
        <w:tabs>
          <w:tab w:leader="none" w:pos="1080" w:val="left"/>
        </w:tabs>
        <w:numPr>
          <w:ilvl w:val="0"/>
          <w:numId w:val="88"/>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shares held in the Company’s 401(k) Savings and Retirement Plan as of 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ectPr>
          <w:pgSz w:w="11900" w:h="16838" w:orient="portrait"/>
          <w:cols w:equalWidth="0" w:num="1">
            <w:col w:w="10100"/>
          </w:cols>
          <w:pgMar w:left="580" w:top="132" w:right="121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0075A8"/>
        </w:rPr>
        <w:t>GENERAL INFORMATION</w:t>
      </w:r>
    </w:p>
    <w:p>
      <w:pPr>
        <w:spacing w:after="0" w:line="221" w:lineRule="exact"/>
        <w:rPr>
          <w:sz w:val="20"/>
          <w:szCs w:val="20"/>
          <w:color w:val="auto"/>
        </w:rPr>
      </w:pPr>
    </w:p>
    <w:p>
      <w:pPr>
        <w:ind w:left="1020" w:right="320" w:hanging="366"/>
        <w:spacing w:after="0" w:line="286" w:lineRule="auto"/>
        <w:tabs>
          <w:tab w:leader="none" w:pos="1020" w:val="left"/>
        </w:tabs>
        <w:numPr>
          <w:ilvl w:val="0"/>
          <w:numId w:val="89"/>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we refer to Skyworks in this Proxy Statement?</w:t>
      </w:r>
    </w:p>
    <w:p>
      <w:pPr>
        <w:spacing w:after="0" w:line="83" w:lineRule="exact"/>
        <w:rPr>
          <w:rFonts w:ascii="Arial" w:cs="Arial" w:eastAsia="Arial" w:hAnsi="Arial"/>
          <w:sz w:val="20"/>
          <w:szCs w:val="20"/>
          <w:b w:val="1"/>
          <w:bCs w:val="1"/>
          <w:color w:val="0075A8"/>
        </w:rPr>
      </w:pPr>
    </w:p>
    <w:p>
      <w:pPr>
        <w:ind w:left="1020" w:right="420"/>
        <w:spacing w:after="0" w:line="256" w:lineRule="auto"/>
        <w:rPr>
          <w:rFonts w:ascii="Arial" w:cs="Arial" w:eastAsia="Arial" w:hAnsi="Arial"/>
          <w:sz w:val="20"/>
          <w:szCs w:val="20"/>
          <w:b w:val="1"/>
          <w:bCs w:val="1"/>
          <w:color w:val="0075A8"/>
        </w:rPr>
      </w:pPr>
      <w:r>
        <w:rPr>
          <w:rFonts w:ascii="Arial" w:cs="Arial" w:eastAsia="Arial" w:hAnsi="Arial"/>
          <w:sz w:val="20"/>
          <w:szCs w:val="20"/>
          <w:color w:val="auto"/>
        </w:rPr>
        <w:t>The terms “Skyworks,” “the Company,” “we,” “us,” and “our” refer to Skyworks Solutions, Inc., a Delaware corporation, and its consolidated subsidiaries.</w:t>
      </w:r>
    </w:p>
    <w:p>
      <w:pPr>
        <w:spacing w:after="0" w:line="182" w:lineRule="exact"/>
        <w:rPr>
          <w:rFonts w:ascii="Arial" w:cs="Arial" w:eastAsia="Arial" w:hAnsi="Arial"/>
          <w:sz w:val="20"/>
          <w:szCs w:val="20"/>
          <w:b w:val="1"/>
          <w:bCs w:val="1"/>
          <w:color w:val="0075A8"/>
        </w:rPr>
      </w:pPr>
    </w:p>
    <w:p>
      <w:pPr>
        <w:ind w:left="1020" w:hanging="366"/>
        <w:spacing w:after="0"/>
        <w:tabs>
          <w:tab w:leader="none" w:pos="1020" w:val="left"/>
        </w:tabs>
        <w:numPr>
          <w:ilvl w:val="0"/>
          <w:numId w:val="90"/>
        </w:numPr>
        <w:rPr>
          <w:rFonts w:ascii="Arial" w:cs="Arial" w:eastAsia="Arial" w:hAnsi="Arial"/>
          <w:sz w:val="20"/>
          <w:szCs w:val="20"/>
          <w:b w:val="1"/>
          <w:bCs w:val="1"/>
          <w:color w:val="0075A8"/>
        </w:rPr>
      </w:pPr>
      <w:r>
        <w:rPr>
          <w:rFonts w:ascii="Arial" w:cs="Arial" w:eastAsia="Arial" w:hAnsi="Arial"/>
          <w:sz w:val="20"/>
          <w:szCs w:val="20"/>
          <w:b w:val="1"/>
          <w:bCs w:val="1"/>
          <w:color w:val="0075A8"/>
        </w:rPr>
        <w:t>When and where is our Annual Meeting?</w:t>
      </w:r>
    </w:p>
    <w:p>
      <w:pPr>
        <w:spacing w:after="0" w:line="172" w:lineRule="exact"/>
        <w:rPr>
          <w:rFonts w:ascii="Arial" w:cs="Arial" w:eastAsia="Arial" w:hAnsi="Arial"/>
          <w:sz w:val="20"/>
          <w:szCs w:val="20"/>
          <w:b w:val="1"/>
          <w:bCs w:val="1"/>
          <w:color w:val="0075A8"/>
        </w:rPr>
      </w:pPr>
    </w:p>
    <w:p>
      <w:pPr>
        <w:ind w:left="1020"/>
        <w:spacing w:after="0" w:line="268" w:lineRule="auto"/>
        <w:rPr>
          <w:rFonts w:ascii="Arial" w:cs="Arial" w:eastAsia="Arial" w:hAnsi="Arial"/>
          <w:sz w:val="20"/>
          <w:szCs w:val="20"/>
          <w:b w:val="1"/>
          <w:bCs w:val="1"/>
          <w:color w:val="0075A8"/>
        </w:rPr>
      </w:pPr>
      <w:r>
        <w:rPr>
          <w:rFonts w:ascii="Arial" w:cs="Arial" w:eastAsia="Arial" w:hAnsi="Arial"/>
          <w:sz w:val="19"/>
          <w:szCs w:val="19"/>
          <w:color w:val="auto"/>
        </w:rPr>
        <w:t>The Annual Meeting will be held on Wednesday, May 10, 2023, at 11:00 a.m. Pacific Daylight Time. The Annual Meeting will be held in a virtual format. You will be able to attend and participate in the Annual Meeting online by visiting www.virtualshareholdermeeting.com/SWKS2023. We believe that hosting a virtual meeting will facilitate stockholder attendance and participation at our Annual Meeting by enabling stockholders to participate remotely from any location around the world. We have designed the virtual Annual Meeting to provide the same rights and opportunities to participate as stockholders would have at an in-person meeting, including the right to vote and ask questions through the virtual meeting platform.</w:t>
      </w:r>
    </w:p>
    <w:p>
      <w:pPr>
        <w:spacing w:after="0" w:line="200" w:lineRule="exact"/>
        <w:rPr>
          <w:rFonts w:ascii="Arial" w:cs="Arial" w:eastAsia="Arial" w:hAnsi="Arial"/>
          <w:sz w:val="20"/>
          <w:szCs w:val="20"/>
          <w:b w:val="1"/>
          <w:bCs w:val="1"/>
          <w:color w:val="0075A8"/>
        </w:rPr>
      </w:pPr>
    </w:p>
    <w:p>
      <w:pPr>
        <w:spacing w:after="0" w:line="219" w:lineRule="exact"/>
        <w:rPr>
          <w:rFonts w:ascii="Arial" w:cs="Arial" w:eastAsia="Arial" w:hAnsi="Arial"/>
          <w:sz w:val="20"/>
          <w:szCs w:val="20"/>
          <w:b w:val="1"/>
          <w:bCs w:val="1"/>
          <w:color w:val="0075A8"/>
        </w:rPr>
      </w:pPr>
    </w:p>
    <w:p>
      <w:pPr>
        <w:ind w:left="1020" w:right="1100" w:hanging="366"/>
        <w:spacing w:after="0" w:line="271" w:lineRule="auto"/>
        <w:tabs>
          <w:tab w:leader="none" w:pos="1020" w:val="left"/>
        </w:tabs>
        <w:numPr>
          <w:ilvl w:val="0"/>
          <w:numId w:val="91"/>
        </w:numPr>
        <w:rPr>
          <w:rFonts w:ascii="Arial" w:cs="Arial" w:eastAsia="Arial" w:hAnsi="Arial"/>
          <w:sz w:val="20"/>
          <w:szCs w:val="20"/>
          <w:b w:val="1"/>
          <w:bCs w:val="1"/>
          <w:color w:val="0075A8"/>
        </w:rPr>
      </w:pPr>
      <w:r>
        <w:rPr>
          <w:rFonts w:ascii="Arial" w:cs="Arial" w:eastAsia="Arial" w:hAnsi="Arial"/>
          <w:sz w:val="20"/>
          <w:szCs w:val="20"/>
          <w:b w:val="1"/>
          <w:bCs w:val="1"/>
          <w:color w:val="0075A8"/>
        </w:rPr>
        <w:t>What is the purpose of the Annual Meeting?</w:t>
      </w:r>
    </w:p>
    <w:p>
      <w:pPr>
        <w:spacing w:after="0" w:line="112" w:lineRule="exact"/>
        <w:rPr>
          <w:rFonts w:ascii="Arial" w:cs="Arial" w:eastAsia="Arial" w:hAnsi="Arial"/>
          <w:sz w:val="20"/>
          <w:szCs w:val="20"/>
          <w:b w:val="1"/>
          <w:bCs w:val="1"/>
          <w:color w:val="0075A8"/>
        </w:rPr>
      </w:pPr>
    </w:p>
    <w:p>
      <w:pPr>
        <w:ind w:left="1020" w:right="540"/>
        <w:spacing w:after="0" w:line="287" w:lineRule="auto"/>
        <w:rPr>
          <w:rFonts w:ascii="Arial" w:cs="Arial" w:eastAsia="Arial" w:hAnsi="Arial"/>
          <w:sz w:val="20"/>
          <w:szCs w:val="20"/>
          <w:b w:val="1"/>
          <w:bCs w:val="1"/>
          <w:color w:val="0075A8"/>
        </w:rPr>
      </w:pPr>
      <w:r>
        <w:rPr>
          <w:rFonts w:ascii="Arial" w:cs="Arial" w:eastAsia="Arial" w:hAnsi="Arial"/>
          <w:sz w:val="19"/>
          <w:szCs w:val="19"/>
          <w:color w:val="auto"/>
        </w:rPr>
        <w:t>At the Annual Meeting, stockholders will consider and vote on the following matters:</w:t>
      </w:r>
    </w:p>
    <w:p>
      <w:pPr>
        <w:spacing w:after="0" w:line="111" w:lineRule="exact"/>
        <w:rPr>
          <w:rFonts w:ascii="Arial" w:cs="Arial" w:eastAsia="Arial" w:hAnsi="Arial"/>
          <w:sz w:val="20"/>
          <w:szCs w:val="20"/>
          <w:b w:val="1"/>
          <w:bCs w:val="1"/>
          <w:color w:val="0075A8"/>
        </w:rPr>
      </w:pPr>
    </w:p>
    <w:p>
      <w:pPr>
        <w:ind w:left="1200" w:hanging="186"/>
        <w:spacing w:after="0"/>
        <w:tabs>
          <w:tab w:leader="none" w:pos="1200" w:val="left"/>
        </w:tabs>
        <w:numPr>
          <w:ilvl w:val="1"/>
          <w:numId w:val="91"/>
        </w:numPr>
        <w:rPr>
          <w:rFonts w:ascii="Arial" w:cs="Arial" w:eastAsia="Arial" w:hAnsi="Arial"/>
          <w:sz w:val="20"/>
          <w:szCs w:val="20"/>
          <w:color w:val="auto"/>
        </w:rPr>
      </w:pPr>
      <w:r>
        <w:rPr>
          <w:rFonts w:ascii="Arial" w:cs="Arial" w:eastAsia="Arial" w:hAnsi="Arial"/>
          <w:sz w:val="20"/>
          <w:szCs w:val="20"/>
          <w:color w:val="auto"/>
        </w:rPr>
        <w:t>Proposal 1:  The election of the nine</w:t>
      </w:r>
    </w:p>
    <w:p>
      <w:pPr>
        <w:spacing w:after="0" w:line="26" w:lineRule="exact"/>
        <w:rPr>
          <w:rFonts w:ascii="Arial" w:cs="Arial" w:eastAsia="Arial" w:hAnsi="Arial"/>
          <w:sz w:val="20"/>
          <w:szCs w:val="20"/>
          <w:color w:val="auto"/>
        </w:rPr>
      </w:pPr>
    </w:p>
    <w:p>
      <w:pPr>
        <w:ind w:left="1200" w:right="180"/>
        <w:spacing w:after="0" w:line="262" w:lineRule="auto"/>
        <w:rPr>
          <w:rFonts w:ascii="Arial" w:cs="Arial" w:eastAsia="Arial" w:hAnsi="Arial"/>
          <w:sz w:val="20"/>
          <w:szCs w:val="20"/>
          <w:color w:val="auto"/>
        </w:rPr>
      </w:pPr>
      <w:r>
        <w:rPr>
          <w:rFonts w:ascii="Arial" w:cs="Arial" w:eastAsia="Arial" w:hAnsi="Arial"/>
          <w:sz w:val="20"/>
          <w:szCs w:val="20"/>
          <w:color w:val="auto"/>
        </w:rPr>
        <w:t>nominees named in this Proxy Statement to our Board of Directors to serve until the 2024 Annual Meeting of Stockholders.</w:t>
      </w:r>
    </w:p>
    <w:p>
      <w:pPr>
        <w:spacing w:after="0" w:line="2" w:lineRule="exact"/>
        <w:rPr>
          <w:rFonts w:ascii="Arial" w:cs="Arial" w:eastAsia="Arial" w:hAnsi="Arial"/>
          <w:sz w:val="20"/>
          <w:szCs w:val="20"/>
          <w:color w:val="auto"/>
        </w:rPr>
      </w:pPr>
    </w:p>
    <w:p>
      <w:pPr>
        <w:jc w:val="both"/>
        <w:ind w:left="1200" w:right="240" w:hanging="186"/>
        <w:spacing w:after="0" w:line="276" w:lineRule="auto"/>
        <w:tabs>
          <w:tab w:leader="none" w:pos="1200" w:val="left"/>
        </w:tabs>
        <w:numPr>
          <w:ilvl w:val="1"/>
          <w:numId w:val="91"/>
        </w:numPr>
        <w:rPr>
          <w:rFonts w:ascii="Arial" w:cs="Arial" w:eastAsia="Arial" w:hAnsi="Arial"/>
          <w:sz w:val="19"/>
          <w:szCs w:val="19"/>
          <w:color w:val="auto"/>
        </w:rPr>
      </w:pPr>
      <w:r>
        <w:rPr>
          <w:rFonts w:ascii="Arial" w:cs="Arial" w:eastAsia="Arial" w:hAnsi="Arial"/>
          <w:sz w:val="19"/>
          <w:szCs w:val="19"/>
          <w:color w:val="auto"/>
        </w:rPr>
        <w:t>Proposal 2: The ratification of the selection of KPMG LLP as our independent registered public accounting firm for fiscal year 2023.</w:t>
      </w:r>
    </w:p>
    <w:p>
      <w:pPr>
        <w:spacing w:after="0" w:line="2" w:lineRule="exact"/>
        <w:rPr>
          <w:rFonts w:ascii="Arial" w:cs="Arial" w:eastAsia="Arial" w:hAnsi="Arial"/>
          <w:sz w:val="19"/>
          <w:szCs w:val="19"/>
          <w:color w:val="auto"/>
        </w:rPr>
      </w:pPr>
    </w:p>
    <w:p>
      <w:pPr>
        <w:ind w:left="1200" w:right="220" w:hanging="186"/>
        <w:spacing w:after="0" w:line="260" w:lineRule="auto"/>
        <w:tabs>
          <w:tab w:leader="none" w:pos="1200" w:val="left"/>
        </w:tabs>
        <w:numPr>
          <w:ilvl w:val="1"/>
          <w:numId w:val="91"/>
        </w:numPr>
        <w:rPr>
          <w:rFonts w:ascii="Arial" w:cs="Arial" w:eastAsia="Arial" w:hAnsi="Arial"/>
          <w:sz w:val="20"/>
          <w:szCs w:val="20"/>
          <w:color w:val="auto"/>
        </w:rPr>
      </w:pPr>
      <w:r>
        <w:rPr>
          <w:rFonts w:ascii="Arial" w:cs="Arial" w:eastAsia="Arial" w:hAnsi="Arial"/>
          <w:sz w:val="20"/>
          <w:szCs w:val="20"/>
          <w:color w:val="auto"/>
        </w:rPr>
        <w:t>Proposal 3: The approval, on a non-binding basis, of the compensation of our Named</w:t>
      </w:r>
    </w:p>
    <w:p>
      <w:pPr>
        <w:spacing w:after="0" w:line="1" w:lineRule="exact"/>
        <w:rPr>
          <w:rFonts w:ascii="Arial" w:cs="Arial" w:eastAsia="Arial" w:hAnsi="Arial"/>
          <w:sz w:val="20"/>
          <w:szCs w:val="20"/>
          <w:color w:val="auto"/>
        </w:rPr>
      </w:pPr>
    </w:p>
    <w:p>
      <w:pPr>
        <w:ind w:left="1200" w:right="700"/>
        <w:spacing w:after="0" w:line="265" w:lineRule="auto"/>
        <w:rPr>
          <w:rFonts w:ascii="Arial" w:cs="Arial" w:eastAsia="Arial" w:hAnsi="Arial"/>
          <w:sz w:val="20"/>
          <w:szCs w:val="20"/>
          <w:color w:val="auto"/>
        </w:rPr>
      </w:pPr>
      <w:r>
        <w:rPr>
          <w:rFonts w:ascii="Arial" w:cs="Arial" w:eastAsia="Arial" w:hAnsi="Arial"/>
          <w:sz w:val="20"/>
          <w:szCs w:val="20"/>
          <w:color w:val="auto"/>
        </w:rPr>
        <w:t>Executive Officers, as described above under “</w:t>
      </w:r>
      <w:r>
        <w:rPr>
          <w:rFonts w:ascii="Arial" w:cs="Arial" w:eastAsia="Arial" w:hAnsi="Arial"/>
          <w:sz w:val="20"/>
          <w:szCs w:val="20"/>
          <w:i w:val="1"/>
          <w:iCs w:val="1"/>
          <w:color w:val="auto"/>
        </w:rPr>
        <w:t>Compensation Discussion and</w:t>
      </w:r>
      <w:r>
        <w:rPr>
          <w:rFonts w:ascii="Arial" w:cs="Arial" w:eastAsia="Arial" w:hAnsi="Arial"/>
          <w:sz w:val="20"/>
          <w:szCs w:val="20"/>
          <w:color w:val="auto"/>
        </w:rPr>
        <w:t xml:space="preserve"> </w:t>
      </w:r>
      <w:r>
        <w:rPr>
          <w:rFonts w:ascii="Arial" w:cs="Arial" w:eastAsia="Arial" w:hAnsi="Arial"/>
          <w:sz w:val="20"/>
          <w:szCs w:val="20"/>
          <w:i w:val="1"/>
          <w:iCs w:val="1"/>
          <w:color w:val="auto"/>
        </w:rPr>
        <w:t>Analysis</w:t>
      </w:r>
      <w:r>
        <w:rPr>
          <w:rFonts w:ascii="Arial" w:cs="Arial" w:eastAsia="Arial" w:hAnsi="Arial"/>
          <w:sz w:val="20"/>
          <w:szCs w:val="20"/>
          <w:color w:val="auto"/>
        </w:rPr>
        <w:t>,” and in the executive</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543" w:right="840"/>
        <w:spacing w:after="0" w:line="274" w:lineRule="auto"/>
        <w:rPr>
          <w:sz w:val="20"/>
          <w:szCs w:val="20"/>
          <w:color w:val="auto"/>
        </w:rPr>
      </w:pPr>
      <w:r>
        <w:rPr>
          <w:rFonts w:ascii="Arial" w:cs="Arial" w:eastAsia="Arial" w:hAnsi="Arial"/>
          <w:sz w:val="19"/>
          <w:szCs w:val="19"/>
          <w:color w:val="auto"/>
        </w:rPr>
        <w:t>tables and accompanying narrative disclosures in this Proxy Statement.</w:t>
      </w:r>
    </w:p>
    <w:p>
      <w:pPr>
        <w:spacing w:after="0" w:line="1" w:lineRule="exact"/>
        <w:rPr>
          <w:sz w:val="20"/>
          <w:szCs w:val="20"/>
          <w:color w:val="auto"/>
        </w:rPr>
      </w:pPr>
    </w:p>
    <w:p>
      <w:pPr>
        <w:ind w:left="543" w:hanging="183"/>
        <w:spacing w:after="0"/>
        <w:tabs>
          <w:tab w:leader="none" w:pos="543" w:val="left"/>
        </w:tabs>
        <w:numPr>
          <w:ilvl w:val="0"/>
          <w:numId w:val="92"/>
        </w:numPr>
        <w:rPr>
          <w:rFonts w:ascii="Arial" w:cs="Arial" w:eastAsia="Arial" w:hAnsi="Arial"/>
          <w:sz w:val="20"/>
          <w:szCs w:val="20"/>
          <w:color w:val="auto"/>
        </w:rPr>
      </w:pPr>
      <w:r>
        <w:rPr>
          <w:rFonts w:ascii="Arial" w:cs="Arial" w:eastAsia="Arial" w:hAnsi="Arial"/>
          <w:sz w:val="20"/>
          <w:szCs w:val="20"/>
          <w:color w:val="auto"/>
        </w:rPr>
        <w:t>Proposal 4:  The approval, on a non-binding</w:t>
      </w:r>
    </w:p>
    <w:p>
      <w:pPr>
        <w:spacing w:after="0" w:line="26" w:lineRule="exact"/>
        <w:rPr>
          <w:rFonts w:ascii="Arial" w:cs="Arial" w:eastAsia="Arial" w:hAnsi="Arial"/>
          <w:sz w:val="20"/>
          <w:szCs w:val="20"/>
          <w:color w:val="auto"/>
        </w:rPr>
      </w:pPr>
    </w:p>
    <w:p>
      <w:pPr>
        <w:ind w:left="543" w:right="420"/>
        <w:spacing w:after="0" w:line="276" w:lineRule="auto"/>
        <w:rPr>
          <w:rFonts w:ascii="Arial" w:cs="Arial" w:eastAsia="Arial" w:hAnsi="Arial"/>
          <w:sz w:val="20"/>
          <w:szCs w:val="20"/>
          <w:color w:val="auto"/>
        </w:rPr>
      </w:pPr>
      <w:r>
        <w:rPr>
          <w:rFonts w:ascii="Arial" w:cs="Arial" w:eastAsia="Arial" w:hAnsi="Arial"/>
          <w:sz w:val="19"/>
          <w:szCs w:val="19"/>
          <w:color w:val="auto"/>
        </w:rPr>
        <w:t>basis, of the frequency of future advisory votes on the compensation of the Company’s Named Executive Officers.</w:t>
      </w:r>
    </w:p>
    <w:p>
      <w:pPr>
        <w:spacing w:after="0" w:line="2" w:lineRule="exact"/>
        <w:rPr>
          <w:rFonts w:ascii="Arial" w:cs="Arial" w:eastAsia="Arial" w:hAnsi="Arial"/>
          <w:sz w:val="20"/>
          <w:szCs w:val="20"/>
          <w:color w:val="auto"/>
        </w:rPr>
      </w:pPr>
    </w:p>
    <w:p>
      <w:pPr>
        <w:ind w:left="543" w:right="80" w:hanging="183"/>
        <w:spacing w:after="0" w:line="260" w:lineRule="auto"/>
        <w:tabs>
          <w:tab w:leader="none" w:pos="543" w:val="left"/>
        </w:tabs>
        <w:numPr>
          <w:ilvl w:val="0"/>
          <w:numId w:val="92"/>
        </w:numPr>
        <w:rPr>
          <w:rFonts w:ascii="Arial" w:cs="Arial" w:eastAsia="Arial" w:hAnsi="Arial"/>
          <w:sz w:val="20"/>
          <w:szCs w:val="20"/>
          <w:color w:val="auto"/>
        </w:rPr>
      </w:pPr>
      <w:r>
        <w:rPr>
          <w:rFonts w:ascii="Arial" w:cs="Arial" w:eastAsia="Arial" w:hAnsi="Arial"/>
          <w:sz w:val="20"/>
          <w:szCs w:val="20"/>
          <w:color w:val="auto"/>
        </w:rPr>
        <w:t>Proposal 5: The approval of an amendment to the Company's restated Certificate of Incorporation to reflect new Delaware law provisions regarding exculpation of officers.</w:t>
      </w:r>
    </w:p>
    <w:p>
      <w:pPr>
        <w:spacing w:after="0" w:line="2" w:lineRule="exact"/>
        <w:rPr>
          <w:rFonts w:ascii="Arial" w:cs="Arial" w:eastAsia="Arial" w:hAnsi="Arial"/>
          <w:sz w:val="20"/>
          <w:szCs w:val="20"/>
          <w:color w:val="auto"/>
        </w:rPr>
      </w:pPr>
    </w:p>
    <w:p>
      <w:pPr>
        <w:ind w:left="543" w:right="380" w:hanging="183"/>
        <w:spacing w:after="0" w:line="281" w:lineRule="auto"/>
        <w:tabs>
          <w:tab w:leader="none" w:pos="543" w:val="left"/>
        </w:tabs>
        <w:numPr>
          <w:ilvl w:val="0"/>
          <w:numId w:val="92"/>
        </w:numPr>
        <w:rPr>
          <w:rFonts w:ascii="Arial" w:cs="Arial" w:eastAsia="Arial" w:hAnsi="Arial"/>
          <w:sz w:val="19"/>
          <w:szCs w:val="19"/>
          <w:color w:val="auto"/>
        </w:rPr>
      </w:pPr>
      <w:r>
        <w:rPr>
          <w:rFonts w:ascii="Arial" w:cs="Arial" w:eastAsia="Arial" w:hAnsi="Arial"/>
          <w:sz w:val="19"/>
          <w:szCs w:val="19"/>
          <w:color w:val="auto"/>
        </w:rPr>
        <w:t>Proposal 6: A non-binding stockholder proposal regarding simple majority voting</w:t>
      </w:r>
    </w:p>
    <w:p>
      <w:pPr>
        <w:spacing w:after="0" w:line="1" w:lineRule="exact"/>
        <w:rPr>
          <w:rFonts w:ascii="Arial" w:cs="Arial" w:eastAsia="Arial" w:hAnsi="Arial"/>
          <w:sz w:val="19"/>
          <w:szCs w:val="19"/>
          <w:color w:val="auto"/>
        </w:rPr>
      </w:pPr>
    </w:p>
    <w:p>
      <w:pPr>
        <w:ind w:left="543" w:right="620"/>
        <w:spacing w:after="0" w:line="261" w:lineRule="auto"/>
        <w:rPr>
          <w:rFonts w:ascii="Arial" w:cs="Arial" w:eastAsia="Arial" w:hAnsi="Arial"/>
          <w:sz w:val="19"/>
          <w:szCs w:val="19"/>
          <w:color w:val="auto"/>
        </w:rPr>
      </w:pPr>
      <w:r>
        <w:rPr>
          <w:rFonts w:ascii="Arial" w:cs="Arial" w:eastAsia="Arial" w:hAnsi="Arial"/>
          <w:sz w:val="20"/>
          <w:szCs w:val="20"/>
          <w:color w:val="auto"/>
        </w:rPr>
        <w:t>provisions, if properly presented at the Annual Meeting.</w:t>
      </w:r>
    </w:p>
    <w:p>
      <w:pPr>
        <w:spacing w:after="0" w:line="215" w:lineRule="exact"/>
        <w:rPr>
          <w:sz w:val="20"/>
          <w:szCs w:val="20"/>
          <w:color w:val="auto"/>
        </w:rPr>
      </w:pPr>
    </w:p>
    <w:p>
      <w:pPr>
        <w:ind w:left="363" w:right="320"/>
        <w:spacing w:after="0" w:line="257" w:lineRule="auto"/>
        <w:rPr>
          <w:sz w:val="20"/>
          <w:szCs w:val="20"/>
          <w:color w:val="auto"/>
        </w:rPr>
      </w:pPr>
      <w:r>
        <w:rPr>
          <w:rFonts w:ascii="Arial" w:cs="Arial" w:eastAsia="Arial" w:hAnsi="Arial"/>
          <w:sz w:val="20"/>
          <w:szCs w:val="20"/>
          <w:color w:val="auto"/>
        </w:rPr>
        <w:t>The stockholders will also act on any other business that may properly come before the meeting.</w:t>
      </w:r>
    </w:p>
    <w:p>
      <w:pPr>
        <w:spacing w:after="0" w:line="182" w:lineRule="exact"/>
        <w:rPr>
          <w:sz w:val="20"/>
          <w:szCs w:val="20"/>
          <w:color w:val="auto"/>
        </w:rPr>
      </w:pPr>
    </w:p>
    <w:p>
      <w:pPr>
        <w:ind w:left="363" w:hanging="363"/>
        <w:spacing w:after="0"/>
        <w:tabs>
          <w:tab w:leader="none" w:pos="363" w:val="left"/>
        </w:tabs>
        <w:numPr>
          <w:ilvl w:val="0"/>
          <w:numId w:val="93"/>
        </w:numPr>
        <w:rPr>
          <w:rFonts w:ascii="Arial" w:cs="Arial" w:eastAsia="Arial" w:hAnsi="Arial"/>
          <w:sz w:val="20"/>
          <w:szCs w:val="20"/>
          <w:b w:val="1"/>
          <w:bCs w:val="1"/>
          <w:color w:val="0075A8"/>
        </w:rPr>
      </w:pPr>
      <w:r>
        <w:rPr>
          <w:rFonts w:ascii="Arial" w:cs="Arial" w:eastAsia="Arial" w:hAnsi="Arial"/>
          <w:sz w:val="20"/>
          <w:szCs w:val="20"/>
          <w:b w:val="1"/>
          <w:bCs w:val="1"/>
          <w:color w:val="0075A8"/>
        </w:rPr>
        <w:t>What is included in our proxy materials?</w:t>
      </w:r>
    </w:p>
    <w:p>
      <w:pPr>
        <w:spacing w:after="0" w:line="158" w:lineRule="exact"/>
        <w:rPr>
          <w:rFonts w:ascii="Arial" w:cs="Arial" w:eastAsia="Arial" w:hAnsi="Arial"/>
          <w:sz w:val="20"/>
          <w:szCs w:val="20"/>
          <w:b w:val="1"/>
          <w:bCs w:val="1"/>
          <w:color w:val="0075A8"/>
        </w:rPr>
      </w:pPr>
    </w:p>
    <w:p>
      <w:pPr>
        <w:ind w:left="363" w:right="60"/>
        <w:spacing w:after="0" w:line="254" w:lineRule="auto"/>
        <w:rPr>
          <w:rFonts w:ascii="Arial" w:cs="Arial" w:eastAsia="Arial" w:hAnsi="Arial"/>
          <w:sz w:val="20"/>
          <w:szCs w:val="20"/>
          <w:b w:val="1"/>
          <w:bCs w:val="1"/>
          <w:color w:val="0075A8"/>
        </w:rPr>
      </w:pPr>
      <w:r>
        <w:rPr>
          <w:rFonts w:ascii="Arial" w:cs="Arial" w:eastAsia="Arial" w:hAnsi="Arial"/>
          <w:sz w:val="20"/>
          <w:szCs w:val="20"/>
          <w:color w:val="auto"/>
        </w:rPr>
        <w:t>The Company’s Annual Report, which includes financial statements and “</w:t>
      </w:r>
      <w:r>
        <w:rPr>
          <w:rFonts w:ascii="Arial" w:cs="Arial" w:eastAsia="Arial" w:hAnsi="Arial"/>
          <w:sz w:val="20"/>
          <w:szCs w:val="20"/>
          <w:i w:val="1"/>
          <w:iCs w:val="1"/>
          <w:color w:val="auto"/>
        </w:rPr>
        <w:t>Management’s</w:t>
      </w:r>
      <w:r>
        <w:rPr>
          <w:rFonts w:ascii="Arial" w:cs="Arial" w:eastAsia="Arial" w:hAnsi="Arial"/>
          <w:sz w:val="20"/>
          <w:szCs w:val="20"/>
          <w:color w:val="auto"/>
        </w:rPr>
        <w:t xml:space="preserve"> </w:t>
      </w:r>
      <w:r>
        <w:rPr>
          <w:rFonts w:ascii="Arial" w:cs="Arial" w:eastAsia="Arial" w:hAnsi="Arial"/>
          <w:sz w:val="20"/>
          <w:szCs w:val="20"/>
          <w:i w:val="1"/>
          <w:iCs w:val="1"/>
          <w:color w:val="auto"/>
        </w:rPr>
        <w:t>Discussion and Analysis of Financial Condition and Results of Operation</w:t>
      </w:r>
      <w:r>
        <w:rPr>
          <w:rFonts w:ascii="Arial" w:cs="Arial" w:eastAsia="Arial" w:hAnsi="Arial"/>
          <w:sz w:val="20"/>
          <w:szCs w:val="20"/>
          <w:color w:val="auto"/>
        </w:rPr>
        <w:t>” for fiscal year 2022,</w:t>
      </w:r>
      <w:r>
        <w:rPr>
          <w:rFonts w:ascii="Arial" w:cs="Arial" w:eastAsia="Arial" w:hAnsi="Arial"/>
          <w:sz w:val="20"/>
          <w:szCs w:val="20"/>
          <w:i w:val="1"/>
          <w:iCs w:val="1"/>
          <w:color w:val="auto"/>
        </w:rPr>
        <w:t xml:space="preserve"> </w:t>
      </w:r>
      <w:r>
        <w:rPr>
          <w:rFonts w:ascii="Arial" w:cs="Arial" w:eastAsia="Arial" w:hAnsi="Arial"/>
          <w:sz w:val="20"/>
          <w:szCs w:val="20"/>
          <w:color w:val="auto"/>
        </w:rPr>
        <w:t>accompanies this Proxy Statement. This Proxy Statement and form of proxy, and/or notice of access thereto, are being first mailed to stockholders on or about March 24, 2023. The Proxy Statement and the Company’s Annual Report are available at www.skyworksinc.com/annualreport.</w:t>
      </w:r>
    </w:p>
    <w:p>
      <w:pPr>
        <w:spacing w:after="0" w:line="187" w:lineRule="exact"/>
        <w:rPr>
          <w:rFonts w:ascii="Arial" w:cs="Arial" w:eastAsia="Arial" w:hAnsi="Arial"/>
          <w:sz w:val="20"/>
          <w:szCs w:val="20"/>
          <w:b w:val="1"/>
          <w:bCs w:val="1"/>
          <w:color w:val="0075A8"/>
        </w:rPr>
      </w:pPr>
    </w:p>
    <w:p>
      <w:pPr>
        <w:ind w:left="363" w:hanging="363"/>
        <w:spacing w:after="0"/>
        <w:tabs>
          <w:tab w:leader="none" w:pos="363" w:val="left"/>
        </w:tabs>
        <w:numPr>
          <w:ilvl w:val="0"/>
          <w:numId w:val="94"/>
        </w:numPr>
        <w:rPr>
          <w:rFonts w:ascii="Arial" w:cs="Arial" w:eastAsia="Arial" w:hAnsi="Arial"/>
          <w:sz w:val="20"/>
          <w:szCs w:val="20"/>
          <w:b w:val="1"/>
          <w:bCs w:val="1"/>
          <w:color w:val="0075A8"/>
        </w:rPr>
      </w:pPr>
      <w:r>
        <w:rPr>
          <w:rFonts w:ascii="Arial" w:cs="Arial" w:eastAsia="Arial" w:hAnsi="Arial"/>
          <w:sz w:val="20"/>
          <w:szCs w:val="20"/>
          <w:b w:val="1"/>
          <w:bCs w:val="1"/>
          <w:color w:val="0075A8"/>
        </w:rPr>
        <w:t>Who can vote at our Annual Meeting?</w:t>
      </w:r>
    </w:p>
    <w:p>
      <w:pPr>
        <w:spacing w:after="0" w:line="172" w:lineRule="exact"/>
        <w:rPr>
          <w:rFonts w:ascii="Arial" w:cs="Arial" w:eastAsia="Arial" w:hAnsi="Arial"/>
          <w:sz w:val="20"/>
          <w:szCs w:val="20"/>
          <w:b w:val="1"/>
          <w:bCs w:val="1"/>
          <w:color w:val="0075A8"/>
        </w:rPr>
      </w:pPr>
    </w:p>
    <w:p>
      <w:pPr>
        <w:ind w:left="363" w:right="60"/>
        <w:spacing w:after="0" w:line="268" w:lineRule="auto"/>
        <w:rPr>
          <w:rFonts w:ascii="Arial" w:cs="Arial" w:eastAsia="Arial" w:hAnsi="Arial"/>
          <w:sz w:val="20"/>
          <w:szCs w:val="20"/>
          <w:b w:val="1"/>
          <w:bCs w:val="1"/>
          <w:color w:val="0075A8"/>
        </w:rPr>
      </w:pPr>
      <w:r>
        <w:rPr>
          <w:rFonts w:ascii="Arial" w:cs="Arial" w:eastAsia="Arial" w:hAnsi="Arial"/>
          <w:sz w:val="19"/>
          <w:szCs w:val="19"/>
          <w:color w:val="auto"/>
        </w:rPr>
        <w:t>Only stockholders of record at the close of business on March 16, 2023 (the “Record Date”), are entitled to notice of and to vote at the Annual Meeting. As of the Record Date, there were 159,153,152 shares of Skyworks’ common stock issued and outstanding. Pursuant to Skyworks’ Restated Certificate of Incorporation and By-laws, and applicable Delaware law, each share of common stock entitles the holder of record at the close of business on the Record Date to one vote on each matter considered at the Annual Meeting.</w:t>
      </w:r>
    </w:p>
    <w:p>
      <w:pPr>
        <w:spacing w:after="0" w:line="200" w:lineRule="exact"/>
        <w:rPr>
          <w:sz w:val="20"/>
          <w:szCs w:val="20"/>
          <w:color w:val="auto"/>
        </w:rPr>
      </w:pPr>
    </w:p>
    <w:p>
      <w:pPr>
        <w:sectPr>
          <w:pgSz w:w="11900" w:h="16838" w:orient="portrait"/>
          <w:cols w:equalWidth="0" w:num="2">
            <w:col w:w="5320" w:space="257"/>
            <w:col w:w="4523"/>
          </w:cols>
          <w:pgMar w:left="580" w:top="132" w:right="1219" w:bottom="1440" w:gutter="0" w:footer="0" w:header="0"/>
          <w:type w:val="continuous"/>
        </w:sectPr>
      </w:pPr>
    </w:p>
    <w:p>
      <w:pPr>
        <w:spacing w:after="0" w:line="257"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​66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89" w:lineRule="exact"/>
        <w:rPr>
          <w:sz w:val="20"/>
          <w:szCs w:val="20"/>
          <w:color w:val="auto"/>
        </w:rPr>
      </w:pPr>
    </w:p>
    <w:p>
      <w:pPr>
        <w:ind w:left="1020" w:hanging="366"/>
        <w:spacing w:after="0"/>
        <w:tabs>
          <w:tab w:leader="none" w:pos="1020" w:val="left"/>
        </w:tabs>
        <w:numPr>
          <w:ilvl w:val="0"/>
          <w:numId w:val="95"/>
        </w:numPr>
        <w:rPr>
          <w:rFonts w:ascii="Arial" w:cs="Arial" w:eastAsia="Arial" w:hAnsi="Arial"/>
          <w:sz w:val="20"/>
          <w:szCs w:val="20"/>
          <w:b w:val="1"/>
          <w:bCs w:val="1"/>
          <w:color w:val="0075A8"/>
        </w:rPr>
      </w:pPr>
      <w:r>
        <w:rPr>
          <w:rFonts w:ascii="Arial" w:cs="Arial" w:eastAsia="Arial" w:hAnsi="Arial"/>
          <w:sz w:val="20"/>
          <w:szCs w:val="20"/>
          <w:b w:val="1"/>
          <w:bCs w:val="1"/>
          <w:color w:val="0075A8"/>
        </w:rPr>
        <w:t>Is my vote important?</w:t>
      </w:r>
    </w:p>
    <w:p>
      <w:pPr>
        <w:spacing w:after="0" w:line="158" w:lineRule="exact"/>
        <w:rPr>
          <w:rFonts w:ascii="Arial" w:cs="Arial" w:eastAsia="Arial" w:hAnsi="Arial"/>
          <w:sz w:val="20"/>
          <w:szCs w:val="20"/>
          <w:b w:val="1"/>
          <w:bCs w:val="1"/>
          <w:color w:val="0075A8"/>
        </w:rPr>
      </w:pPr>
    </w:p>
    <w:p>
      <w:pPr>
        <w:ind w:left="1020" w:right="40"/>
        <w:spacing w:after="0" w:line="255" w:lineRule="auto"/>
        <w:rPr>
          <w:rFonts w:ascii="Arial" w:cs="Arial" w:eastAsia="Arial" w:hAnsi="Arial"/>
          <w:sz w:val="20"/>
          <w:szCs w:val="20"/>
          <w:b w:val="1"/>
          <w:bCs w:val="1"/>
          <w:color w:val="0075A8"/>
        </w:rPr>
      </w:pPr>
      <w:r>
        <w:rPr>
          <w:rFonts w:ascii="Arial" w:cs="Arial" w:eastAsia="Arial" w:hAnsi="Arial"/>
          <w:sz w:val="20"/>
          <w:szCs w:val="20"/>
          <w:color w:val="auto"/>
        </w:rPr>
        <w:t>Yes. Your vote is important no matter how many shares you own. Please take the time to vote in the way that is easiest and most convenient for you, and cast your vote as soon as possible.</w:t>
      </w:r>
    </w:p>
    <w:p>
      <w:pPr>
        <w:spacing w:after="0" w:line="185" w:lineRule="exact"/>
        <w:rPr>
          <w:rFonts w:ascii="Arial" w:cs="Arial" w:eastAsia="Arial" w:hAnsi="Arial"/>
          <w:sz w:val="20"/>
          <w:szCs w:val="20"/>
          <w:b w:val="1"/>
          <w:bCs w:val="1"/>
          <w:color w:val="0075A8"/>
        </w:rPr>
      </w:pPr>
    </w:p>
    <w:p>
      <w:pPr>
        <w:ind w:left="1020" w:right="620" w:hanging="366"/>
        <w:spacing w:after="0" w:line="271" w:lineRule="auto"/>
        <w:tabs>
          <w:tab w:leader="none" w:pos="1020" w:val="left"/>
        </w:tabs>
        <w:numPr>
          <w:ilvl w:val="0"/>
          <w:numId w:val="96"/>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I vote if I am a stockholder of record?</w:t>
      </w:r>
    </w:p>
    <w:p>
      <w:pPr>
        <w:spacing w:after="0" w:line="112" w:lineRule="exact"/>
        <w:rPr>
          <w:rFonts w:ascii="Arial" w:cs="Arial" w:eastAsia="Arial" w:hAnsi="Arial"/>
          <w:sz w:val="20"/>
          <w:szCs w:val="20"/>
          <w:b w:val="1"/>
          <w:bCs w:val="1"/>
          <w:color w:val="0075A8"/>
        </w:rPr>
      </w:pPr>
    </w:p>
    <w:p>
      <w:pPr>
        <w:ind w:left="1020" w:right="80"/>
        <w:spacing w:after="0" w:line="266" w:lineRule="auto"/>
        <w:rPr>
          <w:rFonts w:ascii="Arial" w:cs="Arial" w:eastAsia="Arial" w:hAnsi="Arial"/>
          <w:sz w:val="20"/>
          <w:szCs w:val="20"/>
          <w:b w:val="1"/>
          <w:bCs w:val="1"/>
          <w:color w:val="0075A8"/>
        </w:rPr>
      </w:pPr>
      <w:r>
        <w:rPr>
          <w:rFonts w:ascii="Arial" w:cs="Arial" w:eastAsia="Arial" w:hAnsi="Arial"/>
          <w:sz w:val="19"/>
          <w:szCs w:val="19"/>
          <w:color w:val="auto"/>
        </w:rPr>
        <w:t>As a stockholder of record, you may vote in one of the following three ways whether or not you plan to attend the Annual Meeting online:</w:t>
      </w:r>
    </w:p>
    <w:p>
      <w:pPr>
        <w:spacing w:after="0" w:line="2" w:lineRule="exact"/>
        <w:rPr>
          <w:rFonts w:ascii="Arial" w:cs="Arial" w:eastAsia="Arial" w:hAnsi="Arial"/>
          <w:sz w:val="20"/>
          <w:szCs w:val="20"/>
          <w:b w:val="1"/>
          <w:bCs w:val="1"/>
          <w:color w:val="0075A8"/>
        </w:rPr>
      </w:pPr>
    </w:p>
    <w:p>
      <w:pPr>
        <w:ind w:left="1020" w:right="140" w:hanging="6"/>
        <w:spacing w:after="0" w:line="266" w:lineRule="auto"/>
        <w:tabs>
          <w:tab w:leader="none" w:pos="1317" w:val="left"/>
        </w:tabs>
        <w:numPr>
          <w:ilvl w:val="1"/>
          <w:numId w:val="96"/>
        </w:numPr>
        <w:rPr>
          <w:rFonts w:ascii="Arial" w:cs="Arial" w:eastAsia="Arial" w:hAnsi="Arial"/>
          <w:sz w:val="19"/>
          <w:szCs w:val="19"/>
          <w:color w:val="auto"/>
        </w:rPr>
      </w:pPr>
      <w:r>
        <w:rPr>
          <w:rFonts w:ascii="Arial" w:cs="Arial" w:eastAsia="Arial" w:hAnsi="Arial"/>
          <w:sz w:val="19"/>
          <w:szCs w:val="19"/>
          <w:color w:val="auto"/>
        </w:rPr>
        <w:t>by completing and submitting your proxy via the Internet at the website address listed on the proxy card, (b) by completing and submitting your proxy using the toll-free telephone number listed on the proxy card, or</w:t>
      </w:r>
    </w:p>
    <w:p>
      <w:pPr>
        <w:spacing w:after="0" w:line="4" w:lineRule="exact"/>
        <w:rPr>
          <w:rFonts w:ascii="Arial" w:cs="Arial" w:eastAsia="Arial" w:hAnsi="Arial"/>
          <w:sz w:val="19"/>
          <w:szCs w:val="19"/>
          <w:color w:val="auto"/>
        </w:rPr>
      </w:pPr>
    </w:p>
    <w:p>
      <w:pPr>
        <w:ind w:left="1020" w:hanging="6"/>
        <w:spacing w:after="0" w:line="268" w:lineRule="auto"/>
        <w:tabs>
          <w:tab w:leader="none" w:pos="1306" w:val="left"/>
        </w:tabs>
        <w:numPr>
          <w:ilvl w:val="1"/>
          <w:numId w:val="97"/>
        </w:numPr>
        <w:rPr>
          <w:rFonts w:ascii="Arial" w:cs="Arial" w:eastAsia="Arial" w:hAnsi="Arial"/>
          <w:sz w:val="19"/>
          <w:szCs w:val="19"/>
          <w:color w:val="auto"/>
        </w:rPr>
      </w:pPr>
      <w:r>
        <w:rPr>
          <w:rFonts w:ascii="Arial" w:cs="Arial" w:eastAsia="Arial" w:hAnsi="Arial"/>
          <w:sz w:val="19"/>
          <w:szCs w:val="19"/>
          <w:color w:val="auto"/>
        </w:rPr>
        <w:t>by completing, signing, and dating the proxy card and returning it in the postage-prepaid envelope provided for that purpose. If you attend the Annual Meeting online, you may vote online at the Annual Meeting even if you have previously submitted your proxy by mail or telephone, or via the Internet (and your vote at the Annual Meeting will automatically revoke your previously submitted proxy, although mere virtual attendance at the meeting without voting will not have that result).</w:t>
      </w:r>
    </w:p>
    <w:p>
      <w:pPr>
        <w:spacing w:after="0" w:line="181" w:lineRule="exact"/>
        <w:rPr>
          <w:rFonts w:ascii="Arial" w:cs="Arial" w:eastAsia="Arial" w:hAnsi="Arial"/>
          <w:sz w:val="19"/>
          <w:szCs w:val="19"/>
          <w:color w:val="auto"/>
        </w:rPr>
      </w:pPr>
    </w:p>
    <w:p>
      <w:pPr>
        <w:ind w:left="1020" w:right="200" w:hanging="366"/>
        <w:spacing w:after="0" w:line="271" w:lineRule="auto"/>
        <w:tabs>
          <w:tab w:leader="none" w:pos="1020" w:val="left"/>
        </w:tabs>
        <w:numPr>
          <w:ilvl w:val="0"/>
          <w:numId w:val="98"/>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I vote if I am a beneficial owner of shares held in “street name”?</w:t>
      </w:r>
    </w:p>
    <w:p>
      <w:pPr>
        <w:spacing w:after="0" w:line="112" w:lineRule="exact"/>
        <w:rPr>
          <w:rFonts w:ascii="Arial" w:cs="Arial" w:eastAsia="Arial" w:hAnsi="Arial"/>
          <w:sz w:val="20"/>
          <w:szCs w:val="20"/>
          <w:b w:val="1"/>
          <w:bCs w:val="1"/>
          <w:color w:val="0075A8"/>
        </w:rPr>
      </w:pPr>
    </w:p>
    <w:p>
      <w:pPr>
        <w:ind w:left="1020" w:right="40"/>
        <w:spacing w:after="0" w:line="268" w:lineRule="auto"/>
        <w:rPr>
          <w:rFonts w:ascii="Arial" w:cs="Arial" w:eastAsia="Arial" w:hAnsi="Arial"/>
          <w:sz w:val="20"/>
          <w:szCs w:val="20"/>
          <w:b w:val="1"/>
          <w:bCs w:val="1"/>
          <w:color w:val="0075A8"/>
        </w:rPr>
      </w:pPr>
      <w:r>
        <w:rPr>
          <w:rFonts w:ascii="Arial" w:cs="Arial" w:eastAsia="Arial" w:hAnsi="Arial"/>
          <w:sz w:val="19"/>
          <w:szCs w:val="19"/>
          <w:color w:val="auto"/>
        </w:rPr>
        <w:t>If your shares are held on your behalf by a third party such as your broker or another person or entity who holds shares of the Company on your behalf and for your benefit, which person or entity we refer to as a “nominee,” and your broker (or other nominee) is the stockholder of record of such shares, then you are the beneficial owner of such shares and we refer to those shares as being held in “street name.” As the beneficial owner of your “street name” shares, you are entitled to instruct your broker (or other nominee) as to how to vote your shares. Your broker (or other nominee) will provide you with information regarding how to instruct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63" w:right="440"/>
        <w:spacing w:after="0" w:line="261" w:lineRule="auto"/>
        <w:rPr>
          <w:sz w:val="20"/>
          <w:szCs w:val="20"/>
          <w:color w:val="auto"/>
        </w:rPr>
      </w:pPr>
      <w:r>
        <w:rPr>
          <w:rFonts w:ascii="Arial" w:cs="Arial" w:eastAsia="Arial" w:hAnsi="Arial"/>
          <w:sz w:val="20"/>
          <w:szCs w:val="20"/>
          <w:color w:val="auto"/>
        </w:rPr>
        <w:t>broker (or other nominee) as to the voting of your “street name” shares.</w:t>
      </w:r>
    </w:p>
    <w:p>
      <w:pPr>
        <w:spacing w:after="0" w:line="164" w:lineRule="exact"/>
        <w:rPr>
          <w:sz w:val="20"/>
          <w:szCs w:val="20"/>
          <w:color w:val="auto"/>
        </w:rPr>
      </w:pPr>
    </w:p>
    <w:p>
      <w:pPr>
        <w:ind w:left="363" w:right="440" w:hanging="363"/>
        <w:spacing w:after="0" w:line="262" w:lineRule="auto"/>
        <w:tabs>
          <w:tab w:leader="none" w:pos="363" w:val="left"/>
        </w:tabs>
        <w:numPr>
          <w:ilvl w:val="0"/>
          <w:numId w:val="99"/>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I vote if I am a participant in the Skyworks 401(k) Savings and Investment Plan?</w:t>
      </w:r>
    </w:p>
    <w:p>
      <w:pPr>
        <w:spacing w:after="0" w:line="121" w:lineRule="exact"/>
        <w:rPr>
          <w:rFonts w:ascii="Arial" w:cs="Arial" w:eastAsia="Arial" w:hAnsi="Arial"/>
          <w:sz w:val="20"/>
          <w:szCs w:val="20"/>
          <w:b w:val="1"/>
          <w:bCs w:val="1"/>
          <w:color w:val="0075A8"/>
        </w:rPr>
      </w:pPr>
    </w:p>
    <w:p>
      <w:pPr>
        <w:ind w:left="363" w:right="260"/>
        <w:spacing w:after="0" w:line="254" w:lineRule="auto"/>
        <w:rPr>
          <w:rFonts w:ascii="Arial" w:cs="Arial" w:eastAsia="Arial" w:hAnsi="Arial"/>
          <w:sz w:val="20"/>
          <w:szCs w:val="20"/>
          <w:b w:val="1"/>
          <w:bCs w:val="1"/>
          <w:color w:val="0075A8"/>
        </w:rPr>
      </w:pPr>
      <w:r>
        <w:rPr>
          <w:rFonts w:ascii="Arial" w:cs="Arial" w:eastAsia="Arial" w:hAnsi="Arial"/>
          <w:sz w:val="20"/>
          <w:szCs w:val="20"/>
          <w:color w:val="auto"/>
        </w:rPr>
        <w:t>If you are a participant in the Skyworks 401(k) Savings and Investment Plan (the “401(k) Plan”), you will receive an instruction card for the Skyworks shares you own through the 401(k) Plan. That instruction card will serve as a voting instruction card for the trustee of the 401(k) Plan, and your 401(k) Plan shares will be voted as you instruct.</w:t>
      </w:r>
    </w:p>
    <w:p>
      <w:pPr>
        <w:spacing w:after="0" w:line="188" w:lineRule="exact"/>
        <w:rPr>
          <w:rFonts w:ascii="Arial" w:cs="Arial" w:eastAsia="Arial" w:hAnsi="Arial"/>
          <w:sz w:val="20"/>
          <w:szCs w:val="20"/>
          <w:b w:val="1"/>
          <w:bCs w:val="1"/>
          <w:color w:val="0075A8"/>
        </w:rPr>
      </w:pPr>
    </w:p>
    <w:p>
      <w:pPr>
        <w:ind w:left="363" w:hanging="363"/>
        <w:spacing w:after="0"/>
        <w:tabs>
          <w:tab w:leader="none" w:pos="363" w:val="left"/>
        </w:tabs>
        <w:numPr>
          <w:ilvl w:val="0"/>
          <w:numId w:val="100"/>
        </w:numPr>
        <w:rPr>
          <w:rFonts w:ascii="Arial" w:cs="Arial" w:eastAsia="Arial" w:hAnsi="Arial"/>
          <w:sz w:val="20"/>
          <w:szCs w:val="20"/>
          <w:b w:val="1"/>
          <w:bCs w:val="1"/>
          <w:color w:val="0075A8"/>
        </w:rPr>
      </w:pPr>
      <w:r>
        <w:rPr>
          <w:rFonts w:ascii="Arial" w:cs="Arial" w:eastAsia="Arial" w:hAnsi="Arial"/>
          <w:sz w:val="20"/>
          <w:szCs w:val="20"/>
          <w:b w:val="1"/>
          <w:bCs w:val="1"/>
          <w:color w:val="0075A8"/>
        </w:rPr>
        <w:t>Can I change my vote after I have voted?</w:t>
      </w:r>
    </w:p>
    <w:p>
      <w:pPr>
        <w:spacing w:after="0" w:line="158" w:lineRule="exact"/>
        <w:rPr>
          <w:rFonts w:ascii="Arial" w:cs="Arial" w:eastAsia="Arial" w:hAnsi="Arial"/>
          <w:sz w:val="20"/>
          <w:szCs w:val="20"/>
          <w:b w:val="1"/>
          <w:bCs w:val="1"/>
          <w:color w:val="0075A8"/>
        </w:rPr>
      </w:pPr>
    </w:p>
    <w:p>
      <w:pPr>
        <w:ind w:left="363" w:right="180"/>
        <w:spacing w:after="0" w:line="253" w:lineRule="auto"/>
        <w:rPr>
          <w:rFonts w:ascii="Arial" w:cs="Arial" w:eastAsia="Arial" w:hAnsi="Arial"/>
          <w:sz w:val="20"/>
          <w:szCs w:val="20"/>
          <w:b w:val="1"/>
          <w:bCs w:val="1"/>
          <w:color w:val="0075A8"/>
        </w:rPr>
      </w:pPr>
      <w:r>
        <w:rPr>
          <w:rFonts w:ascii="Arial" w:cs="Arial" w:eastAsia="Arial" w:hAnsi="Arial"/>
          <w:sz w:val="20"/>
          <w:szCs w:val="20"/>
          <w:color w:val="auto"/>
        </w:rPr>
        <w:t>Any proxy given pursuant to this solicitation may be revoked by the person giving it at any time before it is voted at the Annual Meeting. Proxies may be revoked by (a) delivering to the Secretary of the Company, before the taking of the vote at the Annual Meeting, a written notice of revocation bearing a later date than the proxy, (b) duly completing a later-dated proxy relating to the same shares and delivering it to the Secretary of the Company before the taking of the vote at the Annual Meeting, or (c) attending the Annual Meeting online and voting (although virtual attendance at the Annual Meeting will not in and of itself constitute a revocation of a proxy). Any written notice of revocation or subsequent proxy should be delivered to the Company’s executive offices at Skyworks Solutions, Inc., 5260 California Avenue, Irvine, CA 92617, Attention: Secretary, before the taking of the vote at the Annual Meeting. If you vote your shares over the Internet prior to the Annual Meeting, only your latest Internet vote submitted prior to the Annual Meeting will be counted at the Annual Meeting.</w:t>
      </w:r>
    </w:p>
    <w:p>
      <w:pPr>
        <w:spacing w:after="0" w:line="206" w:lineRule="exact"/>
        <w:rPr>
          <w:rFonts w:ascii="Arial" w:cs="Arial" w:eastAsia="Arial" w:hAnsi="Arial"/>
          <w:sz w:val="20"/>
          <w:szCs w:val="20"/>
          <w:b w:val="1"/>
          <w:bCs w:val="1"/>
          <w:color w:val="0075A8"/>
        </w:rPr>
      </w:pPr>
    </w:p>
    <w:p>
      <w:pPr>
        <w:ind w:left="363" w:right="940" w:hanging="363"/>
        <w:spacing w:after="0" w:line="271" w:lineRule="auto"/>
        <w:tabs>
          <w:tab w:leader="none" w:pos="363" w:val="left"/>
        </w:tabs>
        <w:numPr>
          <w:ilvl w:val="0"/>
          <w:numId w:val="101"/>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I virtually attend the Annual Meeting?</w:t>
      </w:r>
    </w:p>
    <w:p>
      <w:pPr>
        <w:spacing w:after="0" w:line="112" w:lineRule="exact"/>
        <w:rPr>
          <w:rFonts w:ascii="Arial" w:cs="Arial" w:eastAsia="Arial" w:hAnsi="Arial"/>
          <w:sz w:val="20"/>
          <w:szCs w:val="20"/>
          <w:b w:val="1"/>
          <w:bCs w:val="1"/>
          <w:color w:val="0075A8"/>
        </w:rPr>
      </w:pPr>
    </w:p>
    <w:p>
      <w:pPr>
        <w:ind w:left="363"/>
        <w:spacing w:after="0" w:line="273" w:lineRule="auto"/>
        <w:rPr>
          <w:rFonts w:ascii="Arial" w:cs="Arial" w:eastAsia="Arial" w:hAnsi="Arial"/>
          <w:sz w:val="20"/>
          <w:szCs w:val="20"/>
          <w:b w:val="1"/>
          <w:bCs w:val="1"/>
          <w:color w:val="0075A8"/>
        </w:rPr>
      </w:pPr>
      <w:r>
        <w:rPr>
          <w:rFonts w:ascii="Arial" w:cs="Arial" w:eastAsia="Arial" w:hAnsi="Arial"/>
          <w:sz w:val="19"/>
          <w:szCs w:val="19"/>
          <w:color w:val="auto"/>
        </w:rPr>
        <w:t>You are invited to attend the Annual Meeting online by visiting www.virtualshareholdermeeting.com/SWKS2023, where you will be able to listen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271145</wp:posOffset>
            </wp:positionV>
            <wp:extent cx="780415" cy="2571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80415" cy="25717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2683"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179705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663"/>
          </w:cols>
          <w:pgMar w:left="580" w:top="132" w:right="1079"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003366"/>
        </w:rPr>
        <w:t>TABLE OF CONTENTS</w:t>
      </w:r>
    </w:p>
    <w:p>
      <w:pPr>
        <w:sectPr>
          <w:pgSz w:w="11900" w:h="16838" w:orient="portrait"/>
          <w:cols w:equalWidth="0" w:num="1">
            <w:col w:w="10100"/>
          </w:cols>
          <w:pgMar w:left="580" w:top="132" w:right="121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meeting live, submit questions, and vote. The</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meeting will begin at 11:00 a.m. Pacific</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Daylight Time. In order to participate in the</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meeting, you will need the multi-digit number</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included in your proxy card, voter instruction</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form, or notice. Instructions on how to attend</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and participate online, including how to</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demonstrate proof of stock ownership, will be</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posted at</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www.virtualshareholdermeeting.com/SWKS2023.</w:t>
      </w:r>
    </w:p>
    <w:p>
      <w:pPr>
        <w:spacing w:after="0" w:line="24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Online check-in will begin at 10:45 a.m. Pacific</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Daylight Time on May 10, 2023, and you</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should allow ample time for the online check-in</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proceedings. We will have technicians</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standing by and ready to assist you with any</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technical difficulties you may have accessing</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the virtual meeting starting at 10:45 a.m.</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Pacific Daylight Time on May 10, 2023. If you</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encounter any difficulties accessing the virtual</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meeting during the check-in time or meeting</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time, please call the phone number that will be</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listed at that time at</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www.virtualshareholdermeeting.com/SWKS2023.</w:t>
      </w:r>
    </w:p>
    <w:p>
      <w:pPr>
        <w:spacing w:after="0" w:line="217" w:lineRule="exact"/>
        <w:rPr>
          <w:sz w:val="20"/>
          <w:szCs w:val="20"/>
          <w:color w:val="auto"/>
        </w:rPr>
      </w:pPr>
    </w:p>
    <w:p>
      <w:pPr>
        <w:ind w:left="1020" w:hanging="366"/>
        <w:spacing w:after="0"/>
        <w:tabs>
          <w:tab w:leader="none" w:pos="1020" w:val="left"/>
        </w:tabs>
        <w:numPr>
          <w:ilvl w:val="0"/>
          <w:numId w:val="102"/>
        </w:numPr>
        <w:rPr>
          <w:rFonts w:ascii="Arial" w:cs="Arial" w:eastAsia="Arial" w:hAnsi="Arial"/>
          <w:sz w:val="20"/>
          <w:szCs w:val="20"/>
          <w:b w:val="1"/>
          <w:bCs w:val="1"/>
          <w:color w:val="0075A8"/>
        </w:rPr>
      </w:pPr>
      <w:r>
        <w:rPr>
          <w:rFonts w:ascii="Arial" w:cs="Arial" w:eastAsia="Arial" w:hAnsi="Arial"/>
          <w:sz w:val="20"/>
          <w:szCs w:val="20"/>
          <w:b w:val="1"/>
          <w:bCs w:val="1"/>
          <w:color w:val="0075A8"/>
        </w:rPr>
        <w:t>If I vote by proxy, how will my vote be cast?</w:t>
      </w:r>
    </w:p>
    <w:p>
      <w:pPr>
        <w:spacing w:after="0" w:line="158" w:lineRule="exact"/>
        <w:rPr>
          <w:rFonts w:ascii="Arial" w:cs="Arial" w:eastAsia="Arial" w:hAnsi="Arial"/>
          <w:sz w:val="20"/>
          <w:szCs w:val="20"/>
          <w:b w:val="1"/>
          <w:bCs w:val="1"/>
          <w:color w:val="0075A8"/>
        </w:rPr>
      </w:pPr>
    </w:p>
    <w:p>
      <w:pPr>
        <w:ind w:left="1020" w:right="200"/>
        <w:spacing w:after="0" w:line="268" w:lineRule="auto"/>
        <w:rPr>
          <w:rFonts w:ascii="Arial" w:cs="Arial" w:eastAsia="Arial" w:hAnsi="Arial"/>
          <w:sz w:val="20"/>
          <w:szCs w:val="20"/>
          <w:b w:val="1"/>
          <w:bCs w:val="1"/>
          <w:color w:val="0075A8"/>
        </w:rPr>
      </w:pPr>
      <w:r>
        <w:rPr>
          <w:rFonts w:ascii="Arial" w:cs="Arial" w:eastAsia="Arial" w:hAnsi="Arial"/>
          <w:sz w:val="19"/>
          <w:szCs w:val="19"/>
          <w:color w:val="auto"/>
        </w:rPr>
        <w:t>The persons named as attorneys-in-fact in this Proxy Statement, Liam K. Griffin and Robert J. Terry, were selected by the Board and are officers of the Company. As attorneys-in-fact, Messrs. Griffin and Terry will vote any shares represented at the meeting by proxy. Each executed proxy card returned by a stockholder of record or proxy vote recorded via telephone or the Internet by a stockholder of record in the manner provided on the proxy card prior to the taking of the vote at the Annual Meeting will be voted. Where a choice has been specified in an executed proxy with respect to the matters to be acted upon at the Annual Meeting, the shares represented by the proxy will be voted in accordance with the choices specified.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ind w:left="363" w:right="80" w:hanging="363"/>
        <w:spacing w:after="0" w:line="262" w:lineRule="auto"/>
        <w:tabs>
          <w:tab w:leader="none" w:pos="363" w:val="left"/>
        </w:tabs>
        <w:numPr>
          <w:ilvl w:val="0"/>
          <w:numId w:val="103"/>
        </w:numPr>
        <w:rPr>
          <w:rFonts w:ascii="Arial" w:cs="Arial" w:eastAsia="Arial" w:hAnsi="Arial"/>
          <w:sz w:val="20"/>
          <w:szCs w:val="20"/>
          <w:b w:val="1"/>
          <w:bCs w:val="1"/>
          <w:color w:val="0075A8"/>
        </w:rPr>
      </w:pPr>
      <w:r>
        <w:rPr>
          <w:rFonts w:ascii="Arial" w:cs="Arial" w:eastAsia="Arial" w:hAnsi="Arial"/>
          <w:sz w:val="20"/>
          <w:szCs w:val="20"/>
          <w:b w:val="1"/>
          <w:bCs w:val="1"/>
          <w:color w:val="0075A8"/>
        </w:rPr>
        <w:t>How will my shares be voted if I do not give specific voting instructions when I deliver my proxy?</w:t>
      </w:r>
    </w:p>
    <w:p>
      <w:pPr>
        <w:spacing w:after="0" w:line="107" w:lineRule="exact"/>
        <w:rPr>
          <w:rFonts w:ascii="Arial" w:cs="Arial" w:eastAsia="Arial" w:hAnsi="Arial"/>
          <w:sz w:val="20"/>
          <w:szCs w:val="20"/>
          <w:b w:val="1"/>
          <w:bCs w:val="1"/>
          <w:color w:val="0075A8"/>
        </w:rPr>
      </w:pPr>
    </w:p>
    <w:p>
      <w:pPr>
        <w:ind w:left="363" w:right="80"/>
        <w:spacing w:after="0" w:line="255" w:lineRule="auto"/>
        <w:rPr>
          <w:rFonts w:ascii="Arial" w:cs="Arial" w:eastAsia="Arial" w:hAnsi="Arial"/>
          <w:sz w:val="20"/>
          <w:szCs w:val="20"/>
          <w:b w:val="1"/>
          <w:bCs w:val="1"/>
          <w:color w:val="0075A8"/>
        </w:rPr>
      </w:pPr>
      <w:r>
        <w:rPr>
          <w:rFonts w:ascii="Arial" w:cs="Arial" w:eastAsia="Arial" w:hAnsi="Arial"/>
          <w:sz w:val="20"/>
          <w:szCs w:val="20"/>
          <w:color w:val="auto"/>
        </w:rPr>
        <w:t>If you are a stockholder of record and deliver a proxy but do not give specific voting instructions, then the proxy holders will vote your shares as recommended by the Board or, if no recommendation is given, in their own discretion.</w:t>
      </w:r>
    </w:p>
    <w:p>
      <w:pPr>
        <w:spacing w:after="0" w:line="207" w:lineRule="exact"/>
        <w:rPr>
          <w:rFonts w:ascii="Arial" w:cs="Arial" w:eastAsia="Arial" w:hAnsi="Arial"/>
          <w:sz w:val="20"/>
          <w:szCs w:val="20"/>
          <w:b w:val="1"/>
          <w:bCs w:val="1"/>
          <w:color w:val="0075A8"/>
        </w:rPr>
      </w:pPr>
    </w:p>
    <w:p>
      <w:pPr>
        <w:ind w:left="363" w:right="80"/>
        <w:spacing w:after="0" w:line="253" w:lineRule="auto"/>
        <w:rPr>
          <w:rFonts w:ascii="Arial" w:cs="Arial" w:eastAsia="Arial" w:hAnsi="Arial"/>
          <w:sz w:val="20"/>
          <w:szCs w:val="20"/>
          <w:b w:val="1"/>
          <w:bCs w:val="1"/>
          <w:color w:val="0075A8"/>
        </w:rPr>
      </w:pPr>
      <w:r>
        <w:rPr>
          <w:rFonts w:ascii="Arial" w:cs="Arial" w:eastAsia="Arial" w:hAnsi="Arial"/>
          <w:sz w:val="20"/>
          <w:szCs w:val="20"/>
          <w:color w:val="auto"/>
        </w:rPr>
        <w:t xml:space="preserve">If your shares are held in “street name,” your broker (or other nominee) is required to vote those shares in accordance with your instructions. If you do not give instructions to your broker (or other nominee), your broker (or other nominee) will only be entitled to vote your shares with respect to “discretionary” matters, as described below, but will not be permitted to vote the shares with respect to “non-discretionary” matters. </w:t>
      </w:r>
      <w:r>
        <w:rPr>
          <w:rFonts w:ascii="Arial" w:cs="Arial" w:eastAsia="Arial" w:hAnsi="Arial"/>
          <w:sz w:val="20"/>
          <w:szCs w:val="20"/>
          <w:b w:val="1"/>
          <w:bCs w:val="1"/>
          <w:color w:val="auto"/>
        </w:rPr>
        <w:t>If you</w:t>
      </w:r>
      <w:r>
        <w:rPr>
          <w:rFonts w:ascii="Arial" w:cs="Arial" w:eastAsia="Arial" w:hAnsi="Arial"/>
          <w:sz w:val="20"/>
          <w:szCs w:val="20"/>
          <w:color w:val="auto"/>
        </w:rPr>
        <w:t xml:space="preserve"> </w:t>
      </w:r>
      <w:r>
        <w:rPr>
          <w:rFonts w:ascii="Arial" w:cs="Arial" w:eastAsia="Arial" w:hAnsi="Arial"/>
          <w:sz w:val="20"/>
          <w:szCs w:val="20"/>
          <w:b w:val="1"/>
          <w:bCs w:val="1"/>
          <w:color w:val="auto"/>
        </w:rPr>
        <w:t>beneficially own shares that are held in “street name” by your broker (or other nominee), we strongly encourage you to provide instructions to your broker (or other nominee) as to how to vote on the election of directors and all of the Proposals by signing, dating, and returning to your broker (or other nominee) the instruction card provided by your broker (or other nominee)</w:t>
      </w:r>
      <w:r>
        <w:rPr>
          <w:rFonts w:ascii="Arial" w:cs="Arial" w:eastAsia="Arial" w:hAnsi="Arial"/>
          <w:sz w:val="20"/>
          <w:szCs w:val="20"/>
          <w:color w:val="auto"/>
        </w:rPr>
        <w:t>.</w:t>
      </w:r>
    </w:p>
    <w:p>
      <w:pPr>
        <w:spacing w:after="0" w:line="227" w:lineRule="exact"/>
        <w:rPr>
          <w:rFonts w:ascii="Arial" w:cs="Arial" w:eastAsia="Arial" w:hAnsi="Arial"/>
          <w:sz w:val="20"/>
          <w:szCs w:val="20"/>
          <w:b w:val="1"/>
          <w:bCs w:val="1"/>
          <w:color w:val="0075A8"/>
        </w:rPr>
      </w:pPr>
    </w:p>
    <w:p>
      <w:pPr>
        <w:ind w:left="363" w:right="220"/>
        <w:spacing w:after="0" w:line="255" w:lineRule="auto"/>
        <w:rPr>
          <w:rFonts w:ascii="Arial" w:cs="Arial" w:eastAsia="Arial" w:hAnsi="Arial"/>
          <w:sz w:val="20"/>
          <w:szCs w:val="20"/>
          <w:b w:val="1"/>
          <w:bCs w:val="1"/>
          <w:color w:val="0075A8"/>
        </w:rPr>
      </w:pPr>
      <w:r>
        <w:rPr>
          <w:rFonts w:ascii="Arial" w:cs="Arial" w:eastAsia="Arial" w:hAnsi="Arial"/>
          <w:sz w:val="20"/>
          <w:szCs w:val="20"/>
          <w:color w:val="auto"/>
        </w:rPr>
        <w:t>If you are a participant in the 401(k) Plan, the trustee of the 401(k) Plan may not vote your 401(k) Plan shares if the trustee does not receive voting instructions from you by 11:59 p.m. Eastern Daylight Time on May 5, 2023, unless otherwise required by law.</w:t>
      </w:r>
    </w:p>
    <w:p>
      <w:pPr>
        <w:spacing w:after="0" w:line="183" w:lineRule="exact"/>
        <w:rPr>
          <w:rFonts w:ascii="Arial" w:cs="Arial" w:eastAsia="Arial" w:hAnsi="Arial"/>
          <w:sz w:val="20"/>
          <w:szCs w:val="20"/>
          <w:b w:val="1"/>
          <w:bCs w:val="1"/>
          <w:color w:val="0075A8"/>
        </w:rPr>
      </w:pPr>
    </w:p>
    <w:p>
      <w:pPr>
        <w:ind w:left="363" w:hanging="363"/>
        <w:spacing w:after="0"/>
        <w:tabs>
          <w:tab w:leader="none" w:pos="363" w:val="left"/>
        </w:tabs>
        <w:numPr>
          <w:ilvl w:val="0"/>
          <w:numId w:val="104"/>
        </w:numPr>
        <w:rPr>
          <w:rFonts w:ascii="Arial" w:cs="Arial" w:eastAsia="Arial" w:hAnsi="Arial"/>
          <w:sz w:val="20"/>
          <w:szCs w:val="20"/>
          <w:b w:val="1"/>
          <w:bCs w:val="1"/>
          <w:color w:val="0075A8"/>
        </w:rPr>
      </w:pPr>
      <w:r>
        <w:rPr>
          <w:rFonts w:ascii="Arial" w:cs="Arial" w:eastAsia="Arial" w:hAnsi="Arial"/>
          <w:sz w:val="20"/>
          <w:szCs w:val="20"/>
          <w:b w:val="1"/>
          <w:bCs w:val="1"/>
          <w:color w:val="0075A8"/>
        </w:rPr>
        <w:t>What is a “broker non-vote”?</w:t>
      </w:r>
    </w:p>
    <w:p>
      <w:pPr>
        <w:spacing w:after="0" w:line="172" w:lineRule="exact"/>
        <w:rPr>
          <w:rFonts w:ascii="Arial" w:cs="Arial" w:eastAsia="Arial" w:hAnsi="Arial"/>
          <w:sz w:val="20"/>
          <w:szCs w:val="20"/>
          <w:b w:val="1"/>
          <w:bCs w:val="1"/>
          <w:color w:val="0075A8"/>
        </w:rPr>
      </w:pPr>
    </w:p>
    <w:p>
      <w:pPr>
        <w:ind w:left="363" w:right="80"/>
        <w:spacing w:after="0" w:line="269" w:lineRule="auto"/>
        <w:rPr>
          <w:rFonts w:ascii="Arial" w:cs="Arial" w:eastAsia="Arial" w:hAnsi="Arial"/>
          <w:sz w:val="20"/>
          <w:szCs w:val="20"/>
          <w:b w:val="1"/>
          <w:bCs w:val="1"/>
          <w:color w:val="0075A8"/>
        </w:rPr>
      </w:pPr>
      <w:r>
        <w:rPr>
          <w:rFonts w:ascii="Arial" w:cs="Arial" w:eastAsia="Arial" w:hAnsi="Arial"/>
          <w:sz w:val="19"/>
          <w:szCs w:val="19"/>
          <w:color w:val="auto"/>
        </w:rPr>
        <w:t>A “broker non-vote” occurs when your broker (or other nominee) submits a proxy for your shares (because the broker (or other nominee) has either received instructions from you on one or more proposals, but not all, or has not received instructions from you but is entitled to vote on a particular “discretionary” matter) but does not indicate a vote “</w:t>
      </w:r>
      <w:r>
        <w:rPr>
          <w:rFonts w:ascii="Arial" w:cs="Arial" w:eastAsia="Arial" w:hAnsi="Arial"/>
          <w:sz w:val="19"/>
          <w:szCs w:val="19"/>
          <w:b w:val="1"/>
          <w:bCs w:val="1"/>
          <w:color w:val="auto"/>
        </w:rPr>
        <w:t>FOR</w:t>
      </w:r>
      <w:r>
        <w:rPr>
          <w:rFonts w:ascii="Arial" w:cs="Arial" w:eastAsia="Arial" w:hAnsi="Arial"/>
          <w:sz w:val="19"/>
          <w:szCs w:val="19"/>
          <w:color w:val="auto"/>
        </w:rPr>
        <w:t>” a particular proposal because the broker (or other nominee) either does not have authority</w:t>
      </w:r>
    </w:p>
    <w:p>
      <w:pPr>
        <w:spacing w:after="0" w:line="200" w:lineRule="exact"/>
        <w:rPr>
          <w:sz w:val="20"/>
          <w:szCs w:val="20"/>
          <w:color w:val="auto"/>
        </w:rPr>
      </w:pPr>
    </w:p>
    <w:p>
      <w:pPr>
        <w:sectPr>
          <w:pgSz w:w="11900" w:h="16838" w:orient="portrait"/>
          <w:cols w:equalWidth="0" w:num="2">
            <w:col w:w="5320" w:space="257"/>
            <w:col w:w="4523"/>
          </w:cols>
          <w:pgMar w:left="580" w:top="132" w:right="1219" w:bottom="1440" w:gutter="0" w:footer="0" w:header="0"/>
          <w:type w:val="continuous"/>
        </w:sectPr>
      </w:pPr>
    </w:p>
    <w:p>
      <w:pPr>
        <w:spacing w:after="0" w:line="102"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​68</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to vote on that proposal and has not received</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voting instructions from you or has</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“discretionary” authority on the proposal but</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chooses not to exercise it. “Broker non-votes”</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are not counted to determine the number of</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votes present for the particular proposal, nor</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are they counted as votes “</w:t>
      </w:r>
      <w:r>
        <w:rPr>
          <w:rFonts w:ascii="Arial" w:cs="Arial" w:eastAsia="Arial" w:hAnsi="Arial"/>
          <w:sz w:val="20"/>
          <w:szCs w:val="20"/>
          <w:b w:val="1"/>
          <w:bCs w:val="1"/>
          <w:color w:val="auto"/>
        </w:rPr>
        <w:t>FOR</w:t>
      </w:r>
      <w:r>
        <w:rPr>
          <w:rFonts w:ascii="Arial" w:cs="Arial" w:eastAsia="Arial" w:hAnsi="Arial"/>
          <w:sz w:val="20"/>
          <w:szCs w:val="20"/>
          <w:color w:val="auto"/>
        </w:rPr>
        <w:t>” or</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AGAINST</w:t>
      </w:r>
      <w:r>
        <w:rPr>
          <w:rFonts w:ascii="Arial" w:cs="Arial" w:eastAsia="Arial" w:hAnsi="Arial"/>
          <w:sz w:val="20"/>
          <w:szCs w:val="20"/>
          <w:color w:val="auto"/>
        </w:rPr>
        <w:t>” the proposal in question or as</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abstentions. We count “broker non-votes” for</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the purpose of determining a quorum for the</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Annual Meeting. If your shares are held in</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“street name” by your broker (or other</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nominee), please check the instruction card</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provided by your broker (or other nominee) or</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contact your broker (or other nominee) to</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determine whether you will be able to vote by</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telephone or via the Internet.</w:t>
      </w:r>
    </w:p>
    <w:p>
      <w:pPr>
        <w:spacing w:after="0" w:line="205" w:lineRule="exact"/>
        <w:rPr>
          <w:sz w:val="20"/>
          <w:szCs w:val="20"/>
          <w:color w:val="auto"/>
        </w:rPr>
      </w:pPr>
    </w:p>
    <w:p>
      <w:pPr>
        <w:ind w:left="1020" w:hanging="366"/>
        <w:spacing w:after="0"/>
        <w:tabs>
          <w:tab w:leader="none" w:pos="1020" w:val="left"/>
        </w:tabs>
        <w:numPr>
          <w:ilvl w:val="0"/>
          <w:numId w:val="105"/>
        </w:numPr>
        <w:rPr>
          <w:rFonts w:ascii="Arial" w:cs="Arial" w:eastAsia="Arial" w:hAnsi="Arial"/>
          <w:sz w:val="20"/>
          <w:szCs w:val="20"/>
          <w:b w:val="1"/>
          <w:bCs w:val="1"/>
          <w:color w:val="0075A8"/>
        </w:rPr>
      </w:pPr>
      <w:r>
        <w:rPr>
          <w:rFonts w:ascii="Arial" w:cs="Arial" w:eastAsia="Arial" w:hAnsi="Arial"/>
          <w:sz w:val="20"/>
          <w:szCs w:val="20"/>
          <w:b w:val="1"/>
          <w:bCs w:val="1"/>
          <w:color w:val="0075A8"/>
        </w:rPr>
        <w:t>What vote is required for each matter?</w:t>
      </w:r>
    </w:p>
    <w:p>
      <w:pPr>
        <w:spacing w:after="0" w:line="138" w:lineRule="exact"/>
        <w:rPr>
          <w:rFonts w:ascii="Arial" w:cs="Arial" w:eastAsia="Arial" w:hAnsi="Arial"/>
          <w:sz w:val="20"/>
          <w:szCs w:val="20"/>
          <w:b w:val="1"/>
          <w:bCs w:val="1"/>
          <w:color w:val="0075A8"/>
        </w:rPr>
      </w:pPr>
    </w:p>
    <w:p>
      <w:pPr>
        <w:ind w:left="1020" w:right="80"/>
        <w:spacing w:after="0" w:line="269" w:lineRule="auto"/>
        <w:rPr>
          <w:rFonts w:ascii="Arial" w:cs="Arial" w:eastAsia="Arial" w:hAnsi="Arial"/>
          <w:sz w:val="20"/>
          <w:szCs w:val="20"/>
          <w:b w:val="1"/>
          <w:bCs w:val="1"/>
          <w:color w:val="0075A8"/>
        </w:rPr>
      </w:pPr>
      <w:r>
        <w:rPr>
          <w:rFonts w:ascii="Arial" w:cs="Arial" w:eastAsia="Arial" w:hAnsi="Arial"/>
          <w:sz w:val="19"/>
          <w:szCs w:val="19"/>
          <w:i w:val="1"/>
          <w:iCs w:val="1"/>
          <w:color w:val="auto"/>
        </w:rPr>
        <w:t xml:space="preserve">Election of Directors. </w:t>
      </w:r>
      <w:r>
        <w:rPr>
          <w:rFonts w:ascii="Arial" w:cs="Arial" w:eastAsia="Arial" w:hAnsi="Arial"/>
          <w:sz w:val="19"/>
          <w:szCs w:val="19"/>
          <w:color w:val="auto"/>
        </w:rPr>
        <w:t>Pursuant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By-laws, a nominee will be elected to the Board if the votes cast “</w:t>
      </w:r>
      <w:r>
        <w:rPr>
          <w:rFonts w:ascii="Arial" w:cs="Arial" w:eastAsia="Arial" w:hAnsi="Arial"/>
          <w:sz w:val="19"/>
          <w:szCs w:val="19"/>
          <w:b w:val="1"/>
          <w:bCs w:val="1"/>
          <w:color w:val="auto"/>
        </w:rPr>
        <w:t>FOR</w:t>
      </w:r>
      <w:r>
        <w:rPr>
          <w:rFonts w:ascii="Arial" w:cs="Arial" w:eastAsia="Arial" w:hAnsi="Arial"/>
          <w:sz w:val="19"/>
          <w:szCs w:val="19"/>
          <w:color w:val="auto"/>
        </w:rPr>
        <w:t>” the nominee’s election at the Annual Meeting exceed the votes cast “</w:t>
      </w:r>
      <w:r>
        <w:rPr>
          <w:rFonts w:ascii="Arial" w:cs="Arial" w:eastAsia="Arial" w:hAnsi="Arial"/>
          <w:sz w:val="19"/>
          <w:szCs w:val="19"/>
          <w:b w:val="1"/>
          <w:bCs w:val="1"/>
          <w:color w:val="auto"/>
        </w:rPr>
        <w:t>AGAINST</w:t>
      </w:r>
      <w:r>
        <w:rPr>
          <w:rFonts w:ascii="Arial" w:cs="Arial" w:eastAsia="Arial" w:hAnsi="Arial"/>
          <w:sz w:val="19"/>
          <w:szCs w:val="19"/>
          <w:color w:val="auto"/>
        </w:rPr>
        <w:t>” the nominee’s election (as long as the only director nominees are those individuals set forth in this Proxy Statement). Abstentions and “broker non-votes” will not count as votes “</w:t>
      </w:r>
      <w:r>
        <w:rPr>
          <w:rFonts w:ascii="Arial" w:cs="Arial" w:eastAsia="Arial" w:hAnsi="Arial"/>
          <w:sz w:val="19"/>
          <w:szCs w:val="19"/>
          <w:b w:val="1"/>
          <w:bCs w:val="1"/>
          <w:color w:val="auto"/>
        </w:rPr>
        <w:t>FOR</w:t>
      </w:r>
      <w:r>
        <w:rPr>
          <w:rFonts w:ascii="Arial" w:cs="Arial" w:eastAsia="Arial" w:hAnsi="Arial"/>
          <w:sz w:val="19"/>
          <w:szCs w:val="19"/>
          <w:color w:val="auto"/>
        </w:rPr>
        <w:t>” or “</w:t>
      </w:r>
      <w:r>
        <w:rPr>
          <w:rFonts w:ascii="Arial" w:cs="Arial" w:eastAsia="Arial" w:hAnsi="Arial"/>
          <w:sz w:val="19"/>
          <w:szCs w:val="19"/>
          <w:b w:val="1"/>
          <w:bCs w:val="1"/>
          <w:color w:val="auto"/>
        </w:rPr>
        <w:t>AGAINST</w:t>
      </w:r>
      <w:r>
        <w:rPr>
          <w:rFonts w:ascii="Arial" w:cs="Arial" w:eastAsia="Arial" w:hAnsi="Arial"/>
          <w:sz w:val="19"/>
          <w:szCs w:val="19"/>
          <w:color w:val="auto"/>
        </w:rPr>
        <w:t xml:space="preserve">.” If the shares you own are held in “street name,” your broker (or other nominee), as the record holder of your shares, is required to vote your shares according to your instructions. Proposal 1 is </w:t>
      </w:r>
      <w:r>
        <w:rPr>
          <w:rFonts w:ascii="Arial" w:cs="Arial" w:eastAsia="Arial" w:hAnsi="Arial"/>
          <w:sz w:val="19"/>
          <w:szCs w:val="19"/>
          <w:i w:val="1"/>
          <w:iCs w:val="1"/>
          <w:color w:val="auto"/>
        </w:rPr>
        <w:t>not</w:t>
      </w:r>
      <w:r>
        <w:rPr>
          <w:rFonts w:ascii="Arial" w:cs="Arial" w:eastAsia="Arial" w:hAnsi="Arial"/>
          <w:sz w:val="19"/>
          <w:szCs w:val="19"/>
          <w:color w:val="auto"/>
        </w:rPr>
        <w:t xml:space="preserve"> considered to be a “discretionary” matter for certain brokers. </w:t>
      </w:r>
      <w:r>
        <w:rPr>
          <w:rFonts w:ascii="Arial" w:cs="Arial" w:eastAsia="Arial" w:hAnsi="Arial"/>
          <w:sz w:val="19"/>
          <w:szCs w:val="19"/>
          <w:b w:val="1"/>
          <w:bCs w:val="1"/>
          <w:color w:val="auto"/>
        </w:rPr>
        <w:t>If</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you do not instruct your broker how to vote with respect to this item, your broker may not vote your shares with respect to the election of directors. </w:t>
      </w:r>
      <w:r>
        <w:rPr>
          <w:rFonts w:ascii="Arial" w:cs="Arial" w:eastAsia="Arial" w:hAnsi="Arial"/>
          <w:sz w:val="19"/>
          <w:szCs w:val="19"/>
          <w:color w:val="auto"/>
        </w:rPr>
        <w:t>In such case, a “broker</w:t>
      </w:r>
      <w:r>
        <w:rPr>
          <w:rFonts w:ascii="Arial" w:cs="Arial" w:eastAsia="Arial" w:hAnsi="Arial"/>
          <w:sz w:val="19"/>
          <w:szCs w:val="19"/>
          <w:b w:val="1"/>
          <w:bCs w:val="1"/>
          <w:color w:val="auto"/>
        </w:rPr>
        <w:t xml:space="preserve"> </w:t>
      </w:r>
      <w:r>
        <w:rPr>
          <w:rFonts w:ascii="Arial" w:cs="Arial" w:eastAsia="Arial" w:hAnsi="Arial"/>
          <w:sz w:val="19"/>
          <w:szCs w:val="19"/>
          <w:color w:val="auto"/>
        </w:rPr>
        <w:t>non-vote” may occur, which will have no effect on the outcome of Proposal 1.</w:t>
      </w:r>
    </w:p>
    <w:p>
      <w:pPr>
        <w:spacing w:after="0" w:line="200" w:lineRule="exact"/>
        <w:rPr>
          <w:rFonts w:ascii="Arial" w:cs="Arial" w:eastAsia="Arial" w:hAnsi="Arial"/>
          <w:sz w:val="20"/>
          <w:szCs w:val="20"/>
          <w:b w:val="1"/>
          <w:bCs w:val="1"/>
          <w:color w:val="0075A8"/>
        </w:rPr>
      </w:pPr>
    </w:p>
    <w:p>
      <w:pPr>
        <w:spacing w:after="0" w:line="221" w:lineRule="exact"/>
        <w:rPr>
          <w:rFonts w:ascii="Arial" w:cs="Arial" w:eastAsia="Arial" w:hAnsi="Arial"/>
          <w:sz w:val="20"/>
          <w:szCs w:val="20"/>
          <w:b w:val="1"/>
          <w:bCs w:val="1"/>
          <w:color w:val="0075A8"/>
        </w:rPr>
      </w:pPr>
    </w:p>
    <w:p>
      <w:pPr>
        <w:ind w:left="1020" w:right="80"/>
        <w:spacing w:after="0" w:line="258" w:lineRule="auto"/>
        <w:rPr>
          <w:rFonts w:ascii="Arial" w:cs="Arial" w:eastAsia="Arial" w:hAnsi="Arial"/>
          <w:sz w:val="20"/>
          <w:szCs w:val="20"/>
          <w:b w:val="1"/>
          <w:bCs w:val="1"/>
          <w:color w:val="0075A8"/>
        </w:rPr>
      </w:pPr>
      <w:r>
        <w:rPr>
          <w:rFonts w:ascii="Arial" w:cs="Arial" w:eastAsia="Arial" w:hAnsi="Arial"/>
          <w:sz w:val="20"/>
          <w:szCs w:val="20"/>
          <w:i w:val="1"/>
          <w:iCs w:val="1"/>
          <w:color w:val="auto"/>
        </w:rPr>
        <w:t xml:space="preserve">Ratification of Independent Registered Public Accounting Firm. </w:t>
      </w:r>
      <w:r>
        <w:rPr>
          <w:rFonts w:ascii="Arial" w:cs="Arial" w:eastAsia="Arial" w:hAnsi="Arial"/>
          <w:sz w:val="20"/>
          <w:szCs w:val="20"/>
          <w:color w:val="auto"/>
        </w:rPr>
        <w:t>The affirmative vote of a</w:t>
      </w:r>
      <w:r>
        <w:rPr>
          <w:rFonts w:ascii="Arial" w:cs="Arial" w:eastAsia="Arial" w:hAnsi="Arial"/>
          <w:sz w:val="20"/>
          <w:szCs w:val="20"/>
          <w:i w:val="1"/>
          <w:iCs w:val="1"/>
          <w:color w:val="auto"/>
        </w:rPr>
        <w:t xml:space="preserve"> </w:t>
      </w:r>
      <w:r>
        <w:rPr>
          <w:rFonts w:ascii="Arial" w:cs="Arial" w:eastAsia="Arial" w:hAnsi="Arial"/>
          <w:sz w:val="20"/>
          <w:szCs w:val="20"/>
          <w:color w:val="auto"/>
        </w:rPr>
        <w:t>majority of the shares present, or represented by proxy, at the Annual Meeting, and entitled to vote on such matter at the Annual Meeting, is required to approve Proposal 2. Proposal 2 involves a matter on which a broker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304800</wp:posOffset>
            </wp:positionV>
            <wp:extent cx="780415" cy="2571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80415" cy="25717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60"/>
        <w:spacing w:after="0"/>
        <w:tabs>
          <w:tab w:leader="none" w:pos="2160" w:val="left"/>
          <w:tab w:leader="none" w:pos="240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177800</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 xml:space="preserve">nominee) </w:t>
      </w:r>
      <w:r>
        <w:rPr>
          <w:rFonts w:ascii="Arial" w:cs="Arial" w:eastAsia="Arial" w:hAnsi="Arial"/>
          <w:sz w:val="19"/>
          <w:szCs w:val="19"/>
          <w:i w:val="1"/>
          <w:iCs w:val="1"/>
          <w:color w:val="auto"/>
        </w:rPr>
        <w:t>does</w:t>
      </w:r>
      <w:r>
        <w:rPr>
          <w:rFonts w:ascii="Arial" w:cs="Arial" w:eastAsia="Arial" w:hAnsi="Arial"/>
          <w:sz w:val="19"/>
          <w:szCs w:val="19"/>
          <w:color w:val="auto"/>
        </w:rPr>
        <w:t xml:space="preserve"> have “discretionary” authority to vote. </w:t>
      </w:r>
      <w:r>
        <w:rPr>
          <w:rFonts w:ascii="Arial" w:cs="Arial" w:eastAsia="Arial" w:hAnsi="Arial"/>
          <w:sz w:val="19"/>
          <w:szCs w:val="19"/>
          <w:b w:val="1"/>
          <w:bCs w:val="1"/>
          <w:color w:val="auto"/>
        </w:rPr>
        <w:t>If you do not instruct your broker</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how to vote with respect to this item, your broker may still vote </w:t>
      </w:r>
      <w:r>
        <w:rPr>
          <w:rFonts w:ascii="Arial" w:cs="Arial" w:eastAsia="Arial" w:hAnsi="Arial"/>
          <w:sz w:val="19"/>
          <w:szCs w:val="19"/>
          <w:color w:val="auto"/>
        </w:rPr>
        <w:t>your shares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this proposal in its discretion. With respect to Proposal 2, a vote of  “</w:t>
      </w:r>
      <w:r>
        <w:rPr>
          <w:rFonts w:ascii="Arial" w:cs="Arial" w:eastAsia="Arial" w:hAnsi="Arial"/>
          <w:sz w:val="19"/>
          <w:szCs w:val="19"/>
          <w:b w:val="1"/>
          <w:bCs w:val="1"/>
          <w:color w:val="auto"/>
        </w:rPr>
        <w:t>ABSTAIN</w:t>
      </w:r>
      <w:r>
        <w:rPr>
          <w:rFonts w:ascii="Arial" w:cs="Arial" w:eastAsia="Arial" w:hAnsi="Arial"/>
          <w:sz w:val="19"/>
          <w:szCs w:val="19"/>
          <w:color w:val="auto"/>
        </w:rPr>
        <w:t>” will have the same effect as a vote of “</w:t>
      </w:r>
      <w:r>
        <w:rPr>
          <w:rFonts w:ascii="Arial" w:cs="Arial" w:eastAsia="Arial" w:hAnsi="Arial"/>
          <w:sz w:val="19"/>
          <w:szCs w:val="19"/>
          <w:b w:val="1"/>
          <w:bCs w:val="1"/>
          <w:color w:val="auto"/>
        </w:rPr>
        <w:t>AGAINST</w:t>
      </w:r>
      <w:r>
        <w:rPr>
          <w:rFonts w:ascii="Arial" w:cs="Arial" w:eastAsia="Arial" w:hAnsi="Arial"/>
          <w:sz w:val="19"/>
          <w:szCs w:val="19"/>
          <w:color w:val="auto"/>
        </w:rPr>
        <w:t>.”</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i w:val="1"/>
          <w:iCs w:val="1"/>
          <w:color w:val="auto"/>
        </w:rPr>
        <w:t xml:space="preserve">Say-on-Pay Vote; Say-on-Frequency Vote; Stockholder Proposal. </w:t>
      </w:r>
      <w:r>
        <w:rPr>
          <w:rFonts w:ascii="Arial" w:cs="Arial" w:eastAsia="Arial" w:hAnsi="Arial"/>
          <w:sz w:val="20"/>
          <w:szCs w:val="20"/>
          <w:color w:val="auto"/>
        </w:rPr>
        <w:t>The affirmative vote of</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 majority of the shares present online, or represented by proxy at the Annual Meeting, and entitled to vote on such matter at the Annual Meeting, is required to approve Proposals 3, 4, and 6. With respect to Proposal 4, if none of the frequency alternatives (one year, two years, three years) receives such a majority vote, we will consider the frequency that receives the highest number of votes by stockholders to be the frequency that has been selected by stockholders. However, because this vote is advisory and not binding on us or the Board, the Board may decide that it is in our and our stockholders’ best interests to hold an advisory vote on executive compensation more or less frequently than the alternative approved by our stockholders. Proposals 3, 4, and 6 are </w:t>
      </w:r>
      <w:r>
        <w:rPr>
          <w:rFonts w:ascii="Arial" w:cs="Arial" w:eastAsia="Arial" w:hAnsi="Arial"/>
          <w:sz w:val="20"/>
          <w:szCs w:val="20"/>
          <w:i w:val="1"/>
          <w:iCs w:val="1"/>
          <w:color w:val="auto"/>
        </w:rPr>
        <w:t>not</w:t>
      </w:r>
      <w:r>
        <w:rPr>
          <w:rFonts w:ascii="Arial" w:cs="Arial" w:eastAsia="Arial" w:hAnsi="Arial"/>
          <w:sz w:val="20"/>
          <w:szCs w:val="20"/>
          <w:color w:val="auto"/>
        </w:rPr>
        <w:t xml:space="preserve"> considered to be “discretionary” matters for certain brokers. </w:t>
      </w:r>
      <w:r>
        <w:rPr>
          <w:rFonts w:ascii="Arial" w:cs="Arial" w:eastAsia="Arial" w:hAnsi="Arial"/>
          <w:sz w:val="20"/>
          <w:szCs w:val="20"/>
          <w:b w:val="1"/>
          <w:bCs w:val="1"/>
          <w:color w:val="auto"/>
        </w:rPr>
        <w:t>If you do not instruct your</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broker how to vote with respect to these items, your broker may not vote your shares with respect to these proposals. </w:t>
      </w:r>
      <w:r>
        <w:rPr>
          <w:rFonts w:ascii="Arial" w:cs="Arial" w:eastAsia="Arial" w:hAnsi="Arial"/>
          <w:sz w:val="20"/>
          <w:szCs w:val="20"/>
          <w:color w:val="auto"/>
        </w:rPr>
        <w:t>In</w:t>
      </w:r>
      <w:r>
        <w:rPr>
          <w:rFonts w:ascii="Arial" w:cs="Arial" w:eastAsia="Arial" w:hAnsi="Arial"/>
          <w:sz w:val="20"/>
          <w:szCs w:val="20"/>
          <w:b w:val="1"/>
          <w:bCs w:val="1"/>
          <w:color w:val="auto"/>
        </w:rPr>
        <w:t xml:space="preserve"> </w:t>
      </w:r>
      <w:r>
        <w:rPr>
          <w:rFonts w:ascii="Arial" w:cs="Arial" w:eastAsia="Arial" w:hAnsi="Arial"/>
          <w:sz w:val="20"/>
          <w:szCs w:val="20"/>
          <w:color w:val="auto"/>
        </w:rPr>
        <w:t>such case, a “broker non-vote” may occur, which will have no effect on the outcome of Proposals 3, 4, and 6. Votes that are marked “</w:t>
      </w:r>
      <w:r>
        <w:rPr>
          <w:rFonts w:ascii="Arial" w:cs="Arial" w:eastAsia="Arial" w:hAnsi="Arial"/>
          <w:sz w:val="20"/>
          <w:szCs w:val="20"/>
          <w:b w:val="1"/>
          <w:bCs w:val="1"/>
          <w:color w:val="auto"/>
        </w:rPr>
        <w:t>ABSTAIN</w:t>
      </w:r>
      <w:r>
        <w:rPr>
          <w:rFonts w:ascii="Arial" w:cs="Arial" w:eastAsia="Arial" w:hAnsi="Arial"/>
          <w:sz w:val="20"/>
          <w:szCs w:val="20"/>
          <w:color w:val="auto"/>
        </w:rPr>
        <w:t>” are counted as present and entitled to vote with respect to Proposals 3, 4, and 6 and will have the same impact as a vote that is marked “</w:t>
      </w:r>
      <w:r>
        <w:rPr>
          <w:rFonts w:ascii="Arial" w:cs="Arial" w:eastAsia="Arial" w:hAnsi="Arial"/>
          <w:sz w:val="20"/>
          <w:szCs w:val="20"/>
          <w:b w:val="1"/>
          <w:bCs w:val="1"/>
          <w:color w:val="auto"/>
        </w:rPr>
        <w:t>AGAINST</w:t>
      </w:r>
      <w:r>
        <w:rPr>
          <w:rFonts w:ascii="Arial" w:cs="Arial" w:eastAsia="Arial" w:hAnsi="Arial"/>
          <w:sz w:val="20"/>
          <w:szCs w:val="20"/>
          <w:color w:val="auto"/>
        </w:rPr>
        <w:t>” for purposes of Proposals 3, 4, and 6.</w:t>
      </w:r>
    </w:p>
    <w:p>
      <w:pPr>
        <w:spacing w:after="0" w:line="203"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i w:val="1"/>
          <w:iCs w:val="1"/>
          <w:color w:val="auto"/>
        </w:rPr>
        <w:t xml:space="preserve">Amendment to the Charter. </w:t>
      </w:r>
      <w:r>
        <w:rPr>
          <w:rFonts w:ascii="Arial" w:cs="Arial" w:eastAsia="Arial" w:hAnsi="Arial"/>
          <w:sz w:val="19"/>
          <w:szCs w:val="19"/>
          <w:color w:val="auto"/>
        </w:rPr>
        <w:t>The affirmative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vote of a majority of the shares outstanding is required to approve Proposal 5. Proposal 5 involves a matter on which a broker (or other nominee) does </w:t>
      </w:r>
      <w:r>
        <w:rPr>
          <w:rFonts w:ascii="Arial" w:cs="Arial" w:eastAsia="Arial" w:hAnsi="Arial"/>
          <w:sz w:val="19"/>
          <w:szCs w:val="19"/>
          <w:i w:val="1"/>
          <w:iCs w:val="1"/>
          <w:color w:val="auto"/>
        </w:rPr>
        <w:t>not</w:t>
      </w:r>
      <w:r>
        <w:rPr>
          <w:rFonts w:ascii="Arial" w:cs="Arial" w:eastAsia="Arial" w:hAnsi="Arial"/>
          <w:sz w:val="19"/>
          <w:szCs w:val="19"/>
          <w:color w:val="auto"/>
        </w:rPr>
        <w:t xml:space="preserve"> have “discretionary” authority to vote. </w:t>
      </w:r>
      <w:r>
        <w:rPr>
          <w:rFonts w:ascii="Arial" w:cs="Arial" w:eastAsia="Arial" w:hAnsi="Arial"/>
          <w:sz w:val="19"/>
          <w:szCs w:val="19"/>
          <w:b w:val="1"/>
          <w:bCs w:val="1"/>
          <w:color w:val="auto"/>
        </w:rPr>
        <w:t>If you do not instruct your</w:t>
      </w:r>
      <w:r>
        <w:rPr>
          <w:rFonts w:ascii="Arial" w:cs="Arial" w:eastAsia="Arial" w:hAnsi="Arial"/>
          <w:sz w:val="19"/>
          <w:szCs w:val="19"/>
          <w:color w:val="auto"/>
        </w:rPr>
        <w:t xml:space="preserve"> </w:t>
      </w:r>
      <w:r>
        <w:rPr>
          <w:rFonts w:ascii="Arial" w:cs="Arial" w:eastAsia="Arial" w:hAnsi="Arial"/>
          <w:sz w:val="19"/>
          <w:szCs w:val="19"/>
          <w:b w:val="1"/>
          <w:bCs w:val="1"/>
          <w:color w:val="auto"/>
        </w:rPr>
        <w:t>broker how to vote with respect to this</w:t>
      </w:r>
    </w:p>
    <w:p>
      <w:pPr>
        <w:spacing w:after="0" w:line="200" w:lineRule="exact"/>
        <w:rPr>
          <w:sz w:val="20"/>
          <w:szCs w:val="20"/>
          <w:color w:val="auto"/>
        </w:rPr>
      </w:pPr>
    </w:p>
    <w:p>
      <w:pPr>
        <w:spacing w:after="0" w:line="259" w:lineRule="exact"/>
        <w:rPr>
          <w:sz w:val="20"/>
          <w:szCs w:val="20"/>
          <w:color w:val="auto"/>
        </w:rPr>
      </w:pPr>
    </w:p>
    <w:tbl>
      <w:tblPr>
        <w:tblLayout w:type="fixed"/>
        <w:tblInd w:w="2320"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Arial" w:cs="Arial" w:eastAsia="Arial" w:hAnsi="Arial"/>
                <w:sz w:val="16"/>
                <w:szCs w:val="16"/>
                <w:color w:val="auto"/>
              </w:rPr>
              <w:t>​   ​</w:t>
            </w:r>
          </w:p>
        </w:tc>
        <w:tc>
          <w:tcPr>
            <w:tcW w:w="900" w:type="dxa"/>
            <w:vAlign w:val="bottom"/>
          </w:tcPr>
          <w:p>
            <w:pPr>
              <w:ind w:left="680"/>
              <w:spacing w:after="0"/>
              <w:rPr>
                <w:sz w:val="20"/>
                <w:szCs w:val="20"/>
                <w:color w:val="auto"/>
              </w:rPr>
            </w:pPr>
            <w:r>
              <w:rPr>
                <w:rFonts w:ascii="Arial" w:cs="Arial" w:eastAsia="Arial" w:hAnsi="Arial"/>
                <w:sz w:val="16"/>
                <w:szCs w:val="16"/>
                <w:color w:val="auto"/>
              </w:rPr>
              <w:t>69​</w:t>
            </w:r>
          </w:p>
        </w:tc>
      </w:tr>
    </w:tbl>
    <w:p>
      <w:pPr>
        <w:sectPr>
          <w:pgSz w:w="11900" w:h="16838" w:orient="portrait"/>
          <w:cols w:equalWidth="0" w:num="2">
            <w:col w:w="5220" w:space="720"/>
            <w:col w:w="4160"/>
          </w:cols>
          <w:pgMar w:left="580" w:top="132" w:right="1219"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81"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auto"/>
        </w:rPr>
        <w:t>item, your broker may not vote your shares</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9"/>
          <w:szCs w:val="19"/>
          <w:b w:val="1"/>
          <w:bCs w:val="1"/>
          <w:color w:val="auto"/>
        </w:rPr>
        <w:t xml:space="preserve">with respect to such proposal. </w:t>
      </w:r>
      <w:r>
        <w:rPr>
          <w:rFonts w:ascii="Arial" w:cs="Arial" w:eastAsia="Arial" w:hAnsi="Arial"/>
          <w:sz w:val="19"/>
          <w:szCs w:val="19"/>
          <w:color w:val="auto"/>
        </w:rPr>
        <w:t>In such case,</w:t>
      </w:r>
    </w:p>
    <w:p>
      <w:pPr>
        <w:spacing w:after="0" w:line="30"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a “broker non-vote” may occur, which will have</w:t>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the same effect as a vote that is marked</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AGAINST</w:t>
      </w:r>
      <w:r>
        <w:rPr>
          <w:rFonts w:ascii="Arial" w:cs="Arial" w:eastAsia="Arial" w:hAnsi="Arial"/>
          <w:sz w:val="20"/>
          <w:szCs w:val="20"/>
          <w:color w:val="auto"/>
        </w:rPr>
        <w:t>” for purposes of such proposal.</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Votes that are marked “</w:t>
      </w:r>
      <w:r>
        <w:rPr>
          <w:rFonts w:ascii="Arial" w:cs="Arial" w:eastAsia="Arial" w:hAnsi="Arial"/>
          <w:sz w:val="20"/>
          <w:szCs w:val="20"/>
          <w:b w:val="1"/>
          <w:bCs w:val="1"/>
          <w:color w:val="auto"/>
        </w:rPr>
        <w:t>ABSTAIN</w:t>
      </w:r>
      <w:r>
        <w:rPr>
          <w:rFonts w:ascii="Arial" w:cs="Arial" w:eastAsia="Arial" w:hAnsi="Arial"/>
          <w:sz w:val="20"/>
          <w:szCs w:val="20"/>
          <w:color w:val="auto"/>
        </w:rPr>
        <w:t>” as to</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Proposal 5 will have the same impact as a vote</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that is marked “</w:t>
      </w:r>
      <w:r>
        <w:rPr>
          <w:rFonts w:ascii="Arial" w:cs="Arial" w:eastAsia="Arial" w:hAnsi="Arial"/>
          <w:sz w:val="20"/>
          <w:szCs w:val="20"/>
          <w:b w:val="1"/>
          <w:bCs w:val="1"/>
          <w:color w:val="auto"/>
        </w:rPr>
        <w:t>AGAINST</w:t>
      </w:r>
      <w:r>
        <w:rPr>
          <w:rFonts w:ascii="Arial" w:cs="Arial" w:eastAsia="Arial" w:hAnsi="Arial"/>
          <w:sz w:val="20"/>
          <w:szCs w:val="20"/>
          <w:color w:val="auto"/>
        </w:rPr>
        <w:t>” for purposes of this</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proposal.</w:t>
      </w:r>
    </w:p>
    <w:p>
      <w:pPr>
        <w:spacing w:after="0" w:line="205" w:lineRule="exact"/>
        <w:rPr>
          <w:sz w:val="20"/>
          <w:szCs w:val="20"/>
          <w:color w:val="auto"/>
        </w:rPr>
      </w:pPr>
    </w:p>
    <w:p>
      <w:pPr>
        <w:ind w:left="1020" w:right="500" w:hanging="366"/>
        <w:spacing w:after="0" w:line="271" w:lineRule="auto"/>
        <w:tabs>
          <w:tab w:leader="none" w:pos="1020" w:val="left"/>
        </w:tabs>
        <w:numPr>
          <w:ilvl w:val="0"/>
          <w:numId w:val="106"/>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does the Board recommend that I vote?</w:t>
      </w:r>
    </w:p>
    <w:p>
      <w:pPr>
        <w:spacing w:after="0" w:line="112" w:lineRule="exact"/>
        <w:rPr>
          <w:rFonts w:ascii="Arial" w:cs="Arial" w:eastAsia="Arial" w:hAnsi="Arial"/>
          <w:sz w:val="20"/>
          <w:szCs w:val="20"/>
          <w:b w:val="1"/>
          <w:bCs w:val="1"/>
          <w:color w:val="0075A8"/>
        </w:rPr>
      </w:pPr>
    </w:p>
    <w:p>
      <w:pPr>
        <w:ind w:left="1020"/>
        <w:spacing w:after="0"/>
        <w:rPr>
          <w:rFonts w:ascii="Arial" w:cs="Arial" w:eastAsia="Arial" w:hAnsi="Arial"/>
          <w:sz w:val="20"/>
          <w:szCs w:val="20"/>
          <w:b w:val="1"/>
          <w:bCs w:val="1"/>
          <w:color w:val="0075A8"/>
        </w:rPr>
      </w:pPr>
      <w:r>
        <w:rPr>
          <w:rFonts w:ascii="Arial" w:cs="Arial" w:eastAsia="Arial" w:hAnsi="Arial"/>
          <w:sz w:val="20"/>
          <w:szCs w:val="20"/>
          <w:color w:val="auto"/>
        </w:rPr>
        <w:t>The Board recommends that you vote:</w:t>
      </w:r>
    </w:p>
    <w:p>
      <w:pPr>
        <w:spacing w:after="0" w:line="205" w:lineRule="exact"/>
        <w:rPr>
          <w:rFonts w:ascii="Arial" w:cs="Arial" w:eastAsia="Arial" w:hAnsi="Arial"/>
          <w:sz w:val="20"/>
          <w:szCs w:val="20"/>
          <w:b w:val="1"/>
          <w:bCs w:val="1"/>
          <w:color w:val="0075A8"/>
        </w:rPr>
      </w:pPr>
    </w:p>
    <w:p>
      <w:pPr>
        <w:ind w:left="1020" w:right="240"/>
        <w:spacing w:after="0" w:line="286" w:lineRule="auto"/>
        <w:rPr>
          <w:rFonts w:ascii="Arial" w:cs="Arial" w:eastAsia="Arial" w:hAnsi="Arial"/>
          <w:sz w:val="20"/>
          <w:szCs w:val="20"/>
          <w:b w:val="1"/>
          <w:bCs w:val="1"/>
          <w:color w:val="0075A8"/>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election of each of the nine director</w:t>
      </w:r>
      <w:r>
        <w:rPr>
          <w:rFonts w:ascii="Arial" w:cs="Arial" w:eastAsia="Arial" w:hAnsi="Arial"/>
          <w:sz w:val="20"/>
          <w:szCs w:val="20"/>
          <w:b w:val="1"/>
          <w:bCs w:val="1"/>
          <w:color w:val="auto"/>
        </w:rPr>
        <w:t xml:space="preserve"> </w:t>
      </w:r>
      <w:r>
        <w:rPr>
          <w:rFonts w:ascii="Arial" w:cs="Arial" w:eastAsia="Arial" w:hAnsi="Arial"/>
          <w:sz w:val="20"/>
          <w:szCs w:val="20"/>
          <w:color w:val="auto"/>
        </w:rPr>
        <w:t>nominees (Proposal 1).</w:t>
      </w:r>
    </w:p>
    <w:p>
      <w:pPr>
        <w:spacing w:after="0" w:line="153" w:lineRule="exact"/>
        <w:rPr>
          <w:rFonts w:ascii="Arial" w:cs="Arial" w:eastAsia="Arial" w:hAnsi="Arial"/>
          <w:sz w:val="20"/>
          <w:szCs w:val="20"/>
          <w:b w:val="1"/>
          <w:bCs w:val="1"/>
          <w:color w:val="0075A8"/>
        </w:rPr>
      </w:pPr>
    </w:p>
    <w:p>
      <w:pPr>
        <w:ind w:left="1020" w:right="160"/>
        <w:spacing w:after="0" w:line="264" w:lineRule="auto"/>
        <w:rPr>
          <w:rFonts w:ascii="Arial" w:cs="Arial" w:eastAsia="Arial" w:hAnsi="Arial"/>
          <w:sz w:val="20"/>
          <w:szCs w:val="20"/>
          <w:b w:val="1"/>
          <w:bCs w:val="1"/>
          <w:color w:val="0075A8"/>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ratification of the selection of KPMG</w:t>
      </w:r>
      <w:r>
        <w:rPr>
          <w:rFonts w:ascii="Arial" w:cs="Arial" w:eastAsia="Arial" w:hAnsi="Arial"/>
          <w:sz w:val="20"/>
          <w:szCs w:val="20"/>
          <w:b w:val="1"/>
          <w:bCs w:val="1"/>
          <w:color w:val="auto"/>
        </w:rPr>
        <w:t xml:space="preserve"> </w:t>
      </w:r>
      <w:r>
        <w:rPr>
          <w:rFonts w:ascii="Arial" w:cs="Arial" w:eastAsia="Arial" w:hAnsi="Arial"/>
          <w:sz w:val="20"/>
          <w:szCs w:val="20"/>
          <w:color w:val="auto"/>
        </w:rPr>
        <w:t>LLP as our independent registered public accounting firm for fiscal year 2023 (Proposal 2).</w:t>
      </w:r>
    </w:p>
    <w:p>
      <w:pPr>
        <w:spacing w:after="0" w:line="176" w:lineRule="exact"/>
        <w:rPr>
          <w:rFonts w:ascii="Arial" w:cs="Arial" w:eastAsia="Arial" w:hAnsi="Arial"/>
          <w:sz w:val="20"/>
          <w:szCs w:val="20"/>
          <w:b w:val="1"/>
          <w:bCs w:val="1"/>
          <w:color w:val="0075A8"/>
        </w:rPr>
      </w:pPr>
    </w:p>
    <w:p>
      <w:pPr>
        <w:ind w:left="1020" w:right="80"/>
        <w:spacing w:after="0" w:line="259" w:lineRule="auto"/>
        <w:rPr>
          <w:rFonts w:ascii="Arial" w:cs="Arial" w:eastAsia="Arial" w:hAnsi="Arial"/>
          <w:sz w:val="20"/>
          <w:szCs w:val="20"/>
          <w:b w:val="1"/>
          <w:bCs w:val="1"/>
          <w:color w:val="0075A8"/>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approval, on a non-binding basis,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compensation of our Named Executive Officers, as described above under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and in the executive compensation tables and accompanying narrative disclosures (Proposal 3).</w:t>
      </w:r>
    </w:p>
    <w:p>
      <w:pPr>
        <w:spacing w:after="0" w:line="179" w:lineRule="exact"/>
        <w:rPr>
          <w:rFonts w:ascii="Arial" w:cs="Arial" w:eastAsia="Arial" w:hAnsi="Arial"/>
          <w:sz w:val="20"/>
          <w:szCs w:val="20"/>
          <w:b w:val="1"/>
          <w:bCs w:val="1"/>
          <w:color w:val="0075A8"/>
        </w:rPr>
      </w:pPr>
    </w:p>
    <w:p>
      <w:pPr>
        <w:ind w:left="1020" w:right="420"/>
        <w:spacing w:after="0" w:line="261" w:lineRule="auto"/>
        <w:rPr>
          <w:rFonts w:ascii="Arial" w:cs="Arial" w:eastAsia="Arial" w:hAnsi="Arial"/>
          <w:sz w:val="20"/>
          <w:szCs w:val="20"/>
          <w:b w:val="1"/>
          <w:bCs w:val="1"/>
          <w:color w:val="0075A8"/>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every ONE YEAR with respect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advisory vote on the frequency of future advisory votes on the compensation of the Company’s Named Executive Officers (Proposal 4).</w:t>
      </w:r>
    </w:p>
    <w:p>
      <w:pPr>
        <w:spacing w:after="0" w:line="180" w:lineRule="exact"/>
        <w:rPr>
          <w:rFonts w:ascii="Arial" w:cs="Arial" w:eastAsia="Arial" w:hAnsi="Arial"/>
          <w:sz w:val="20"/>
          <w:szCs w:val="20"/>
          <w:b w:val="1"/>
          <w:bCs w:val="1"/>
          <w:color w:val="0075A8"/>
        </w:rPr>
      </w:pPr>
    </w:p>
    <w:p>
      <w:pPr>
        <w:ind w:left="1020" w:right="140"/>
        <w:spacing w:after="0" w:line="286" w:lineRule="auto"/>
        <w:rPr>
          <w:rFonts w:ascii="Arial" w:cs="Arial" w:eastAsia="Arial" w:hAnsi="Arial"/>
          <w:sz w:val="20"/>
          <w:szCs w:val="20"/>
          <w:b w:val="1"/>
          <w:bCs w:val="1"/>
          <w:color w:val="0075A8"/>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amendment of the Charter to add an</w:t>
      </w:r>
      <w:r>
        <w:rPr>
          <w:rFonts w:ascii="Arial" w:cs="Arial" w:eastAsia="Arial" w:hAnsi="Arial"/>
          <w:sz w:val="20"/>
          <w:szCs w:val="20"/>
          <w:b w:val="1"/>
          <w:bCs w:val="1"/>
          <w:color w:val="auto"/>
        </w:rPr>
        <w:t xml:space="preserve"> </w:t>
      </w:r>
      <w:r>
        <w:rPr>
          <w:rFonts w:ascii="Arial" w:cs="Arial" w:eastAsia="Arial" w:hAnsi="Arial"/>
          <w:sz w:val="20"/>
          <w:szCs w:val="20"/>
          <w:color w:val="auto"/>
        </w:rPr>
        <w:t>officer exculpation provision (Proposal 5).</w:t>
      </w:r>
    </w:p>
    <w:p>
      <w:pPr>
        <w:spacing w:after="0" w:line="177" w:lineRule="exact"/>
        <w:rPr>
          <w:rFonts w:ascii="Arial" w:cs="Arial" w:eastAsia="Arial" w:hAnsi="Arial"/>
          <w:sz w:val="20"/>
          <w:szCs w:val="20"/>
          <w:b w:val="1"/>
          <w:bCs w:val="1"/>
          <w:color w:val="0075A8"/>
        </w:rPr>
      </w:pPr>
    </w:p>
    <w:p>
      <w:pPr>
        <w:ind w:left="1020" w:right="40"/>
        <w:spacing w:after="0" w:line="255" w:lineRule="auto"/>
        <w:rPr>
          <w:rFonts w:ascii="Arial" w:cs="Arial" w:eastAsia="Arial" w:hAnsi="Arial"/>
          <w:sz w:val="20"/>
          <w:szCs w:val="20"/>
          <w:b w:val="1"/>
          <w:bCs w:val="1"/>
          <w:color w:val="0075A8"/>
        </w:rPr>
      </w:pPr>
      <w:r>
        <w:rPr>
          <w:rFonts w:ascii="Arial" w:cs="Arial" w:eastAsia="Arial" w:hAnsi="Arial"/>
          <w:sz w:val="20"/>
          <w:szCs w:val="20"/>
          <w:color w:val="auto"/>
        </w:rPr>
        <w:t>The Board of Directors makes no recommendation regarding how you vote on the approval, on a non-binding basis, of a stockholder proposal regarding simple majority voting provisions (Proposal 6).</w:t>
      </w:r>
    </w:p>
    <w:p>
      <w:pPr>
        <w:spacing w:after="0" w:line="171" w:lineRule="exact"/>
        <w:rPr>
          <w:rFonts w:ascii="Arial" w:cs="Arial" w:eastAsia="Arial" w:hAnsi="Arial"/>
          <w:sz w:val="20"/>
          <w:szCs w:val="20"/>
          <w:b w:val="1"/>
          <w:bCs w:val="1"/>
          <w:color w:val="0075A8"/>
        </w:rPr>
      </w:pPr>
    </w:p>
    <w:p>
      <w:pPr>
        <w:ind w:left="1020" w:right="620" w:hanging="366"/>
        <w:spacing w:after="0" w:line="286" w:lineRule="auto"/>
        <w:tabs>
          <w:tab w:leader="none" w:pos="1020" w:val="left"/>
        </w:tabs>
        <w:numPr>
          <w:ilvl w:val="0"/>
          <w:numId w:val="107"/>
        </w:numPr>
        <w:rPr>
          <w:rFonts w:ascii="Arial" w:cs="Arial" w:eastAsia="Arial" w:hAnsi="Arial"/>
          <w:sz w:val="20"/>
          <w:szCs w:val="20"/>
          <w:b w:val="1"/>
          <w:bCs w:val="1"/>
          <w:color w:val="0075A8"/>
        </w:rPr>
      </w:pPr>
      <w:r>
        <w:rPr>
          <w:rFonts w:ascii="Arial" w:cs="Arial" w:eastAsia="Arial" w:hAnsi="Arial"/>
          <w:sz w:val="20"/>
          <w:szCs w:val="20"/>
          <w:b w:val="1"/>
          <w:bCs w:val="1"/>
          <w:color w:val="0075A8"/>
        </w:rPr>
        <w:t>How will the votes cast at our Annual Meeting be counted?</w:t>
      </w:r>
    </w:p>
    <w:p>
      <w:pPr>
        <w:spacing w:after="0" w:line="83" w:lineRule="exact"/>
        <w:rPr>
          <w:rFonts w:ascii="Arial" w:cs="Arial" w:eastAsia="Arial" w:hAnsi="Arial"/>
          <w:sz w:val="20"/>
          <w:szCs w:val="20"/>
          <w:b w:val="1"/>
          <w:bCs w:val="1"/>
          <w:color w:val="0075A8"/>
        </w:rPr>
      </w:pPr>
    </w:p>
    <w:p>
      <w:pPr>
        <w:ind w:left="1020" w:right="280"/>
        <w:spacing w:after="0" w:line="261" w:lineRule="auto"/>
        <w:rPr>
          <w:rFonts w:ascii="Arial" w:cs="Arial" w:eastAsia="Arial" w:hAnsi="Arial"/>
          <w:sz w:val="20"/>
          <w:szCs w:val="20"/>
          <w:b w:val="1"/>
          <w:bCs w:val="1"/>
          <w:color w:val="0075A8"/>
        </w:rPr>
      </w:pPr>
      <w:r>
        <w:rPr>
          <w:rFonts w:ascii="Arial" w:cs="Arial" w:eastAsia="Arial" w:hAnsi="Arial"/>
          <w:sz w:val="20"/>
          <w:szCs w:val="20"/>
          <w:color w:val="auto"/>
        </w:rPr>
        <w:t>Broadridge Financial Solutions, Inc. and our independent inspector of elections 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363" w:right="120"/>
        <w:spacing w:after="0" w:line="257" w:lineRule="auto"/>
        <w:rPr>
          <w:sz w:val="20"/>
          <w:szCs w:val="20"/>
          <w:color w:val="auto"/>
        </w:rPr>
      </w:pPr>
      <w:r>
        <w:rPr>
          <w:rFonts w:ascii="Arial" w:cs="Arial" w:eastAsia="Arial" w:hAnsi="Arial"/>
          <w:sz w:val="20"/>
          <w:szCs w:val="20"/>
          <w:color w:val="auto"/>
        </w:rPr>
        <w:t>tabulate the votes at the Annual Meeting. The vote on each matter submitted to stockholders will be tabulated separately.</w:t>
      </w:r>
    </w:p>
    <w:p>
      <w:pPr>
        <w:spacing w:after="0" w:line="182" w:lineRule="exact"/>
        <w:rPr>
          <w:sz w:val="20"/>
          <w:szCs w:val="20"/>
          <w:color w:val="auto"/>
        </w:rPr>
      </w:pPr>
    </w:p>
    <w:p>
      <w:pPr>
        <w:ind w:left="363" w:right="320" w:hanging="363"/>
        <w:spacing w:after="0" w:line="271" w:lineRule="auto"/>
        <w:tabs>
          <w:tab w:leader="none" w:pos="363" w:val="left"/>
        </w:tabs>
        <w:numPr>
          <w:ilvl w:val="0"/>
          <w:numId w:val="108"/>
        </w:numPr>
        <w:rPr>
          <w:rFonts w:ascii="Arial" w:cs="Arial" w:eastAsia="Arial" w:hAnsi="Arial"/>
          <w:sz w:val="20"/>
          <w:szCs w:val="20"/>
          <w:b w:val="1"/>
          <w:bCs w:val="1"/>
          <w:color w:val="0075A8"/>
        </w:rPr>
      </w:pPr>
      <w:r>
        <w:rPr>
          <w:rFonts w:ascii="Arial" w:cs="Arial" w:eastAsia="Arial" w:hAnsi="Arial"/>
          <w:sz w:val="20"/>
          <w:szCs w:val="20"/>
          <w:b w:val="1"/>
          <w:bCs w:val="1"/>
          <w:color w:val="0075A8"/>
        </w:rPr>
        <w:t>Where can I find the voting results of our Annual Meeting?</w:t>
      </w:r>
    </w:p>
    <w:p>
      <w:pPr>
        <w:spacing w:after="0" w:line="112" w:lineRule="exact"/>
        <w:rPr>
          <w:rFonts w:ascii="Arial" w:cs="Arial" w:eastAsia="Arial" w:hAnsi="Arial"/>
          <w:sz w:val="20"/>
          <w:szCs w:val="20"/>
          <w:b w:val="1"/>
          <w:bCs w:val="1"/>
          <w:color w:val="0075A8"/>
        </w:rPr>
      </w:pPr>
    </w:p>
    <w:p>
      <w:pPr>
        <w:jc w:val="both"/>
        <w:ind w:left="363" w:right="120"/>
        <w:spacing w:after="0" w:line="271" w:lineRule="auto"/>
        <w:rPr>
          <w:rFonts w:ascii="Arial" w:cs="Arial" w:eastAsia="Arial" w:hAnsi="Arial"/>
          <w:sz w:val="20"/>
          <w:szCs w:val="20"/>
          <w:b w:val="1"/>
          <w:bCs w:val="1"/>
          <w:color w:val="0075A8"/>
        </w:rPr>
      </w:pPr>
      <w:r>
        <w:rPr>
          <w:rFonts w:ascii="Arial" w:cs="Arial" w:eastAsia="Arial" w:hAnsi="Arial"/>
          <w:sz w:val="19"/>
          <w:szCs w:val="19"/>
          <w:color w:val="auto"/>
        </w:rPr>
        <w:t>We expect to announce the preliminary voting results at our Annual Meeting. The final voting results will be reported in a Current Report on Form 8-K that will be filed with the SEC within four business days after the end of our Annual Meeting and will be posted on our website.</w:t>
      </w:r>
    </w:p>
    <w:p>
      <w:pPr>
        <w:spacing w:after="0" w:line="156" w:lineRule="exact"/>
        <w:rPr>
          <w:rFonts w:ascii="Arial" w:cs="Arial" w:eastAsia="Arial" w:hAnsi="Arial"/>
          <w:sz w:val="20"/>
          <w:szCs w:val="20"/>
          <w:b w:val="1"/>
          <w:bCs w:val="1"/>
          <w:color w:val="0075A8"/>
        </w:rPr>
      </w:pPr>
    </w:p>
    <w:p>
      <w:pPr>
        <w:ind w:left="363" w:hanging="363"/>
        <w:spacing w:after="0"/>
        <w:tabs>
          <w:tab w:leader="none" w:pos="363" w:val="left"/>
        </w:tabs>
        <w:numPr>
          <w:ilvl w:val="0"/>
          <w:numId w:val="109"/>
        </w:numPr>
        <w:rPr>
          <w:rFonts w:ascii="Arial" w:cs="Arial" w:eastAsia="Arial" w:hAnsi="Arial"/>
          <w:sz w:val="20"/>
          <w:szCs w:val="20"/>
          <w:b w:val="1"/>
          <w:bCs w:val="1"/>
          <w:color w:val="0075A8"/>
        </w:rPr>
      </w:pPr>
      <w:r>
        <w:rPr>
          <w:rFonts w:ascii="Arial" w:cs="Arial" w:eastAsia="Arial" w:hAnsi="Arial"/>
          <w:sz w:val="20"/>
          <w:szCs w:val="20"/>
          <w:b w:val="1"/>
          <w:bCs w:val="1"/>
          <w:color w:val="0075A8"/>
        </w:rPr>
        <w:t>Will my vote be kept confidential?</w:t>
      </w:r>
    </w:p>
    <w:p>
      <w:pPr>
        <w:spacing w:after="0" w:line="172" w:lineRule="exact"/>
        <w:rPr>
          <w:rFonts w:ascii="Arial" w:cs="Arial" w:eastAsia="Arial" w:hAnsi="Arial"/>
          <w:sz w:val="20"/>
          <w:szCs w:val="20"/>
          <w:b w:val="1"/>
          <w:bCs w:val="1"/>
          <w:color w:val="0075A8"/>
        </w:rPr>
      </w:pPr>
    </w:p>
    <w:p>
      <w:pPr>
        <w:ind w:left="363"/>
        <w:spacing w:after="0"/>
        <w:rPr>
          <w:rFonts w:ascii="Arial" w:cs="Arial" w:eastAsia="Arial" w:hAnsi="Arial"/>
          <w:sz w:val="20"/>
          <w:szCs w:val="20"/>
          <w:b w:val="1"/>
          <w:bCs w:val="1"/>
          <w:color w:val="0075A8"/>
        </w:rPr>
      </w:pPr>
      <w:r>
        <w:rPr>
          <w:rFonts w:ascii="Arial" w:cs="Arial" w:eastAsia="Arial" w:hAnsi="Arial"/>
          <w:sz w:val="19"/>
          <w:szCs w:val="19"/>
          <w:color w:val="auto"/>
        </w:rPr>
        <w:t>Yes. We will keep your vote confidential unless</w:t>
      </w:r>
    </w:p>
    <w:p>
      <w:pPr>
        <w:spacing w:after="0" w:line="24" w:lineRule="exact"/>
        <w:rPr>
          <w:rFonts w:ascii="Arial" w:cs="Arial" w:eastAsia="Arial" w:hAnsi="Arial"/>
          <w:sz w:val="20"/>
          <w:szCs w:val="20"/>
          <w:b w:val="1"/>
          <w:bCs w:val="1"/>
          <w:color w:val="0075A8"/>
        </w:rPr>
      </w:pPr>
    </w:p>
    <w:p>
      <w:pPr>
        <w:ind w:left="363" w:right="40"/>
        <w:spacing w:after="0" w:line="254" w:lineRule="auto"/>
        <w:rPr>
          <w:rFonts w:ascii="Arial" w:cs="Arial" w:eastAsia="Arial" w:hAnsi="Arial"/>
          <w:sz w:val="20"/>
          <w:szCs w:val="20"/>
          <w:b w:val="1"/>
          <w:bCs w:val="1"/>
          <w:color w:val="0075A8"/>
        </w:rPr>
      </w:pPr>
      <w:r>
        <w:rPr>
          <w:rFonts w:ascii="Arial" w:cs="Arial" w:eastAsia="Arial" w:hAnsi="Arial"/>
          <w:sz w:val="20"/>
          <w:szCs w:val="20"/>
          <w:color w:val="auto"/>
        </w:rPr>
        <w:t>(1) we are required by law to disclose your vote (including in connection with the pursuit or defense of a legal or administrative action or proceeding), or (2) there is a contested election for the Board. The inspector of elections will forward any written comments that you make on the proxy card to management without providing your name, unless you expressly request on your proxy card that your name be disclosed.</w:t>
      </w:r>
    </w:p>
    <w:p>
      <w:pPr>
        <w:spacing w:after="0" w:line="188" w:lineRule="exact"/>
        <w:rPr>
          <w:rFonts w:ascii="Arial" w:cs="Arial" w:eastAsia="Arial" w:hAnsi="Arial"/>
          <w:sz w:val="20"/>
          <w:szCs w:val="20"/>
          <w:b w:val="1"/>
          <w:bCs w:val="1"/>
          <w:color w:val="0075A8"/>
        </w:rPr>
      </w:pPr>
    </w:p>
    <w:p>
      <w:pPr>
        <w:ind w:left="363" w:right="420" w:hanging="363"/>
        <w:spacing w:after="0" w:line="271" w:lineRule="auto"/>
        <w:tabs>
          <w:tab w:leader="none" w:pos="363" w:val="left"/>
        </w:tabs>
        <w:numPr>
          <w:ilvl w:val="0"/>
          <w:numId w:val="110"/>
        </w:numPr>
        <w:rPr>
          <w:rFonts w:ascii="Arial" w:cs="Arial" w:eastAsia="Arial" w:hAnsi="Arial"/>
          <w:sz w:val="20"/>
          <w:szCs w:val="20"/>
          <w:b w:val="1"/>
          <w:bCs w:val="1"/>
          <w:color w:val="0075A8"/>
        </w:rPr>
      </w:pPr>
      <w:r>
        <w:rPr>
          <w:rFonts w:ascii="Arial" w:cs="Arial" w:eastAsia="Arial" w:hAnsi="Arial"/>
          <w:sz w:val="20"/>
          <w:szCs w:val="20"/>
          <w:b w:val="1"/>
          <w:bCs w:val="1"/>
          <w:color w:val="0075A8"/>
        </w:rPr>
        <w:t>What is the quorum requirement for our Annual Meeting?</w:t>
      </w:r>
    </w:p>
    <w:p>
      <w:pPr>
        <w:spacing w:after="0" w:line="112" w:lineRule="exact"/>
        <w:rPr>
          <w:rFonts w:ascii="Arial" w:cs="Arial" w:eastAsia="Arial" w:hAnsi="Arial"/>
          <w:sz w:val="20"/>
          <w:szCs w:val="20"/>
          <w:b w:val="1"/>
          <w:bCs w:val="1"/>
          <w:color w:val="0075A8"/>
        </w:rPr>
      </w:pPr>
    </w:p>
    <w:p>
      <w:pPr>
        <w:ind w:left="363" w:right="60"/>
        <w:spacing w:after="0" w:line="254" w:lineRule="auto"/>
        <w:rPr>
          <w:rFonts w:ascii="Arial" w:cs="Arial" w:eastAsia="Arial" w:hAnsi="Arial"/>
          <w:sz w:val="20"/>
          <w:szCs w:val="20"/>
          <w:b w:val="1"/>
          <w:bCs w:val="1"/>
          <w:color w:val="0075A8"/>
        </w:rPr>
      </w:pPr>
      <w:r>
        <w:rPr>
          <w:rFonts w:ascii="Arial" w:cs="Arial" w:eastAsia="Arial" w:hAnsi="Arial"/>
          <w:sz w:val="20"/>
          <w:szCs w:val="20"/>
          <w:color w:val="auto"/>
        </w:rPr>
        <w:t>The holders of a majority of the issued and outstanding stock of the Company present either in person or by proxy at the Annual Meeting constitute a quorum for the transaction of business at the Annual Meeting. Shares present virtually during the Annual Meeting will be considered shares of common stock represented in person at the meeting. Shares that abstain from voting on any proposal and “broker non-votes” will be counted as shares that are present for purposes of determining whether a quorum exists at the Annual Meeting. If a “broker non-vote” occurs with respect to any shares of the Company’s common stock on any matter, then those shares will be treated as not present and not entitled to vote with respect to that matter (even though those shares are considered entitled to vote for purposes of</w:t>
      </w:r>
    </w:p>
    <w:p>
      <w:pPr>
        <w:spacing w:after="0" w:line="422" w:lineRule="exact"/>
        <w:rPr>
          <w:sz w:val="20"/>
          <w:szCs w:val="20"/>
          <w:color w:val="auto"/>
        </w:rPr>
      </w:pPr>
    </w:p>
    <w:p>
      <w:pPr>
        <w:sectPr>
          <w:pgSz w:w="11900" w:h="16838" w:orient="portrait"/>
          <w:cols w:equalWidth="0" w:num="2">
            <w:col w:w="5140" w:space="437"/>
            <w:col w:w="4523"/>
          </w:cols>
          <w:pgMar w:left="580" w:top="132" w:right="1219" w:bottom="1440" w:gutter="0" w:footer="0" w:header="0"/>
        </w:sectPr>
      </w:pPr>
    </w:p>
    <w:p>
      <w:pPr>
        <w:spacing w:after="0" w:line="201"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​70</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jc w:val="both"/>
        <w:ind w:left="1020" w:right="260"/>
        <w:spacing w:after="0" w:line="257" w:lineRule="auto"/>
        <w:rPr>
          <w:sz w:val="20"/>
          <w:szCs w:val="20"/>
          <w:color w:val="auto"/>
        </w:rPr>
      </w:pPr>
      <w:r>
        <w:rPr>
          <w:rFonts w:ascii="Arial" w:cs="Arial" w:eastAsia="Arial" w:hAnsi="Arial"/>
          <w:sz w:val="20"/>
          <w:szCs w:val="20"/>
          <w:color w:val="auto"/>
        </w:rPr>
        <w:t>determining whether a quorum exists because they are entitled to vote on other matters) and will not be voted.</w:t>
      </w:r>
    </w:p>
    <w:p>
      <w:pPr>
        <w:spacing w:after="0" w:line="182" w:lineRule="exact"/>
        <w:rPr>
          <w:sz w:val="20"/>
          <w:szCs w:val="20"/>
          <w:color w:val="auto"/>
        </w:rPr>
      </w:pPr>
    </w:p>
    <w:p>
      <w:pPr>
        <w:ind w:left="1020" w:right="420" w:hanging="366"/>
        <w:spacing w:after="0" w:line="271" w:lineRule="auto"/>
        <w:tabs>
          <w:tab w:leader="none" w:pos="1020" w:val="left"/>
        </w:tabs>
        <w:numPr>
          <w:ilvl w:val="0"/>
          <w:numId w:val="111"/>
        </w:numPr>
        <w:rPr>
          <w:rFonts w:ascii="Arial" w:cs="Arial" w:eastAsia="Arial" w:hAnsi="Arial"/>
          <w:sz w:val="20"/>
          <w:szCs w:val="20"/>
          <w:b w:val="1"/>
          <w:bCs w:val="1"/>
          <w:color w:val="0075A8"/>
        </w:rPr>
      </w:pPr>
      <w:r>
        <w:rPr>
          <w:rFonts w:ascii="Arial" w:cs="Arial" w:eastAsia="Arial" w:hAnsi="Arial"/>
          <w:sz w:val="20"/>
          <w:szCs w:val="20"/>
          <w:b w:val="1"/>
          <w:bCs w:val="1"/>
          <w:color w:val="0075A8"/>
        </w:rPr>
        <w:t>How do I submit a question at the Annual Meeting?</w:t>
      </w:r>
    </w:p>
    <w:p>
      <w:pPr>
        <w:spacing w:after="0" w:line="112" w:lineRule="exact"/>
        <w:rPr>
          <w:rFonts w:ascii="Arial" w:cs="Arial" w:eastAsia="Arial" w:hAnsi="Arial"/>
          <w:sz w:val="20"/>
          <w:szCs w:val="20"/>
          <w:b w:val="1"/>
          <w:bCs w:val="1"/>
          <w:color w:val="0075A8"/>
        </w:rPr>
      </w:pPr>
    </w:p>
    <w:p>
      <w:pPr>
        <w:ind w:left="1020"/>
        <w:spacing w:after="0" w:line="269" w:lineRule="auto"/>
        <w:rPr>
          <w:rFonts w:ascii="Arial" w:cs="Arial" w:eastAsia="Arial" w:hAnsi="Arial"/>
          <w:sz w:val="20"/>
          <w:szCs w:val="20"/>
          <w:b w:val="1"/>
          <w:bCs w:val="1"/>
          <w:color w:val="0075A8"/>
        </w:rPr>
      </w:pPr>
      <w:r>
        <w:rPr>
          <w:rFonts w:ascii="Arial" w:cs="Arial" w:eastAsia="Arial" w:hAnsi="Arial"/>
          <w:sz w:val="19"/>
          <w:szCs w:val="19"/>
          <w:color w:val="auto"/>
        </w:rPr>
        <w:t>If you wish to submit a question, beginning at 10:45 a.m. Pacific Daylight Time on May 10, 2023, you may log into the virtual meeting platform at www.virtualshareholdermeeting.com/SWKS2023, type your question into the “Submit a Question” field, and click “Submit.” Our virtual meeting will be governed by our Annual Meeting Rules of Conduct which will include rules on permissible topics for stockholder questions and will be posted at www.virtualshareholdermeeting.com/SWKS2023.</w:t>
      </w:r>
    </w:p>
    <w:p>
      <w:pPr>
        <w:spacing w:after="0" w:line="200" w:lineRule="exact"/>
        <w:rPr>
          <w:rFonts w:ascii="Arial" w:cs="Arial" w:eastAsia="Arial" w:hAnsi="Arial"/>
          <w:sz w:val="20"/>
          <w:szCs w:val="20"/>
          <w:b w:val="1"/>
          <w:bCs w:val="1"/>
          <w:color w:val="0075A8"/>
        </w:rPr>
      </w:pPr>
    </w:p>
    <w:p>
      <w:pPr>
        <w:spacing w:after="0" w:line="200" w:lineRule="exact"/>
        <w:rPr>
          <w:rFonts w:ascii="Arial" w:cs="Arial" w:eastAsia="Arial" w:hAnsi="Arial"/>
          <w:sz w:val="20"/>
          <w:szCs w:val="20"/>
          <w:b w:val="1"/>
          <w:bCs w:val="1"/>
          <w:color w:val="0075A8"/>
        </w:rPr>
      </w:pPr>
    </w:p>
    <w:p>
      <w:pPr>
        <w:spacing w:after="0" w:line="283" w:lineRule="exact"/>
        <w:rPr>
          <w:rFonts w:ascii="Arial" w:cs="Arial" w:eastAsia="Arial" w:hAnsi="Arial"/>
          <w:sz w:val="20"/>
          <w:szCs w:val="20"/>
          <w:b w:val="1"/>
          <w:bCs w:val="1"/>
          <w:color w:val="0075A8"/>
        </w:rPr>
      </w:pPr>
    </w:p>
    <w:p>
      <w:pPr>
        <w:ind w:left="1020" w:right="200"/>
        <w:spacing w:after="0" w:line="254" w:lineRule="auto"/>
        <w:rPr>
          <w:rFonts w:ascii="Arial" w:cs="Arial" w:eastAsia="Arial" w:hAnsi="Arial"/>
          <w:sz w:val="20"/>
          <w:szCs w:val="20"/>
          <w:b w:val="1"/>
          <w:bCs w:val="1"/>
          <w:color w:val="0075A8"/>
        </w:rPr>
      </w:pPr>
      <w:r>
        <w:rPr>
          <w:rFonts w:ascii="Arial" w:cs="Arial" w:eastAsia="Arial" w:hAnsi="Arial"/>
          <w:sz w:val="20"/>
          <w:szCs w:val="20"/>
          <w:color w:val="auto"/>
        </w:rPr>
        <w:t>Questions received from stockholders during the virtual Annual Meeting that are deemed appropriate under our Annual Meeting Rules of Conduct will be posted, along with the Company’s responses, on the Investor Relations portion of the Company’s website at www.skyworksinc.com as soon as practicable following the Annual Meeting.</w:t>
      </w:r>
    </w:p>
    <w:p>
      <w:pPr>
        <w:spacing w:after="0" w:line="175" w:lineRule="exact"/>
        <w:rPr>
          <w:rFonts w:ascii="Arial" w:cs="Arial" w:eastAsia="Arial" w:hAnsi="Arial"/>
          <w:sz w:val="20"/>
          <w:szCs w:val="20"/>
          <w:b w:val="1"/>
          <w:bCs w:val="1"/>
          <w:color w:val="0075A8"/>
        </w:rPr>
      </w:pPr>
    </w:p>
    <w:p>
      <w:pPr>
        <w:ind w:left="1020" w:hanging="366"/>
        <w:spacing w:after="0"/>
        <w:tabs>
          <w:tab w:leader="none" w:pos="1020" w:val="left"/>
        </w:tabs>
        <w:numPr>
          <w:ilvl w:val="0"/>
          <w:numId w:val="112"/>
        </w:numPr>
        <w:rPr>
          <w:rFonts w:ascii="Arial" w:cs="Arial" w:eastAsia="Arial" w:hAnsi="Arial"/>
          <w:sz w:val="20"/>
          <w:szCs w:val="20"/>
          <w:b w:val="1"/>
          <w:bCs w:val="1"/>
          <w:color w:val="0075A8"/>
        </w:rPr>
      </w:pPr>
      <w:r>
        <w:rPr>
          <w:rFonts w:ascii="Arial" w:cs="Arial" w:eastAsia="Arial" w:hAnsi="Arial"/>
          <w:sz w:val="20"/>
          <w:szCs w:val="20"/>
          <w:b w:val="1"/>
          <w:bCs w:val="1"/>
          <w:color w:val="0075A8"/>
        </w:rPr>
        <w:t>What is “householding”?</w:t>
      </w:r>
    </w:p>
    <w:p>
      <w:pPr>
        <w:spacing w:after="0" w:line="172" w:lineRule="exact"/>
        <w:rPr>
          <w:rFonts w:ascii="Arial" w:cs="Arial" w:eastAsia="Arial" w:hAnsi="Arial"/>
          <w:sz w:val="20"/>
          <w:szCs w:val="20"/>
          <w:b w:val="1"/>
          <w:bCs w:val="1"/>
          <w:color w:val="0075A8"/>
        </w:rPr>
      </w:pPr>
    </w:p>
    <w:p>
      <w:pPr>
        <w:ind w:left="1020" w:right="320"/>
        <w:spacing w:after="0" w:line="277" w:lineRule="auto"/>
        <w:rPr>
          <w:rFonts w:ascii="Arial" w:cs="Arial" w:eastAsia="Arial" w:hAnsi="Arial"/>
          <w:sz w:val="20"/>
          <w:szCs w:val="20"/>
          <w:b w:val="1"/>
          <w:bCs w:val="1"/>
          <w:color w:val="0075A8"/>
        </w:rPr>
      </w:pPr>
      <w:r>
        <w:rPr>
          <w:rFonts w:ascii="Arial" w:cs="Arial" w:eastAsia="Arial" w:hAnsi="Arial"/>
          <w:sz w:val="19"/>
          <w:szCs w:val="19"/>
          <w:color w:val="auto"/>
        </w:rPr>
        <w:t>Some brokers (or other nominees) may be participating in the practice of  “householding” proxy statements and annual reports. This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means that only one copy of this Proxy Statement and our Annual Report may have been sent to multiple stockholders in your household. If you are a stockholder and your household or address has received only one Annual Report and one Proxy Statement, the Company will promptly deliver a separate copy of the Annual Report and the Proxy Statement to you, upon your written request to Skyworks Solutions, Inc., 5260 California Avenue, Irvine, CA 92617, Attention: Investor Relations, or oral request to Investor Relations at (949) 231-3433. If you would like to receive separate copies of our Annual Report and Proxy Statement in the future, you should direct such request to your broker (or other nominee). Even if your household or address has received only one Annual Report and one Proxy Statement, a separate proxy card should have been provided for each stockholder account. Each individual proxy card should be signed, dated, and returned in the postage-prepaid envelope (or completed and submitted by telephone or via the Internet, as described on the proxy card). If your household has received multiple copies of our Annual Report and Proxy Statement, you can request the delivery of single copies in the future by contacting your broker (or other nominee), or the Company at the address or telephone number above.</w:t>
      </w:r>
    </w:p>
    <w:p>
      <w:pPr>
        <w:spacing w:after="0" w:line="650" w:lineRule="exact"/>
        <w:rPr>
          <w:sz w:val="20"/>
          <w:szCs w:val="20"/>
          <w:color w:val="auto"/>
        </w:rPr>
      </w:pPr>
    </w:p>
    <w:p>
      <w:pPr>
        <w:sectPr>
          <w:pgSz w:w="11900" w:h="16838" w:orient="portrait"/>
          <w:cols w:equalWidth="0" w:num="2">
            <w:col w:w="5320" w:space="620"/>
            <w:col w:w="4160"/>
          </w:cols>
          <w:pgMar w:left="580" w:top="132"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2" w:right="121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0075A8"/>
        </w:rPr>
        <w:t>OTHER PROPOSED ACTION</w:t>
      </w:r>
    </w:p>
    <w:p>
      <w:pPr>
        <w:spacing w:after="0" w:line="137" w:lineRule="exact"/>
        <w:rPr>
          <w:sz w:val="20"/>
          <w:szCs w:val="20"/>
          <w:color w:val="auto"/>
        </w:rPr>
      </w:pPr>
    </w:p>
    <w:p>
      <w:pPr>
        <w:ind w:left="660"/>
        <w:spacing w:after="0" w:line="273" w:lineRule="auto"/>
        <w:rPr>
          <w:sz w:val="20"/>
          <w:szCs w:val="20"/>
          <w:color w:val="auto"/>
        </w:rPr>
      </w:pPr>
      <w:r>
        <w:rPr>
          <w:rFonts w:ascii="Arial" w:cs="Arial" w:eastAsia="Arial" w:hAnsi="Arial"/>
          <w:sz w:val="19"/>
          <w:szCs w:val="19"/>
          <w:color w:val="auto"/>
        </w:rPr>
        <w:t>As of the date of this Proxy Statement, the directors know of no other business that is expected to come before the Annual Meeting. However, if any other business should be properly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presented to the Annual Meeting, the persons named as proxies will vote in accordance with their judgment with respect to such matters.</w:t>
      </w:r>
    </w:p>
    <w:p>
      <w:pPr>
        <w:spacing w:after="0" w:line="430" w:lineRule="exact"/>
        <w:rPr>
          <w:sz w:val="20"/>
          <w:szCs w:val="20"/>
          <w:color w:val="auto"/>
        </w:rPr>
      </w:pPr>
    </w:p>
    <w:p>
      <w:pPr>
        <w:sectPr>
          <w:pgSz w:w="11900" w:h="16838" w:orient="portrait"/>
          <w:cols w:equalWidth="0" w:num="2">
            <w:col w:w="5040" w:space="540"/>
            <w:col w:w="4520"/>
          </w:cols>
          <w:pgMar w:left="580" w:top="131" w:right="1219" w:bottom="1440" w:gutter="0" w:footer="0" w:header="0"/>
        </w:sectPr>
      </w:pPr>
    </w:p>
    <w:p>
      <w:pPr>
        <w:ind w:left="660"/>
        <w:spacing w:after="0"/>
        <w:rPr>
          <w:sz w:val="20"/>
          <w:szCs w:val="20"/>
          <w:color w:val="auto"/>
        </w:rPr>
      </w:pPr>
      <w:r>
        <w:rPr>
          <w:rFonts w:ascii="Arial" w:cs="Arial" w:eastAsia="Arial" w:hAnsi="Arial"/>
          <w:sz w:val="32"/>
          <w:szCs w:val="32"/>
          <w:b w:val="1"/>
          <w:bCs w:val="1"/>
          <w:color w:val="0075A8"/>
        </w:rPr>
        <w:t>OTHER MATTERS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Solicitation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95250</wp:posOffset>
            </wp:positionV>
            <wp:extent cx="597471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p>
      <w:pPr>
        <w:spacing w:after="0" w:line="268" w:lineRule="exact"/>
        <w:rPr>
          <w:sz w:val="20"/>
          <w:szCs w:val="20"/>
          <w:color w:val="auto"/>
        </w:rPr>
      </w:pPr>
    </w:p>
    <w:p>
      <w:pPr>
        <w:ind w:left="660"/>
        <w:spacing w:after="0" w:line="271" w:lineRule="auto"/>
        <w:rPr>
          <w:sz w:val="20"/>
          <w:szCs w:val="20"/>
          <w:color w:val="auto"/>
        </w:rPr>
      </w:pPr>
      <w:r>
        <w:rPr>
          <w:rFonts w:ascii="Arial" w:cs="Arial" w:eastAsia="Arial" w:hAnsi="Arial"/>
          <w:sz w:val="19"/>
          <w:szCs w:val="19"/>
          <w:color w:val="auto"/>
        </w:rPr>
        <w:t>Skyworks will bear the expenses of the preparation of the proxy materials and the solicitation by the Board of proxies. Proxies may be solicited on behalf of the Company in person or by telephone, e-mail, facsimile, or other electronic means by directors, officers, or employees of the Company,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140"/>
        <w:spacing w:after="0" w:line="272" w:lineRule="auto"/>
        <w:rPr>
          <w:sz w:val="20"/>
          <w:szCs w:val="20"/>
          <w:color w:val="auto"/>
        </w:rPr>
      </w:pPr>
      <w:r>
        <w:rPr>
          <w:rFonts w:ascii="Arial" w:cs="Arial" w:eastAsia="Arial" w:hAnsi="Arial"/>
          <w:sz w:val="19"/>
          <w:szCs w:val="19"/>
          <w:color w:val="auto"/>
        </w:rPr>
        <w:t>who will receive no additional compensation for any such services. We have retained D.F. King &amp; Co. to assist in the solicitation of proxies, at a total cost to the Company of approximately $12,500, plus reasonable out-of-pocket expenses.</w:t>
      </w:r>
    </w:p>
    <w:p>
      <w:pPr>
        <w:spacing w:after="0" w:line="426" w:lineRule="exact"/>
        <w:rPr>
          <w:sz w:val="20"/>
          <w:szCs w:val="20"/>
          <w:color w:val="auto"/>
        </w:rPr>
      </w:pPr>
    </w:p>
    <w:p>
      <w:pPr>
        <w:sectPr>
          <w:pgSz w:w="11900" w:h="16838" w:orient="portrait"/>
          <w:cols w:equalWidth="0" w:num="2">
            <w:col w:w="5120" w:space="460"/>
            <w:col w:w="4520"/>
          </w:cols>
          <w:pgMar w:left="580" w:top="131" w:right="1219" w:bottom="1440" w:gutter="0" w:footer="0" w:header="0"/>
          <w:type w:val="continuous"/>
        </w:sectPr>
      </w:pPr>
    </w:p>
    <w:p>
      <w:pPr>
        <w:ind w:left="660"/>
        <w:spacing w:after="0"/>
        <w:rPr>
          <w:sz w:val="20"/>
          <w:szCs w:val="20"/>
          <w:color w:val="auto"/>
        </w:rPr>
      </w:pPr>
      <w:r>
        <w:rPr>
          <w:rFonts w:ascii="Arial" w:cs="Arial" w:eastAsia="Arial" w:hAnsi="Arial"/>
          <w:sz w:val="28"/>
          <w:szCs w:val="28"/>
          <w:b w:val="1"/>
          <w:bCs w:val="1"/>
          <w:color w:val="auto"/>
        </w:rPr>
        <w:t>Electronic Delivery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p>
      <w:pPr>
        <w:spacing w:after="0" w:line="255"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We are able to distribute our Annual Report and this Proxy Statement to our stockholders in a fast and efficient manner via the Internet. This reduces the amount of paper delivered to a stockholder’s address. Stockholders may elect to view all future annual reports, proxy statements, and notices on the Internet instead of receiving them by mail. You may make this election when</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voting your proxy this year. Simply follow the instructions to vote via the Internet to register your consent. Your election to view proxy materials online is perpetual unless you revoke it later. Future proxy cards will contain the Internet website address and instructions to view the materials. You will continue to have the option to vote your shares by telephone, mail, or via the Internet.</w:t>
      </w:r>
    </w:p>
    <w:p>
      <w:pPr>
        <w:spacing w:after="0" w:line="191" w:lineRule="exact"/>
        <w:rPr>
          <w:sz w:val="20"/>
          <w:szCs w:val="20"/>
          <w:color w:val="auto"/>
        </w:rPr>
      </w:pPr>
    </w:p>
    <w:p>
      <w:pPr>
        <w:sectPr>
          <w:pgSz w:w="11900" w:h="16838" w:orient="portrait"/>
          <w:cols w:equalWidth="0" w:num="2">
            <w:col w:w="5060" w:space="520"/>
            <w:col w:w="4520"/>
          </w:cols>
          <w:pgMar w:left="580" w:top="131" w:right="1219" w:bottom="1440" w:gutter="0" w:footer="0" w:header="0"/>
          <w:type w:val="continuous"/>
        </w:sectPr>
      </w:pPr>
    </w:p>
    <w:p>
      <w:pPr>
        <w:ind w:left="660"/>
        <w:spacing w:after="0"/>
        <w:rPr>
          <w:sz w:val="20"/>
          <w:szCs w:val="20"/>
          <w:color w:val="auto"/>
        </w:rPr>
      </w:pPr>
      <w:r>
        <w:rPr>
          <w:rFonts w:ascii="Arial" w:cs="Arial" w:eastAsia="Arial" w:hAnsi="Arial"/>
          <w:sz w:val="28"/>
          <w:szCs w:val="28"/>
          <w:b w:val="1"/>
          <w:bCs w:val="1"/>
          <w:color w:val="auto"/>
        </w:rPr>
        <w:t>Annual Report on Form 10-K and Stockholder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p>
      <w:pPr>
        <w:spacing w:after="0" w:line="255"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A copy of our 2022 Annual Report accompanies this Proxy Statement. You also may obtain, free of charge, a copy of the Company’s Annual Report on Form 10-K for fiscal year 2022, as filed with the SEC, via the Company’s website at www.skyworksinc.com, or upon written request addressed to Investor Relations: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Skyworks Solutions, Inc.</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5260 California Avenue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Irvine, CA 92617</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140"/>
        <w:spacing w:after="0" w:line="272" w:lineRule="auto"/>
        <w:rPr>
          <w:sz w:val="20"/>
          <w:szCs w:val="20"/>
          <w:color w:val="auto"/>
        </w:rPr>
      </w:pPr>
      <w:r>
        <w:rPr>
          <w:rFonts w:ascii="Arial" w:cs="Arial" w:eastAsia="Arial" w:hAnsi="Arial"/>
          <w:sz w:val="19"/>
          <w:szCs w:val="19"/>
          <w:color w:val="auto"/>
        </w:rPr>
        <w:t>A list of stockholders of record as of March 16, 2023, will be available for inspection during ordinary business hours at our executive offices in Irvine, CA, from April 28, 2023, to May 10, 2023, as well as online during our Annual Meeting.</w:t>
      </w:r>
    </w:p>
    <w:p>
      <w:pPr>
        <w:spacing w:after="0" w:line="1594" w:lineRule="exact"/>
        <w:rPr>
          <w:sz w:val="20"/>
          <w:szCs w:val="20"/>
          <w:color w:val="auto"/>
        </w:rPr>
      </w:pPr>
    </w:p>
    <w:p>
      <w:pPr>
        <w:sectPr>
          <w:pgSz w:w="11900" w:h="16838" w:orient="portrait"/>
          <w:cols w:equalWidth="0" w:num="2">
            <w:col w:w="5140" w:space="440"/>
            <w:col w:w="4520"/>
          </w:cols>
          <w:pgMar w:left="580" w:top="131"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2140" w:val="left"/>
          <w:tab w:leader="none" w:pos="2380" w:val="left"/>
          <w:tab w:leader="none" w:pos="8480" w:val="left"/>
          <w:tab w:leader="none" w:pos="884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76" w:lineRule="exact"/>
        <w:rPr>
          <w:sz w:val="20"/>
          <w:szCs w:val="20"/>
          <w:color w:val="auto"/>
        </w:rPr>
      </w:pPr>
    </w:p>
    <w:p>
      <w:pPr>
        <w:jc w:val="right"/>
        <w:ind w:right="6300"/>
        <w:spacing w:after="0"/>
        <w:rPr>
          <w:sz w:val="20"/>
          <w:szCs w:val="20"/>
          <w:color w:val="auto"/>
        </w:rPr>
      </w:pPr>
      <w:r>
        <w:rPr>
          <w:rFonts w:ascii="Arial" w:cs="Arial" w:eastAsia="Arial" w:hAnsi="Arial"/>
          <w:sz w:val="29"/>
          <w:szCs w:val="29"/>
          <w:b w:val="1"/>
          <w:bCs w:val="1"/>
          <w:color w:val="auto"/>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sectPr>
      </w:pPr>
    </w:p>
    <w:p>
      <w:pPr>
        <w:spacing w:after="0" w:line="243"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Proposals to be considered for inclusion in the proxy materials for the Company’s 2024 Annual Meeting of Stockholders pursuant to Rule 14a-8 under the Exchange Act must meet the requirements of Rule 14a-8 and be delivered in writing to the General Counsel and Secretary of the Company at its executive offices at 5260 California Avenue, Irvine, CA 92617, no later than November 25, 2023. The submission of a stockholder proposal does not guarantee that it will be included in the proxy materials for the Company’s 2024 Annual Meeting.</w:t>
      </w:r>
    </w:p>
    <w:p>
      <w:pPr>
        <w:spacing w:after="0" w:line="211" w:lineRule="exact"/>
        <w:rPr>
          <w:sz w:val="20"/>
          <w:szCs w:val="20"/>
          <w:color w:val="auto"/>
        </w:rPr>
      </w:pPr>
    </w:p>
    <w:p>
      <w:pPr>
        <w:ind w:left="660"/>
        <w:spacing w:after="0" w:line="253" w:lineRule="auto"/>
        <w:rPr>
          <w:sz w:val="20"/>
          <w:szCs w:val="20"/>
          <w:color w:val="auto"/>
        </w:rPr>
      </w:pPr>
      <w:r>
        <w:rPr>
          <w:rFonts w:ascii="Arial" w:cs="Arial" w:eastAsia="Arial" w:hAnsi="Arial"/>
          <w:sz w:val="20"/>
          <w:szCs w:val="20"/>
          <w:color w:val="auto"/>
        </w:rPr>
        <w:t>According to the applicable provisions of our By-laws, if a stockholder wishes to present a proposal at our 2024 Annual Meeting outside the processes of Rule 14a-8, with such proposal not to be considered for inclusion in the proxy materials for such meeting, then the stockholder must give written notice to the Secretary of the Company at the address noted above no earlier than the close of business on January 11, 2024, and no later than the close of business on February 10, 2024. In the event that the 2024 Annual Meeting is held more than thirty (30) days before or after the first anniversary of the Company’s 2023 Annual Meeting, then the required notice must be delivered in writing to the Secretary of the Company at the address above no earlier than 120 days prior to the date of the 2024 Annual Meeting and no later than the later of 90 days prior to the 2024 Annual Meeting or the 10th day following the day on which the public announcement of the date of the 2024 Annual Meeting is first made by the Company. A proposal that is submitted outside of these time periods will not be considered to be timely and, pursuant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160"/>
        <w:spacing w:after="0" w:line="269" w:lineRule="auto"/>
        <w:rPr>
          <w:sz w:val="20"/>
          <w:szCs w:val="20"/>
          <w:color w:val="auto"/>
        </w:rPr>
      </w:pPr>
      <w:r>
        <w:rPr>
          <w:rFonts w:ascii="Arial" w:cs="Arial" w:eastAsia="Arial" w:hAnsi="Arial"/>
          <w:sz w:val="19"/>
          <w:szCs w:val="19"/>
          <w:color w:val="auto"/>
        </w:rPr>
        <w:t>to Rule 14a-4(c)(1) under the Exchange Act and if a stockholder properly brings the proposal before the meeting, the proxies that management solicits for that meeting will have “discretionary” authority to vote on the stockholder’s proposal. Even if a stockholder makes timely notification, the proxies may still exercise “discretionary” authority in accordance with the SEC’s proxy rules.</w:t>
      </w:r>
    </w:p>
    <w:p>
      <w:pPr>
        <w:spacing w:after="0" w:line="201"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color w:val="auto"/>
        </w:rPr>
        <w:t>See “Stockholder Nominees” section of this Proxy Statement for additional information regarding nominees for election to the Board proposed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2846070" cy="32658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846070" cy="3265805"/>
                    </a:xfrm>
                    <a:prstGeom prst="rect">
                      <a:avLst/>
                    </a:prstGeom>
                    <a:noFill/>
                  </pic:spPr>
                </pic:pic>
              </a:graphicData>
            </a:graphic>
          </wp:anchor>
        </w:drawing>
      </w:r>
    </w:p>
    <w:p>
      <w:pPr>
        <w:spacing w:after="0" w:line="254" w:lineRule="exact"/>
        <w:rPr>
          <w:sz w:val="20"/>
          <w:szCs w:val="20"/>
          <w:color w:val="auto"/>
        </w:rPr>
      </w:pPr>
    </w:p>
    <w:p>
      <w:pPr>
        <w:ind w:left="160" w:right="160" w:hanging="147"/>
        <w:spacing w:after="0" w:line="247" w:lineRule="auto"/>
        <w:rPr>
          <w:sz w:val="20"/>
          <w:szCs w:val="20"/>
          <w:color w:val="auto"/>
        </w:rPr>
      </w:pPr>
      <w:r>
        <w:rPr>
          <w:rFonts w:ascii="Arial" w:cs="Arial" w:eastAsia="Arial" w:hAnsi="Arial"/>
          <w:sz w:val="39"/>
          <w:szCs w:val="39"/>
          <w:color w:val="0075A8"/>
          <w:vertAlign w:val="superscript"/>
        </w:rPr>
        <w:t>​</w:t>
      </w:r>
      <w:r>
        <w:rPr>
          <w:rFonts w:ascii="Arial" w:cs="Arial" w:eastAsia="Arial" w:hAnsi="Arial"/>
          <w:sz w:val="20"/>
          <w:szCs w:val="20"/>
          <w:color w:val="0075A8"/>
        </w:rPr>
        <w:t xml:space="preserve"> Our Board encourages stockholders to attend </w:t>
      </w:r>
      <w:r>
        <w:rPr>
          <w:rFonts w:ascii="Arial" w:cs="Arial" w:eastAsia="Arial" w:hAnsi="Arial"/>
          <w:sz w:val="39"/>
          <w:szCs w:val="39"/>
          <w:color w:val="0075A8"/>
          <w:vertAlign w:val="superscript"/>
        </w:rPr>
        <w:t>​</w:t>
      </w:r>
      <w:r>
        <w:rPr>
          <w:rFonts w:ascii="Arial" w:cs="Arial" w:eastAsia="Arial" w:hAnsi="Arial"/>
          <w:sz w:val="20"/>
          <w:szCs w:val="20"/>
          <w:color w:val="0075A8"/>
        </w:rPr>
        <w:t xml:space="preserve"> the Annual Meeting online. Whether or not you plan to attend, you are urged to submit a proxy promptly in one of the following ways:</w:t>
      </w:r>
    </w:p>
    <w:tbl>
      <w:tblPr>
        <w:tblLayout w:type="fixed"/>
        <w:tblInd w:w="20" w:type="dxa"/>
        <w:tblCellMar>
          <w:top w:w="0" w:type="dxa"/>
          <w:left w:w="0" w:type="dxa"/>
          <w:bottom w:w="0" w:type="dxa"/>
          <w:right w:w="0" w:type="dxa"/>
        </w:tblCellMar>
      </w:tblPr>
      <w:tr>
        <w:trPr>
          <w:trHeight w:val="448"/>
        </w:trPr>
        <w:tc>
          <w:tcPr>
            <w:tcW w:w="280" w:type="dxa"/>
            <w:vAlign w:val="bottom"/>
          </w:tcPr>
          <w:p>
            <w:pPr>
              <w:spacing w:after="0"/>
              <w:rPr>
                <w:sz w:val="20"/>
                <w:szCs w:val="20"/>
                <w:color w:val="auto"/>
              </w:rPr>
            </w:pPr>
            <w:r>
              <w:rPr>
                <w:rFonts w:ascii="Arial" w:cs="Arial" w:eastAsia="Arial" w:hAnsi="Arial"/>
                <w:sz w:val="39"/>
                <w:szCs w:val="39"/>
                <w:color w:val="0075A8"/>
                <w:vertAlign w:val="superscript"/>
              </w:rPr>
              <w:t>​</w:t>
            </w:r>
            <w:r>
              <w:rPr>
                <w:rFonts w:ascii="Arial" w:cs="Arial" w:eastAsia="Arial" w:hAnsi="Arial"/>
                <w:sz w:val="20"/>
                <w:szCs w:val="20"/>
                <w:color w:val="0075A8"/>
              </w:rPr>
              <w:t xml:space="preserve"> •</w:t>
            </w:r>
          </w:p>
        </w:tc>
        <w:tc>
          <w:tcPr>
            <w:tcW w:w="4060" w:type="dxa"/>
            <w:vAlign w:val="bottom"/>
            <w:gridSpan w:val="2"/>
          </w:tcPr>
          <w:p>
            <w:pPr>
              <w:ind w:left="60"/>
              <w:spacing w:after="0"/>
              <w:rPr>
                <w:sz w:val="20"/>
                <w:szCs w:val="20"/>
                <w:color w:val="auto"/>
              </w:rPr>
            </w:pPr>
            <w:r>
              <w:rPr>
                <w:rFonts w:ascii="Arial" w:cs="Arial" w:eastAsia="Arial" w:hAnsi="Arial"/>
                <w:sz w:val="20"/>
                <w:szCs w:val="20"/>
                <w:color w:val="0075A8"/>
              </w:rPr>
              <w:t xml:space="preserve">by completing and submitting your proxy via </w:t>
            </w:r>
            <w:r>
              <w:rPr>
                <w:rFonts w:ascii="Arial" w:cs="Arial" w:eastAsia="Arial" w:hAnsi="Arial"/>
                <w:sz w:val="39"/>
                <w:szCs w:val="39"/>
                <w:color w:val="0075A8"/>
                <w:vertAlign w:val="superscript"/>
              </w:rPr>
              <w:t>​</w:t>
            </w:r>
          </w:p>
        </w:tc>
      </w:tr>
      <w:tr>
        <w:trPr>
          <w:trHeight w:val="237"/>
        </w:trPr>
        <w:tc>
          <w:tcPr>
            <w:tcW w:w="280" w:type="dxa"/>
            <w:vAlign w:val="bottom"/>
          </w:tcPr>
          <w:p>
            <w:pPr>
              <w:spacing w:after="0"/>
              <w:rPr>
                <w:sz w:val="20"/>
                <w:szCs w:val="20"/>
                <w:color w:val="auto"/>
              </w:rPr>
            </w:pPr>
          </w:p>
        </w:tc>
        <w:tc>
          <w:tcPr>
            <w:tcW w:w="3920" w:type="dxa"/>
            <w:vAlign w:val="bottom"/>
          </w:tcPr>
          <w:p>
            <w:pPr>
              <w:ind w:left="60"/>
              <w:spacing w:after="0"/>
              <w:rPr>
                <w:sz w:val="20"/>
                <w:szCs w:val="20"/>
                <w:color w:val="auto"/>
              </w:rPr>
            </w:pPr>
            <w:r>
              <w:rPr>
                <w:rFonts w:ascii="Arial" w:cs="Arial" w:eastAsia="Arial" w:hAnsi="Arial"/>
                <w:sz w:val="20"/>
                <w:szCs w:val="20"/>
                <w:color w:val="0075A8"/>
              </w:rPr>
              <w:t>the Internet by visiting the website address</w:t>
            </w:r>
          </w:p>
        </w:tc>
        <w:tc>
          <w:tcPr>
            <w:tcW w:w="140" w:type="dxa"/>
            <w:vAlign w:val="bottom"/>
          </w:tcPr>
          <w:p>
            <w:pPr>
              <w:spacing w:after="0"/>
              <w:rPr>
                <w:sz w:val="20"/>
                <w:szCs w:val="20"/>
                <w:color w:val="auto"/>
              </w:rPr>
            </w:pPr>
          </w:p>
        </w:tc>
      </w:tr>
      <w:tr>
        <w:trPr>
          <w:trHeight w:val="270"/>
        </w:trPr>
        <w:tc>
          <w:tcPr>
            <w:tcW w:w="280" w:type="dxa"/>
            <w:vAlign w:val="bottom"/>
          </w:tcPr>
          <w:p>
            <w:pPr>
              <w:spacing w:after="0"/>
              <w:rPr>
                <w:sz w:val="23"/>
                <w:szCs w:val="23"/>
                <w:color w:val="auto"/>
              </w:rPr>
            </w:pPr>
          </w:p>
        </w:tc>
        <w:tc>
          <w:tcPr>
            <w:tcW w:w="3920" w:type="dxa"/>
            <w:vAlign w:val="bottom"/>
          </w:tcPr>
          <w:p>
            <w:pPr>
              <w:ind w:left="60"/>
              <w:spacing w:after="0"/>
              <w:rPr>
                <w:sz w:val="20"/>
                <w:szCs w:val="20"/>
                <w:color w:val="auto"/>
              </w:rPr>
            </w:pPr>
            <w:r>
              <w:rPr>
                <w:rFonts w:ascii="Arial" w:cs="Arial" w:eastAsia="Arial" w:hAnsi="Arial"/>
                <w:sz w:val="20"/>
                <w:szCs w:val="20"/>
                <w:color w:val="0075A8"/>
              </w:rPr>
              <w:t>listed on the proxy card;</w:t>
            </w:r>
          </w:p>
        </w:tc>
        <w:tc>
          <w:tcPr>
            <w:tcW w:w="140" w:type="dxa"/>
            <w:vAlign w:val="bottom"/>
          </w:tcPr>
          <w:p>
            <w:pPr>
              <w:spacing w:after="0"/>
              <w:rPr>
                <w:sz w:val="23"/>
                <w:szCs w:val="23"/>
                <w:color w:val="auto"/>
              </w:rPr>
            </w:pPr>
          </w:p>
        </w:tc>
      </w:tr>
      <w:tr>
        <w:trPr>
          <w:trHeight w:val="451"/>
        </w:trPr>
        <w:tc>
          <w:tcPr>
            <w:tcW w:w="280" w:type="dxa"/>
            <w:vAlign w:val="bottom"/>
          </w:tcPr>
          <w:p>
            <w:pPr>
              <w:spacing w:after="0"/>
              <w:rPr>
                <w:sz w:val="20"/>
                <w:szCs w:val="20"/>
                <w:color w:val="auto"/>
              </w:rPr>
            </w:pPr>
            <w:r>
              <w:rPr>
                <w:rFonts w:ascii="Arial" w:cs="Arial" w:eastAsia="Arial" w:hAnsi="Arial"/>
                <w:sz w:val="20"/>
                <w:szCs w:val="20"/>
                <w:color w:val="0075A8"/>
              </w:rPr>
              <w:t xml:space="preserve">​ </w:t>
            </w:r>
            <w:r>
              <w:rPr>
                <w:rFonts w:ascii="Arial" w:cs="Arial" w:eastAsia="Arial" w:hAnsi="Arial"/>
                <w:sz w:val="39"/>
                <w:szCs w:val="39"/>
                <w:color w:val="0075A8"/>
                <w:vertAlign w:val="subscript"/>
              </w:rPr>
              <w:t>•</w:t>
            </w:r>
          </w:p>
        </w:tc>
        <w:tc>
          <w:tcPr>
            <w:tcW w:w="3920" w:type="dxa"/>
            <w:vAlign w:val="bottom"/>
          </w:tcPr>
          <w:p>
            <w:pPr>
              <w:ind w:left="60"/>
              <w:spacing w:after="0"/>
              <w:rPr>
                <w:sz w:val="20"/>
                <w:szCs w:val="20"/>
                <w:color w:val="auto"/>
              </w:rPr>
            </w:pPr>
            <w:r>
              <w:rPr>
                <w:rFonts w:ascii="Arial" w:cs="Arial" w:eastAsia="Arial" w:hAnsi="Arial"/>
                <w:sz w:val="20"/>
                <w:szCs w:val="20"/>
                <w:color w:val="0075A8"/>
              </w:rPr>
              <w:t>by completing and submitting your proxy</w:t>
            </w:r>
          </w:p>
        </w:tc>
        <w:tc>
          <w:tcPr>
            <w:tcW w:w="140" w:type="dxa"/>
            <w:vAlign w:val="bottom"/>
          </w:tcPr>
          <w:p>
            <w:pPr>
              <w:ind w:left="80"/>
              <w:spacing w:after="0"/>
              <w:rPr>
                <w:sz w:val="20"/>
                <w:szCs w:val="20"/>
                <w:color w:val="auto"/>
              </w:rPr>
            </w:pPr>
            <w:r>
              <w:rPr>
                <w:rFonts w:ascii="Arial" w:cs="Arial" w:eastAsia="Arial" w:hAnsi="Arial"/>
                <w:sz w:val="20"/>
                <w:szCs w:val="20"/>
                <w:color w:val="0075A8"/>
              </w:rPr>
              <w:t>​</w:t>
            </w:r>
          </w:p>
        </w:tc>
      </w:tr>
      <w:tr>
        <w:trPr>
          <w:trHeight w:val="237"/>
        </w:trPr>
        <w:tc>
          <w:tcPr>
            <w:tcW w:w="280" w:type="dxa"/>
            <w:vAlign w:val="bottom"/>
          </w:tcPr>
          <w:p>
            <w:pPr>
              <w:spacing w:after="0"/>
              <w:rPr>
                <w:sz w:val="20"/>
                <w:szCs w:val="20"/>
                <w:color w:val="auto"/>
              </w:rPr>
            </w:pPr>
          </w:p>
        </w:tc>
        <w:tc>
          <w:tcPr>
            <w:tcW w:w="3920" w:type="dxa"/>
            <w:vAlign w:val="bottom"/>
          </w:tcPr>
          <w:p>
            <w:pPr>
              <w:ind w:left="60"/>
              <w:spacing w:after="0"/>
              <w:rPr>
                <w:sz w:val="20"/>
                <w:szCs w:val="20"/>
                <w:color w:val="auto"/>
              </w:rPr>
            </w:pPr>
            <w:r>
              <w:rPr>
                <w:rFonts w:ascii="Arial" w:cs="Arial" w:eastAsia="Arial" w:hAnsi="Arial"/>
                <w:sz w:val="20"/>
                <w:szCs w:val="20"/>
                <w:color w:val="0075A8"/>
              </w:rPr>
              <w:t>using the toll-free telephone number listed</w:t>
            </w:r>
          </w:p>
        </w:tc>
        <w:tc>
          <w:tcPr>
            <w:tcW w:w="140" w:type="dxa"/>
            <w:vAlign w:val="bottom"/>
          </w:tcPr>
          <w:p>
            <w:pPr>
              <w:spacing w:after="0"/>
              <w:rPr>
                <w:sz w:val="20"/>
                <w:szCs w:val="20"/>
                <w:color w:val="auto"/>
              </w:rPr>
            </w:pPr>
          </w:p>
        </w:tc>
      </w:tr>
      <w:tr>
        <w:trPr>
          <w:trHeight w:val="270"/>
        </w:trPr>
        <w:tc>
          <w:tcPr>
            <w:tcW w:w="280" w:type="dxa"/>
            <w:vAlign w:val="bottom"/>
          </w:tcPr>
          <w:p>
            <w:pPr>
              <w:spacing w:after="0"/>
              <w:rPr>
                <w:sz w:val="23"/>
                <w:szCs w:val="23"/>
                <w:color w:val="auto"/>
              </w:rPr>
            </w:pPr>
          </w:p>
        </w:tc>
        <w:tc>
          <w:tcPr>
            <w:tcW w:w="3920" w:type="dxa"/>
            <w:vAlign w:val="bottom"/>
          </w:tcPr>
          <w:p>
            <w:pPr>
              <w:ind w:left="60"/>
              <w:spacing w:after="0"/>
              <w:rPr>
                <w:sz w:val="20"/>
                <w:szCs w:val="20"/>
                <w:color w:val="auto"/>
              </w:rPr>
            </w:pPr>
            <w:r>
              <w:rPr>
                <w:rFonts w:ascii="Arial" w:cs="Arial" w:eastAsia="Arial" w:hAnsi="Arial"/>
                <w:sz w:val="20"/>
                <w:szCs w:val="20"/>
                <w:color w:val="0075A8"/>
              </w:rPr>
              <w:t>on the proxy card; or</w:t>
            </w:r>
          </w:p>
        </w:tc>
        <w:tc>
          <w:tcPr>
            <w:tcW w:w="140" w:type="dxa"/>
            <w:vAlign w:val="bottom"/>
          </w:tcPr>
          <w:p>
            <w:pPr>
              <w:spacing w:after="0"/>
              <w:rPr>
                <w:sz w:val="23"/>
                <w:szCs w:val="23"/>
                <w:color w:val="auto"/>
              </w:rPr>
            </w:pPr>
          </w:p>
        </w:tc>
      </w:tr>
      <w:tr>
        <w:trPr>
          <w:trHeight w:val="451"/>
        </w:trPr>
        <w:tc>
          <w:tcPr>
            <w:tcW w:w="280" w:type="dxa"/>
            <w:vAlign w:val="bottom"/>
          </w:tcPr>
          <w:p>
            <w:pPr>
              <w:spacing w:after="0"/>
              <w:rPr>
                <w:sz w:val="20"/>
                <w:szCs w:val="20"/>
                <w:color w:val="auto"/>
              </w:rPr>
            </w:pPr>
            <w:r>
              <w:rPr>
                <w:rFonts w:ascii="Arial" w:cs="Arial" w:eastAsia="Arial" w:hAnsi="Arial"/>
                <w:sz w:val="20"/>
                <w:szCs w:val="20"/>
                <w:color w:val="0075A8"/>
              </w:rPr>
              <w:t xml:space="preserve">​ </w:t>
            </w:r>
            <w:r>
              <w:rPr>
                <w:rFonts w:ascii="Arial" w:cs="Arial" w:eastAsia="Arial" w:hAnsi="Arial"/>
                <w:sz w:val="39"/>
                <w:szCs w:val="39"/>
                <w:color w:val="0075A8"/>
                <w:vertAlign w:val="subscript"/>
              </w:rPr>
              <w:t>•</w:t>
            </w:r>
          </w:p>
        </w:tc>
        <w:tc>
          <w:tcPr>
            <w:tcW w:w="4060" w:type="dxa"/>
            <w:vAlign w:val="bottom"/>
            <w:gridSpan w:val="2"/>
          </w:tcPr>
          <w:p>
            <w:pPr>
              <w:ind w:left="60"/>
              <w:spacing w:after="0"/>
              <w:rPr>
                <w:sz w:val="20"/>
                <w:szCs w:val="20"/>
                <w:color w:val="auto"/>
              </w:rPr>
            </w:pPr>
            <w:r>
              <w:rPr>
                <w:rFonts w:ascii="Arial" w:cs="Arial" w:eastAsia="Arial" w:hAnsi="Arial"/>
                <w:sz w:val="20"/>
                <w:szCs w:val="20"/>
                <w:color w:val="0075A8"/>
              </w:rPr>
              <w:t xml:space="preserve">by completing, signing, and dating the proxy </w:t>
            </w:r>
            <w:r>
              <w:rPr>
                <w:rFonts w:ascii="Arial" w:cs="Arial" w:eastAsia="Arial" w:hAnsi="Arial"/>
                <w:sz w:val="39"/>
                <w:szCs w:val="39"/>
                <w:color w:val="0075A8"/>
                <w:vertAlign w:val="superscript"/>
              </w:rPr>
              <w:t>​</w:t>
            </w:r>
          </w:p>
        </w:tc>
      </w:tr>
      <w:tr>
        <w:trPr>
          <w:trHeight w:val="237"/>
        </w:trPr>
        <w:tc>
          <w:tcPr>
            <w:tcW w:w="280" w:type="dxa"/>
            <w:vAlign w:val="bottom"/>
          </w:tcPr>
          <w:p>
            <w:pPr>
              <w:spacing w:after="0"/>
              <w:rPr>
                <w:sz w:val="20"/>
                <w:szCs w:val="20"/>
                <w:color w:val="auto"/>
              </w:rPr>
            </w:pPr>
          </w:p>
        </w:tc>
        <w:tc>
          <w:tcPr>
            <w:tcW w:w="3920" w:type="dxa"/>
            <w:vAlign w:val="bottom"/>
          </w:tcPr>
          <w:p>
            <w:pPr>
              <w:ind w:left="60"/>
              <w:spacing w:after="0"/>
              <w:rPr>
                <w:sz w:val="20"/>
                <w:szCs w:val="20"/>
                <w:color w:val="auto"/>
              </w:rPr>
            </w:pPr>
            <w:r>
              <w:rPr>
                <w:rFonts w:ascii="Arial" w:cs="Arial" w:eastAsia="Arial" w:hAnsi="Arial"/>
                <w:sz w:val="20"/>
                <w:szCs w:val="20"/>
                <w:color w:val="0075A8"/>
              </w:rPr>
              <w:t>card and returning it in the postage-prepaid</w:t>
            </w:r>
          </w:p>
        </w:tc>
        <w:tc>
          <w:tcPr>
            <w:tcW w:w="140" w:type="dxa"/>
            <w:vAlign w:val="bottom"/>
          </w:tcPr>
          <w:p>
            <w:pPr>
              <w:spacing w:after="0"/>
              <w:rPr>
                <w:sz w:val="20"/>
                <w:szCs w:val="20"/>
                <w:color w:val="auto"/>
              </w:rPr>
            </w:pPr>
          </w:p>
        </w:tc>
      </w:tr>
      <w:tr>
        <w:trPr>
          <w:trHeight w:val="270"/>
        </w:trPr>
        <w:tc>
          <w:tcPr>
            <w:tcW w:w="280" w:type="dxa"/>
            <w:vAlign w:val="bottom"/>
          </w:tcPr>
          <w:p>
            <w:pPr>
              <w:spacing w:after="0"/>
              <w:rPr>
                <w:sz w:val="23"/>
                <w:szCs w:val="23"/>
                <w:color w:val="auto"/>
              </w:rPr>
            </w:pPr>
          </w:p>
        </w:tc>
        <w:tc>
          <w:tcPr>
            <w:tcW w:w="3920" w:type="dxa"/>
            <w:vAlign w:val="bottom"/>
          </w:tcPr>
          <w:p>
            <w:pPr>
              <w:ind w:left="60"/>
              <w:spacing w:after="0"/>
              <w:rPr>
                <w:sz w:val="20"/>
                <w:szCs w:val="20"/>
                <w:color w:val="auto"/>
              </w:rPr>
            </w:pPr>
            <w:r>
              <w:rPr>
                <w:rFonts w:ascii="Arial" w:cs="Arial" w:eastAsia="Arial" w:hAnsi="Arial"/>
                <w:sz w:val="20"/>
                <w:szCs w:val="20"/>
                <w:color w:val="0075A8"/>
              </w:rPr>
              <w:t>envelope provided for that purpose.</w:t>
            </w:r>
          </w:p>
        </w:tc>
        <w:tc>
          <w:tcPr>
            <w:tcW w:w="140" w:type="dxa"/>
            <w:vAlign w:val="bottom"/>
          </w:tcPr>
          <w:p>
            <w:pPr>
              <w:spacing w:after="0"/>
              <w:rPr>
                <w:sz w:val="23"/>
                <w:szCs w:val="23"/>
                <w:color w:val="auto"/>
              </w:rPr>
            </w:pPr>
          </w:p>
        </w:tc>
      </w:tr>
      <w:tr>
        <w:trPr>
          <w:trHeight w:val="451"/>
        </w:trPr>
        <w:tc>
          <w:tcPr>
            <w:tcW w:w="4200" w:type="dxa"/>
            <w:vAlign w:val="bottom"/>
            <w:gridSpan w:val="2"/>
          </w:tcPr>
          <w:p>
            <w:pPr>
              <w:spacing w:after="0"/>
              <w:rPr>
                <w:sz w:val="20"/>
                <w:szCs w:val="20"/>
                <w:color w:val="auto"/>
              </w:rPr>
            </w:pPr>
            <w:r>
              <w:rPr>
                <w:rFonts w:ascii="Arial" w:cs="Arial" w:eastAsia="Arial" w:hAnsi="Arial"/>
                <w:sz w:val="39"/>
                <w:szCs w:val="39"/>
                <w:color w:val="0075A8"/>
                <w:vertAlign w:val="superscript"/>
              </w:rPr>
              <w:t>​</w:t>
            </w:r>
            <w:r>
              <w:rPr>
                <w:rFonts w:ascii="Arial" w:cs="Arial" w:eastAsia="Arial" w:hAnsi="Arial"/>
                <w:sz w:val="20"/>
                <w:szCs w:val="20"/>
                <w:color w:val="0075A8"/>
              </w:rPr>
              <w:t xml:space="preserve"> A prompt response will greatly facilitate</w:t>
            </w:r>
          </w:p>
        </w:tc>
        <w:tc>
          <w:tcPr>
            <w:tcW w:w="140" w:type="dxa"/>
            <w:vAlign w:val="bottom"/>
          </w:tcPr>
          <w:p>
            <w:pPr>
              <w:ind w:left="80"/>
              <w:spacing w:after="0"/>
              <w:rPr>
                <w:sz w:val="20"/>
                <w:szCs w:val="20"/>
                <w:color w:val="auto"/>
              </w:rPr>
            </w:pPr>
            <w:r>
              <w:rPr>
                <w:rFonts w:ascii="Arial" w:cs="Arial" w:eastAsia="Arial" w:hAnsi="Arial"/>
                <w:sz w:val="20"/>
                <w:szCs w:val="20"/>
                <w:color w:val="0075A8"/>
              </w:rPr>
              <w:t>​</w:t>
            </w:r>
          </w:p>
        </w:tc>
      </w:tr>
      <w:tr>
        <w:trPr>
          <w:trHeight w:val="237"/>
        </w:trPr>
        <w:tc>
          <w:tcPr>
            <w:tcW w:w="4200" w:type="dxa"/>
            <w:vAlign w:val="bottom"/>
            <w:gridSpan w:val="2"/>
          </w:tcPr>
          <w:p>
            <w:pPr>
              <w:ind w:left="140"/>
              <w:spacing w:after="0"/>
              <w:rPr>
                <w:sz w:val="20"/>
                <w:szCs w:val="20"/>
                <w:color w:val="auto"/>
              </w:rPr>
            </w:pPr>
            <w:r>
              <w:rPr>
                <w:rFonts w:ascii="Arial" w:cs="Arial" w:eastAsia="Arial" w:hAnsi="Arial"/>
                <w:sz w:val="20"/>
                <w:szCs w:val="20"/>
                <w:color w:val="0075A8"/>
              </w:rPr>
              <w:t>arrangements for the meeting and your</w:t>
            </w:r>
          </w:p>
        </w:tc>
        <w:tc>
          <w:tcPr>
            <w:tcW w:w="140" w:type="dxa"/>
            <w:vAlign w:val="bottom"/>
          </w:tcPr>
          <w:p>
            <w:pPr>
              <w:spacing w:after="0"/>
              <w:rPr>
                <w:sz w:val="20"/>
                <w:szCs w:val="20"/>
                <w:color w:val="auto"/>
              </w:rPr>
            </w:pPr>
          </w:p>
        </w:tc>
      </w:tr>
      <w:tr>
        <w:trPr>
          <w:trHeight w:val="270"/>
        </w:trPr>
        <w:tc>
          <w:tcPr>
            <w:tcW w:w="4200" w:type="dxa"/>
            <w:vAlign w:val="bottom"/>
            <w:gridSpan w:val="2"/>
          </w:tcPr>
          <w:p>
            <w:pPr>
              <w:ind w:left="140"/>
              <w:spacing w:after="0"/>
              <w:rPr>
                <w:sz w:val="20"/>
                <w:szCs w:val="20"/>
                <w:color w:val="auto"/>
              </w:rPr>
            </w:pPr>
            <w:r>
              <w:rPr>
                <w:rFonts w:ascii="Arial" w:cs="Arial" w:eastAsia="Arial" w:hAnsi="Arial"/>
                <w:sz w:val="20"/>
                <w:szCs w:val="20"/>
                <w:color w:val="0075A8"/>
              </w:rPr>
              <w:t>cooperation will be appreciated.</w:t>
            </w:r>
          </w:p>
        </w:tc>
        <w:tc>
          <w:tcPr>
            <w:tcW w:w="140" w:type="dxa"/>
            <w:vAlign w:val="bottom"/>
          </w:tcPr>
          <w:p>
            <w:pPr>
              <w:spacing w:after="0"/>
              <w:rPr>
                <w:sz w:val="23"/>
                <w:szCs w:val="23"/>
                <w:color w:val="auto"/>
              </w:rPr>
            </w:pPr>
          </w:p>
        </w:tc>
      </w:tr>
    </w:tbl>
    <w:p>
      <w:pPr>
        <w:spacing w:after="0" w:line="732" w:lineRule="exact"/>
        <w:rPr>
          <w:sz w:val="20"/>
          <w:szCs w:val="20"/>
          <w:color w:val="auto"/>
        </w:rPr>
      </w:pPr>
    </w:p>
    <w:p>
      <w:pPr>
        <w:sectPr>
          <w:pgSz w:w="11900" w:h="16838" w:orient="portrait"/>
          <w:cols w:equalWidth="0" w:num="2">
            <w:col w:w="5100" w:space="480"/>
            <w:col w:w="4520"/>
          </w:cols>
          <w:pgMar w:left="580" w:top="131"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tabs>
          <w:tab w:leader="none" w:pos="2160" w:val="left"/>
          <w:tab w:leader="none" w:pos="2400" w:val="left"/>
          <w:tab w:leader="none" w:pos="8480" w:val="left"/>
          <w:tab w:leader="none" w:pos="9860" w:val="left"/>
        </w:tabs>
        <w:rPr>
          <w:sz w:val="20"/>
          <w:szCs w:val="20"/>
          <w:color w:val="auto"/>
        </w:rPr>
      </w:pPr>
      <w:r>
        <w:rPr>
          <w:rFonts w:ascii="Arial" w:cs="Arial" w:eastAsia="Arial" w:hAnsi="Arial"/>
          <w:sz w:val="16"/>
          <w:szCs w:val="16"/>
          <w:color w:val="auto"/>
        </w:rPr>
        <w:t>​Proxy Statement</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80415" cy="257175"/>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80415"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78" w:name="page79"/>
    <w:bookmarkEnd w:id="78"/>
    <w:p>
      <w:pPr>
        <w:ind w:left="100"/>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480810" cy="4032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480810" cy="403225"/>
                    </a:xfrm>
                    <a:prstGeom prst="rect">
                      <a:avLst/>
                    </a:prstGeom>
                    <a:noFill/>
                  </pic:spPr>
                </pic:pic>
              </a:graphicData>
            </a:graphic>
          </wp:anchor>
        </w:drawing>
      </w:r>
    </w:p>
    <w:p>
      <w:pPr>
        <w:spacing w:after="0" w:line="256" w:lineRule="exact"/>
        <w:rPr>
          <w:sz w:val="20"/>
          <w:szCs w:val="20"/>
          <w:color w:val="auto"/>
        </w:rPr>
      </w:pPr>
    </w:p>
    <w:p>
      <w:pPr>
        <w:spacing w:after="0"/>
        <w:tabs>
          <w:tab w:leader="none" w:pos="740" w:val="left"/>
          <w:tab w:leader="none" w:pos="10040" w:val="left"/>
        </w:tabs>
        <w:rPr>
          <w:sz w:val="20"/>
          <w:szCs w:val="20"/>
          <w:color w:val="auto"/>
        </w:rPr>
      </w:pPr>
      <w:r>
        <w:rPr>
          <w:rFonts w:ascii="Arial" w:cs="Arial" w:eastAsia="Arial" w:hAnsi="Arial"/>
          <w:sz w:val="25"/>
          <w:szCs w:val="25"/>
          <w:b w:val="1"/>
          <w:bCs w:val="1"/>
          <w:color w:val="FFFFFF"/>
        </w:rPr>
        <w:t>​</w:t>
      </w:r>
      <w:r>
        <w:rPr>
          <w:sz w:val="20"/>
          <w:szCs w:val="20"/>
          <w:color w:val="auto"/>
        </w:rPr>
        <w:tab/>
      </w:r>
      <w:r>
        <w:rPr>
          <w:rFonts w:ascii="Arial" w:cs="Arial" w:eastAsia="Arial" w:hAnsi="Arial"/>
          <w:sz w:val="25"/>
          <w:szCs w:val="25"/>
          <w:b w:val="1"/>
          <w:bCs w:val="1"/>
          <w:color w:val="FFFFFF"/>
        </w:rPr>
        <w:t>Appendix A:</w:t>
      </w:r>
      <w:r>
        <w:rPr>
          <w:sz w:val="20"/>
          <w:szCs w:val="20"/>
          <w:color w:val="auto"/>
        </w:rPr>
        <w:tab/>
      </w:r>
      <w:r>
        <w:rPr>
          <w:rFonts w:ascii="Arial" w:cs="Arial" w:eastAsia="Arial" w:hAnsi="Arial"/>
          <w:sz w:val="25"/>
          <w:szCs w:val="2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240"/>
        <w:spacing w:after="0" w:line="268" w:lineRule="auto"/>
        <w:rPr>
          <w:sz w:val="20"/>
          <w:szCs w:val="20"/>
          <w:color w:val="auto"/>
        </w:rPr>
      </w:pPr>
      <w:r>
        <w:rPr>
          <w:rFonts w:ascii="Arial" w:cs="Arial" w:eastAsia="Arial" w:hAnsi="Arial"/>
          <w:sz w:val="32"/>
          <w:szCs w:val="32"/>
          <w:b w:val="1"/>
          <w:bCs w:val="1"/>
          <w:color w:val="0075A8"/>
        </w:rPr>
        <w:t>UNAUDITED RECONCILIATIONS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41275</wp:posOffset>
            </wp:positionV>
            <wp:extent cx="5974715" cy="4889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74715" cy="488950"/>
                    </a:xfrm>
                    <a:prstGeom prst="rect">
                      <a:avLst/>
                    </a:prstGeom>
                    <a:noFill/>
                  </pic:spPr>
                </pic:pic>
              </a:graphicData>
            </a:graphic>
          </wp:anchor>
        </w:drawing>
      </w:r>
    </w:p>
    <w:p>
      <w:pPr>
        <w:sectPr>
          <w:pgSz w:w="11900" w:h="16838" w:orient="portrait"/>
          <w:cols w:equalWidth="0" w:num="1">
            <w:col w:w="10200"/>
          </w:cols>
          <w:pgMar w:left="480" w:top="131" w:right="1219" w:bottom="1440" w:gutter="0" w:footer="0" w:header="0"/>
        </w:sectPr>
      </w:pP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color w:val="FFFFFF"/>
        </w:rPr>
        <w:t>​​</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FFFFFF"/>
        </w:rPr>
        <w:t>​(in millions)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220" w:type="dxa"/>
            <w:vAlign w:val="bottom"/>
            <w:gridSpan w:val="2"/>
          </w:tcPr>
          <w:p>
            <w:pPr>
              <w:spacing w:after="0"/>
              <w:rPr>
                <w:sz w:val="20"/>
                <w:szCs w:val="20"/>
                <w:color w:val="auto"/>
              </w:rPr>
            </w:pPr>
            <w:r>
              <w:rPr>
                <w:rFonts w:ascii="Arial" w:cs="Arial" w:eastAsia="Arial" w:hAnsi="Arial"/>
                <w:sz w:val="18"/>
                <w:szCs w:val="18"/>
                <w:color w:val="FFFFFF"/>
              </w:rPr>
              <w:t>​ ​</w:t>
            </w:r>
          </w:p>
        </w:tc>
        <w:tc>
          <w:tcPr>
            <w:tcW w:w="2360" w:type="dxa"/>
            <w:vAlign w:val="bottom"/>
            <w:gridSpan w:val="2"/>
          </w:tcPr>
          <w:p>
            <w:pPr>
              <w:ind w:left="420"/>
              <w:spacing w:after="0"/>
              <w:rPr>
                <w:sz w:val="20"/>
                <w:szCs w:val="20"/>
                <w:color w:val="auto"/>
              </w:rPr>
            </w:pPr>
            <w:r>
              <w:rPr>
                <w:rFonts w:ascii="Arial" w:cs="Arial" w:eastAsia="Arial" w:hAnsi="Arial"/>
                <w:sz w:val="18"/>
                <w:szCs w:val="18"/>
                <w:color w:val="FFFFFF"/>
              </w:rPr>
              <w:t>Fiscal Years Ended</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FFFFFF"/>
              </w:rPr>
              <w:t>​</w:t>
            </w:r>
          </w:p>
        </w:tc>
      </w:tr>
      <w:tr>
        <w:trPr>
          <w:trHeight w:val="236"/>
        </w:trPr>
        <w:tc>
          <w:tcPr>
            <w:tcW w:w="100" w:type="dxa"/>
            <w:vAlign w:val="bottom"/>
            <w:tcBorders>
              <w:top w:val="single" w:sz="8" w:color="0075A8"/>
            </w:tcBorders>
          </w:tcPr>
          <w:p>
            <w:pPr>
              <w:spacing w:after="0"/>
              <w:rPr>
                <w:sz w:val="20"/>
                <w:szCs w:val="20"/>
                <w:color w:val="auto"/>
              </w:rPr>
            </w:pPr>
          </w:p>
        </w:tc>
        <w:tc>
          <w:tcPr>
            <w:tcW w:w="120" w:type="dxa"/>
            <w:vAlign w:val="bottom"/>
            <w:tcBorders>
              <w:top w:val="single" w:sz="8" w:color="FEFEFE"/>
            </w:tcBorders>
          </w:tcPr>
          <w:p>
            <w:pPr>
              <w:spacing w:after="0"/>
              <w:rPr>
                <w:sz w:val="20"/>
                <w:szCs w:val="20"/>
                <w:color w:val="auto"/>
              </w:rPr>
            </w:pPr>
          </w:p>
        </w:tc>
        <w:tc>
          <w:tcPr>
            <w:tcW w:w="1240" w:type="dxa"/>
            <w:vAlign w:val="bottom"/>
            <w:tcBorders>
              <w:top w:val="single" w:sz="8" w:color="FEFEFE"/>
            </w:tcBorders>
          </w:tcPr>
          <w:p>
            <w:pPr>
              <w:ind w:left="20"/>
              <w:spacing w:after="0"/>
              <w:rPr>
                <w:sz w:val="20"/>
                <w:szCs w:val="20"/>
                <w:color w:val="auto"/>
              </w:rPr>
            </w:pPr>
            <w:r>
              <w:rPr>
                <w:rFonts w:ascii="Arial" w:cs="Arial" w:eastAsia="Arial" w:hAnsi="Arial"/>
                <w:sz w:val="18"/>
                <w:szCs w:val="18"/>
                <w:color w:val="FFFFFF"/>
              </w:rPr>
              <w:t>September 30,</w:t>
            </w:r>
          </w:p>
        </w:tc>
        <w:tc>
          <w:tcPr>
            <w:tcW w:w="1120" w:type="dxa"/>
            <w:vAlign w:val="bottom"/>
            <w:tcBorders>
              <w:top w:val="single" w:sz="8" w:color="FEFEFE"/>
            </w:tcBorders>
          </w:tcPr>
          <w:p>
            <w:pPr>
              <w:ind w:left="260"/>
              <w:spacing w:after="0"/>
              <w:rPr>
                <w:sz w:val="20"/>
                <w:szCs w:val="20"/>
                <w:color w:val="auto"/>
              </w:rPr>
            </w:pPr>
            <w:r>
              <w:rPr>
                <w:rFonts w:ascii="Arial" w:cs="Arial" w:eastAsia="Arial" w:hAnsi="Arial"/>
                <w:sz w:val="18"/>
                <w:szCs w:val="18"/>
                <w:color w:val="FFFFFF"/>
                <w:w w:val="99"/>
              </w:rPr>
              <w:t>October 1,</w:t>
            </w:r>
          </w:p>
        </w:tc>
        <w:tc>
          <w:tcPr>
            <w:tcW w:w="60" w:type="dxa"/>
            <w:vAlign w:val="bottom"/>
            <w:tcBorders>
              <w:top w:val="single" w:sz="8" w:color="FEFEFE"/>
            </w:tcBorders>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20" w:type="dxa"/>
            <w:vAlign w:val="bottom"/>
            <w:gridSpan w:val="2"/>
          </w:tcPr>
          <w:p>
            <w:pPr>
              <w:ind w:left="60"/>
              <w:spacing w:after="0"/>
              <w:rPr>
                <w:sz w:val="20"/>
                <w:szCs w:val="20"/>
                <w:color w:val="auto"/>
              </w:rPr>
            </w:pPr>
            <w:r>
              <w:rPr>
                <w:rFonts w:ascii="Arial" w:cs="Arial" w:eastAsia="Arial" w:hAnsi="Arial"/>
                <w:sz w:val="18"/>
                <w:szCs w:val="18"/>
                <w:color w:val="FFFFFF"/>
              </w:rPr>
              <w:t>​ ​</w:t>
            </w:r>
          </w:p>
        </w:tc>
        <w:tc>
          <w:tcPr>
            <w:tcW w:w="1240" w:type="dxa"/>
            <w:vAlign w:val="bottom"/>
          </w:tcPr>
          <w:p>
            <w:pPr>
              <w:ind w:left="420"/>
              <w:spacing w:after="0"/>
              <w:rPr>
                <w:sz w:val="20"/>
                <w:szCs w:val="20"/>
                <w:color w:val="auto"/>
              </w:rPr>
            </w:pPr>
            <w:r>
              <w:rPr>
                <w:rFonts w:ascii="Arial" w:cs="Arial" w:eastAsia="Arial" w:hAnsi="Arial"/>
                <w:sz w:val="18"/>
                <w:szCs w:val="18"/>
                <w:color w:val="FFFFFF"/>
              </w:rPr>
              <w:t>2022</w:t>
            </w:r>
          </w:p>
        </w:tc>
        <w:tc>
          <w:tcPr>
            <w:tcW w:w="1120" w:type="dxa"/>
            <w:vAlign w:val="bottom"/>
          </w:tcPr>
          <w:p>
            <w:pPr>
              <w:ind w:left="40"/>
              <w:spacing w:after="0"/>
              <w:rPr>
                <w:sz w:val="20"/>
                <w:szCs w:val="20"/>
                <w:color w:val="auto"/>
              </w:rPr>
            </w:pPr>
            <w:r>
              <w:rPr>
                <w:rFonts w:ascii="Arial" w:cs="Arial" w:eastAsia="Arial" w:hAnsi="Arial"/>
                <w:sz w:val="18"/>
                <w:szCs w:val="18"/>
                <w:color w:val="FFFFFF"/>
              </w:rPr>
              <w:t>​ ​   2021</w:t>
            </w:r>
          </w:p>
        </w:tc>
        <w:tc>
          <w:tcPr>
            <w:tcW w:w="80" w:type="dxa"/>
            <w:vAlign w:val="bottom"/>
            <w:gridSpan w:val="2"/>
          </w:tcPr>
          <w:p>
            <w:pPr>
              <w:jc w:val="right"/>
              <w:spacing w:after="0"/>
              <w:rPr>
                <w:sz w:val="20"/>
                <w:szCs w:val="20"/>
                <w:color w:val="auto"/>
              </w:rPr>
            </w:pPr>
            <w:r>
              <w:rPr>
                <w:rFonts w:ascii="Arial" w:cs="Arial" w:eastAsia="Arial" w:hAnsi="Arial"/>
                <w:sz w:val="18"/>
                <w:szCs w:val="18"/>
                <w:color w:val="FFFFFF"/>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-4297045</wp:posOffset>
            </wp:positionH>
            <wp:positionV relativeFrom="paragraph">
              <wp:posOffset>0</wp:posOffset>
            </wp:positionV>
            <wp:extent cx="5974715" cy="162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6800" w:space="720"/>
            <w:col w:w="2680"/>
          </w:cols>
          <w:pgMar w:left="480" w:top="131" w:right="121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GAAP​ operating income</w:t>
      </w:r>
    </w:p>
    <w:p>
      <w:pPr>
        <w:spacing w:after="0" w:line="73" w:lineRule="exact"/>
        <w:rPr>
          <w:sz w:val="20"/>
          <w:szCs w:val="20"/>
          <w:color w:val="auto"/>
        </w:rPr>
      </w:pPr>
    </w:p>
    <w:p>
      <w:pPr>
        <w:ind w:left="960" w:hanging="165"/>
        <w:spacing w:after="0"/>
        <w:tabs>
          <w:tab w:leader="none" w:pos="9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Share-based compensation expense</w:t>
      </w:r>
      <w:r>
        <w:rPr>
          <w:rFonts w:ascii="Arial" w:cs="Arial" w:eastAsia="Arial" w:hAnsi="Arial"/>
          <w:sz w:val="16"/>
          <w:szCs w:val="16"/>
          <w:color w:val="0075A8"/>
        </w:rPr>
        <w:t>(a)</w:t>
      </w:r>
    </w:p>
    <w:p>
      <w:pPr>
        <w:spacing w:after="0" w:line="72" w:lineRule="exact"/>
        <w:rPr>
          <w:rFonts w:ascii="Arial" w:cs="Arial" w:eastAsia="Arial" w:hAnsi="Arial"/>
          <w:sz w:val="16"/>
          <w:szCs w:val="16"/>
          <w:color w:val="auto"/>
        </w:rPr>
      </w:pPr>
    </w:p>
    <w:p>
      <w:pPr>
        <w:ind w:left="960" w:hanging="165"/>
        <w:spacing w:after="0"/>
        <w:tabs>
          <w:tab w:leader="none" w:pos="9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Acquisition-related expenses</w:t>
      </w:r>
    </w:p>
    <w:p>
      <w:pPr>
        <w:spacing w:after="0" w:line="72" w:lineRule="exact"/>
        <w:rPr>
          <w:rFonts w:ascii="Arial" w:cs="Arial" w:eastAsia="Arial" w:hAnsi="Arial"/>
          <w:sz w:val="16"/>
          <w:szCs w:val="16"/>
          <w:color w:val="auto"/>
        </w:rPr>
      </w:pPr>
    </w:p>
    <w:p>
      <w:pPr>
        <w:ind w:left="960" w:hanging="165"/>
        <w:spacing w:after="0"/>
        <w:tabs>
          <w:tab w:leader="none" w:pos="9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Amortization of acquisition-related intangibles</w:t>
      </w:r>
    </w:p>
    <w:p>
      <w:pPr>
        <w:spacing w:after="0" w:line="86" w:lineRule="exact"/>
        <w:rPr>
          <w:rFonts w:ascii="Arial" w:cs="Arial" w:eastAsia="Arial" w:hAnsi="Arial"/>
          <w:sz w:val="16"/>
          <w:szCs w:val="16"/>
          <w:color w:val="auto"/>
        </w:rPr>
      </w:pPr>
    </w:p>
    <w:p>
      <w:pPr>
        <w:ind w:left="960" w:hanging="165"/>
        <w:spacing w:after="0"/>
        <w:tabs>
          <w:tab w:leader="none" w:pos="9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Settlements, gains, losses, and impairments</w:t>
      </w:r>
    </w:p>
    <w:p>
      <w:pPr>
        <w:spacing w:after="0" w:line="86" w:lineRule="exact"/>
        <w:rPr>
          <w:rFonts w:ascii="Arial" w:cs="Arial" w:eastAsia="Arial" w:hAnsi="Arial"/>
          <w:sz w:val="16"/>
          <w:szCs w:val="16"/>
          <w:color w:val="auto"/>
        </w:rPr>
      </w:pPr>
    </w:p>
    <w:p>
      <w:pPr>
        <w:ind w:left="960" w:hanging="165"/>
        <w:spacing w:after="0"/>
        <w:tabs>
          <w:tab w:leader="none" w:pos="9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Restructuring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-657225</wp:posOffset>
            </wp:positionV>
            <wp:extent cx="5974715" cy="1631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974715" cy="16319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-331470</wp:posOffset>
            </wp:positionV>
            <wp:extent cx="5974715"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10795</wp:posOffset>
            </wp:positionV>
            <wp:extent cx="5974715"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Non​-GAAP operating income</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GAAP​ operating margin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10795</wp:posOffset>
            </wp:positionV>
            <wp:extent cx="5974715" cy="1885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74715" cy="188595"/>
                    </a:xfrm>
                    <a:prstGeom prst="rect">
                      <a:avLst/>
                    </a:prstGeom>
                    <a:noFill/>
                  </pic:spPr>
                </pic:pic>
              </a:graphicData>
            </a:graphic>
          </wp:anchor>
        </w:drawing>
      </w:r>
    </w:p>
    <w:p>
      <w:pPr>
        <w:ind w:left="800"/>
        <w:spacing w:after="0" w:line="182" w:lineRule="auto"/>
        <w:rPr>
          <w:sz w:val="20"/>
          <w:szCs w:val="20"/>
          <w:color w:val="auto"/>
        </w:rPr>
      </w:pPr>
      <w:r>
        <w:rPr>
          <w:rFonts w:ascii="Arial" w:cs="Arial" w:eastAsia="Arial" w:hAnsi="Arial"/>
          <w:sz w:val="16"/>
          <w:szCs w:val="16"/>
          <w:color w:val="auto"/>
        </w:rPr>
        <w:t>Non-GAAP operating margin %</w:t>
      </w:r>
    </w:p>
    <w:p>
      <w:pPr>
        <w:ind w:left="8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-5715</wp:posOffset>
            </wp:positionV>
            <wp:extent cx="59747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97471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62230</wp:posOffset>
            </wp:positionV>
            <wp:extent cx="26035" cy="4883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035"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80" w:type="dxa"/>
            <w:vAlign w:val="bottom"/>
          </w:tcPr>
          <w:p>
            <w:pPr>
              <w:spacing w:after="0"/>
              <w:rPr>
                <w:sz w:val="20"/>
                <w:szCs w:val="20"/>
                <w:color w:val="auto"/>
              </w:rPr>
            </w:pPr>
            <w:r>
              <w:rPr>
                <w:rFonts w:ascii="Arial" w:cs="Arial" w:eastAsia="Arial" w:hAnsi="Arial"/>
                <w:sz w:val="16"/>
                <w:szCs w:val="16"/>
                <w:color w:val="auto"/>
              </w:rPr>
              <w:t>​ ​</w:t>
            </w:r>
          </w:p>
        </w:tc>
        <w:tc>
          <w:tcPr>
            <w:tcW w:w="920" w:type="dxa"/>
            <w:vAlign w:val="bottom"/>
            <w:gridSpan w:val="2"/>
          </w:tcPr>
          <w:p>
            <w:pPr>
              <w:jc w:val="right"/>
              <w:ind w:right="19"/>
              <w:spacing w:after="0"/>
              <w:rPr>
                <w:sz w:val="20"/>
                <w:szCs w:val="20"/>
                <w:color w:val="auto"/>
              </w:rPr>
            </w:pPr>
            <w:r>
              <w:rPr>
                <w:rFonts w:ascii="Arial" w:cs="Arial" w:eastAsia="Arial" w:hAnsi="Arial"/>
                <w:sz w:val="16"/>
                <w:szCs w:val="16"/>
                <w:color w:val="auto"/>
              </w:rPr>
              <w:t>​$1,527.0​</w:t>
            </w:r>
          </w:p>
        </w:tc>
      </w:tr>
      <w:tr>
        <w:trPr>
          <w:trHeight w:val="257"/>
        </w:trPr>
        <w:tc>
          <w:tcPr>
            <w:tcW w:w="280" w:type="dxa"/>
            <w:vAlign w:val="bottom"/>
          </w:tcPr>
          <w:p>
            <w:pPr>
              <w:spacing w:after="0"/>
              <w:rPr>
                <w:sz w:val="20"/>
                <w:szCs w:val="20"/>
                <w:color w:val="auto"/>
              </w:rPr>
            </w:pPr>
            <w:r>
              <w:rPr>
                <w:rFonts w:ascii="Arial" w:cs="Arial" w:eastAsia="Arial" w:hAnsi="Arial"/>
                <w:sz w:val="16"/>
                <w:szCs w:val="16"/>
                <w:color w:val="auto"/>
              </w:rPr>
              <w:t>​ ​</w:t>
            </w:r>
          </w:p>
        </w:tc>
        <w:tc>
          <w:tcPr>
            <w:tcW w:w="320" w:type="dxa"/>
            <w:vAlign w:val="bottom"/>
          </w:tcPr>
          <w:p>
            <w:pPr>
              <w:ind w:left="140"/>
              <w:spacing w:after="0"/>
              <w:rPr>
                <w:sz w:val="20"/>
                <w:szCs w:val="20"/>
                <w:color w:val="auto"/>
              </w:rPr>
            </w:pPr>
            <w:r>
              <w:rPr>
                <w:rFonts w:ascii="Arial" w:cs="Arial" w:eastAsia="Arial" w:hAnsi="Arial"/>
                <w:sz w:val="16"/>
                <w:szCs w:val="16"/>
                <w:color w:val="auto"/>
              </w:rPr>
              <w:t>​ ​</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195.2​</w:t>
            </w:r>
          </w:p>
        </w:tc>
      </w:tr>
      <w:tr>
        <w:trPr>
          <w:trHeight w:val="257"/>
        </w:trPr>
        <w:tc>
          <w:tcPr>
            <w:tcW w:w="280" w:type="dxa"/>
            <w:vAlign w:val="bottom"/>
          </w:tcPr>
          <w:p>
            <w:pPr>
              <w:spacing w:after="0"/>
              <w:rPr>
                <w:sz w:val="20"/>
                <w:szCs w:val="20"/>
                <w:color w:val="auto"/>
              </w:rPr>
            </w:pPr>
            <w:r>
              <w:rPr>
                <w:rFonts w:ascii="Arial" w:cs="Arial" w:eastAsia="Arial" w:hAnsi="Arial"/>
                <w:sz w:val="16"/>
                <w:szCs w:val="16"/>
                <w:color w:val="auto"/>
              </w:rPr>
              <w:t>​ ​</w:t>
            </w:r>
          </w:p>
        </w:tc>
        <w:tc>
          <w:tcPr>
            <w:tcW w:w="320" w:type="dxa"/>
            <w:vAlign w:val="bottom"/>
          </w:tcPr>
          <w:p>
            <w:pPr>
              <w:ind w:left="140"/>
              <w:spacing w:after="0"/>
              <w:rPr>
                <w:sz w:val="20"/>
                <w:szCs w:val="20"/>
                <w:color w:val="auto"/>
              </w:rPr>
            </w:pPr>
            <w:r>
              <w:rPr>
                <w:rFonts w:ascii="Arial" w:cs="Arial" w:eastAsia="Arial" w:hAnsi="Arial"/>
                <w:sz w:val="16"/>
                <w:szCs w:val="16"/>
                <w:color w:val="auto"/>
              </w:rPr>
              <w:t>​ ​</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22.1​</w:t>
            </w:r>
          </w:p>
        </w:tc>
      </w:tr>
      <w:tr>
        <w:trPr>
          <w:trHeight w:val="256"/>
        </w:trPr>
        <w:tc>
          <w:tcPr>
            <w:tcW w:w="280" w:type="dxa"/>
            <w:vAlign w:val="bottom"/>
          </w:tcPr>
          <w:p>
            <w:pPr>
              <w:spacing w:after="0"/>
              <w:rPr>
                <w:sz w:val="20"/>
                <w:szCs w:val="20"/>
                <w:color w:val="auto"/>
              </w:rPr>
            </w:pPr>
            <w:r>
              <w:rPr>
                <w:rFonts w:ascii="Arial" w:cs="Arial" w:eastAsia="Arial" w:hAnsi="Arial"/>
                <w:sz w:val="16"/>
                <w:szCs w:val="16"/>
                <w:color w:val="auto"/>
              </w:rPr>
              <w:t>​ ​</w:t>
            </w:r>
          </w:p>
        </w:tc>
        <w:tc>
          <w:tcPr>
            <w:tcW w:w="320" w:type="dxa"/>
            <w:vAlign w:val="bottom"/>
          </w:tcPr>
          <w:p>
            <w:pPr>
              <w:ind w:left="140"/>
              <w:spacing w:after="0"/>
              <w:rPr>
                <w:sz w:val="20"/>
                <w:szCs w:val="20"/>
                <w:color w:val="auto"/>
              </w:rPr>
            </w:pPr>
            <w:r>
              <w:rPr>
                <w:rFonts w:ascii="Arial" w:cs="Arial" w:eastAsia="Arial" w:hAnsi="Arial"/>
                <w:sz w:val="16"/>
                <w:szCs w:val="16"/>
                <w:color w:val="auto"/>
              </w:rPr>
              <w:t>​ ​</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268.5​</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rPr>
              <w:t>​ ​</w:t>
            </w:r>
          </w:p>
        </w:tc>
        <w:tc>
          <w:tcPr>
            <w:tcW w:w="320" w:type="dxa"/>
            <w:vAlign w:val="bottom"/>
          </w:tcPr>
          <w:p>
            <w:pPr>
              <w:ind w:left="140"/>
              <w:spacing w:after="0"/>
              <w:rPr>
                <w:sz w:val="20"/>
                <w:szCs w:val="20"/>
                <w:color w:val="auto"/>
              </w:rPr>
            </w:pPr>
            <w:r>
              <w:rPr>
                <w:rFonts w:ascii="Arial" w:cs="Arial" w:eastAsia="Arial" w:hAnsi="Arial"/>
                <w:sz w:val="16"/>
                <w:szCs w:val="16"/>
                <w:color w:val="auto"/>
              </w:rPr>
              <w:t>​ ​</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22.2​</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rPr>
              <w:t>​ ​</w:t>
            </w:r>
          </w:p>
        </w:tc>
        <w:tc>
          <w:tcPr>
            <w:tcW w:w="320" w:type="dxa"/>
            <w:vAlign w:val="bottom"/>
          </w:tcPr>
          <w:p>
            <w:pPr>
              <w:ind w:left="140"/>
              <w:spacing w:after="0"/>
              <w:rPr>
                <w:sz w:val="20"/>
                <w:szCs w:val="20"/>
                <w:color w:val="auto"/>
              </w:rPr>
            </w:pPr>
            <w:r>
              <w:rPr>
                <w:rFonts w:ascii="Arial" w:cs="Arial" w:eastAsia="Arial" w:hAnsi="Arial"/>
                <w:sz w:val="16"/>
                <w:szCs w:val="16"/>
                <w:color w:val="auto"/>
              </w:rPr>
              <w:t>​ ​</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rPr>
              <w:t>​ ​</w:t>
            </w:r>
          </w:p>
        </w:tc>
        <w:tc>
          <w:tcPr>
            <w:tcW w:w="920" w:type="dxa"/>
            <w:vAlign w:val="bottom"/>
            <w:gridSpan w:val="2"/>
          </w:tcPr>
          <w:p>
            <w:pPr>
              <w:jc w:val="right"/>
              <w:ind w:right="19"/>
              <w:spacing w:after="0"/>
              <w:rPr>
                <w:sz w:val="20"/>
                <w:szCs w:val="20"/>
                <w:color w:val="auto"/>
              </w:rPr>
            </w:pPr>
            <w:r>
              <w:rPr>
                <w:rFonts w:ascii="Arial" w:cs="Arial" w:eastAsia="Arial" w:hAnsi="Arial"/>
                <w:sz w:val="16"/>
                <w:szCs w:val="16"/>
                <w:color w:val="auto"/>
              </w:rPr>
              <w:t>​$2,045.0​</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rPr>
              <w:t>​ ​</w:t>
            </w:r>
          </w:p>
        </w:tc>
        <w:tc>
          <w:tcPr>
            <w:tcW w:w="320" w:type="dxa"/>
            <w:vAlign w:val="bottom"/>
          </w:tcPr>
          <w:p>
            <w:pPr>
              <w:ind w:left="140"/>
              <w:spacing w:after="0"/>
              <w:rPr>
                <w:sz w:val="20"/>
                <w:szCs w:val="20"/>
                <w:color w:val="auto"/>
              </w:rPr>
            </w:pPr>
            <w:r>
              <w:rPr>
                <w:rFonts w:ascii="Arial" w:cs="Arial" w:eastAsia="Arial" w:hAnsi="Arial"/>
                <w:sz w:val="16"/>
                <w:szCs w:val="16"/>
                <w:color w:val="auto"/>
              </w:rPr>
              <w:t>​ ​</w:t>
            </w:r>
          </w:p>
        </w:tc>
        <w:tc>
          <w:tcPr>
            <w:tcW w:w="60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384"/>
        </w:trPr>
        <w:tc>
          <w:tcPr>
            <w:tcW w:w="280" w:type="dxa"/>
            <w:vAlign w:val="bottom"/>
          </w:tcPr>
          <w:p>
            <w:pPr>
              <w:spacing w:after="0"/>
              <w:rPr>
                <w:sz w:val="20"/>
                <w:szCs w:val="20"/>
                <w:color w:val="auto"/>
              </w:rPr>
            </w:pPr>
            <w:r>
              <w:rPr>
                <w:rFonts w:ascii="Arial" w:cs="Arial" w:eastAsia="Arial" w:hAnsi="Arial"/>
                <w:sz w:val="16"/>
                <w:szCs w:val="16"/>
                <w:color w:val="auto"/>
              </w:rPr>
              <w:t>​ ​</w:t>
            </w:r>
          </w:p>
        </w:tc>
        <w:tc>
          <w:tcPr>
            <w:tcW w:w="320" w:type="dxa"/>
            <w:vAlign w:val="bottom"/>
          </w:tcPr>
          <w:p>
            <w:pPr>
              <w:ind w:left="14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w:t>
            </w:r>
          </w:p>
        </w:tc>
        <w:tc>
          <w:tcPr>
            <w:tcW w:w="600" w:type="dxa"/>
            <w:vAlign w:val="bottom"/>
          </w:tcPr>
          <w:p>
            <w:pPr>
              <w:jc w:val="right"/>
              <w:spacing w:after="0"/>
              <w:rPr>
                <w:sz w:val="20"/>
                <w:szCs w:val="20"/>
                <w:color w:val="auto"/>
              </w:rPr>
            </w:pPr>
            <w:r>
              <w:rPr>
                <w:rFonts w:ascii="Arial" w:cs="Arial" w:eastAsia="Arial" w:hAnsi="Arial"/>
                <w:sz w:val="16"/>
                <w:szCs w:val="16"/>
                <w:color w:val="auto"/>
              </w:rPr>
              <w:t>37.3​%</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20"/>
                <w:szCs w:val="20"/>
                <w:color w:val="auto"/>
              </w:rPr>
            </w:pPr>
            <w:r>
              <w:rPr>
                <w:rFonts w:ascii="Arial" w:cs="Arial" w:eastAsia="Arial" w:hAnsi="Arial"/>
                <w:sz w:val="16"/>
                <w:szCs w:val="16"/>
                <w:color w:val="auto"/>
              </w:rPr>
              <w:t>​ ​ ​</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​$1,612.7​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300" w:type="dxa"/>
            <w:vAlign w:val="bottom"/>
          </w:tcPr>
          <w:p>
            <w:pPr>
              <w:spacing w:after="0"/>
              <w:rPr>
                <w:sz w:val="20"/>
                <w:szCs w:val="20"/>
                <w:color w:val="auto"/>
              </w:rPr>
            </w:pPr>
            <w:r>
              <w:rPr>
                <w:rFonts w:ascii="Arial" w:cs="Arial" w:eastAsia="Arial" w:hAnsi="Arial"/>
                <w:sz w:val="16"/>
                <w:szCs w:val="16"/>
                <w:color w:val="auto"/>
              </w:rPr>
              <w:t>​ ​ ​</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540" w:type="dxa"/>
            <w:vAlign w:val="bottom"/>
          </w:tcPr>
          <w:p>
            <w:pPr>
              <w:jc w:val="right"/>
              <w:spacing w:after="0"/>
              <w:rPr>
                <w:sz w:val="20"/>
                <w:szCs w:val="20"/>
                <w:color w:val="auto"/>
              </w:rPr>
            </w:pPr>
            <w:r>
              <w:rPr>
                <w:rFonts w:ascii="Arial" w:cs="Arial" w:eastAsia="Arial" w:hAnsi="Arial"/>
                <w:sz w:val="16"/>
                <w:szCs w:val="16"/>
                <w:color w:val="auto"/>
              </w:rPr>
              <w:t>191.9​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300" w:type="dxa"/>
            <w:vAlign w:val="bottom"/>
          </w:tcPr>
          <w:p>
            <w:pPr>
              <w:spacing w:after="0"/>
              <w:rPr>
                <w:sz w:val="20"/>
                <w:szCs w:val="20"/>
                <w:color w:val="auto"/>
              </w:rPr>
            </w:pPr>
            <w:r>
              <w:rPr>
                <w:rFonts w:ascii="Arial" w:cs="Arial" w:eastAsia="Arial" w:hAnsi="Arial"/>
                <w:sz w:val="16"/>
                <w:szCs w:val="16"/>
                <w:color w:val="auto"/>
              </w:rPr>
              <w:t>​ ​ ​</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540" w:type="dxa"/>
            <w:vAlign w:val="bottom"/>
          </w:tcPr>
          <w:p>
            <w:pPr>
              <w:jc w:val="right"/>
              <w:spacing w:after="0"/>
              <w:rPr>
                <w:sz w:val="20"/>
                <w:szCs w:val="20"/>
                <w:color w:val="auto"/>
              </w:rPr>
            </w:pPr>
            <w:r>
              <w:rPr>
                <w:rFonts w:ascii="Arial" w:cs="Arial" w:eastAsia="Arial" w:hAnsi="Arial"/>
                <w:sz w:val="16"/>
                <w:szCs w:val="16"/>
                <w:color w:val="auto"/>
              </w:rPr>
              <w:t>60.2​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300" w:type="dxa"/>
            <w:vAlign w:val="bottom"/>
          </w:tcPr>
          <w:p>
            <w:pPr>
              <w:spacing w:after="0"/>
              <w:rPr>
                <w:sz w:val="20"/>
                <w:szCs w:val="20"/>
                <w:color w:val="auto"/>
              </w:rPr>
            </w:pPr>
            <w:r>
              <w:rPr>
                <w:rFonts w:ascii="Arial" w:cs="Arial" w:eastAsia="Arial" w:hAnsi="Arial"/>
                <w:sz w:val="16"/>
                <w:szCs w:val="16"/>
                <w:color w:val="auto"/>
              </w:rPr>
              <w:t>​ ​ ​</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540" w:type="dxa"/>
            <w:vAlign w:val="bottom"/>
          </w:tcPr>
          <w:p>
            <w:pPr>
              <w:jc w:val="right"/>
              <w:spacing w:after="0"/>
              <w:rPr>
                <w:sz w:val="20"/>
                <w:szCs w:val="20"/>
                <w:color w:val="auto"/>
              </w:rPr>
            </w:pPr>
            <w:r>
              <w:rPr>
                <w:rFonts w:ascii="Arial" w:cs="Arial" w:eastAsia="Arial" w:hAnsi="Arial"/>
                <w:sz w:val="16"/>
                <w:szCs w:val="16"/>
                <w:color w:val="auto"/>
              </w:rPr>
              <w:t>75.6​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00" w:type="dxa"/>
            <w:vAlign w:val="bottom"/>
          </w:tcPr>
          <w:p>
            <w:pPr>
              <w:spacing w:after="0"/>
              <w:rPr>
                <w:sz w:val="20"/>
                <w:szCs w:val="20"/>
                <w:color w:val="auto"/>
              </w:rPr>
            </w:pPr>
            <w:r>
              <w:rPr>
                <w:rFonts w:ascii="Arial" w:cs="Arial" w:eastAsia="Arial" w:hAnsi="Arial"/>
                <w:sz w:val="16"/>
                <w:szCs w:val="16"/>
                <w:color w:val="auto"/>
              </w:rPr>
              <w:t>​ ​ ​</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540" w:type="dxa"/>
            <w:vAlign w:val="bottom"/>
          </w:tcPr>
          <w:p>
            <w:pPr>
              <w:jc w:val="right"/>
              <w:spacing w:after="0"/>
              <w:rPr>
                <w:sz w:val="20"/>
                <w:szCs w:val="20"/>
                <w:color w:val="auto"/>
              </w:rPr>
            </w:pPr>
            <w:r>
              <w:rPr>
                <w:rFonts w:ascii="Arial" w:cs="Arial" w:eastAsia="Arial" w:hAnsi="Arial"/>
                <w:sz w:val="16"/>
                <w:szCs w:val="16"/>
                <w:color w:val="auto"/>
              </w:rPr>
              <w:t>10.9​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00" w:type="dxa"/>
            <w:vAlign w:val="bottom"/>
          </w:tcPr>
          <w:p>
            <w:pPr>
              <w:spacing w:after="0"/>
              <w:rPr>
                <w:sz w:val="20"/>
                <w:szCs w:val="20"/>
                <w:color w:val="auto"/>
              </w:rPr>
            </w:pPr>
            <w:r>
              <w:rPr>
                <w:rFonts w:ascii="Arial" w:cs="Arial" w:eastAsia="Arial" w:hAnsi="Arial"/>
                <w:sz w:val="16"/>
                <w:szCs w:val="16"/>
                <w:color w:val="auto"/>
              </w:rPr>
              <w:t>​ ​ ​</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54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00" w:type="dxa"/>
            <w:vAlign w:val="bottom"/>
          </w:tcPr>
          <w:p>
            <w:pPr>
              <w:spacing w:after="0"/>
              <w:rPr>
                <w:sz w:val="20"/>
                <w:szCs w:val="20"/>
                <w:color w:val="auto"/>
              </w:rPr>
            </w:pPr>
            <w:r>
              <w:rPr>
                <w:rFonts w:ascii="Arial" w:cs="Arial" w:eastAsia="Arial" w:hAnsi="Arial"/>
                <w:sz w:val="16"/>
                <w:szCs w:val="16"/>
                <w:color w:val="auto"/>
              </w:rPr>
              <w:t>​ ​ ​</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​$1,953.1​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00" w:type="dxa"/>
            <w:vAlign w:val="bottom"/>
          </w:tcPr>
          <w:p>
            <w:pPr>
              <w:spacing w:after="0"/>
              <w:rPr>
                <w:sz w:val="20"/>
                <w:szCs w:val="20"/>
                <w:color w:val="auto"/>
              </w:rPr>
            </w:pPr>
            <w:r>
              <w:rPr>
                <w:rFonts w:ascii="Arial" w:cs="Arial" w:eastAsia="Arial" w:hAnsi="Arial"/>
                <w:sz w:val="16"/>
                <w:szCs w:val="16"/>
                <w:color w:val="auto"/>
              </w:rPr>
              <w:t>​ ​ ​</w:t>
            </w:r>
          </w:p>
        </w:tc>
        <w:tc>
          <w:tcPr>
            <w:tcW w:w="240" w:type="dxa"/>
            <w:vAlign w:val="bottom"/>
          </w:tcPr>
          <w:p>
            <w:pPr>
              <w:ind w:left="40"/>
              <w:spacing w:after="0"/>
              <w:rPr>
                <w:sz w:val="20"/>
                <w:szCs w:val="20"/>
                <w:color w:val="auto"/>
              </w:rPr>
            </w:pPr>
            <w:r>
              <w:rPr>
                <w:rFonts w:ascii="Arial" w:cs="Arial" w:eastAsia="Arial" w:hAnsi="Arial"/>
                <w:sz w:val="16"/>
                <w:szCs w:val="16"/>
                <w:color w:val="auto"/>
              </w:rPr>
              <w:t>​ ​</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31.6​%​​</w:t>
            </w:r>
          </w:p>
        </w:tc>
      </w:tr>
      <w:tr>
        <w:trPr>
          <w:trHeight w:val="384"/>
        </w:trPr>
        <w:tc>
          <w:tcPr>
            <w:tcW w:w="300" w:type="dxa"/>
            <w:vAlign w:val="bottom"/>
          </w:tcPr>
          <w:p>
            <w:pPr>
              <w:spacing w:after="0"/>
              <w:rPr>
                <w:sz w:val="20"/>
                <w:szCs w:val="20"/>
                <w:color w:val="auto"/>
              </w:rPr>
            </w:pPr>
            <w:r>
              <w:rPr>
                <w:rFonts w:ascii="Arial" w:cs="Arial" w:eastAsia="Arial" w:hAnsi="Arial"/>
                <w:sz w:val="16"/>
                <w:szCs w:val="16"/>
                <w:color w:val="auto"/>
              </w:rPr>
              <w:t>​ ​ ​</w:t>
            </w:r>
          </w:p>
        </w:tc>
        <w:tc>
          <w:tcPr>
            <w:tcW w:w="240" w:type="dxa"/>
            <w:vAlign w:val="bottom"/>
          </w:tcPr>
          <w:p>
            <w:pPr>
              <w:ind w:left="4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38.2​%</w:t>
            </w:r>
            <w:r>
              <w:rPr>
                <w:rFonts w:ascii="Arial" w:cs="Arial" w:eastAsia="Arial" w:hAnsi="Arial"/>
                <w:sz w:val="32"/>
                <w:szCs w:val="32"/>
                <w:color w:val="auto"/>
                <w:vertAlign w:val="subscript"/>
              </w:rPr>
              <w:t>​​</w:t>
            </w:r>
          </w:p>
        </w:tc>
      </w:tr>
    </w:tbl>
    <w:p>
      <w:pPr>
        <w:spacing w:after="0" w:line="20" w:lineRule="exact"/>
        <w:rPr>
          <w:sz w:val="20"/>
          <w:szCs w:val="20"/>
          <w:color w:val="auto"/>
        </w:rPr>
      </w:pPr>
    </w:p>
    <w:p>
      <w:pPr>
        <w:sectPr>
          <w:pgSz w:w="11900" w:h="16838" w:orient="portrait"/>
          <w:cols w:equalWidth="0" w:num="3">
            <w:col w:w="6900" w:space="720"/>
            <w:col w:w="1200" w:space="160"/>
            <w:col w:w="1220"/>
          </w:cols>
          <w:pgMar w:left="480" w:top="131" w:right="1219" w:bottom="1440" w:gutter="0" w:footer="0" w:header="0"/>
          <w:type w:val="continuous"/>
        </w:sectPr>
      </w:pPr>
    </w:p>
    <w:tbl>
      <w:tblPr>
        <w:tblLayout w:type="fixed"/>
        <w:tblInd w:w="760" w:type="dxa"/>
        <w:tblCellMar>
          <w:top w:w="0" w:type="dxa"/>
          <w:left w:w="0" w:type="dxa"/>
          <w:bottom w:w="0" w:type="dxa"/>
          <w:right w:w="0" w:type="dxa"/>
        </w:tblCellMar>
      </w:tblPr>
      <w:tr>
        <w:trPr>
          <w:trHeight w:val="277"/>
        </w:trPr>
        <w:tc>
          <w:tcPr>
            <w:tcW w:w="140" w:type="dxa"/>
            <w:vAlign w:val="bottom"/>
            <w:shd w:val="clear" w:color="auto" w:fill="0075A8"/>
          </w:tcPr>
          <w:p>
            <w:pPr>
              <w:jc w:val="right"/>
              <w:spacing w:after="0"/>
              <w:rPr>
                <w:sz w:val="20"/>
                <w:szCs w:val="20"/>
                <w:color w:val="auto"/>
              </w:rPr>
            </w:pPr>
            <w:r>
              <w:rPr>
                <w:rFonts w:ascii="Arial" w:cs="Arial" w:eastAsia="Arial" w:hAnsi="Arial"/>
                <w:sz w:val="18"/>
                <w:szCs w:val="18"/>
                <w:color w:val="FFFFFF"/>
              </w:rPr>
              <w:t>​​</w:t>
            </w:r>
          </w:p>
        </w:tc>
        <w:tc>
          <w:tcPr>
            <w:tcW w:w="4020" w:type="dxa"/>
            <w:vAlign w:val="bottom"/>
            <w:shd w:val="clear" w:color="auto" w:fill="0075A8"/>
          </w:tcPr>
          <w:p>
            <w:pPr>
              <w:spacing w:after="0"/>
              <w:rPr>
                <w:sz w:val="24"/>
                <w:szCs w:val="24"/>
                <w:color w:val="auto"/>
              </w:rPr>
            </w:pPr>
          </w:p>
        </w:tc>
        <w:tc>
          <w:tcPr>
            <w:tcW w:w="420" w:type="dxa"/>
            <w:vAlign w:val="bottom"/>
            <w:gridSpan w:val="2"/>
            <w:shd w:val="clear" w:color="auto" w:fill="0075A8"/>
          </w:tcPr>
          <w:p>
            <w:pPr>
              <w:spacing w:after="0"/>
              <w:rPr>
                <w:sz w:val="20"/>
                <w:szCs w:val="20"/>
                <w:color w:val="auto"/>
              </w:rPr>
            </w:pPr>
            <w:r>
              <w:rPr>
                <w:rFonts w:ascii="Arial" w:cs="Arial" w:eastAsia="Arial" w:hAnsi="Arial"/>
                <w:sz w:val="18"/>
                <w:szCs w:val="18"/>
                <w:color w:val="FFFFFF"/>
              </w:rPr>
              <w:t>​ ​</w:t>
            </w:r>
          </w:p>
        </w:tc>
        <w:tc>
          <w:tcPr>
            <w:tcW w:w="340" w:type="dxa"/>
            <w:vAlign w:val="bottom"/>
            <w:shd w:val="clear" w:color="auto" w:fill="0075A8"/>
          </w:tcPr>
          <w:p>
            <w:pPr>
              <w:spacing w:after="0"/>
              <w:rPr>
                <w:sz w:val="24"/>
                <w:szCs w:val="24"/>
                <w:color w:val="auto"/>
              </w:rPr>
            </w:pPr>
          </w:p>
        </w:tc>
        <w:tc>
          <w:tcPr>
            <w:tcW w:w="680" w:type="dxa"/>
            <w:vAlign w:val="bottom"/>
            <w:shd w:val="clear" w:color="auto" w:fill="0075A8"/>
          </w:tcPr>
          <w:p>
            <w:pPr>
              <w:spacing w:after="0"/>
              <w:rPr>
                <w:sz w:val="24"/>
                <w:szCs w:val="24"/>
                <w:color w:val="auto"/>
              </w:rPr>
            </w:pPr>
          </w:p>
        </w:tc>
        <w:tc>
          <w:tcPr>
            <w:tcW w:w="360" w:type="dxa"/>
            <w:vAlign w:val="bottom"/>
            <w:shd w:val="clear" w:color="auto" w:fill="0075A8"/>
          </w:tcPr>
          <w:p>
            <w:pPr>
              <w:spacing w:after="0"/>
              <w:rPr>
                <w:sz w:val="24"/>
                <w:szCs w:val="24"/>
                <w:color w:val="auto"/>
              </w:rPr>
            </w:pPr>
          </w:p>
        </w:tc>
        <w:tc>
          <w:tcPr>
            <w:tcW w:w="2240" w:type="dxa"/>
            <w:vAlign w:val="bottom"/>
            <w:gridSpan w:val="4"/>
            <w:shd w:val="clear" w:color="auto" w:fill="0075A8"/>
          </w:tcPr>
          <w:p>
            <w:pPr>
              <w:ind w:left="140"/>
              <w:spacing w:after="0"/>
              <w:rPr>
                <w:sz w:val="20"/>
                <w:szCs w:val="20"/>
                <w:color w:val="auto"/>
              </w:rPr>
            </w:pPr>
            <w:r>
              <w:rPr>
                <w:rFonts w:ascii="Arial" w:cs="Arial" w:eastAsia="Arial" w:hAnsi="Arial"/>
                <w:sz w:val="18"/>
                <w:szCs w:val="18"/>
                <w:color w:val="FFFFFF"/>
              </w:rPr>
              <w:t>Fiscal Years Ended</w:t>
            </w:r>
          </w:p>
        </w:tc>
        <w:tc>
          <w:tcPr>
            <w:tcW w:w="380" w:type="dxa"/>
            <w:vAlign w:val="bottom"/>
            <w:shd w:val="clear" w:color="auto" w:fill="0075A8"/>
          </w:tcPr>
          <w:p>
            <w:pPr>
              <w:spacing w:after="0"/>
              <w:rPr>
                <w:sz w:val="24"/>
                <w:szCs w:val="24"/>
                <w:color w:val="auto"/>
              </w:rPr>
            </w:pPr>
          </w:p>
        </w:tc>
        <w:tc>
          <w:tcPr>
            <w:tcW w:w="300" w:type="dxa"/>
            <w:vAlign w:val="bottom"/>
            <w:shd w:val="clear" w:color="auto" w:fill="0075A8"/>
          </w:tcPr>
          <w:p>
            <w:pPr>
              <w:spacing w:after="0"/>
              <w:rPr>
                <w:sz w:val="24"/>
                <w:szCs w:val="24"/>
                <w:color w:val="auto"/>
              </w:rPr>
            </w:pPr>
          </w:p>
        </w:tc>
        <w:tc>
          <w:tcPr>
            <w:tcW w:w="440" w:type="dxa"/>
            <w:vAlign w:val="bottom"/>
            <w:shd w:val="clear" w:color="auto" w:fill="0075A8"/>
          </w:tcPr>
          <w:p>
            <w:pPr>
              <w:spacing w:after="0"/>
              <w:rPr>
                <w:sz w:val="24"/>
                <w:szCs w:val="24"/>
                <w:color w:val="auto"/>
              </w:rPr>
            </w:pPr>
          </w:p>
        </w:tc>
        <w:tc>
          <w:tcPr>
            <w:tcW w:w="80" w:type="dxa"/>
            <w:vAlign w:val="bottom"/>
            <w:shd w:val="clear" w:color="auto" w:fill="0075A8"/>
          </w:tcPr>
          <w:p>
            <w:pPr>
              <w:ind w:left="20"/>
              <w:spacing w:after="0"/>
              <w:rPr>
                <w:sz w:val="20"/>
                <w:szCs w:val="20"/>
                <w:color w:val="auto"/>
              </w:rPr>
            </w:pPr>
            <w:r>
              <w:rPr>
                <w:rFonts w:ascii="Arial" w:cs="Arial" w:eastAsia="Arial" w:hAnsi="Arial"/>
                <w:sz w:val="18"/>
                <w:szCs w:val="18"/>
                <w:color w:val="FFFFFF"/>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color w:val="FFFFFF"/>
              </w:rPr>
              <w:t>September 30,</w:t>
            </w:r>
          </w:p>
        </w:tc>
        <w:tc>
          <w:tcPr>
            <w:tcW w:w="1120" w:type="dxa"/>
            <w:vAlign w:val="bottom"/>
            <w:gridSpan w:val="3"/>
          </w:tcPr>
          <w:p>
            <w:pPr>
              <w:jc w:val="right"/>
              <w:spacing w:after="0"/>
              <w:rPr>
                <w:sz w:val="20"/>
                <w:szCs w:val="20"/>
                <w:color w:val="auto"/>
              </w:rPr>
            </w:pPr>
            <w:r>
              <w:rPr>
                <w:rFonts w:ascii="Arial" w:cs="Arial" w:eastAsia="Arial" w:hAnsi="Arial"/>
                <w:sz w:val="18"/>
                <w:szCs w:val="18"/>
                <w:color w:val="FFFFFF"/>
              </w:rPr>
              <w:t>October 1,</w:t>
            </w:r>
          </w:p>
        </w:tc>
        <w:tc>
          <w:tcPr>
            <w:tcW w:w="1480" w:type="dxa"/>
            <w:vAlign w:val="bottom"/>
            <w:gridSpan w:val="2"/>
          </w:tcPr>
          <w:p>
            <w:pPr>
              <w:ind w:left="260"/>
              <w:spacing w:after="0"/>
              <w:rPr>
                <w:sz w:val="20"/>
                <w:szCs w:val="20"/>
                <w:color w:val="auto"/>
              </w:rPr>
            </w:pPr>
            <w:r>
              <w:rPr>
                <w:rFonts w:ascii="Arial" w:cs="Arial" w:eastAsia="Arial" w:hAnsi="Arial"/>
                <w:sz w:val="18"/>
                <w:szCs w:val="18"/>
                <w:color w:val="FFFFFF"/>
              </w:rPr>
              <w:t>September 28,</w:t>
            </w:r>
          </w:p>
        </w:tc>
        <w:tc>
          <w:tcPr>
            <w:tcW w:w="1120" w:type="dxa"/>
            <w:vAlign w:val="bottom"/>
            <w:gridSpan w:val="3"/>
          </w:tcPr>
          <w:p>
            <w:pPr>
              <w:ind w:left="260"/>
              <w:spacing w:after="0"/>
              <w:rPr>
                <w:sz w:val="20"/>
                <w:szCs w:val="20"/>
                <w:color w:val="auto"/>
              </w:rPr>
            </w:pPr>
            <w:r>
              <w:rPr>
                <w:rFonts w:ascii="Arial" w:cs="Arial" w:eastAsia="Arial" w:hAnsi="Arial"/>
                <w:sz w:val="18"/>
                <w:szCs w:val="18"/>
                <w:color w:val="FFFFFF"/>
                <w:w w:val="99"/>
              </w:rPr>
              <w:t>October 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FFFFFF"/>
              </w:rPr>
              <w:t>​​</w:t>
            </w:r>
          </w:p>
        </w:tc>
        <w:tc>
          <w:tcPr>
            <w:tcW w:w="402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FFFFFF"/>
              </w:rPr>
              <w:t>​ ​</w:t>
            </w:r>
          </w:p>
        </w:tc>
        <w:tc>
          <w:tcPr>
            <w:tcW w:w="1020" w:type="dxa"/>
            <w:vAlign w:val="bottom"/>
            <w:gridSpan w:val="2"/>
          </w:tcPr>
          <w:p>
            <w:pPr>
              <w:ind w:left="220"/>
              <w:spacing w:after="0"/>
              <w:rPr>
                <w:sz w:val="20"/>
                <w:szCs w:val="20"/>
                <w:color w:val="auto"/>
              </w:rPr>
            </w:pPr>
            <w:r>
              <w:rPr>
                <w:rFonts w:ascii="Arial" w:cs="Arial" w:eastAsia="Arial" w:hAnsi="Arial"/>
                <w:sz w:val="18"/>
                <w:szCs w:val="18"/>
                <w:color w:val="FFFFFF"/>
              </w:rPr>
              <w:t>2022</w:t>
            </w:r>
          </w:p>
        </w:tc>
        <w:tc>
          <w:tcPr>
            <w:tcW w:w="360" w:type="dxa"/>
            <w:vAlign w:val="bottom"/>
          </w:tcPr>
          <w:p>
            <w:pPr>
              <w:jc w:val="center"/>
              <w:spacing w:after="0"/>
              <w:rPr>
                <w:sz w:val="20"/>
                <w:szCs w:val="20"/>
                <w:color w:val="auto"/>
              </w:rPr>
            </w:pPr>
            <w:r>
              <w:rPr>
                <w:rFonts w:ascii="Arial" w:cs="Arial" w:eastAsia="Arial" w:hAnsi="Arial"/>
                <w:sz w:val="18"/>
                <w:szCs w:val="18"/>
                <w:color w:val="FFFFFF"/>
              </w:rPr>
              <w:t>​ ​</w:t>
            </w:r>
          </w:p>
        </w:tc>
        <w:tc>
          <w:tcPr>
            <w:tcW w:w="760" w:type="dxa"/>
            <w:vAlign w:val="bottom"/>
            <w:gridSpan w:val="2"/>
          </w:tcPr>
          <w:p>
            <w:pPr>
              <w:ind w:left="140"/>
              <w:spacing w:after="0"/>
              <w:rPr>
                <w:sz w:val="20"/>
                <w:szCs w:val="20"/>
                <w:color w:val="auto"/>
              </w:rPr>
            </w:pPr>
            <w:r>
              <w:rPr>
                <w:rFonts w:ascii="Arial" w:cs="Arial" w:eastAsia="Arial" w:hAnsi="Arial"/>
                <w:sz w:val="18"/>
                <w:szCs w:val="18"/>
                <w:color w:val="FFFFFF"/>
              </w:rPr>
              <w:t>2021</w:t>
            </w:r>
          </w:p>
        </w:tc>
        <w:tc>
          <w:tcPr>
            <w:tcW w:w="480" w:type="dxa"/>
            <w:vAlign w:val="bottom"/>
          </w:tcPr>
          <w:p>
            <w:pPr>
              <w:jc w:val="center"/>
              <w:ind w:right="37"/>
              <w:spacing w:after="0"/>
              <w:rPr>
                <w:sz w:val="20"/>
                <w:szCs w:val="20"/>
                <w:color w:val="auto"/>
              </w:rPr>
            </w:pPr>
            <w:r>
              <w:rPr>
                <w:rFonts w:ascii="Arial" w:cs="Arial" w:eastAsia="Arial" w:hAnsi="Arial"/>
                <w:sz w:val="18"/>
                <w:szCs w:val="18"/>
                <w:color w:val="FFFFFF"/>
              </w:rPr>
              <w:t>​ ​</w:t>
            </w:r>
          </w:p>
        </w:tc>
        <w:tc>
          <w:tcPr>
            <w:tcW w:w="1000" w:type="dxa"/>
            <w:vAlign w:val="bottom"/>
          </w:tcPr>
          <w:p>
            <w:pPr>
              <w:ind w:left="200"/>
              <w:spacing w:after="0"/>
              <w:rPr>
                <w:sz w:val="20"/>
                <w:szCs w:val="20"/>
                <w:color w:val="auto"/>
              </w:rPr>
            </w:pPr>
            <w:r>
              <w:rPr>
                <w:rFonts w:ascii="Arial" w:cs="Arial" w:eastAsia="Arial" w:hAnsi="Arial"/>
                <w:sz w:val="18"/>
                <w:szCs w:val="18"/>
                <w:color w:val="FFFFFF"/>
              </w:rPr>
              <w:t>2018</w:t>
            </w:r>
          </w:p>
        </w:tc>
        <w:tc>
          <w:tcPr>
            <w:tcW w:w="380" w:type="dxa"/>
            <w:vAlign w:val="bottom"/>
          </w:tcPr>
          <w:p>
            <w:pPr>
              <w:jc w:val="center"/>
              <w:spacing w:after="0"/>
              <w:rPr>
                <w:sz w:val="20"/>
                <w:szCs w:val="20"/>
                <w:color w:val="auto"/>
              </w:rPr>
            </w:pPr>
            <w:r>
              <w:rPr>
                <w:rFonts w:ascii="Arial" w:cs="Arial" w:eastAsia="Arial" w:hAnsi="Arial"/>
                <w:sz w:val="18"/>
                <w:szCs w:val="18"/>
                <w:color w:val="FFFFFF"/>
              </w:rPr>
              <w:t>​ ​</w:t>
            </w:r>
          </w:p>
        </w:tc>
        <w:tc>
          <w:tcPr>
            <w:tcW w:w="740" w:type="dxa"/>
            <w:vAlign w:val="bottom"/>
            <w:gridSpan w:val="2"/>
          </w:tcPr>
          <w:p>
            <w:pPr>
              <w:ind w:left="120"/>
              <w:spacing w:after="0"/>
              <w:rPr>
                <w:sz w:val="20"/>
                <w:szCs w:val="20"/>
                <w:color w:val="auto"/>
              </w:rPr>
            </w:pPr>
            <w:r>
              <w:rPr>
                <w:rFonts w:ascii="Arial" w:cs="Arial" w:eastAsia="Arial" w:hAnsi="Arial"/>
                <w:sz w:val="18"/>
                <w:szCs w:val="18"/>
                <w:color w:val="FFFFFF"/>
              </w:rPr>
              <w:t>2014</w:t>
            </w:r>
          </w:p>
        </w:tc>
        <w:tc>
          <w:tcPr>
            <w:tcW w:w="120" w:type="dxa"/>
            <w:vAlign w:val="bottom"/>
            <w:gridSpan w:val="2"/>
          </w:tcPr>
          <w:p>
            <w:pPr>
              <w:ind w:left="6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03"/>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GAAP net income per share, diluted</w:t>
            </w:r>
          </w:p>
        </w:tc>
        <w:tc>
          <w:tcPr>
            <w:tcW w:w="120" w:type="dxa"/>
            <w:vAlign w:val="bottom"/>
          </w:tcPr>
          <w:p>
            <w:pPr>
              <w:spacing w:after="0"/>
              <w:rPr>
                <w:sz w:val="17"/>
                <w:szCs w:val="17"/>
                <w:color w:val="auto"/>
              </w:rPr>
            </w:pPr>
          </w:p>
        </w:tc>
        <w:tc>
          <w:tcPr>
            <w:tcW w:w="300" w:type="dxa"/>
            <w:vAlign w:val="bottom"/>
            <w:vMerge w:val="restart"/>
          </w:tcPr>
          <w:p>
            <w:pPr>
              <w:spacing w:after="0"/>
              <w:rPr>
                <w:sz w:val="20"/>
                <w:szCs w:val="20"/>
                <w:color w:val="auto"/>
              </w:rPr>
            </w:pPr>
            <w:r>
              <w:rPr>
                <w:rFonts w:ascii="Arial" w:cs="Arial" w:eastAsia="Arial" w:hAnsi="Arial"/>
                <w:sz w:val="16"/>
                <w:szCs w:val="16"/>
                <w:color w:val="auto"/>
              </w:rPr>
              <w:t>​ ​</w:t>
            </w:r>
          </w:p>
        </w:tc>
        <w:tc>
          <w:tcPr>
            <w:tcW w:w="340" w:type="dxa"/>
            <w:vAlign w:val="bottom"/>
          </w:tcPr>
          <w:p>
            <w:pPr>
              <w:ind w:left="1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9"/>
              <w:spacing w:after="0"/>
              <w:rPr>
                <w:sz w:val="20"/>
                <w:szCs w:val="20"/>
                <w:color w:val="auto"/>
              </w:rPr>
            </w:pPr>
            <w:r>
              <w:rPr>
                <w:rFonts w:ascii="Arial" w:cs="Arial" w:eastAsia="Arial" w:hAnsi="Arial"/>
                <w:sz w:val="16"/>
                <w:szCs w:val="16"/>
                <w:color w:val="auto"/>
              </w:rPr>
              <w:t>7.81​</w:t>
            </w:r>
          </w:p>
        </w:tc>
        <w:tc>
          <w:tcPr>
            <w:tcW w:w="360" w:type="dxa"/>
            <w:vAlign w:val="bottom"/>
            <w:vMerge w:val="restart"/>
          </w:tcPr>
          <w:p>
            <w:pPr>
              <w:jc w:val="center"/>
              <w:spacing w:after="0"/>
              <w:rPr>
                <w:sz w:val="20"/>
                <w:szCs w:val="20"/>
                <w:color w:val="auto"/>
              </w:rPr>
            </w:pPr>
            <w:r>
              <w:rPr>
                <w:rFonts w:ascii="Arial" w:cs="Arial" w:eastAsia="Arial" w:hAnsi="Arial"/>
                <w:sz w:val="16"/>
                <w:szCs w:val="16"/>
                <w:color w:val="auto"/>
              </w:rPr>
              <w:t>​ ​ ​</w:t>
            </w:r>
          </w:p>
        </w:tc>
        <w:tc>
          <w:tcPr>
            <w:tcW w:w="260" w:type="dxa"/>
            <w:vAlign w:val="bottom"/>
          </w:tcPr>
          <w:p>
            <w:pPr>
              <w:ind w:left="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8.97​</w:t>
            </w:r>
          </w:p>
        </w:tc>
        <w:tc>
          <w:tcPr>
            <w:tcW w:w="480" w:type="dxa"/>
            <w:vAlign w:val="bottom"/>
            <w:vMerge w:val="restart"/>
          </w:tcPr>
          <w:p>
            <w:pPr>
              <w:jc w:val="center"/>
              <w:ind w:right="57"/>
              <w:spacing w:after="0"/>
              <w:rPr>
                <w:sz w:val="20"/>
                <w:szCs w:val="20"/>
                <w:color w:val="auto"/>
              </w:rPr>
            </w:pPr>
            <w:r>
              <w:rPr>
                <w:rFonts w:ascii="Arial" w:cs="Arial" w:eastAsia="Arial" w:hAnsi="Arial"/>
                <w:sz w:val="16"/>
                <w:szCs w:val="16"/>
                <w:color w:val="auto"/>
              </w:rPr>
              <w:t>​ ​ ​</w:t>
            </w:r>
          </w:p>
        </w:tc>
        <w:tc>
          <w:tcPr>
            <w:tcW w:w="1000" w:type="dxa"/>
            <w:vAlign w:val="bottom"/>
          </w:tcPr>
          <w:p>
            <w:pPr>
              <w:ind w:left="160"/>
              <w:spacing w:after="0"/>
              <w:rPr>
                <w:sz w:val="20"/>
                <w:szCs w:val="20"/>
                <w:color w:val="auto"/>
              </w:rPr>
            </w:pPr>
            <w:r>
              <w:rPr>
                <w:rFonts w:ascii="Arial" w:cs="Arial" w:eastAsia="Arial" w:hAnsi="Arial"/>
                <w:sz w:val="16"/>
                <w:szCs w:val="16"/>
                <w:color w:val="auto"/>
              </w:rPr>
              <w:t>$ 5.01​</w:t>
            </w:r>
          </w:p>
        </w:tc>
        <w:tc>
          <w:tcPr>
            <w:tcW w:w="380" w:type="dxa"/>
            <w:vAlign w:val="bottom"/>
            <w:vMerge w:val="restart"/>
          </w:tcPr>
          <w:p>
            <w:pPr>
              <w:jc w:val="center"/>
              <w:spacing w:after="0"/>
              <w:rPr>
                <w:sz w:val="20"/>
                <w:szCs w:val="20"/>
                <w:color w:val="auto"/>
              </w:rPr>
            </w:pPr>
            <w:r>
              <w:rPr>
                <w:rFonts w:ascii="Arial" w:cs="Arial" w:eastAsia="Arial" w:hAnsi="Arial"/>
                <w:sz w:val="16"/>
                <w:szCs w:val="16"/>
                <w:color w:val="auto"/>
              </w:rPr>
              <w:t>​ ​ ​</w:t>
            </w: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$2.38​</w:t>
            </w:r>
          </w:p>
        </w:tc>
        <w:tc>
          <w:tcPr>
            <w:tcW w:w="12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4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4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340" w:type="dxa"/>
            <w:vAlign w:val="bottom"/>
          </w:tcPr>
          <w:p>
            <w:pPr>
              <w:ind w:left="16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2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000" w:type="dxa"/>
            <w:vAlign w:val="bottom"/>
          </w:tcPr>
          <w:p>
            <w:pPr>
              <w:ind w:left="160"/>
              <w:spacing w:after="0" w:line="54" w:lineRule="exact"/>
              <w:rPr>
                <w:sz w:val="20"/>
                <w:szCs w:val="20"/>
                <w:color w:val="auto"/>
              </w:rPr>
            </w:pPr>
            <w:r>
              <w:rPr>
                <w:rFonts w:ascii="Arial" w:cs="Arial" w:eastAsia="Arial" w:hAnsi="Arial"/>
                <w:sz w:val="6"/>
                <w:szCs w:val="6"/>
                <w:color w:val="auto"/>
              </w:rPr>
              <w:t>​</w:t>
            </w:r>
          </w:p>
        </w:tc>
        <w:tc>
          <w:tcPr>
            <w:tcW w:w="380" w:type="dxa"/>
            <w:vAlign w:val="bottom"/>
            <w:vMerge w:val="continue"/>
          </w:tcPr>
          <w:p>
            <w:pPr>
              <w:spacing w:after="0"/>
              <w:rPr>
                <w:sz w:val="4"/>
                <w:szCs w:val="4"/>
                <w:color w:val="auto"/>
              </w:rPr>
            </w:pPr>
          </w:p>
        </w:tc>
        <w:tc>
          <w:tcPr>
            <w:tcW w:w="30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44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020" w:type="dxa"/>
            <w:vAlign w:val="bottom"/>
          </w:tcPr>
          <w:p>
            <w:pPr>
              <w:ind w:left="60"/>
              <w:spacing w:after="0"/>
              <w:rPr>
                <w:sz w:val="20"/>
                <w:szCs w:val="20"/>
                <w:color w:val="auto"/>
              </w:rPr>
            </w:pPr>
            <w:r>
              <w:rPr>
                <w:rFonts w:ascii="Arial" w:cs="Arial" w:eastAsia="Arial" w:hAnsi="Arial"/>
                <w:sz w:val="16"/>
                <w:szCs w:val="16"/>
                <w:color w:val="auto"/>
              </w:rPr>
              <w:t>Share-based compensation expense</w:t>
            </w:r>
            <w:r>
              <w:rPr>
                <w:rFonts w:ascii="Arial" w:cs="Arial" w:eastAsia="Arial" w:hAnsi="Arial"/>
                <w:sz w:val="16"/>
                <w:szCs w:val="16"/>
                <w:color w:val="0075A8"/>
              </w:rPr>
              <w:t>(a)</w:t>
            </w:r>
          </w:p>
        </w:tc>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 ​</w:t>
            </w:r>
          </w:p>
        </w:tc>
        <w:tc>
          <w:tcPr>
            <w:tcW w:w="1020" w:type="dxa"/>
            <w:vAlign w:val="bottom"/>
            <w:gridSpan w:val="2"/>
          </w:tcPr>
          <w:p>
            <w:pPr>
              <w:ind w:left="160"/>
              <w:spacing w:after="0"/>
              <w:rPr>
                <w:sz w:val="20"/>
                <w:szCs w:val="20"/>
                <w:color w:val="auto"/>
              </w:rPr>
            </w:pPr>
            <w:r>
              <w:rPr>
                <w:rFonts w:ascii="Arial" w:cs="Arial" w:eastAsia="Arial" w:hAnsi="Arial"/>
                <w:sz w:val="16"/>
                <w:szCs w:val="16"/>
                <w:color w:val="auto"/>
              </w:rPr>
              <w:t>​ ​ 1.20​</w:t>
            </w:r>
          </w:p>
        </w:tc>
        <w:tc>
          <w:tcPr>
            <w:tcW w:w="360" w:type="dxa"/>
            <w:vAlign w:val="bottom"/>
          </w:tcPr>
          <w:p>
            <w:pPr>
              <w:jc w:val="center"/>
              <w:spacing w:after="0"/>
              <w:rPr>
                <w:sz w:val="20"/>
                <w:szCs w:val="20"/>
                <w:color w:val="auto"/>
              </w:rPr>
            </w:pPr>
            <w:r>
              <w:rPr>
                <w:rFonts w:ascii="Arial" w:cs="Arial" w:eastAsia="Arial" w:hAnsi="Arial"/>
                <w:sz w:val="16"/>
                <w:szCs w:val="16"/>
                <w:color w:val="auto"/>
              </w:rPr>
              <w:t>​ ​ ​</w:t>
            </w:r>
          </w:p>
        </w:tc>
        <w:tc>
          <w:tcPr>
            <w:tcW w:w="760" w:type="dxa"/>
            <w:vAlign w:val="bottom"/>
            <w:gridSpan w:val="2"/>
          </w:tcPr>
          <w:p>
            <w:pPr>
              <w:ind w:left="80"/>
              <w:spacing w:after="0"/>
              <w:rPr>
                <w:sz w:val="20"/>
                <w:szCs w:val="20"/>
                <w:color w:val="auto"/>
              </w:rPr>
            </w:pPr>
            <w:r>
              <w:rPr>
                <w:rFonts w:ascii="Arial" w:cs="Arial" w:eastAsia="Arial" w:hAnsi="Arial"/>
                <w:sz w:val="16"/>
                <w:szCs w:val="16"/>
                <w:color w:val="auto"/>
              </w:rPr>
              <w:t>​ ​ 1.15​</w:t>
            </w:r>
          </w:p>
        </w:tc>
        <w:tc>
          <w:tcPr>
            <w:tcW w:w="480" w:type="dxa"/>
            <w:vAlign w:val="bottom"/>
          </w:tcPr>
          <w:p>
            <w:pPr>
              <w:jc w:val="center"/>
              <w:ind w:right="57"/>
              <w:spacing w:after="0"/>
              <w:rPr>
                <w:sz w:val="20"/>
                <w:szCs w:val="20"/>
                <w:color w:val="auto"/>
              </w:rPr>
            </w:pPr>
            <w:r>
              <w:rPr>
                <w:rFonts w:ascii="Arial" w:cs="Arial" w:eastAsia="Arial" w:hAnsi="Arial"/>
                <w:sz w:val="16"/>
                <w:szCs w:val="16"/>
                <w:color w:val="auto"/>
              </w:rPr>
              <w:t>​ ​ ​</w:t>
            </w:r>
          </w:p>
        </w:tc>
        <w:tc>
          <w:tcPr>
            <w:tcW w:w="1000" w:type="dxa"/>
            <w:vAlign w:val="bottom"/>
          </w:tcPr>
          <w:p>
            <w:pPr>
              <w:ind w:left="160"/>
              <w:spacing w:after="0"/>
              <w:rPr>
                <w:sz w:val="20"/>
                <w:szCs w:val="20"/>
                <w:color w:val="auto"/>
              </w:rPr>
            </w:pPr>
            <w:r>
              <w:rPr>
                <w:rFonts w:ascii="Arial" w:cs="Arial" w:eastAsia="Arial" w:hAnsi="Arial"/>
                <w:sz w:val="16"/>
                <w:szCs w:val="16"/>
                <w:color w:val="auto"/>
              </w:rPr>
              <w:t>​ ​0.59​</w:t>
            </w:r>
          </w:p>
        </w:tc>
        <w:tc>
          <w:tcPr>
            <w:tcW w:w="380" w:type="dxa"/>
            <w:vAlign w:val="bottom"/>
          </w:tcPr>
          <w:p>
            <w:pPr>
              <w:jc w:val="center"/>
              <w:spacing w:after="0"/>
              <w:rPr>
                <w:sz w:val="20"/>
                <w:szCs w:val="20"/>
                <w:color w:val="auto"/>
              </w:rPr>
            </w:pPr>
            <w:r>
              <w:rPr>
                <w:rFonts w:ascii="Arial" w:cs="Arial" w:eastAsia="Arial" w:hAnsi="Arial"/>
                <w:sz w:val="16"/>
                <w:szCs w:val="16"/>
                <w:color w:val="auto"/>
              </w:rPr>
              <w:t>​ ​ ​</w:t>
            </w:r>
          </w:p>
        </w:tc>
        <w:tc>
          <w:tcPr>
            <w:tcW w:w="740" w:type="dxa"/>
            <w:vAlign w:val="bottom"/>
            <w:gridSpan w:val="2"/>
          </w:tcPr>
          <w:p>
            <w:pPr>
              <w:ind w:left="100"/>
              <w:spacing w:after="0"/>
              <w:rPr>
                <w:sz w:val="20"/>
                <w:szCs w:val="20"/>
                <w:color w:val="auto"/>
              </w:rPr>
            </w:pPr>
            <w:r>
              <w:rPr>
                <w:rFonts w:ascii="Arial" w:cs="Arial" w:eastAsia="Arial" w:hAnsi="Arial"/>
                <w:sz w:val="16"/>
                <w:szCs w:val="16"/>
                <w:color w:val="auto"/>
              </w:rPr>
              <w:t>​ ​0.45​</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020" w:type="dxa"/>
            <w:vAlign w:val="bottom"/>
          </w:tcPr>
          <w:p>
            <w:pPr>
              <w:ind w:left="60"/>
              <w:spacing w:after="0"/>
              <w:rPr>
                <w:sz w:val="20"/>
                <w:szCs w:val="20"/>
                <w:color w:val="auto"/>
              </w:rPr>
            </w:pPr>
            <w:r>
              <w:rPr>
                <w:rFonts w:ascii="Arial" w:cs="Arial" w:eastAsia="Arial" w:hAnsi="Arial"/>
                <w:sz w:val="16"/>
                <w:szCs w:val="16"/>
                <w:color w:val="auto"/>
              </w:rPr>
              <w:t>Acquisition-related expenses</w:t>
            </w:r>
          </w:p>
        </w:tc>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 ​</w:t>
            </w:r>
          </w:p>
        </w:tc>
        <w:tc>
          <w:tcPr>
            <w:tcW w:w="1020" w:type="dxa"/>
            <w:vAlign w:val="bottom"/>
            <w:gridSpan w:val="2"/>
          </w:tcPr>
          <w:p>
            <w:pPr>
              <w:ind w:left="160"/>
              <w:spacing w:after="0"/>
              <w:rPr>
                <w:sz w:val="20"/>
                <w:szCs w:val="20"/>
                <w:color w:val="auto"/>
              </w:rPr>
            </w:pPr>
            <w:r>
              <w:rPr>
                <w:rFonts w:ascii="Arial" w:cs="Arial" w:eastAsia="Arial" w:hAnsi="Arial"/>
                <w:sz w:val="16"/>
                <w:szCs w:val="16"/>
                <w:color w:val="auto"/>
              </w:rPr>
              <w:t>​ ​ 0.14​</w:t>
            </w:r>
          </w:p>
        </w:tc>
        <w:tc>
          <w:tcPr>
            <w:tcW w:w="360" w:type="dxa"/>
            <w:vAlign w:val="bottom"/>
          </w:tcPr>
          <w:p>
            <w:pPr>
              <w:jc w:val="center"/>
              <w:spacing w:after="0"/>
              <w:rPr>
                <w:sz w:val="20"/>
                <w:szCs w:val="20"/>
                <w:color w:val="auto"/>
              </w:rPr>
            </w:pPr>
            <w:r>
              <w:rPr>
                <w:rFonts w:ascii="Arial" w:cs="Arial" w:eastAsia="Arial" w:hAnsi="Arial"/>
                <w:sz w:val="16"/>
                <w:szCs w:val="16"/>
                <w:color w:val="auto"/>
              </w:rPr>
              <w:t>​ ​ ​</w:t>
            </w:r>
          </w:p>
        </w:tc>
        <w:tc>
          <w:tcPr>
            <w:tcW w:w="760" w:type="dxa"/>
            <w:vAlign w:val="bottom"/>
            <w:gridSpan w:val="2"/>
          </w:tcPr>
          <w:p>
            <w:pPr>
              <w:ind w:left="80"/>
              <w:spacing w:after="0"/>
              <w:rPr>
                <w:sz w:val="20"/>
                <w:szCs w:val="20"/>
                <w:color w:val="auto"/>
              </w:rPr>
            </w:pPr>
            <w:r>
              <w:rPr>
                <w:rFonts w:ascii="Arial" w:cs="Arial" w:eastAsia="Arial" w:hAnsi="Arial"/>
                <w:sz w:val="16"/>
                <w:szCs w:val="16"/>
                <w:color w:val="auto"/>
              </w:rPr>
              <w:t>​ ​ 0.36​</w:t>
            </w:r>
          </w:p>
        </w:tc>
        <w:tc>
          <w:tcPr>
            <w:tcW w:w="480" w:type="dxa"/>
            <w:vAlign w:val="bottom"/>
          </w:tcPr>
          <w:p>
            <w:pPr>
              <w:jc w:val="center"/>
              <w:ind w:right="57"/>
              <w:spacing w:after="0"/>
              <w:rPr>
                <w:sz w:val="20"/>
                <w:szCs w:val="20"/>
                <w:color w:val="auto"/>
              </w:rPr>
            </w:pPr>
            <w:r>
              <w:rPr>
                <w:rFonts w:ascii="Arial" w:cs="Arial" w:eastAsia="Arial" w:hAnsi="Arial"/>
                <w:sz w:val="16"/>
                <w:szCs w:val="16"/>
                <w:color w:val="auto"/>
              </w:rPr>
              <w:t>​ ​ ​</w:t>
            </w:r>
          </w:p>
        </w:tc>
        <w:tc>
          <w:tcPr>
            <w:tcW w:w="1000" w:type="dxa"/>
            <w:vAlign w:val="bottom"/>
          </w:tcPr>
          <w:p>
            <w:pPr>
              <w:ind w:left="160"/>
              <w:spacing w:after="0"/>
              <w:rPr>
                <w:sz w:val="20"/>
                <w:szCs w:val="20"/>
                <w:color w:val="auto"/>
              </w:rPr>
            </w:pPr>
            <w:r>
              <w:rPr>
                <w:rFonts w:ascii="Arial" w:cs="Arial" w:eastAsia="Arial" w:hAnsi="Arial"/>
                <w:sz w:val="16"/>
                <w:szCs w:val="16"/>
                <w:color w:val="auto"/>
              </w:rPr>
              <w:t>​ ​(0.01​)</w:t>
            </w:r>
          </w:p>
        </w:tc>
        <w:tc>
          <w:tcPr>
            <w:tcW w:w="380" w:type="dxa"/>
            <w:vAlign w:val="bottom"/>
          </w:tcPr>
          <w:p>
            <w:pPr>
              <w:jc w:val="center"/>
              <w:spacing w:after="0"/>
              <w:rPr>
                <w:sz w:val="20"/>
                <w:szCs w:val="20"/>
                <w:color w:val="auto"/>
              </w:rPr>
            </w:pPr>
            <w:r>
              <w:rPr>
                <w:rFonts w:ascii="Arial" w:cs="Arial" w:eastAsia="Arial" w:hAnsi="Arial"/>
                <w:sz w:val="16"/>
                <w:szCs w:val="16"/>
                <w:color w:val="auto"/>
              </w:rPr>
              <w:t>​ ​ ​</w:t>
            </w:r>
          </w:p>
        </w:tc>
        <w:tc>
          <w:tcPr>
            <w:tcW w:w="740" w:type="dxa"/>
            <w:vAlign w:val="bottom"/>
            <w:gridSpan w:val="2"/>
          </w:tcPr>
          <w:p>
            <w:pPr>
              <w:ind w:left="100"/>
              <w:spacing w:after="0"/>
              <w:rPr>
                <w:sz w:val="20"/>
                <w:szCs w:val="20"/>
                <w:color w:val="auto"/>
              </w:rPr>
            </w:pPr>
            <w:r>
              <w:rPr>
                <w:rFonts w:ascii="Arial" w:cs="Arial" w:eastAsia="Arial" w:hAnsi="Arial"/>
                <w:sz w:val="16"/>
                <w:szCs w:val="16"/>
                <w:color w:val="auto"/>
              </w:rPr>
              <w:t>​ ​0.03​</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020" w:type="dxa"/>
            <w:vAlign w:val="bottom"/>
          </w:tcPr>
          <w:p>
            <w:pPr>
              <w:ind w:left="60"/>
              <w:spacing w:after="0"/>
              <w:rPr>
                <w:sz w:val="20"/>
                <w:szCs w:val="20"/>
                <w:color w:val="auto"/>
              </w:rPr>
            </w:pPr>
            <w:r>
              <w:rPr>
                <w:rFonts w:ascii="Arial" w:cs="Arial" w:eastAsia="Arial" w:hAnsi="Arial"/>
                <w:sz w:val="16"/>
                <w:szCs w:val="16"/>
                <w:color w:val="auto"/>
              </w:rPr>
              <w:t>Amortization of acquisition-related intangibles</w:t>
            </w:r>
          </w:p>
        </w:tc>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 ​</w:t>
            </w:r>
          </w:p>
        </w:tc>
        <w:tc>
          <w:tcPr>
            <w:tcW w:w="1020" w:type="dxa"/>
            <w:vAlign w:val="bottom"/>
            <w:gridSpan w:val="2"/>
          </w:tcPr>
          <w:p>
            <w:pPr>
              <w:ind w:left="160"/>
              <w:spacing w:after="0"/>
              <w:rPr>
                <w:sz w:val="20"/>
                <w:szCs w:val="20"/>
                <w:color w:val="auto"/>
              </w:rPr>
            </w:pPr>
            <w:r>
              <w:rPr>
                <w:rFonts w:ascii="Arial" w:cs="Arial" w:eastAsia="Arial" w:hAnsi="Arial"/>
                <w:sz w:val="16"/>
                <w:szCs w:val="16"/>
                <w:color w:val="auto"/>
              </w:rPr>
              <w:t>​ ​ 1.64​</w:t>
            </w:r>
          </w:p>
        </w:tc>
        <w:tc>
          <w:tcPr>
            <w:tcW w:w="360" w:type="dxa"/>
            <w:vAlign w:val="bottom"/>
          </w:tcPr>
          <w:p>
            <w:pPr>
              <w:jc w:val="center"/>
              <w:spacing w:after="0"/>
              <w:rPr>
                <w:sz w:val="20"/>
                <w:szCs w:val="20"/>
                <w:color w:val="auto"/>
              </w:rPr>
            </w:pPr>
            <w:r>
              <w:rPr>
                <w:rFonts w:ascii="Arial" w:cs="Arial" w:eastAsia="Arial" w:hAnsi="Arial"/>
                <w:sz w:val="16"/>
                <w:szCs w:val="16"/>
                <w:color w:val="auto"/>
              </w:rPr>
              <w:t>​ ​ ​</w:t>
            </w:r>
          </w:p>
        </w:tc>
        <w:tc>
          <w:tcPr>
            <w:tcW w:w="760" w:type="dxa"/>
            <w:vAlign w:val="bottom"/>
            <w:gridSpan w:val="2"/>
          </w:tcPr>
          <w:p>
            <w:pPr>
              <w:ind w:left="80"/>
              <w:spacing w:after="0"/>
              <w:rPr>
                <w:sz w:val="20"/>
                <w:szCs w:val="20"/>
                <w:color w:val="auto"/>
              </w:rPr>
            </w:pPr>
            <w:r>
              <w:rPr>
                <w:rFonts w:ascii="Arial" w:cs="Arial" w:eastAsia="Arial" w:hAnsi="Arial"/>
                <w:sz w:val="16"/>
                <w:szCs w:val="16"/>
                <w:color w:val="auto"/>
              </w:rPr>
              <w:t>​ ​ 0.45​</w:t>
            </w:r>
          </w:p>
        </w:tc>
        <w:tc>
          <w:tcPr>
            <w:tcW w:w="480" w:type="dxa"/>
            <w:vAlign w:val="bottom"/>
          </w:tcPr>
          <w:p>
            <w:pPr>
              <w:jc w:val="center"/>
              <w:ind w:right="57"/>
              <w:spacing w:after="0"/>
              <w:rPr>
                <w:sz w:val="20"/>
                <w:szCs w:val="20"/>
                <w:color w:val="auto"/>
              </w:rPr>
            </w:pPr>
            <w:r>
              <w:rPr>
                <w:rFonts w:ascii="Arial" w:cs="Arial" w:eastAsia="Arial" w:hAnsi="Arial"/>
                <w:sz w:val="16"/>
                <w:szCs w:val="16"/>
                <w:color w:val="auto"/>
              </w:rPr>
              <w:t>​ ​ ​</w:t>
            </w:r>
          </w:p>
        </w:tc>
        <w:tc>
          <w:tcPr>
            <w:tcW w:w="1000" w:type="dxa"/>
            <w:vAlign w:val="bottom"/>
          </w:tcPr>
          <w:p>
            <w:pPr>
              <w:ind w:left="160"/>
              <w:spacing w:after="0"/>
              <w:rPr>
                <w:sz w:val="20"/>
                <w:szCs w:val="20"/>
                <w:color w:val="auto"/>
              </w:rPr>
            </w:pPr>
            <w:r>
              <w:rPr>
                <w:rFonts w:ascii="Arial" w:cs="Arial" w:eastAsia="Arial" w:hAnsi="Arial"/>
                <w:sz w:val="16"/>
                <w:szCs w:val="16"/>
                <w:color w:val="auto"/>
              </w:rPr>
              <w:t>​ ​0.11​</w:t>
            </w:r>
          </w:p>
        </w:tc>
        <w:tc>
          <w:tcPr>
            <w:tcW w:w="380" w:type="dxa"/>
            <w:vAlign w:val="bottom"/>
          </w:tcPr>
          <w:p>
            <w:pPr>
              <w:jc w:val="center"/>
              <w:spacing w:after="0"/>
              <w:rPr>
                <w:sz w:val="20"/>
                <w:szCs w:val="20"/>
                <w:color w:val="auto"/>
              </w:rPr>
            </w:pPr>
            <w:r>
              <w:rPr>
                <w:rFonts w:ascii="Arial" w:cs="Arial" w:eastAsia="Arial" w:hAnsi="Arial"/>
                <w:sz w:val="16"/>
                <w:szCs w:val="16"/>
                <w:color w:val="auto"/>
              </w:rPr>
              <w:t>​ ​ ​</w:t>
            </w:r>
          </w:p>
        </w:tc>
        <w:tc>
          <w:tcPr>
            <w:tcW w:w="740" w:type="dxa"/>
            <w:vAlign w:val="bottom"/>
            <w:gridSpan w:val="2"/>
          </w:tcPr>
          <w:p>
            <w:pPr>
              <w:ind w:left="100"/>
              <w:spacing w:after="0"/>
              <w:rPr>
                <w:sz w:val="20"/>
                <w:szCs w:val="20"/>
                <w:color w:val="auto"/>
              </w:rPr>
            </w:pPr>
            <w:r>
              <w:rPr>
                <w:rFonts w:ascii="Arial" w:cs="Arial" w:eastAsia="Arial" w:hAnsi="Arial"/>
                <w:sz w:val="16"/>
                <w:szCs w:val="16"/>
                <w:color w:val="auto"/>
              </w:rPr>
              <w:t>​ ​0.13​</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020" w:type="dxa"/>
            <w:vAlign w:val="bottom"/>
          </w:tcPr>
          <w:p>
            <w:pPr>
              <w:ind w:left="60"/>
              <w:spacing w:after="0"/>
              <w:rPr>
                <w:sz w:val="20"/>
                <w:szCs w:val="20"/>
                <w:color w:val="auto"/>
              </w:rPr>
            </w:pPr>
            <w:r>
              <w:rPr>
                <w:rFonts w:ascii="Arial" w:cs="Arial" w:eastAsia="Arial" w:hAnsi="Arial"/>
                <w:sz w:val="16"/>
                <w:szCs w:val="16"/>
                <w:color w:val="auto"/>
              </w:rPr>
              <w:t>Settlements, gains, losses, and impairments</w:t>
            </w:r>
          </w:p>
        </w:tc>
        <w:tc>
          <w:tcPr>
            <w:tcW w:w="12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 ​</w:t>
            </w:r>
          </w:p>
        </w:tc>
        <w:tc>
          <w:tcPr>
            <w:tcW w:w="1020" w:type="dxa"/>
            <w:vAlign w:val="bottom"/>
            <w:gridSpan w:val="2"/>
          </w:tcPr>
          <w:p>
            <w:pPr>
              <w:ind w:left="160"/>
              <w:spacing w:after="0"/>
              <w:rPr>
                <w:sz w:val="20"/>
                <w:szCs w:val="20"/>
                <w:color w:val="auto"/>
              </w:rPr>
            </w:pPr>
            <w:r>
              <w:rPr>
                <w:rFonts w:ascii="Arial" w:cs="Arial" w:eastAsia="Arial" w:hAnsi="Arial"/>
                <w:sz w:val="16"/>
                <w:szCs w:val="16"/>
                <w:color w:val="auto"/>
              </w:rPr>
              <w:t>​ ​ 0.15​</w:t>
            </w:r>
          </w:p>
        </w:tc>
        <w:tc>
          <w:tcPr>
            <w:tcW w:w="360" w:type="dxa"/>
            <w:vAlign w:val="bottom"/>
          </w:tcPr>
          <w:p>
            <w:pPr>
              <w:jc w:val="center"/>
              <w:spacing w:after="0"/>
              <w:rPr>
                <w:sz w:val="20"/>
                <w:szCs w:val="20"/>
                <w:color w:val="auto"/>
              </w:rPr>
            </w:pPr>
            <w:r>
              <w:rPr>
                <w:rFonts w:ascii="Arial" w:cs="Arial" w:eastAsia="Arial" w:hAnsi="Arial"/>
                <w:sz w:val="16"/>
                <w:szCs w:val="16"/>
                <w:color w:val="auto"/>
              </w:rPr>
              <w:t>​ ​ ​</w:t>
            </w:r>
          </w:p>
        </w:tc>
        <w:tc>
          <w:tcPr>
            <w:tcW w:w="760" w:type="dxa"/>
            <w:vAlign w:val="bottom"/>
            <w:gridSpan w:val="2"/>
          </w:tcPr>
          <w:p>
            <w:pPr>
              <w:ind w:left="80"/>
              <w:spacing w:after="0"/>
              <w:rPr>
                <w:sz w:val="20"/>
                <w:szCs w:val="20"/>
                <w:color w:val="auto"/>
              </w:rPr>
            </w:pPr>
            <w:r>
              <w:rPr>
                <w:rFonts w:ascii="Arial" w:cs="Arial" w:eastAsia="Arial" w:hAnsi="Arial"/>
                <w:sz w:val="16"/>
                <w:szCs w:val="16"/>
                <w:color w:val="auto"/>
              </w:rPr>
              <w:t>​ ​ 0.08​</w:t>
            </w:r>
          </w:p>
        </w:tc>
        <w:tc>
          <w:tcPr>
            <w:tcW w:w="480" w:type="dxa"/>
            <w:vAlign w:val="bottom"/>
          </w:tcPr>
          <w:p>
            <w:pPr>
              <w:jc w:val="center"/>
              <w:ind w:right="57"/>
              <w:spacing w:after="0"/>
              <w:rPr>
                <w:sz w:val="20"/>
                <w:szCs w:val="20"/>
                <w:color w:val="auto"/>
              </w:rPr>
            </w:pPr>
            <w:r>
              <w:rPr>
                <w:rFonts w:ascii="Arial" w:cs="Arial" w:eastAsia="Arial" w:hAnsi="Arial"/>
                <w:sz w:val="16"/>
                <w:szCs w:val="16"/>
                <w:color w:val="auto"/>
              </w:rPr>
              <w:t>​ ​ ​</w:t>
            </w:r>
          </w:p>
        </w:tc>
        <w:tc>
          <w:tcPr>
            <w:tcW w:w="1000" w:type="dxa"/>
            <w:vAlign w:val="bottom"/>
          </w:tcPr>
          <w:p>
            <w:pPr>
              <w:ind w:left="160"/>
              <w:spacing w:after="0"/>
              <w:rPr>
                <w:sz w:val="20"/>
                <w:szCs w:val="20"/>
                <w:color w:val="auto"/>
              </w:rPr>
            </w:pPr>
            <w:r>
              <w:rPr>
                <w:rFonts w:ascii="Arial" w:cs="Arial" w:eastAsia="Arial" w:hAnsi="Arial"/>
                <w:sz w:val="16"/>
                <w:szCs w:val="16"/>
                <w:color w:val="auto"/>
              </w:rPr>
              <w:t>​ ​0.01​</w:t>
            </w:r>
          </w:p>
        </w:tc>
        <w:tc>
          <w:tcPr>
            <w:tcW w:w="380" w:type="dxa"/>
            <w:vAlign w:val="bottom"/>
          </w:tcPr>
          <w:p>
            <w:pPr>
              <w:jc w:val="center"/>
              <w:spacing w:after="0"/>
              <w:rPr>
                <w:sz w:val="20"/>
                <w:szCs w:val="20"/>
                <w:color w:val="auto"/>
              </w:rPr>
            </w:pPr>
            <w:r>
              <w:rPr>
                <w:rFonts w:ascii="Arial" w:cs="Arial" w:eastAsia="Arial" w:hAnsi="Arial"/>
                <w:sz w:val="16"/>
                <w:szCs w:val="16"/>
                <w:color w:val="auto"/>
              </w:rPr>
              <w:t>​ ​ ​</w:t>
            </w:r>
          </w:p>
        </w:tc>
        <w:tc>
          <w:tcPr>
            <w:tcW w:w="740" w:type="dxa"/>
            <w:vAlign w:val="bottom"/>
            <w:gridSpan w:val="2"/>
          </w:tcPr>
          <w:p>
            <w:pPr>
              <w:ind w:left="100"/>
              <w:spacing w:after="0"/>
              <w:rPr>
                <w:sz w:val="20"/>
                <w:szCs w:val="20"/>
                <w:color w:val="auto"/>
              </w:rPr>
            </w:pPr>
            <w:r>
              <w:rPr>
                <w:rFonts w:ascii="Arial" w:cs="Arial" w:eastAsia="Arial" w:hAnsi="Arial"/>
                <w:sz w:val="16"/>
                <w:szCs w:val="16"/>
                <w:color w:val="auto"/>
              </w:rPr>
              <w:t>​ ​0.02​</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020" w:type="dxa"/>
            <w:vAlign w:val="bottom"/>
          </w:tcPr>
          <w:p>
            <w:pPr>
              <w:ind w:left="60"/>
              <w:spacing w:after="0"/>
              <w:rPr>
                <w:sz w:val="20"/>
                <w:szCs w:val="20"/>
                <w:color w:val="auto"/>
              </w:rPr>
            </w:pPr>
            <w:r>
              <w:rPr>
                <w:rFonts w:ascii="Arial" w:cs="Arial" w:eastAsia="Arial" w:hAnsi="Arial"/>
                <w:sz w:val="16"/>
                <w:szCs w:val="16"/>
                <w:color w:val="auto"/>
              </w:rPr>
              <w:t>Restructuring and other charges</w:t>
            </w:r>
          </w:p>
        </w:tc>
        <w:tc>
          <w:tcPr>
            <w:tcW w:w="12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 ​</w:t>
            </w:r>
          </w:p>
        </w:tc>
        <w:tc>
          <w:tcPr>
            <w:tcW w:w="1020" w:type="dxa"/>
            <w:vAlign w:val="bottom"/>
            <w:gridSpan w:val="2"/>
          </w:tcPr>
          <w:p>
            <w:pPr>
              <w:ind w:left="160"/>
              <w:spacing w:after="0"/>
              <w:rPr>
                <w:sz w:val="20"/>
                <w:szCs w:val="20"/>
                <w:color w:val="auto"/>
              </w:rPr>
            </w:pPr>
            <w:r>
              <w:rPr>
                <w:rFonts w:ascii="Arial" w:cs="Arial" w:eastAsia="Arial" w:hAnsi="Arial"/>
                <w:sz w:val="16"/>
                <w:szCs w:val="16"/>
                <w:color w:val="auto"/>
              </w:rPr>
              <w:t>​ ​ 0.06​</w:t>
            </w:r>
          </w:p>
        </w:tc>
        <w:tc>
          <w:tcPr>
            <w:tcW w:w="360" w:type="dxa"/>
            <w:vAlign w:val="bottom"/>
          </w:tcPr>
          <w:p>
            <w:pPr>
              <w:jc w:val="center"/>
              <w:spacing w:after="0"/>
              <w:rPr>
                <w:sz w:val="20"/>
                <w:szCs w:val="20"/>
                <w:color w:val="auto"/>
              </w:rPr>
            </w:pPr>
            <w:r>
              <w:rPr>
                <w:rFonts w:ascii="Arial" w:cs="Arial" w:eastAsia="Arial" w:hAnsi="Arial"/>
                <w:sz w:val="16"/>
                <w:szCs w:val="16"/>
                <w:color w:val="auto"/>
              </w:rPr>
              <w:t>​ ​ ​</w:t>
            </w:r>
          </w:p>
        </w:tc>
        <w:tc>
          <w:tcPr>
            <w:tcW w:w="760" w:type="dxa"/>
            <w:vAlign w:val="bottom"/>
            <w:gridSpan w:val="2"/>
          </w:tcPr>
          <w:p>
            <w:pPr>
              <w:ind w:left="80"/>
              <w:spacing w:after="0"/>
              <w:rPr>
                <w:sz w:val="20"/>
                <w:szCs w:val="20"/>
                <w:color w:val="auto"/>
              </w:rPr>
            </w:pPr>
            <w:r>
              <w:rPr>
                <w:rFonts w:ascii="Arial" w:cs="Arial" w:eastAsia="Arial" w:hAnsi="Arial"/>
                <w:sz w:val="16"/>
                <w:szCs w:val="16"/>
                <w:color w:val="auto"/>
              </w:rPr>
              <w:t>​ ​ 0.01​</w:t>
            </w:r>
          </w:p>
        </w:tc>
        <w:tc>
          <w:tcPr>
            <w:tcW w:w="480" w:type="dxa"/>
            <w:vAlign w:val="bottom"/>
          </w:tcPr>
          <w:p>
            <w:pPr>
              <w:jc w:val="center"/>
              <w:ind w:right="57"/>
              <w:spacing w:after="0"/>
              <w:rPr>
                <w:sz w:val="20"/>
                <w:szCs w:val="20"/>
                <w:color w:val="auto"/>
              </w:rPr>
            </w:pPr>
            <w:r>
              <w:rPr>
                <w:rFonts w:ascii="Arial" w:cs="Arial" w:eastAsia="Arial" w:hAnsi="Arial"/>
                <w:sz w:val="16"/>
                <w:szCs w:val="16"/>
                <w:color w:val="auto"/>
              </w:rPr>
              <w:t>​ ​ ​</w:t>
            </w:r>
          </w:p>
        </w:tc>
        <w:tc>
          <w:tcPr>
            <w:tcW w:w="1000" w:type="dxa"/>
            <w:vAlign w:val="bottom"/>
          </w:tcPr>
          <w:p>
            <w:pPr>
              <w:ind w:left="160"/>
              <w:spacing w:after="0"/>
              <w:rPr>
                <w:sz w:val="20"/>
                <w:szCs w:val="20"/>
                <w:color w:val="auto"/>
              </w:rPr>
            </w:pPr>
            <w:r>
              <w:rPr>
                <w:rFonts w:ascii="Arial" w:cs="Arial" w:eastAsia="Arial" w:hAnsi="Arial"/>
                <w:sz w:val="16"/>
                <w:szCs w:val="16"/>
                <w:color w:val="auto"/>
              </w:rPr>
              <w:t>​ ​0.02​</w:t>
            </w:r>
          </w:p>
        </w:tc>
        <w:tc>
          <w:tcPr>
            <w:tcW w:w="380" w:type="dxa"/>
            <w:vAlign w:val="bottom"/>
          </w:tcPr>
          <w:p>
            <w:pPr>
              <w:jc w:val="center"/>
              <w:spacing w:after="0"/>
              <w:rPr>
                <w:sz w:val="20"/>
                <w:szCs w:val="20"/>
                <w:color w:val="auto"/>
              </w:rPr>
            </w:pPr>
            <w:r>
              <w:rPr>
                <w:rFonts w:ascii="Arial" w:cs="Arial" w:eastAsia="Arial" w:hAnsi="Arial"/>
                <w:sz w:val="16"/>
                <w:szCs w:val="16"/>
                <w:color w:val="auto"/>
              </w:rPr>
              <w:t>​ ​ ​</w:t>
            </w:r>
          </w:p>
        </w:tc>
        <w:tc>
          <w:tcPr>
            <w:tcW w:w="300" w:type="dxa"/>
            <w:vAlign w:val="bottom"/>
          </w:tcPr>
          <w:p>
            <w:pPr>
              <w:ind w:left="100"/>
              <w:spacing w:after="0"/>
              <w:rPr>
                <w:sz w:val="20"/>
                <w:szCs w:val="20"/>
                <w:color w:val="auto"/>
              </w:rPr>
            </w:pPr>
            <w:r>
              <w:rPr>
                <w:rFonts w:ascii="Arial" w:cs="Arial" w:eastAsia="Arial" w:hAnsi="Arial"/>
                <w:sz w:val="16"/>
                <w:szCs w:val="16"/>
                <w:color w:val="auto"/>
              </w:rPr>
              <w:t>​ ​</w:t>
            </w:r>
          </w:p>
        </w:tc>
        <w:tc>
          <w:tcPr>
            <w:tcW w:w="44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020" w:type="dxa"/>
            <w:vAlign w:val="bottom"/>
          </w:tcPr>
          <w:p>
            <w:pPr>
              <w:ind w:left="60"/>
              <w:spacing w:after="0"/>
              <w:rPr>
                <w:sz w:val="20"/>
                <w:szCs w:val="20"/>
                <w:color w:val="auto"/>
              </w:rPr>
            </w:pPr>
            <w:r>
              <w:rPr>
                <w:rFonts w:ascii="Arial" w:cs="Arial" w:eastAsia="Arial" w:hAnsi="Arial"/>
                <w:sz w:val="16"/>
                <w:szCs w:val="16"/>
                <w:color w:val="auto"/>
              </w:rPr>
              <w:t>Deferred executive compensation benefit</w:t>
            </w:r>
          </w:p>
        </w:tc>
        <w:tc>
          <w:tcPr>
            <w:tcW w:w="12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 ​</w:t>
            </w:r>
          </w:p>
        </w:tc>
        <w:tc>
          <w:tcPr>
            <w:tcW w:w="340" w:type="dxa"/>
            <w:vAlign w:val="bottom"/>
          </w:tcPr>
          <w:p>
            <w:pPr>
              <w:ind w:left="160"/>
              <w:spacing w:after="0"/>
              <w:rPr>
                <w:sz w:val="20"/>
                <w:szCs w:val="20"/>
                <w:color w:val="auto"/>
              </w:rPr>
            </w:pPr>
            <w:r>
              <w:rPr>
                <w:rFonts w:ascii="Arial" w:cs="Arial" w:eastAsia="Arial" w:hAnsi="Arial"/>
                <w:sz w:val="16"/>
                <w:szCs w:val="16"/>
                <w:color w:val="auto"/>
              </w:rPr>
              <w:t>​ ​</w:t>
            </w:r>
          </w:p>
        </w:tc>
        <w:tc>
          <w:tcPr>
            <w:tcW w:w="6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60" w:type="dxa"/>
            <w:vAlign w:val="bottom"/>
          </w:tcPr>
          <w:p>
            <w:pPr>
              <w:jc w:val="center"/>
              <w:spacing w:after="0"/>
              <w:rPr>
                <w:sz w:val="20"/>
                <w:szCs w:val="20"/>
                <w:color w:val="auto"/>
              </w:rPr>
            </w:pPr>
            <w:r>
              <w:rPr>
                <w:rFonts w:ascii="Arial" w:cs="Arial" w:eastAsia="Arial" w:hAnsi="Arial"/>
                <w:sz w:val="16"/>
                <w:szCs w:val="16"/>
                <w:color w:val="auto"/>
              </w:rPr>
              <w:t>​ ​ ​</w:t>
            </w:r>
          </w:p>
        </w:tc>
        <w:tc>
          <w:tcPr>
            <w:tcW w:w="260" w:type="dxa"/>
            <w:vAlign w:val="bottom"/>
          </w:tcPr>
          <w:p>
            <w:pPr>
              <w:ind w:left="80"/>
              <w:spacing w:after="0"/>
              <w:rPr>
                <w:sz w:val="20"/>
                <w:szCs w:val="20"/>
                <w:color w:val="auto"/>
              </w:rPr>
            </w:pPr>
            <w:r>
              <w:rPr>
                <w:rFonts w:ascii="Arial" w:cs="Arial" w:eastAsia="Arial" w:hAnsi="Arial"/>
                <w:sz w:val="16"/>
                <w:szCs w:val="16"/>
                <w:color w:val="auto"/>
              </w:rPr>
              <w:t>​ ​</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jc w:val="center"/>
              <w:ind w:right="57"/>
              <w:spacing w:after="0"/>
              <w:rPr>
                <w:sz w:val="20"/>
                <w:szCs w:val="20"/>
                <w:color w:val="auto"/>
              </w:rPr>
            </w:pPr>
            <w:r>
              <w:rPr>
                <w:rFonts w:ascii="Arial" w:cs="Arial" w:eastAsia="Arial" w:hAnsi="Arial"/>
                <w:sz w:val="16"/>
                <w:szCs w:val="16"/>
                <w:color w:val="auto"/>
              </w:rPr>
              <w:t>​ ​ ​</w:t>
            </w:r>
          </w:p>
        </w:tc>
        <w:tc>
          <w:tcPr>
            <w:tcW w:w="1000" w:type="dxa"/>
            <w:vAlign w:val="bottom"/>
          </w:tcPr>
          <w:p>
            <w:pPr>
              <w:ind w:left="160"/>
              <w:spacing w:after="0"/>
              <w:rPr>
                <w:sz w:val="20"/>
                <w:szCs w:val="20"/>
                <w:color w:val="auto"/>
              </w:rPr>
            </w:pPr>
            <w:r>
              <w:rPr>
                <w:rFonts w:ascii="Arial" w:cs="Arial" w:eastAsia="Arial" w:hAnsi="Arial"/>
                <w:sz w:val="16"/>
                <w:szCs w:val="16"/>
                <w:color w:val="auto"/>
              </w:rPr>
              <w:t>​ ​(0.01​)</w:t>
            </w:r>
          </w:p>
        </w:tc>
        <w:tc>
          <w:tcPr>
            <w:tcW w:w="380" w:type="dxa"/>
            <w:vAlign w:val="bottom"/>
          </w:tcPr>
          <w:p>
            <w:pPr>
              <w:jc w:val="center"/>
              <w:spacing w:after="0"/>
              <w:rPr>
                <w:sz w:val="20"/>
                <w:szCs w:val="20"/>
                <w:color w:val="auto"/>
              </w:rPr>
            </w:pPr>
            <w:r>
              <w:rPr>
                <w:rFonts w:ascii="Arial" w:cs="Arial" w:eastAsia="Arial" w:hAnsi="Arial"/>
                <w:sz w:val="16"/>
                <w:szCs w:val="16"/>
                <w:color w:val="auto"/>
              </w:rPr>
              <w:t>​ ​ ​</w:t>
            </w:r>
          </w:p>
        </w:tc>
        <w:tc>
          <w:tcPr>
            <w:tcW w:w="300" w:type="dxa"/>
            <w:vAlign w:val="bottom"/>
          </w:tcPr>
          <w:p>
            <w:pPr>
              <w:ind w:left="100"/>
              <w:spacing w:after="0"/>
              <w:rPr>
                <w:sz w:val="20"/>
                <w:szCs w:val="20"/>
                <w:color w:val="auto"/>
              </w:rPr>
            </w:pPr>
            <w:r>
              <w:rPr>
                <w:rFonts w:ascii="Arial" w:cs="Arial" w:eastAsia="Arial" w:hAnsi="Arial"/>
                <w:sz w:val="16"/>
                <w:szCs w:val="16"/>
                <w:color w:val="auto"/>
              </w:rPr>
              <w:t>​ ​</w:t>
            </w:r>
          </w:p>
        </w:tc>
        <w:tc>
          <w:tcPr>
            <w:tcW w:w="440" w:type="dxa"/>
            <w:vAlign w:val="bottom"/>
          </w:tcPr>
          <w:p>
            <w:pPr>
              <w:ind w:left="60"/>
              <w:spacing w:after="0"/>
              <w:rPr>
                <w:sz w:val="20"/>
                <w:szCs w:val="20"/>
                <w:color w:val="auto"/>
              </w:rPr>
            </w:pPr>
            <w:r>
              <w:rPr>
                <w:rFonts w:ascii="Arial" w:cs="Arial" w:eastAsia="Arial" w:hAnsi="Arial"/>
                <w:sz w:val="16"/>
                <w:szCs w:val="16"/>
                <w:color w:val="auto"/>
              </w:rPr>
              <w:t>—​</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020" w:type="dxa"/>
            <w:vAlign w:val="bottom"/>
          </w:tcPr>
          <w:p>
            <w:pPr>
              <w:ind w:left="60"/>
              <w:spacing w:after="0"/>
              <w:rPr>
                <w:sz w:val="20"/>
                <w:szCs w:val="20"/>
                <w:color w:val="auto"/>
              </w:rPr>
            </w:pPr>
            <w:r>
              <w:rPr>
                <w:rFonts w:ascii="Arial" w:cs="Arial" w:eastAsia="Arial" w:hAnsi="Arial"/>
                <w:sz w:val="16"/>
                <w:szCs w:val="16"/>
                <w:color w:val="auto"/>
              </w:rPr>
              <w:t>Tax adjustments</w:t>
            </w:r>
          </w:p>
        </w:tc>
        <w:tc>
          <w:tcPr>
            <w:tcW w:w="12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 ​</w:t>
            </w:r>
          </w:p>
        </w:tc>
        <w:tc>
          <w:tcPr>
            <w:tcW w:w="1020" w:type="dxa"/>
            <w:vAlign w:val="bottom"/>
            <w:gridSpan w:val="2"/>
          </w:tcPr>
          <w:p>
            <w:pPr>
              <w:ind w:left="160"/>
              <w:spacing w:after="0"/>
              <w:rPr>
                <w:sz w:val="20"/>
                <w:szCs w:val="20"/>
                <w:color w:val="auto"/>
              </w:rPr>
            </w:pPr>
            <w:r>
              <w:rPr>
                <w:rFonts w:ascii="Arial" w:cs="Arial" w:eastAsia="Arial" w:hAnsi="Arial"/>
                <w:sz w:val="16"/>
                <w:szCs w:val="16"/>
                <w:color w:val="auto"/>
              </w:rPr>
              <w:t>​ ​ 0.24​</w:t>
            </w:r>
          </w:p>
        </w:tc>
        <w:tc>
          <w:tcPr>
            <w:tcW w:w="360" w:type="dxa"/>
            <w:vAlign w:val="bottom"/>
          </w:tcPr>
          <w:p>
            <w:pPr>
              <w:jc w:val="center"/>
              <w:spacing w:after="0"/>
              <w:rPr>
                <w:sz w:val="20"/>
                <w:szCs w:val="20"/>
                <w:color w:val="auto"/>
              </w:rPr>
            </w:pPr>
            <w:r>
              <w:rPr>
                <w:rFonts w:ascii="Arial" w:cs="Arial" w:eastAsia="Arial" w:hAnsi="Arial"/>
                <w:sz w:val="16"/>
                <w:szCs w:val="16"/>
                <w:color w:val="auto"/>
              </w:rPr>
              <w:t>​ ​ ​</w:t>
            </w:r>
          </w:p>
        </w:tc>
        <w:tc>
          <w:tcPr>
            <w:tcW w:w="760" w:type="dxa"/>
            <w:vAlign w:val="bottom"/>
            <w:gridSpan w:val="2"/>
          </w:tcPr>
          <w:p>
            <w:pPr>
              <w:ind w:left="80"/>
              <w:spacing w:after="0"/>
              <w:rPr>
                <w:sz w:val="20"/>
                <w:szCs w:val="20"/>
                <w:color w:val="auto"/>
              </w:rPr>
            </w:pPr>
            <w:r>
              <w:rPr>
                <w:rFonts w:ascii="Arial" w:cs="Arial" w:eastAsia="Arial" w:hAnsi="Arial"/>
                <w:sz w:val="16"/>
                <w:szCs w:val="16"/>
                <w:color w:val="auto"/>
              </w:rPr>
              <w:t>​ ​(0.52​)</w:t>
            </w:r>
          </w:p>
        </w:tc>
        <w:tc>
          <w:tcPr>
            <w:tcW w:w="480" w:type="dxa"/>
            <w:vAlign w:val="bottom"/>
          </w:tcPr>
          <w:p>
            <w:pPr>
              <w:jc w:val="center"/>
              <w:ind w:right="57"/>
              <w:spacing w:after="0"/>
              <w:rPr>
                <w:sz w:val="20"/>
                <w:szCs w:val="20"/>
                <w:color w:val="auto"/>
              </w:rPr>
            </w:pPr>
            <w:r>
              <w:rPr>
                <w:rFonts w:ascii="Arial" w:cs="Arial" w:eastAsia="Arial" w:hAnsi="Arial"/>
                <w:sz w:val="16"/>
                <w:szCs w:val="16"/>
                <w:color w:val="auto"/>
              </w:rPr>
              <w:t>​ ​ ​</w:t>
            </w:r>
          </w:p>
        </w:tc>
        <w:tc>
          <w:tcPr>
            <w:tcW w:w="1000" w:type="dxa"/>
            <w:vAlign w:val="bottom"/>
          </w:tcPr>
          <w:p>
            <w:pPr>
              <w:ind w:left="160"/>
              <w:spacing w:after="0"/>
              <w:rPr>
                <w:sz w:val="20"/>
                <w:szCs w:val="20"/>
                <w:color w:val="auto"/>
              </w:rPr>
            </w:pPr>
            <w:r>
              <w:rPr>
                <w:rFonts w:ascii="Arial" w:cs="Arial" w:eastAsia="Arial" w:hAnsi="Arial"/>
                <w:sz w:val="16"/>
                <w:szCs w:val="16"/>
                <w:color w:val="auto"/>
              </w:rPr>
              <w:t>​ ​1.50​</w:t>
            </w:r>
          </w:p>
        </w:tc>
        <w:tc>
          <w:tcPr>
            <w:tcW w:w="380" w:type="dxa"/>
            <w:vAlign w:val="bottom"/>
          </w:tcPr>
          <w:p>
            <w:pPr>
              <w:jc w:val="center"/>
              <w:spacing w:after="0"/>
              <w:rPr>
                <w:sz w:val="20"/>
                <w:szCs w:val="20"/>
                <w:color w:val="auto"/>
              </w:rPr>
            </w:pPr>
            <w:r>
              <w:rPr>
                <w:rFonts w:ascii="Arial" w:cs="Arial" w:eastAsia="Arial" w:hAnsi="Arial"/>
                <w:sz w:val="16"/>
                <w:szCs w:val="16"/>
                <w:color w:val="auto"/>
              </w:rPr>
              <w:t>​ ​ ​</w:t>
            </w:r>
          </w:p>
        </w:tc>
        <w:tc>
          <w:tcPr>
            <w:tcW w:w="740" w:type="dxa"/>
            <w:vAlign w:val="bottom"/>
            <w:gridSpan w:val="2"/>
          </w:tcPr>
          <w:p>
            <w:pPr>
              <w:ind w:left="100"/>
              <w:spacing w:after="0"/>
              <w:rPr>
                <w:sz w:val="20"/>
                <w:szCs w:val="20"/>
                <w:color w:val="auto"/>
              </w:rPr>
            </w:pPr>
            <w:r>
              <w:rPr>
                <w:rFonts w:ascii="Arial" w:cs="Arial" w:eastAsia="Arial" w:hAnsi="Arial"/>
                <w:sz w:val="16"/>
                <w:szCs w:val="16"/>
                <w:color w:val="auto"/>
              </w:rPr>
              <w:t>​ ​0.23​</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ind w:left="40"/>
              <w:spacing w:after="0"/>
              <w:rPr>
                <w:sz w:val="20"/>
                <w:szCs w:val="20"/>
                <w:color w:val="auto"/>
              </w:rPr>
            </w:pPr>
            <w:r>
              <w:rPr>
                <w:rFonts w:ascii="Arial" w:cs="Arial" w:eastAsia="Arial" w:hAnsi="Arial"/>
                <w:sz w:val="16"/>
                <w:szCs w:val="16"/>
                <w:color w:val="auto"/>
              </w:rPr>
              <w:t>Non-GAAP net income per share, diluted</w:t>
            </w:r>
          </w:p>
        </w:tc>
        <w:tc>
          <w:tcPr>
            <w:tcW w:w="120" w:type="dxa"/>
            <w:vAlign w:val="bottom"/>
          </w:tcPr>
          <w:p>
            <w:pPr>
              <w:spacing w:after="0"/>
              <w:rPr>
                <w:sz w:val="18"/>
                <w:szCs w:val="18"/>
                <w:color w:val="auto"/>
              </w:rPr>
            </w:pPr>
          </w:p>
        </w:tc>
        <w:tc>
          <w:tcPr>
            <w:tcW w:w="300" w:type="dxa"/>
            <w:vAlign w:val="bottom"/>
            <w:vMerge w:val="restart"/>
          </w:tcPr>
          <w:p>
            <w:pPr>
              <w:spacing w:after="0"/>
              <w:rPr>
                <w:sz w:val="20"/>
                <w:szCs w:val="20"/>
                <w:color w:val="auto"/>
              </w:rPr>
            </w:pPr>
            <w:r>
              <w:rPr>
                <w:rFonts w:ascii="Arial" w:cs="Arial" w:eastAsia="Arial" w:hAnsi="Arial"/>
                <w:sz w:val="16"/>
                <w:szCs w:val="16"/>
                <w:color w:val="auto"/>
              </w:rPr>
              <w:t>​ ​</w:t>
            </w:r>
          </w:p>
        </w:tc>
        <w:tc>
          <w:tcPr>
            <w:tcW w:w="1020" w:type="dxa"/>
            <w:vAlign w:val="bottom"/>
            <w:gridSpan w:val="2"/>
          </w:tcPr>
          <w:p>
            <w:pPr>
              <w:ind w:left="180"/>
              <w:spacing w:after="0"/>
              <w:rPr>
                <w:sz w:val="20"/>
                <w:szCs w:val="20"/>
                <w:color w:val="auto"/>
              </w:rPr>
            </w:pPr>
            <w:r>
              <w:rPr>
                <w:rFonts w:ascii="Arial" w:cs="Arial" w:eastAsia="Arial" w:hAnsi="Arial"/>
                <w:sz w:val="16"/>
                <w:szCs w:val="16"/>
                <w:color w:val="auto"/>
              </w:rPr>
              <w:t>$11.24​</w:t>
            </w:r>
          </w:p>
        </w:tc>
        <w:tc>
          <w:tcPr>
            <w:tcW w:w="360" w:type="dxa"/>
            <w:vAlign w:val="bottom"/>
            <w:vMerge w:val="restart"/>
          </w:tcPr>
          <w:p>
            <w:pPr>
              <w:jc w:val="center"/>
              <w:spacing w:after="0"/>
              <w:rPr>
                <w:sz w:val="20"/>
                <w:szCs w:val="20"/>
                <w:color w:val="auto"/>
              </w:rPr>
            </w:pPr>
            <w:r>
              <w:rPr>
                <w:rFonts w:ascii="Arial" w:cs="Arial" w:eastAsia="Arial" w:hAnsi="Arial"/>
                <w:sz w:val="16"/>
                <w:szCs w:val="16"/>
                <w:color w:val="auto"/>
              </w:rPr>
              <w:t>​ ​ ​</w:t>
            </w:r>
          </w:p>
        </w:tc>
        <w:tc>
          <w:tcPr>
            <w:tcW w:w="760" w:type="dxa"/>
            <w:vAlign w:val="bottom"/>
            <w:gridSpan w:val="2"/>
          </w:tcPr>
          <w:p>
            <w:pPr>
              <w:ind w:left="80"/>
              <w:spacing w:after="0"/>
              <w:rPr>
                <w:sz w:val="20"/>
                <w:szCs w:val="20"/>
                <w:color w:val="auto"/>
              </w:rPr>
            </w:pPr>
            <w:r>
              <w:rPr>
                <w:rFonts w:ascii="Arial" w:cs="Arial" w:eastAsia="Arial" w:hAnsi="Arial"/>
                <w:sz w:val="16"/>
                <w:szCs w:val="16"/>
                <w:color w:val="auto"/>
              </w:rPr>
              <w:t>$10.50​</w:t>
            </w:r>
          </w:p>
        </w:tc>
        <w:tc>
          <w:tcPr>
            <w:tcW w:w="480" w:type="dxa"/>
            <w:vAlign w:val="bottom"/>
            <w:vMerge w:val="restart"/>
          </w:tcPr>
          <w:p>
            <w:pPr>
              <w:jc w:val="center"/>
              <w:ind w:right="57"/>
              <w:spacing w:after="0"/>
              <w:rPr>
                <w:sz w:val="20"/>
                <w:szCs w:val="20"/>
                <w:color w:val="auto"/>
              </w:rPr>
            </w:pPr>
            <w:r>
              <w:rPr>
                <w:rFonts w:ascii="Arial" w:cs="Arial" w:eastAsia="Arial" w:hAnsi="Arial"/>
                <w:sz w:val="16"/>
                <w:szCs w:val="16"/>
                <w:color w:val="auto"/>
              </w:rPr>
              <w:t>​ ​ ​</w:t>
            </w:r>
          </w:p>
        </w:tc>
        <w:tc>
          <w:tcPr>
            <w:tcW w:w="1000" w:type="dxa"/>
            <w:vAlign w:val="bottom"/>
          </w:tcPr>
          <w:p>
            <w:pPr>
              <w:ind w:left="160"/>
              <w:spacing w:after="0"/>
              <w:rPr>
                <w:sz w:val="20"/>
                <w:szCs w:val="20"/>
                <w:color w:val="auto"/>
              </w:rPr>
            </w:pPr>
            <w:r>
              <w:rPr>
                <w:rFonts w:ascii="Arial" w:cs="Arial" w:eastAsia="Arial" w:hAnsi="Arial"/>
                <w:sz w:val="16"/>
                <w:szCs w:val="16"/>
                <w:color w:val="auto"/>
              </w:rPr>
              <w:t>$ 7.22​</w:t>
            </w:r>
          </w:p>
        </w:tc>
        <w:tc>
          <w:tcPr>
            <w:tcW w:w="380" w:type="dxa"/>
            <w:vAlign w:val="bottom"/>
            <w:vMerge w:val="restart"/>
          </w:tcPr>
          <w:p>
            <w:pPr>
              <w:jc w:val="center"/>
              <w:spacing w:after="0"/>
              <w:rPr>
                <w:sz w:val="20"/>
                <w:szCs w:val="20"/>
                <w:color w:val="auto"/>
              </w:rPr>
            </w:pPr>
            <w:r>
              <w:rPr>
                <w:rFonts w:ascii="Arial" w:cs="Arial" w:eastAsia="Arial" w:hAnsi="Arial"/>
                <w:sz w:val="16"/>
                <w:szCs w:val="16"/>
                <w:color w:val="auto"/>
              </w:rPr>
              <w:t>​ ​ ​</w:t>
            </w: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$3.24​</w:t>
            </w:r>
          </w:p>
        </w:tc>
        <w:tc>
          <w:tcPr>
            <w:tcW w:w="12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40" w:type="dxa"/>
            <w:vAlign w:val="bottom"/>
          </w:tcPr>
          <w:p>
            <w:pPr>
              <w:jc w:val="right"/>
              <w:spacing w:after="0" w:line="81" w:lineRule="exact"/>
              <w:rPr>
                <w:sz w:val="20"/>
                <w:szCs w:val="20"/>
                <w:color w:val="auto"/>
              </w:rPr>
            </w:pPr>
            <w:r>
              <w:rPr>
                <w:rFonts w:ascii="Arial" w:cs="Arial" w:eastAsia="Arial" w:hAnsi="Arial"/>
                <w:sz w:val="9"/>
                <w:szCs w:val="9"/>
                <w:color w:val="auto"/>
              </w:rPr>
              <w:t>​</w:t>
            </w:r>
          </w:p>
        </w:tc>
        <w:tc>
          <w:tcPr>
            <w:tcW w:w="4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340" w:type="dxa"/>
            <w:vAlign w:val="bottom"/>
          </w:tcPr>
          <w:p>
            <w:pPr>
              <w:ind w:left="160"/>
              <w:spacing w:after="0" w:line="81" w:lineRule="exact"/>
              <w:rPr>
                <w:sz w:val="20"/>
                <w:szCs w:val="20"/>
                <w:color w:val="auto"/>
              </w:rPr>
            </w:pPr>
            <w:r>
              <w:rPr>
                <w:rFonts w:ascii="Arial" w:cs="Arial" w:eastAsia="Arial" w:hAnsi="Arial"/>
                <w:sz w:val="9"/>
                <w:szCs w:val="9"/>
                <w:color w:val="auto"/>
              </w:rPr>
              <w:t>​</w:t>
            </w:r>
          </w:p>
        </w:tc>
        <w:tc>
          <w:tcPr>
            <w:tcW w:w="6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260" w:type="dxa"/>
            <w:vAlign w:val="bottom"/>
          </w:tcPr>
          <w:p>
            <w:pPr>
              <w:ind w:left="80"/>
              <w:spacing w:after="0" w:line="81"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0" w:type="dxa"/>
            <w:vAlign w:val="bottom"/>
          </w:tcPr>
          <w:p>
            <w:pPr>
              <w:ind w:left="160"/>
              <w:spacing w:after="0" w:line="81" w:lineRule="exact"/>
              <w:rPr>
                <w:sz w:val="20"/>
                <w:szCs w:val="20"/>
                <w:color w:val="auto"/>
              </w:rPr>
            </w:pPr>
            <w:r>
              <w:rPr>
                <w:rFonts w:ascii="Arial" w:cs="Arial" w:eastAsia="Arial" w:hAnsi="Arial"/>
                <w:sz w:val="9"/>
                <w:szCs w:val="9"/>
                <w:color w:val="auto"/>
              </w:rPr>
              <w:t>​</w:t>
            </w:r>
          </w:p>
        </w:tc>
        <w:tc>
          <w:tcPr>
            <w:tcW w:w="380" w:type="dxa"/>
            <w:vAlign w:val="bottom"/>
            <w:vMerge w:val="continue"/>
          </w:tcPr>
          <w:p>
            <w:pPr>
              <w:spacing w:after="0"/>
              <w:rPr>
                <w:sz w:val="7"/>
                <w:szCs w:val="7"/>
                <w:color w:val="auto"/>
              </w:rPr>
            </w:pPr>
          </w:p>
        </w:tc>
        <w:tc>
          <w:tcPr>
            <w:tcW w:w="300" w:type="dxa"/>
            <w:vAlign w:val="bottom"/>
          </w:tcPr>
          <w:p>
            <w:pPr>
              <w:ind w:left="100"/>
              <w:spacing w:after="0" w:line="81" w:lineRule="exact"/>
              <w:rPr>
                <w:sz w:val="20"/>
                <w:szCs w:val="20"/>
                <w:color w:val="auto"/>
              </w:rPr>
            </w:pPr>
            <w:r>
              <w:rPr>
                <w:rFonts w:ascii="Arial" w:cs="Arial" w:eastAsia="Arial" w:hAnsi="Arial"/>
                <w:sz w:val="9"/>
                <w:szCs w:val="9"/>
                <w:color w:val="auto"/>
              </w:rPr>
              <w:t>​</w:t>
            </w:r>
          </w:p>
        </w:tc>
        <w:tc>
          <w:tcPr>
            <w:tcW w:w="440" w:type="dxa"/>
            <w:vAlign w:val="bottom"/>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BFBFBF"/>
          </w:tcPr>
          <w:p>
            <w:pPr>
              <w:spacing w:after="0" w:line="20" w:lineRule="exact"/>
              <w:rPr>
                <w:sz w:val="1"/>
                <w:szCs w:val="1"/>
                <w:color w:val="auto"/>
              </w:rPr>
            </w:pPr>
          </w:p>
        </w:tc>
        <w:tc>
          <w:tcPr>
            <w:tcW w:w="402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300" w:type="dxa"/>
            <w:vAlign w:val="bottom"/>
            <w:shd w:val="clear" w:color="auto" w:fill="BFBFBF"/>
          </w:tcPr>
          <w:p>
            <w:pPr>
              <w:spacing w:after="0" w:line="20" w:lineRule="exact"/>
              <w:rPr>
                <w:sz w:val="1"/>
                <w:szCs w:val="1"/>
                <w:color w:val="auto"/>
              </w:rPr>
            </w:pPr>
          </w:p>
        </w:tc>
        <w:tc>
          <w:tcPr>
            <w:tcW w:w="340" w:type="dxa"/>
            <w:vAlign w:val="bottom"/>
            <w:shd w:val="clear" w:color="auto" w:fill="BFBFBF"/>
          </w:tcPr>
          <w:p>
            <w:pPr>
              <w:spacing w:after="0" w:line="20" w:lineRule="exact"/>
              <w:rPr>
                <w:sz w:val="1"/>
                <w:szCs w:val="1"/>
                <w:color w:val="auto"/>
              </w:rPr>
            </w:pPr>
          </w:p>
        </w:tc>
        <w:tc>
          <w:tcPr>
            <w:tcW w:w="680" w:type="dxa"/>
            <w:vAlign w:val="bottom"/>
            <w:shd w:val="clear" w:color="auto" w:fill="BFBFBF"/>
          </w:tcPr>
          <w:p>
            <w:pPr>
              <w:spacing w:after="0" w:line="20" w:lineRule="exact"/>
              <w:rPr>
                <w:sz w:val="1"/>
                <w:szCs w:val="1"/>
                <w:color w:val="auto"/>
              </w:rPr>
            </w:pPr>
          </w:p>
        </w:tc>
        <w:tc>
          <w:tcPr>
            <w:tcW w:w="360" w:type="dxa"/>
            <w:vAlign w:val="bottom"/>
            <w:shd w:val="clear" w:color="auto" w:fill="BFBFBF"/>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500" w:type="dxa"/>
            <w:vAlign w:val="bottom"/>
            <w:shd w:val="clear" w:color="auto" w:fill="BFBFBF"/>
          </w:tcPr>
          <w:p>
            <w:pPr>
              <w:spacing w:after="0" w:line="20" w:lineRule="exact"/>
              <w:rPr>
                <w:sz w:val="1"/>
                <w:szCs w:val="1"/>
                <w:color w:val="auto"/>
              </w:rPr>
            </w:pPr>
          </w:p>
        </w:tc>
        <w:tc>
          <w:tcPr>
            <w:tcW w:w="480" w:type="dxa"/>
            <w:vAlign w:val="bottom"/>
            <w:shd w:val="clear" w:color="auto" w:fill="BFBFBF"/>
          </w:tcPr>
          <w:p>
            <w:pPr>
              <w:spacing w:after="0" w:line="20" w:lineRule="exact"/>
              <w:rPr>
                <w:sz w:val="1"/>
                <w:szCs w:val="1"/>
                <w:color w:val="auto"/>
              </w:rPr>
            </w:pPr>
          </w:p>
        </w:tc>
        <w:tc>
          <w:tcPr>
            <w:tcW w:w="1000" w:type="dxa"/>
            <w:vAlign w:val="bottom"/>
            <w:shd w:val="clear" w:color="auto" w:fill="BFBFBF"/>
          </w:tcPr>
          <w:p>
            <w:pPr>
              <w:spacing w:after="0" w:line="20" w:lineRule="exact"/>
              <w:rPr>
                <w:sz w:val="1"/>
                <w:szCs w:val="1"/>
                <w:color w:val="auto"/>
              </w:rPr>
            </w:pPr>
          </w:p>
        </w:tc>
        <w:tc>
          <w:tcPr>
            <w:tcW w:w="380" w:type="dxa"/>
            <w:vAlign w:val="bottom"/>
            <w:shd w:val="clear" w:color="auto" w:fill="BFBFBF"/>
          </w:tcPr>
          <w:p>
            <w:pPr>
              <w:spacing w:after="0" w:line="20" w:lineRule="exact"/>
              <w:rPr>
                <w:sz w:val="1"/>
                <w:szCs w:val="1"/>
                <w:color w:val="auto"/>
              </w:rPr>
            </w:pPr>
          </w:p>
        </w:tc>
        <w:tc>
          <w:tcPr>
            <w:tcW w:w="300" w:type="dxa"/>
            <w:vAlign w:val="bottom"/>
            <w:shd w:val="clear" w:color="auto" w:fill="BFBFBF"/>
          </w:tcPr>
          <w:p>
            <w:pPr>
              <w:spacing w:after="0" w:line="20" w:lineRule="exact"/>
              <w:rPr>
                <w:sz w:val="1"/>
                <w:szCs w:val="1"/>
                <w:color w:val="auto"/>
              </w:rPr>
            </w:pPr>
          </w:p>
        </w:tc>
        <w:tc>
          <w:tcPr>
            <w:tcW w:w="440" w:type="dxa"/>
            <w:vAlign w:val="bottom"/>
            <w:shd w:val="clear" w:color="auto" w:fill="BFBFBF"/>
          </w:tcPr>
          <w:p>
            <w:pPr>
              <w:spacing w:after="0" w:line="20" w:lineRule="exact"/>
              <w:rPr>
                <w:sz w:val="1"/>
                <w:szCs w:val="1"/>
                <w:color w:val="auto"/>
              </w:rPr>
            </w:pPr>
          </w:p>
        </w:tc>
        <w:tc>
          <w:tcPr>
            <w:tcW w:w="80" w:type="dxa"/>
            <w:vAlign w:val="bottom"/>
            <w:shd w:val="clear" w:color="auto" w:fill="BFBFB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-1842135</wp:posOffset>
            </wp:positionV>
            <wp:extent cx="5974715" cy="4711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74715" cy="47117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-1207770</wp:posOffset>
            </wp:positionV>
            <wp:extent cx="5974715" cy="162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74715" cy="16256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-882015</wp:posOffset>
            </wp:positionV>
            <wp:extent cx="5974715" cy="1714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-539115</wp:posOffset>
            </wp:positionV>
            <wp:extent cx="5974715" cy="1714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-196215</wp:posOffset>
            </wp:positionV>
            <wp:extent cx="5974715" cy="1885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974715" cy="188595"/>
                    </a:xfrm>
                    <a:prstGeom prst="rect">
                      <a:avLst/>
                    </a:prstGeom>
                    <a:noFill/>
                  </pic:spPr>
                </pic:pic>
              </a:graphicData>
            </a:graphic>
          </wp:anchor>
        </w:drawing>
      </w:r>
    </w:p>
    <w:p>
      <w:pPr>
        <w:spacing w:after="0" w:line="74" w:lineRule="exact"/>
        <w:rPr>
          <w:sz w:val="20"/>
          <w:szCs w:val="20"/>
          <w:color w:val="auto"/>
        </w:rPr>
      </w:pPr>
    </w:p>
    <w:p>
      <w:pPr>
        <w:ind w:left="1180" w:right="40" w:hanging="354"/>
        <w:spacing w:after="0" w:line="298" w:lineRule="auto"/>
        <w:tabs>
          <w:tab w:leader="none" w:pos="1180" w:val="left"/>
        </w:tabs>
        <w:numPr>
          <w:ilvl w:val="0"/>
          <w:numId w:val="114"/>
        </w:numPr>
        <w:rPr>
          <w:rFonts w:ascii="Arial" w:cs="Arial" w:eastAsia="Arial" w:hAnsi="Arial"/>
          <w:sz w:val="16"/>
          <w:szCs w:val="16"/>
          <w:i w:val="1"/>
          <w:iCs w:val="1"/>
          <w:color w:val="auto"/>
        </w:rPr>
      </w:pPr>
      <w:r>
        <w:rPr>
          <w:rFonts w:ascii="Arial" w:cs="Arial" w:eastAsia="Arial" w:hAnsi="Arial"/>
          <w:sz w:val="16"/>
          <w:szCs w:val="16"/>
          <w:i w:val="1"/>
          <w:iCs w:val="1"/>
          <w:color w:val="auto"/>
        </w:rPr>
        <w:t>The following table summarizes the expense recognized in accordance with ASC 718 — Compensation, Stock Compensation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53340</wp:posOffset>
            </wp:positionV>
            <wp:extent cx="5631815" cy="4883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631815" cy="488315"/>
                    </a:xfrm>
                    <a:prstGeom prst="rect">
                      <a:avLst/>
                    </a:prstGeom>
                    <a:noFill/>
                  </pic:spPr>
                </pic:pic>
              </a:graphicData>
            </a:graphic>
          </wp:anchor>
        </w:drawing>
      </w:r>
    </w:p>
    <w:p>
      <w:pPr>
        <w:sectPr>
          <w:pgSz w:w="11900" w:h="16838" w:orient="portrait"/>
          <w:cols w:equalWidth="0" w:num="1">
            <w:col w:w="10200"/>
          </w:cols>
          <w:pgMar w:left="480" w:top="131" w:right="1219" w:bottom="1440" w:gutter="0" w:footer="0" w:header="0"/>
          <w:type w:val="continuous"/>
        </w:sectPr>
      </w:pP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FFFFFF"/>
        </w:rPr>
        <w:t>​​</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FFFFFF"/>
        </w:rPr>
        <w:t>​(in millions)</w:t>
      </w:r>
    </w:p>
    <w:p>
      <w:pPr>
        <w:spacing w:after="0" w:line="9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Cost​ of goods sold</w:t>
      </w:r>
    </w:p>
    <w:p>
      <w:pPr>
        <w:spacing w:after="0" w:line="7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Research​ and development</w:t>
      </w:r>
    </w:p>
    <w:p>
      <w:pPr>
        <w:spacing w:after="0" w:line="7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Selling,​ general, and administrative</w:t>
      </w:r>
    </w:p>
    <w:p>
      <w:pPr>
        <w:spacing w:after="0" w:line="7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Total​ share-based compensation</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420" w:type="dxa"/>
            <w:vAlign w:val="bottom"/>
            <w:gridSpan w:val="2"/>
          </w:tcPr>
          <w:p>
            <w:pPr>
              <w:spacing w:after="0"/>
              <w:rPr>
                <w:sz w:val="20"/>
                <w:szCs w:val="20"/>
                <w:color w:val="auto"/>
              </w:rPr>
            </w:pPr>
            <w:r>
              <w:rPr>
                <w:rFonts w:ascii="Arial" w:cs="Arial" w:eastAsia="Arial" w:hAnsi="Arial"/>
                <w:sz w:val="18"/>
                <w:szCs w:val="18"/>
                <w:color w:val="FFFFFF"/>
              </w:rPr>
              <w:t>​ ​</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20" w:type="dxa"/>
            <w:vAlign w:val="bottom"/>
            <w:gridSpan w:val="3"/>
          </w:tcPr>
          <w:p>
            <w:pPr>
              <w:ind w:left="120"/>
              <w:spacing w:after="0"/>
              <w:rPr>
                <w:sz w:val="20"/>
                <w:szCs w:val="20"/>
                <w:color w:val="auto"/>
              </w:rPr>
            </w:pPr>
            <w:r>
              <w:rPr>
                <w:rFonts w:ascii="Arial" w:cs="Arial" w:eastAsia="Arial" w:hAnsi="Arial"/>
                <w:sz w:val="18"/>
                <w:szCs w:val="18"/>
                <w:color w:val="FFFFFF"/>
              </w:rPr>
              <w:t>Fiscal Years Ended</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FFFFFF"/>
              </w:rPr>
              <w:t>​</w:t>
            </w:r>
          </w:p>
        </w:tc>
      </w:tr>
      <w:tr>
        <w:trPr>
          <w:trHeight w:val="222"/>
        </w:trPr>
        <w:tc>
          <w:tcPr>
            <w:tcW w:w="100" w:type="dxa"/>
            <w:vAlign w:val="bottom"/>
            <w:tcBorders>
              <w:top w:val="single" w:sz="8" w:color="0075A8"/>
            </w:tcBorders>
          </w:tcPr>
          <w:p>
            <w:pPr>
              <w:spacing w:after="0"/>
              <w:rPr>
                <w:sz w:val="19"/>
                <w:szCs w:val="19"/>
                <w:color w:val="auto"/>
              </w:rPr>
            </w:pPr>
          </w:p>
        </w:tc>
        <w:tc>
          <w:tcPr>
            <w:tcW w:w="1340" w:type="dxa"/>
            <w:vAlign w:val="bottom"/>
            <w:tcBorders>
              <w:top w:val="single" w:sz="8" w:color="FEFEFE"/>
            </w:tcBorders>
            <w:gridSpan w:val="2"/>
          </w:tcPr>
          <w:p>
            <w:pPr>
              <w:jc w:val="center"/>
              <w:ind w:left="37"/>
              <w:spacing w:after="0"/>
              <w:rPr>
                <w:sz w:val="20"/>
                <w:szCs w:val="20"/>
                <w:color w:val="auto"/>
              </w:rPr>
            </w:pPr>
            <w:r>
              <w:rPr>
                <w:rFonts w:ascii="Arial" w:cs="Arial" w:eastAsia="Arial" w:hAnsi="Arial"/>
                <w:sz w:val="18"/>
                <w:szCs w:val="18"/>
                <w:color w:val="FFFFFF"/>
                <w:w w:val="99"/>
              </w:rPr>
              <w:t>September 30,</w:t>
            </w:r>
          </w:p>
        </w:tc>
        <w:tc>
          <w:tcPr>
            <w:tcW w:w="1140" w:type="dxa"/>
            <w:vAlign w:val="bottom"/>
            <w:tcBorders>
              <w:top w:val="single" w:sz="8" w:color="FEFEFE"/>
            </w:tcBorders>
            <w:gridSpan w:val="2"/>
          </w:tcPr>
          <w:p>
            <w:pPr>
              <w:jc w:val="center"/>
              <w:ind w:left="176"/>
              <w:spacing w:after="0"/>
              <w:rPr>
                <w:sz w:val="20"/>
                <w:szCs w:val="20"/>
                <w:color w:val="auto"/>
              </w:rPr>
            </w:pPr>
            <w:r>
              <w:rPr>
                <w:rFonts w:ascii="Arial" w:cs="Arial" w:eastAsia="Arial" w:hAnsi="Arial"/>
                <w:sz w:val="18"/>
                <w:szCs w:val="18"/>
                <w:color w:val="FFFFFF"/>
                <w:w w:val="99"/>
              </w:rPr>
              <w:t>October 1,</w:t>
            </w:r>
          </w:p>
        </w:tc>
        <w:tc>
          <w:tcPr>
            <w:tcW w:w="1440" w:type="dxa"/>
            <w:vAlign w:val="bottom"/>
            <w:tcBorders>
              <w:top w:val="single" w:sz="8" w:color="FEFEFE"/>
            </w:tcBorders>
            <w:gridSpan w:val="2"/>
          </w:tcPr>
          <w:p>
            <w:pPr>
              <w:ind w:left="240"/>
              <w:spacing w:after="0"/>
              <w:rPr>
                <w:sz w:val="20"/>
                <w:szCs w:val="20"/>
                <w:color w:val="auto"/>
              </w:rPr>
            </w:pPr>
            <w:r>
              <w:rPr>
                <w:rFonts w:ascii="Arial" w:cs="Arial" w:eastAsia="Arial" w:hAnsi="Arial"/>
                <w:sz w:val="18"/>
                <w:szCs w:val="18"/>
                <w:color w:val="FFFFFF"/>
                <w:w w:val="99"/>
              </w:rPr>
              <w:t>September 28,</w:t>
            </w:r>
          </w:p>
        </w:tc>
        <w:tc>
          <w:tcPr>
            <w:tcW w:w="1120" w:type="dxa"/>
            <w:vAlign w:val="bottom"/>
            <w:tcBorders>
              <w:top w:val="single" w:sz="8" w:color="FEFEFE"/>
            </w:tcBorders>
            <w:gridSpan w:val="2"/>
          </w:tcPr>
          <w:p>
            <w:pPr>
              <w:ind w:left="260"/>
              <w:spacing w:after="0"/>
              <w:rPr>
                <w:sz w:val="20"/>
                <w:szCs w:val="20"/>
                <w:color w:val="auto"/>
              </w:rPr>
            </w:pPr>
            <w:r>
              <w:rPr>
                <w:rFonts w:ascii="Arial" w:cs="Arial" w:eastAsia="Arial" w:hAnsi="Arial"/>
                <w:sz w:val="18"/>
                <w:szCs w:val="18"/>
                <w:color w:val="FFFFFF"/>
                <w:w w:val="99"/>
              </w:rPr>
              <w:t>October 3,</w:t>
            </w:r>
          </w:p>
        </w:tc>
        <w:tc>
          <w:tcPr>
            <w:tcW w:w="80" w:type="dxa"/>
            <w:vAlign w:val="bottom"/>
            <w:tcBorders>
              <w:top w:val="single" w:sz="8" w:color="FEFEFE"/>
            </w:tcBorders>
          </w:tcPr>
          <w:p>
            <w:pPr>
              <w:spacing w:after="0"/>
              <w:rPr>
                <w:sz w:val="19"/>
                <w:szCs w:val="19"/>
                <w:color w:val="auto"/>
              </w:rPr>
            </w:pPr>
          </w:p>
        </w:tc>
        <w:tc>
          <w:tcPr>
            <w:tcW w:w="40" w:type="dxa"/>
            <w:vAlign w:val="bottom"/>
          </w:tcPr>
          <w:p>
            <w:pPr>
              <w:spacing w:after="0"/>
              <w:rPr>
                <w:sz w:val="19"/>
                <w:szCs w:val="19"/>
                <w:color w:val="auto"/>
              </w:rPr>
            </w:pPr>
          </w:p>
        </w:tc>
      </w:tr>
      <w:tr>
        <w:trPr>
          <w:trHeight w:val="244"/>
        </w:trPr>
        <w:tc>
          <w:tcPr>
            <w:tcW w:w="420" w:type="dxa"/>
            <w:vAlign w:val="bottom"/>
            <w:gridSpan w:val="2"/>
          </w:tcPr>
          <w:p>
            <w:pPr>
              <w:ind w:left="60"/>
              <w:spacing w:after="0"/>
              <w:rPr>
                <w:sz w:val="20"/>
                <w:szCs w:val="20"/>
                <w:color w:val="auto"/>
              </w:rPr>
            </w:pPr>
            <w:r>
              <w:rPr>
                <w:rFonts w:ascii="Arial" w:cs="Arial" w:eastAsia="Arial" w:hAnsi="Arial"/>
                <w:sz w:val="18"/>
                <w:szCs w:val="18"/>
                <w:color w:val="FFFFFF"/>
              </w:rPr>
              <w:t>​ ​</w:t>
            </w:r>
          </w:p>
        </w:tc>
        <w:tc>
          <w:tcPr>
            <w:tcW w:w="1020" w:type="dxa"/>
            <w:vAlign w:val="bottom"/>
          </w:tcPr>
          <w:p>
            <w:pPr>
              <w:jc w:val="center"/>
              <w:ind w:right="97"/>
              <w:spacing w:after="0"/>
              <w:rPr>
                <w:sz w:val="20"/>
                <w:szCs w:val="20"/>
                <w:color w:val="auto"/>
              </w:rPr>
            </w:pPr>
            <w:r>
              <w:rPr>
                <w:rFonts w:ascii="Arial" w:cs="Arial" w:eastAsia="Arial" w:hAnsi="Arial"/>
                <w:sz w:val="18"/>
                <w:szCs w:val="18"/>
                <w:color w:val="FFFFFF"/>
                <w:w w:val="99"/>
              </w:rPr>
              <w:t>2022</w:t>
            </w:r>
          </w:p>
        </w:tc>
        <w:tc>
          <w:tcPr>
            <w:tcW w:w="360" w:type="dxa"/>
            <w:vAlign w:val="bottom"/>
          </w:tcPr>
          <w:p>
            <w:pPr>
              <w:jc w:val="center"/>
              <w:spacing w:after="0"/>
              <w:rPr>
                <w:sz w:val="20"/>
                <w:szCs w:val="20"/>
                <w:color w:val="auto"/>
              </w:rPr>
            </w:pPr>
            <w:r>
              <w:rPr>
                <w:rFonts w:ascii="Arial" w:cs="Arial" w:eastAsia="Arial" w:hAnsi="Arial"/>
                <w:sz w:val="18"/>
                <w:szCs w:val="18"/>
                <w:color w:val="FFFFFF"/>
              </w:rPr>
              <w:t>​ ​</w:t>
            </w:r>
          </w:p>
        </w:tc>
        <w:tc>
          <w:tcPr>
            <w:tcW w:w="780" w:type="dxa"/>
            <w:vAlign w:val="bottom"/>
          </w:tcPr>
          <w:p>
            <w:pPr>
              <w:jc w:val="center"/>
              <w:ind w:right="16"/>
              <w:spacing w:after="0"/>
              <w:rPr>
                <w:sz w:val="20"/>
                <w:szCs w:val="20"/>
                <w:color w:val="auto"/>
              </w:rPr>
            </w:pPr>
            <w:r>
              <w:rPr>
                <w:rFonts w:ascii="Arial" w:cs="Arial" w:eastAsia="Arial" w:hAnsi="Arial"/>
                <w:sz w:val="18"/>
                <w:szCs w:val="18"/>
                <w:color w:val="FFFFFF"/>
                <w:w w:val="99"/>
              </w:rPr>
              <w:t>2021</w:t>
            </w:r>
          </w:p>
        </w:tc>
        <w:tc>
          <w:tcPr>
            <w:tcW w:w="440" w:type="dxa"/>
            <w:vAlign w:val="bottom"/>
          </w:tcPr>
          <w:p>
            <w:pPr>
              <w:jc w:val="center"/>
              <w:ind w:right="76"/>
              <w:spacing w:after="0"/>
              <w:rPr>
                <w:sz w:val="20"/>
                <w:szCs w:val="20"/>
                <w:color w:val="auto"/>
              </w:rPr>
            </w:pPr>
            <w:r>
              <w:rPr>
                <w:rFonts w:ascii="Arial" w:cs="Arial" w:eastAsia="Arial" w:hAnsi="Arial"/>
                <w:sz w:val="18"/>
                <w:szCs w:val="18"/>
                <w:color w:val="FFFFFF"/>
              </w:rPr>
              <w:t>​ ​</w:t>
            </w:r>
          </w:p>
        </w:tc>
        <w:tc>
          <w:tcPr>
            <w:tcW w:w="1000" w:type="dxa"/>
            <w:vAlign w:val="bottom"/>
          </w:tcPr>
          <w:p>
            <w:pPr>
              <w:jc w:val="center"/>
              <w:ind w:right="117"/>
              <w:spacing w:after="0"/>
              <w:rPr>
                <w:sz w:val="20"/>
                <w:szCs w:val="20"/>
                <w:color w:val="auto"/>
              </w:rPr>
            </w:pPr>
            <w:r>
              <w:rPr>
                <w:rFonts w:ascii="Arial" w:cs="Arial" w:eastAsia="Arial" w:hAnsi="Arial"/>
                <w:sz w:val="18"/>
                <w:szCs w:val="18"/>
                <w:color w:val="FFFFFF"/>
                <w:w w:val="99"/>
              </w:rPr>
              <w:t>2018</w:t>
            </w:r>
          </w:p>
        </w:tc>
        <w:tc>
          <w:tcPr>
            <w:tcW w:w="380" w:type="dxa"/>
            <w:vAlign w:val="bottom"/>
          </w:tcPr>
          <w:p>
            <w:pPr>
              <w:jc w:val="center"/>
              <w:spacing w:after="0"/>
              <w:rPr>
                <w:sz w:val="20"/>
                <w:szCs w:val="20"/>
                <w:color w:val="auto"/>
              </w:rPr>
            </w:pPr>
            <w:r>
              <w:rPr>
                <w:rFonts w:ascii="Arial" w:cs="Arial" w:eastAsia="Arial" w:hAnsi="Arial"/>
                <w:sz w:val="18"/>
                <w:szCs w:val="18"/>
                <w:color w:val="FFFFFF"/>
              </w:rPr>
              <w:t>​ ​</w:t>
            </w:r>
          </w:p>
        </w:tc>
        <w:tc>
          <w:tcPr>
            <w:tcW w:w="740" w:type="dxa"/>
            <w:vAlign w:val="bottom"/>
          </w:tcPr>
          <w:p>
            <w:pPr>
              <w:ind w:left="120"/>
              <w:spacing w:after="0"/>
              <w:rPr>
                <w:sz w:val="20"/>
                <w:szCs w:val="20"/>
                <w:color w:val="auto"/>
              </w:rPr>
            </w:pPr>
            <w:r>
              <w:rPr>
                <w:rFonts w:ascii="Arial" w:cs="Arial" w:eastAsia="Arial" w:hAnsi="Arial"/>
                <w:sz w:val="18"/>
                <w:szCs w:val="18"/>
                <w:color w:val="FFFFFF"/>
              </w:rPr>
              <w:t>2014</w:t>
            </w:r>
          </w:p>
        </w:tc>
        <w:tc>
          <w:tcPr>
            <w:tcW w:w="120" w:type="dxa"/>
            <w:vAlign w:val="bottom"/>
            <w:gridSpan w:val="2"/>
          </w:tcPr>
          <w:p>
            <w:pPr>
              <w:ind w:left="60"/>
              <w:spacing w:after="0"/>
              <w:rPr>
                <w:sz w:val="20"/>
                <w:szCs w:val="20"/>
                <w:color w:val="auto"/>
              </w:rPr>
            </w:pPr>
            <w:r>
              <w:rPr>
                <w:rFonts w:ascii="Arial" w:cs="Arial" w:eastAsia="Arial" w:hAnsi="Arial"/>
                <w:sz w:val="18"/>
                <w:szCs w:val="18"/>
                <w:color w:val="FFFFFF"/>
              </w:rPr>
              <w:t>​</w:t>
            </w:r>
          </w:p>
        </w:tc>
      </w:tr>
      <w:tr>
        <w:trPr>
          <w:trHeight w:val="277"/>
        </w:trPr>
        <w:tc>
          <w:tcPr>
            <w:tcW w:w="1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 ​</w:t>
            </w:r>
          </w:p>
        </w:tc>
        <w:tc>
          <w:tcPr>
            <w:tcW w:w="1020" w:type="dxa"/>
            <w:vAlign w:val="bottom"/>
          </w:tcPr>
          <w:p>
            <w:pPr>
              <w:jc w:val="center"/>
              <w:ind w:right="57"/>
              <w:spacing w:after="0"/>
              <w:rPr>
                <w:sz w:val="20"/>
                <w:szCs w:val="20"/>
                <w:color w:val="auto"/>
              </w:rPr>
            </w:pPr>
            <w:r>
              <w:rPr>
                <w:rFonts w:ascii="Arial" w:cs="Arial" w:eastAsia="Arial" w:hAnsi="Arial"/>
                <w:sz w:val="16"/>
                <w:szCs w:val="16"/>
                <w:color w:val="auto"/>
              </w:rPr>
              <w:t>​$ 26.9​</w:t>
            </w:r>
          </w:p>
        </w:tc>
        <w:tc>
          <w:tcPr>
            <w:tcW w:w="360" w:type="dxa"/>
            <w:vAlign w:val="bottom"/>
          </w:tcPr>
          <w:p>
            <w:pPr>
              <w:jc w:val="center"/>
              <w:spacing w:after="0"/>
              <w:rPr>
                <w:sz w:val="20"/>
                <w:szCs w:val="20"/>
                <w:color w:val="auto"/>
              </w:rPr>
            </w:pPr>
            <w:r>
              <w:rPr>
                <w:rFonts w:ascii="Arial" w:cs="Arial" w:eastAsia="Arial" w:hAnsi="Arial"/>
                <w:sz w:val="16"/>
                <w:szCs w:val="16"/>
                <w:color w:val="auto"/>
              </w:rPr>
              <w:t>​ ​ ​</w:t>
            </w:r>
          </w:p>
        </w:tc>
        <w:tc>
          <w:tcPr>
            <w:tcW w:w="780" w:type="dxa"/>
            <w:vAlign w:val="bottom"/>
          </w:tcPr>
          <w:p>
            <w:pPr>
              <w:jc w:val="center"/>
              <w:spacing w:after="0"/>
              <w:rPr>
                <w:sz w:val="20"/>
                <w:szCs w:val="20"/>
                <w:color w:val="auto"/>
              </w:rPr>
            </w:pPr>
            <w:r>
              <w:rPr>
                <w:rFonts w:ascii="Arial" w:cs="Arial" w:eastAsia="Arial" w:hAnsi="Arial"/>
                <w:sz w:val="16"/>
                <w:szCs w:val="16"/>
                <w:color w:val="auto"/>
              </w:rPr>
              <w:t>​$ 28.9​</w:t>
            </w:r>
          </w:p>
        </w:tc>
        <w:tc>
          <w:tcPr>
            <w:tcW w:w="440" w:type="dxa"/>
            <w:vAlign w:val="bottom"/>
          </w:tcPr>
          <w:p>
            <w:pPr>
              <w:jc w:val="center"/>
              <w:ind w:right="56"/>
              <w:spacing w:after="0"/>
              <w:rPr>
                <w:sz w:val="20"/>
                <w:szCs w:val="20"/>
                <w:color w:val="auto"/>
              </w:rPr>
            </w:pPr>
            <w:r>
              <w:rPr>
                <w:rFonts w:ascii="Arial" w:cs="Arial" w:eastAsia="Arial" w:hAnsi="Arial"/>
                <w:sz w:val="16"/>
                <w:szCs w:val="16"/>
                <w:color w:val="auto"/>
              </w:rPr>
              <w:t>​ ​ ​</w:t>
            </w:r>
          </w:p>
        </w:tc>
        <w:tc>
          <w:tcPr>
            <w:tcW w:w="1000" w:type="dxa"/>
            <w:vAlign w:val="bottom"/>
          </w:tcPr>
          <w:p>
            <w:pPr>
              <w:jc w:val="center"/>
              <w:ind w:right="37"/>
              <w:spacing w:after="0"/>
              <w:rPr>
                <w:sz w:val="20"/>
                <w:szCs w:val="20"/>
                <w:color w:val="auto"/>
              </w:rPr>
            </w:pPr>
            <w:r>
              <w:rPr>
                <w:rFonts w:ascii="Arial" w:cs="Arial" w:eastAsia="Arial" w:hAnsi="Arial"/>
                <w:sz w:val="16"/>
                <w:szCs w:val="16"/>
                <w:color w:val="auto"/>
              </w:rPr>
              <w:t>​$ 14.4​</w:t>
            </w:r>
          </w:p>
        </w:tc>
        <w:tc>
          <w:tcPr>
            <w:tcW w:w="380" w:type="dxa"/>
            <w:vAlign w:val="bottom"/>
          </w:tcPr>
          <w:p>
            <w:pPr>
              <w:jc w:val="center"/>
              <w:spacing w:after="0"/>
              <w:rPr>
                <w:sz w:val="20"/>
                <w:szCs w:val="20"/>
                <w:color w:val="auto"/>
              </w:rPr>
            </w:pPr>
            <w:r>
              <w:rPr>
                <w:rFonts w:ascii="Arial" w:cs="Arial" w:eastAsia="Arial" w:hAnsi="Arial"/>
                <w:sz w:val="16"/>
                <w:szCs w:val="16"/>
                <w:color w:val="auto"/>
              </w:rPr>
              <w:t>​ ​ ​</w:t>
            </w:r>
          </w:p>
        </w:tc>
        <w:tc>
          <w:tcPr>
            <w:tcW w:w="740" w:type="dxa"/>
            <w:vAlign w:val="bottom"/>
          </w:tcPr>
          <w:p>
            <w:pPr>
              <w:ind w:left="100"/>
              <w:spacing w:after="0"/>
              <w:rPr>
                <w:sz w:val="20"/>
                <w:szCs w:val="20"/>
                <w:color w:val="auto"/>
              </w:rPr>
            </w:pPr>
            <w:r>
              <w:rPr>
                <w:rFonts w:ascii="Arial" w:cs="Arial" w:eastAsia="Arial" w:hAnsi="Arial"/>
                <w:sz w:val="16"/>
                <w:szCs w:val="16"/>
                <w:color w:val="auto"/>
              </w:rPr>
              <w:t>​$11.3​</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rPr>
              <w:t>​​</w:t>
            </w:r>
          </w:p>
        </w:tc>
      </w:tr>
      <w:tr>
        <w:trPr>
          <w:trHeight w:val="257"/>
        </w:trPr>
        <w:tc>
          <w:tcPr>
            <w:tcW w:w="10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 ​</w:t>
            </w:r>
          </w:p>
        </w:tc>
        <w:tc>
          <w:tcPr>
            <w:tcW w:w="1020" w:type="dxa"/>
            <w:vAlign w:val="bottom"/>
          </w:tcPr>
          <w:p>
            <w:pPr>
              <w:jc w:val="center"/>
              <w:ind w:right="57"/>
              <w:spacing w:after="0"/>
              <w:rPr>
                <w:sz w:val="20"/>
                <w:szCs w:val="20"/>
                <w:color w:val="auto"/>
              </w:rPr>
            </w:pPr>
            <w:r>
              <w:rPr>
                <w:rFonts w:ascii="Arial" w:cs="Arial" w:eastAsia="Arial" w:hAnsi="Arial"/>
                <w:sz w:val="16"/>
                <w:szCs w:val="16"/>
                <w:color w:val="auto"/>
              </w:rPr>
              <w:t>​ ​ 93.8​</w:t>
            </w:r>
          </w:p>
        </w:tc>
        <w:tc>
          <w:tcPr>
            <w:tcW w:w="360" w:type="dxa"/>
            <w:vAlign w:val="bottom"/>
          </w:tcPr>
          <w:p>
            <w:pPr>
              <w:jc w:val="center"/>
              <w:spacing w:after="0"/>
              <w:rPr>
                <w:sz w:val="20"/>
                <w:szCs w:val="20"/>
                <w:color w:val="auto"/>
              </w:rPr>
            </w:pPr>
            <w:r>
              <w:rPr>
                <w:rFonts w:ascii="Arial" w:cs="Arial" w:eastAsia="Arial" w:hAnsi="Arial"/>
                <w:sz w:val="16"/>
                <w:szCs w:val="16"/>
                <w:color w:val="auto"/>
              </w:rPr>
              <w:t>​ ​ ​</w:t>
            </w:r>
          </w:p>
        </w:tc>
        <w:tc>
          <w:tcPr>
            <w:tcW w:w="780" w:type="dxa"/>
            <w:vAlign w:val="bottom"/>
          </w:tcPr>
          <w:p>
            <w:pPr>
              <w:jc w:val="center"/>
              <w:spacing w:after="0"/>
              <w:rPr>
                <w:sz w:val="20"/>
                <w:szCs w:val="20"/>
                <w:color w:val="auto"/>
              </w:rPr>
            </w:pPr>
            <w:r>
              <w:rPr>
                <w:rFonts w:ascii="Arial" w:cs="Arial" w:eastAsia="Arial" w:hAnsi="Arial"/>
                <w:sz w:val="16"/>
                <w:szCs w:val="16"/>
                <w:color w:val="auto"/>
              </w:rPr>
              <w:t>​ ​ 85.7​</w:t>
            </w:r>
          </w:p>
        </w:tc>
        <w:tc>
          <w:tcPr>
            <w:tcW w:w="440" w:type="dxa"/>
            <w:vAlign w:val="bottom"/>
          </w:tcPr>
          <w:p>
            <w:pPr>
              <w:jc w:val="center"/>
              <w:ind w:right="56"/>
              <w:spacing w:after="0"/>
              <w:rPr>
                <w:sz w:val="20"/>
                <w:szCs w:val="20"/>
                <w:color w:val="auto"/>
              </w:rPr>
            </w:pPr>
            <w:r>
              <w:rPr>
                <w:rFonts w:ascii="Arial" w:cs="Arial" w:eastAsia="Arial" w:hAnsi="Arial"/>
                <w:sz w:val="16"/>
                <w:szCs w:val="16"/>
                <w:color w:val="auto"/>
              </w:rPr>
              <w:t>​ ​ ​</w:t>
            </w:r>
          </w:p>
        </w:tc>
        <w:tc>
          <w:tcPr>
            <w:tcW w:w="1000" w:type="dxa"/>
            <w:vAlign w:val="bottom"/>
          </w:tcPr>
          <w:p>
            <w:pPr>
              <w:jc w:val="center"/>
              <w:ind w:right="37"/>
              <w:spacing w:after="0"/>
              <w:rPr>
                <w:sz w:val="20"/>
                <w:szCs w:val="20"/>
                <w:color w:val="auto"/>
              </w:rPr>
            </w:pPr>
            <w:r>
              <w:rPr>
                <w:rFonts w:ascii="Arial" w:cs="Arial" w:eastAsia="Arial" w:hAnsi="Arial"/>
                <w:sz w:val="16"/>
                <w:szCs w:val="16"/>
                <w:color w:val="auto"/>
              </w:rPr>
              <w:t>​ ​ 42.6​</w:t>
            </w:r>
          </w:p>
        </w:tc>
        <w:tc>
          <w:tcPr>
            <w:tcW w:w="380" w:type="dxa"/>
            <w:vAlign w:val="bottom"/>
          </w:tcPr>
          <w:p>
            <w:pPr>
              <w:jc w:val="center"/>
              <w:spacing w:after="0"/>
              <w:rPr>
                <w:sz w:val="20"/>
                <w:szCs w:val="20"/>
                <w:color w:val="auto"/>
              </w:rPr>
            </w:pPr>
            <w:r>
              <w:rPr>
                <w:rFonts w:ascii="Arial" w:cs="Arial" w:eastAsia="Arial" w:hAnsi="Arial"/>
                <w:sz w:val="16"/>
                <w:szCs w:val="16"/>
                <w:color w:val="auto"/>
              </w:rPr>
              <w:t>​ ​ ​</w:t>
            </w:r>
          </w:p>
        </w:tc>
        <w:tc>
          <w:tcPr>
            <w:tcW w:w="740" w:type="dxa"/>
            <w:vAlign w:val="bottom"/>
          </w:tcPr>
          <w:p>
            <w:pPr>
              <w:ind w:left="100"/>
              <w:spacing w:after="0"/>
              <w:rPr>
                <w:sz w:val="20"/>
                <w:szCs w:val="20"/>
                <w:color w:val="auto"/>
              </w:rPr>
            </w:pPr>
            <w:r>
              <w:rPr>
                <w:rFonts w:ascii="Arial" w:cs="Arial" w:eastAsia="Arial" w:hAnsi="Arial"/>
                <w:sz w:val="16"/>
                <w:szCs w:val="16"/>
                <w:color w:val="auto"/>
              </w:rPr>
              <w:t>​ ​36.2​</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rPr>
              <w:t>​​</w:t>
            </w:r>
          </w:p>
        </w:tc>
      </w:tr>
      <w:tr>
        <w:trPr>
          <w:trHeight w:val="256"/>
        </w:trPr>
        <w:tc>
          <w:tcPr>
            <w:tcW w:w="10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 ​</w:t>
            </w:r>
          </w:p>
        </w:tc>
        <w:tc>
          <w:tcPr>
            <w:tcW w:w="1020" w:type="dxa"/>
            <w:vAlign w:val="bottom"/>
          </w:tcPr>
          <w:p>
            <w:pPr>
              <w:jc w:val="center"/>
              <w:ind w:right="57"/>
              <w:spacing w:after="0"/>
              <w:rPr>
                <w:sz w:val="20"/>
                <w:szCs w:val="20"/>
                <w:color w:val="auto"/>
              </w:rPr>
            </w:pPr>
            <w:r>
              <w:rPr>
                <w:rFonts w:ascii="Arial" w:cs="Arial" w:eastAsia="Arial" w:hAnsi="Arial"/>
                <w:sz w:val="16"/>
                <w:szCs w:val="16"/>
                <w:color w:val="auto"/>
              </w:rPr>
              <w:t>​ ​ 74.5​</w:t>
            </w:r>
          </w:p>
        </w:tc>
        <w:tc>
          <w:tcPr>
            <w:tcW w:w="360" w:type="dxa"/>
            <w:vAlign w:val="bottom"/>
          </w:tcPr>
          <w:p>
            <w:pPr>
              <w:jc w:val="center"/>
              <w:spacing w:after="0"/>
              <w:rPr>
                <w:sz w:val="20"/>
                <w:szCs w:val="20"/>
                <w:color w:val="auto"/>
              </w:rPr>
            </w:pPr>
            <w:r>
              <w:rPr>
                <w:rFonts w:ascii="Arial" w:cs="Arial" w:eastAsia="Arial" w:hAnsi="Arial"/>
                <w:sz w:val="16"/>
                <w:szCs w:val="16"/>
                <w:color w:val="auto"/>
              </w:rPr>
              <w:t>​ ​ ​</w:t>
            </w:r>
          </w:p>
        </w:tc>
        <w:tc>
          <w:tcPr>
            <w:tcW w:w="780" w:type="dxa"/>
            <w:vAlign w:val="bottom"/>
          </w:tcPr>
          <w:p>
            <w:pPr>
              <w:jc w:val="center"/>
              <w:spacing w:after="0"/>
              <w:rPr>
                <w:sz w:val="20"/>
                <w:szCs w:val="20"/>
                <w:color w:val="auto"/>
              </w:rPr>
            </w:pPr>
            <w:r>
              <w:rPr>
                <w:rFonts w:ascii="Arial" w:cs="Arial" w:eastAsia="Arial" w:hAnsi="Arial"/>
                <w:sz w:val="16"/>
                <w:szCs w:val="16"/>
                <w:color w:val="auto"/>
              </w:rPr>
              <w:t>​ ​ 77.3​</w:t>
            </w:r>
          </w:p>
        </w:tc>
        <w:tc>
          <w:tcPr>
            <w:tcW w:w="440" w:type="dxa"/>
            <w:vAlign w:val="bottom"/>
          </w:tcPr>
          <w:p>
            <w:pPr>
              <w:jc w:val="center"/>
              <w:ind w:right="56"/>
              <w:spacing w:after="0"/>
              <w:rPr>
                <w:sz w:val="20"/>
                <w:szCs w:val="20"/>
                <w:color w:val="auto"/>
              </w:rPr>
            </w:pPr>
            <w:r>
              <w:rPr>
                <w:rFonts w:ascii="Arial" w:cs="Arial" w:eastAsia="Arial" w:hAnsi="Arial"/>
                <w:sz w:val="16"/>
                <w:szCs w:val="16"/>
                <w:color w:val="auto"/>
              </w:rPr>
              <w:t>​ ​ ​</w:t>
            </w:r>
          </w:p>
        </w:tc>
        <w:tc>
          <w:tcPr>
            <w:tcW w:w="1000" w:type="dxa"/>
            <w:vAlign w:val="bottom"/>
          </w:tcPr>
          <w:p>
            <w:pPr>
              <w:jc w:val="center"/>
              <w:ind w:right="37"/>
              <w:spacing w:after="0"/>
              <w:rPr>
                <w:sz w:val="20"/>
                <w:szCs w:val="20"/>
                <w:color w:val="auto"/>
              </w:rPr>
            </w:pPr>
            <w:r>
              <w:rPr>
                <w:rFonts w:ascii="Arial" w:cs="Arial" w:eastAsia="Arial" w:hAnsi="Arial"/>
                <w:sz w:val="16"/>
                <w:szCs w:val="16"/>
                <w:color w:val="auto"/>
              </w:rPr>
              <w:t>​ ​ 50.8​</w:t>
            </w:r>
          </w:p>
        </w:tc>
        <w:tc>
          <w:tcPr>
            <w:tcW w:w="380" w:type="dxa"/>
            <w:vAlign w:val="bottom"/>
          </w:tcPr>
          <w:p>
            <w:pPr>
              <w:jc w:val="center"/>
              <w:spacing w:after="0"/>
              <w:rPr>
                <w:sz w:val="20"/>
                <w:szCs w:val="20"/>
                <w:color w:val="auto"/>
              </w:rPr>
            </w:pPr>
            <w:r>
              <w:rPr>
                <w:rFonts w:ascii="Arial" w:cs="Arial" w:eastAsia="Arial" w:hAnsi="Arial"/>
                <w:sz w:val="16"/>
                <w:szCs w:val="16"/>
                <w:color w:val="auto"/>
              </w:rPr>
              <w:t>​ ​ ​</w:t>
            </w:r>
          </w:p>
        </w:tc>
        <w:tc>
          <w:tcPr>
            <w:tcW w:w="740" w:type="dxa"/>
            <w:vAlign w:val="bottom"/>
          </w:tcPr>
          <w:p>
            <w:pPr>
              <w:ind w:left="100"/>
              <w:spacing w:after="0"/>
              <w:rPr>
                <w:sz w:val="20"/>
                <w:szCs w:val="20"/>
                <w:color w:val="auto"/>
              </w:rPr>
            </w:pPr>
            <w:r>
              <w:rPr>
                <w:rFonts w:ascii="Arial" w:cs="Arial" w:eastAsia="Arial" w:hAnsi="Arial"/>
                <w:sz w:val="16"/>
                <w:szCs w:val="16"/>
                <w:color w:val="auto"/>
              </w:rPr>
              <w:t>​ ​38.5​</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rPr>
              <w:t>​​</w:t>
            </w:r>
          </w:p>
        </w:tc>
      </w:tr>
      <w:tr>
        <w:trPr>
          <w:trHeight w:val="243"/>
        </w:trPr>
        <w:tc>
          <w:tcPr>
            <w:tcW w:w="1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 ​</w:t>
            </w:r>
          </w:p>
        </w:tc>
        <w:tc>
          <w:tcPr>
            <w:tcW w:w="1020" w:type="dxa"/>
            <w:vAlign w:val="bottom"/>
          </w:tcPr>
          <w:p>
            <w:pPr>
              <w:jc w:val="center"/>
              <w:ind w:right="57"/>
              <w:spacing w:after="0"/>
              <w:rPr>
                <w:sz w:val="20"/>
                <w:szCs w:val="20"/>
                <w:color w:val="auto"/>
              </w:rPr>
            </w:pPr>
            <w:r>
              <w:rPr>
                <w:rFonts w:ascii="Arial" w:cs="Arial" w:eastAsia="Arial" w:hAnsi="Arial"/>
                <w:sz w:val="16"/>
                <w:szCs w:val="16"/>
                <w:color w:val="auto"/>
              </w:rPr>
              <w:t>​$195.2​</w:t>
            </w:r>
          </w:p>
        </w:tc>
        <w:tc>
          <w:tcPr>
            <w:tcW w:w="360" w:type="dxa"/>
            <w:vAlign w:val="bottom"/>
          </w:tcPr>
          <w:p>
            <w:pPr>
              <w:jc w:val="center"/>
              <w:spacing w:after="0"/>
              <w:rPr>
                <w:sz w:val="20"/>
                <w:szCs w:val="20"/>
                <w:color w:val="auto"/>
              </w:rPr>
            </w:pPr>
            <w:r>
              <w:rPr>
                <w:rFonts w:ascii="Arial" w:cs="Arial" w:eastAsia="Arial" w:hAnsi="Arial"/>
                <w:sz w:val="16"/>
                <w:szCs w:val="16"/>
                <w:color w:val="auto"/>
              </w:rPr>
              <w:t>​ ​ ​</w:t>
            </w:r>
          </w:p>
        </w:tc>
        <w:tc>
          <w:tcPr>
            <w:tcW w:w="780" w:type="dxa"/>
            <w:vAlign w:val="bottom"/>
          </w:tcPr>
          <w:p>
            <w:pPr>
              <w:jc w:val="center"/>
              <w:spacing w:after="0"/>
              <w:rPr>
                <w:sz w:val="20"/>
                <w:szCs w:val="20"/>
                <w:color w:val="auto"/>
              </w:rPr>
            </w:pPr>
            <w:r>
              <w:rPr>
                <w:rFonts w:ascii="Arial" w:cs="Arial" w:eastAsia="Arial" w:hAnsi="Arial"/>
                <w:sz w:val="16"/>
                <w:szCs w:val="16"/>
                <w:color w:val="auto"/>
              </w:rPr>
              <w:t>​$191.9​</w:t>
            </w:r>
          </w:p>
        </w:tc>
        <w:tc>
          <w:tcPr>
            <w:tcW w:w="440" w:type="dxa"/>
            <w:vAlign w:val="bottom"/>
          </w:tcPr>
          <w:p>
            <w:pPr>
              <w:jc w:val="center"/>
              <w:ind w:right="56"/>
              <w:spacing w:after="0"/>
              <w:rPr>
                <w:sz w:val="20"/>
                <w:szCs w:val="20"/>
                <w:color w:val="auto"/>
              </w:rPr>
            </w:pPr>
            <w:r>
              <w:rPr>
                <w:rFonts w:ascii="Arial" w:cs="Arial" w:eastAsia="Arial" w:hAnsi="Arial"/>
                <w:sz w:val="16"/>
                <w:szCs w:val="16"/>
                <w:color w:val="auto"/>
              </w:rPr>
              <w:t>​ ​ ​</w:t>
            </w:r>
          </w:p>
        </w:tc>
        <w:tc>
          <w:tcPr>
            <w:tcW w:w="1000" w:type="dxa"/>
            <w:vAlign w:val="bottom"/>
          </w:tcPr>
          <w:p>
            <w:pPr>
              <w:jc w:val="center"/>
              <w:ind w:right="37"/>
              <w:spacing w:after="0"/>
              <w:rPr>
                <w:sz w:val="20"/>
                <w:szCs w:val="20"/>
                <w:color w:val="auto"/>
              </w:rPr>
            </w:pPr>
            <w:r>
              <w:rPr>
                <w:rFonts w:ascii="Arial" w:cs="Arial" w:eastAsia="Arial" w:hAnsi="Arial"/>
                <w:sz w:val="16"/>
                <w:szCs w:val="16"/>
                <w:color w:val="auto"/>
              </w:rPr>
              <w:t>​$107.8​</w:t>
            </w:r>
          </w:p>
        </w:tc>
        <w:tc>
          <w:tcPr>
            <w:tcW w:w="380" w:type="dxa"/>
            <w:vAlign w:val="bottom"/>
          </w:tcPr>
          <w:p>
            <w:pPr>
              <w:jc w:val="center"/>
              <w:spacing w:after="0"/>
              <w:rPr>
                <w:sz w:val="20"/>
                <w:szCs w:val="20"/>
                <w:color w:val="auto"/>
              </w:rPr>
            </w:pPr>
            <w:r>
              <w:rPr>
                <w:rFonts w:ascii="Arial" w:cs="Arial" w:eastAsia="Arial" w:hAnsi="Arial"/>
                <w:sz w:val="16"/>
                <w:szCs w:val="16"/>
                <w:color w:val="auto"/>
              </w:rPr>
              <w:t>​ ​ ​</w:t>
            </w:r>
          </w:p>
        </w:tc>
        <w:tc>
          <w:tcPr>
            <w:tcW w:w="740" w:type="dxa"/>
            <w:vAlign w:val="bottom"/>
          </w:tcPr>
          <w:p>
            <w:pPr>
              <w:ind w:left="100"/>
              <w:spacing w:after="0"/>
              <w:rPr>
                <w:sz w:val="20"/>
                <w:szCs w:val="20"/>
                <w:color w:val="auto"/>
              </w:rPr>
            </w:pPr>
            <w:r>
              <w:rPr>
                <w:rFonts w:ascii="Arial" w:cs="Arial" w:eastAsia="Arial" w:hAnsi="Arial"/>
                <w:sz w:val="16"/>
                <w:szCs w:val="16"/>
                <w:color w:val="auto"/>
              </w:rPr>
              <w:t>​$86.0​</w:t>
            </w:r>
          </w:p>
        </w:tc>
        <w:tc>
          <w:tcPr>
            <w:tcW w:w="120" w:type="dxa"/>
            <w:vAlign w:val="bottom"/>
            <w:gridSpan w:val="2"/>
          </w:tcPr>
          <w:p>
            <w:pPr>
              <w:ind w:left="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-2315845</wp:posOffset>
            </wp:positionH>
            <wp:positionV relativeFrom="paragraph">
              <wp:posOffset>-655320</wp:posOffset>
            </wp:positionV>
            <wp:extent cx="5631815" cy="1631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631815" cy="163195"/>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-329565</wp:posOffset>
            </wp:positionV>
            <wp:extent cx="5631815" cy="1631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63181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5260"/>
          </w:cols>
          <w:pgMar w:left="480" w:top="131"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spacing w:after="0"/>
        <w:tabs>
          <w:tab w:leader="none" w:pos="2040" w:val="left"/>
          <w:tab w:leader="none" w:pos="2320" w:val="left"/>
          <w:tab w:leader="none" w:pos="8520" w:val="left"/>
          <w:tab w:leader="none" w:pos="930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116205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480" w:top="131" w:right="121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8"/>
          <w:szCs w:val="28"/>
          <w:b w:val="1"/>
          <w:bCs w:val="1"/>
          <w:color w:val="auto"/>
        </w:rPr>
        <w:t>Discussion Regarding the Use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660" w:right="40"/>
        <w:spacing w:after="0" w:line="253" w:lineRule="auto"/>
        <w:rPr>
          <w:sz w:val="20"/>
          <w:szCs w:val="20"/>
          <w:color w:val="auto"/>
        </w:rPr>
      </w:pPr>
      <w:r>
        <w:rPr>
          <w:rFonts w:ascii="Arial" w:cs="Arial" w:eastAsia="Arial" w:hAnsi="Arial"/>
          <w:sz w:val="20"/>
          <w:szCs w:val="20"/>
          <w:color w:val="auto"/>
        </w:rPr>
        <w:t>Our annual report and this proxy statement contain some or all of the following financial measures that have not been calculated in accordance with United States Generally Accepted Accounting Principles (“GAAP”): (i) non-GAAP operating income and operating margin, and (ii) non-GAAP diluted earnings per share. As set forth in the “Unaudited Reconciliations of Non-GAAP Financial Measures” table found above, we derive such non-GAAP financial measures by excluding certain expenses and other items from the respective GAAP financial measure that is most directly comparable to each non-GAAP financial measure. Management uses these non-GAAP financial measures to evaluate our operating performance and compare it against past periods, make operating decisions, forecast for future periods, compare our operating performance against peer companies, and determine payments under certain compensation programs. These non-GAAP financial measures provide management with additional means to understand and evaluate the operating results and trends in our ongoing business by eliminating certain non-recurring expenses and other items that management believes might otherwise make comparisons of our ongoing business with prior periods and competitors more difficult, obscure trends in ongoing operations, or reduce management’s ability to make forecasts.</w:t>
      </w:r>
    </w:p>
    <w:p>
      <w:pPr>
        <w:spacing w:after="0" w:line="233"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We provide investors with non-GAAP operating income and operating margin and non-GAAP diluted earnings per share because we believe it is important for investors to be able to closely monitor and understand changes in our ability to generate income from ongoing business operations. We believe these non-GAAP financial measures give investors an additional method to evaluate historical operating performance and identify trends, an additional means of evaluating period-over-period operating performance and a method to facilitate certain comparisons of our operating results to those of our peer companies. We also believe that providing non-GAAP operating income and operating margin allows</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3" w:right="40"/>
        <w:spacing w:after="0" w:line="254" w:lineRule="auto"/>
        <w:rPr>
          <w:sz w:val="20"/>
          <w:szCs w:val="20"/>
          <w:color w:val="auto"/>
        </w:rPr>
      </w:pPr>
      <w:r>
        <w:rPr>
          <w:rFonts w:ascii="Arial" w:cs="Arial" w:eastAsia="Arial" w:hAnsi="Arial"/>
          <w:sz w:val="20"/>
          <w:szCs w:val="20"/>
          <w:color w:val="auto"/>
        </w:rPr>
        <w:t>investors to assess the extent to which our ongoing operations impact our overall financial performance. We further believe that providing non-GAAP diluted earnings per share allows investors to assess the overall financial performance of our ongoing operations by eliminating the impact of share-based compensation expense, acquisition-related expenses, amortization of acquisition-related intangibles, settlements, gains, losses, and impairments, restructuring-related charges, and certain tax items which may not occur in each period presented and which may represent non-cash items unrelated to our ongoing operations. We believe that disclosing these non-GAAP financial measures contributes to enhanced financial reporting transparency and provides investors with added clarity about complex financial performance measures.</w:t>
      </w:r>
    </w:p>
    <w:p>
      <w:pPr>
        <w:spacing w:after="0" w:line="209" w:lineRule="exact"/>
        <w:rPr>
          <w:sz w:val="20"/>
          <w:szCs w:val="20"/>
          <w:color w:val="auto"/>
        </w:rPr>
      </w:pPr>
    </w:p>
    <w:p>
      <w:pPr>
        <w:ind w:left="3" w:right="40"/>
        <w:spacing w:after="0" w:line="254" w:lineRule="auto"/>
        <w:rPr>
          <w:sz w:val="20"/>
          <w:szCs w:val="20"/>
          <w:color w:val="auto"/>
        </w:rPr>
      </w:pPr>
      <w:r>
        <w:rPr>
          <w:rFonts w:ascii="Arial" w:cs="Arial" w:eastAsia="Arial" w:hAnsi="Arial"/>
          <w:sz w:val="20"/>
          <w:szCs w:val="20"/>
          <w:color w:val="auto"/>
        </w:rPr>
        <w:t>We calculate non-GAAP operating income by excluding from GAAP operating income, share-based compensation expense, acquisition-related expenses, amortization of acquisition-related intangibles, settlements, gains, losses, and impairments, and restructuring-related charges. We calculate non-GAAP diluted earnings per share by excluding from GAAP diluted earnings per share, share-based compensation expense, acquisition-related expenses, amortization of acquisition-related intangibles, settlements, gains, losses, and impairments, restructuring-related charges, and certain tax items. We exclude the items identified above from the respective non-GAAP financial measure referenced above for the reasons set forth with respect to each such excluded item below:</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20"/>
          <w:szCs w:val="20"/>
          <w:i w:val="1"/>
          <w:iCs w:val="1"/>
          <w:color w:val="auto"/>
        </w:rPr>
        <w:t>Share-Based Compensation Expense — </w:t>
      </w:r>
      <w:r>
        <w:rPr>
          <w:rFonts w:ascii="Arial" w:cs="Arial" w:eastAsia="Arial" w:hAnsi="Arial"/>
          <w:sz w:val="20"/>
          <w:szCs w:val="20"/>
          <w:color w:val="auto"/>
        </w:rPr>
        <w:t>because</w:t>
      </w:r>
    </w:p>
    <w:p>
      <w:pPr>
        <w:spacing w:after="0" w:line="33" w:lineRule="exact"/>
        <w:rPr>
          <w:sz w:val="20"/>
          <w:szCs w:val="20"/>
          <w:color w:val="auto"/>
        </w:rPr>
      </w:pPr>
    </w:p>
    <w:p>
      <w:pPr>
        <w:ind w:left="3" w:right="120" w:hanging="3"/>
        <w:spacing w:after="0" w:line="270" w:lineRule="auto"/>
        <w:tabs>
          <w:tab w:leader="none" w:pos="3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total amount of expense is partially outside of our control because it is based on factors such as stock price volatility and interest rates, which may be unrelated to our performance during the period in which the expense is incurred, (2) it is an expense based upon a valuation methodology premised on assumptions that vary</w:t>
      </w:r>
    </w:p>
    <w:p>
      <w:pPr>
        <w:spacing w:after="0" w:line="213" w:lineRule="exact"/>
        <w:rPr>
          <w:sz w:val="20"/>
          <w:szCs w:val="20"/>
          <w:color w:val="auto"/>
        </w:rPr>
      </w:pPr>
    </w:p>
    <w:p>
      <w:pPr>
        <w:sectPr>
          <w:pgSz w:w="11900" w:h="16838" w:orient="portrait"/>
          <w:cols w:equalWidth="0" w:num="2">
            <w:col w:w="5140" w:space="437"/>
            <w:col w:w="4523"/>
          </w:cols>
          <w:pgMar w:left="580" w:top="131" w:right="1219" w:bottom="1440" w:gutter="0" w:footer="0" w:header="0"/>
          <w:type w:val="continuous"/>
        </w:sectPr>
      </w:pPr>
    </w:p>
    <w:p>
      <w:pPr>
        <w:spacing w:after="0" w:line="182" w:lineRule="exact"/>
        <w:rPr>
          <w:sz w:val="20"/>
          <w:szCs w:val="20"/>
          <w:color w:val="auto"/>
        </w:rPr>
      </w:pPr>
    </w:p>
    <w:p>
      <w:pPr>
        <w:ind w:left="660"/>
        <w:spacing w:after="0"/>
        <w:tabs>
          <w:tab w:leader="none" w:pos="1940" w:val="left"/>
          <w:tab w:leader="none" w:pos="2240" w:val="left"/>
          <w:tab w:leader="none" w:pos="8420" w:val="left"/>
          <w:tab w:leader="none" w:pos="9860" w:val="left"/>
        </w:tabs>
        <w:rPr>
          <w:sz w:val="20"/>
          <w:szCs w:val="20"/>
          <w:color w:val="auto"/>
        </w:rPr>
      </w:pPr>
      <w:r>
        <w:rPr>
          <w:rFonts w:ascii="Arial" w:cs="Arial" w:eastAsia="Arial" w:hAnsi="Arial"/>
          <w:sz w:val="16"/>
          <w:szCs w:val="16"/>
          <w:color w:val="auto"/>
        </w:rPr>
        <w:t>​Appendix A</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                             </w:t>
      </w:r>
      <w:r>
        <w:rPr>
          <w:sz w:val="1"/>
          <w:szCs w:val="1"/>
          <w:color w:val="auto"/>
        </w:rPr>
        <w:drawing>
          <wp:inline distT="0" distB="0" distL="0" distR="0">
            <wp:extent cx="779780" cy="257175"/>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5" w:lineRule="exact"/>
        <w:rPr>
          <w:sz w:val="20"/>
          <w:szCs w:val="20"/>
          <w:color w:val="auto"/>
        </w:rPr>
      </w:pPr>
    </w:p>
    <w:p>
      <w:pPr>
        <w:ind w:left="660" w:right="160"/>
        <w:spacing w:after="0" w:line="256" w:lineRule="auto"/>
        <w:rPr>
          <w:sz w:val="20"/>
          <w:szCs w:val="20"/>
          <w:color w:val="auto"/>
        </w:rPr>
      </w:pPr>
      <w:r>
        <w:rPr>
          <w:rFonts w:ascii="Arial" w:cs="Arial" w:eastAsia="Arial" w:hAnsi="Arial"/>
          <w:sz w:val="20"/>
          <w:szCs w:val="20"/>
          <w:color w:val="auto"/>
        </w:rPr>
        <w:t>over time, and (3) the amount of the expense can vary significantly between companies due to factors that can be outside of the control of such companies.</w:t>
      </w:r>
    </w:p>
    <w:p>
      <w:pPr>
        <w:spacing w:after="0" w:line="187" w:lineRule="exact"/>
        <w:rPr>
          <w:sz w:val="20"/>
          <w:szCs w:val="20"/>
          <w:color w:val="auto"/>
        </w:rPr>
      </w:pPr>
    </w:p>
    <w:p>
      <w:pPr>
        <w:ind w:left="660" w:right="40"/>
        <w:spacing w:after="0" w:line="270" w:lineRule="auto"/>
        <w:rPr>
          <w:sz w:val="20"/>
          <w:szCs w:val="20"/>
          <w:color w:val="auto"/>
        </w:rPr>
      </w:pPr>
      <w:r>
        <w:rPr>
          <w:rFonts w:ascii="Arial" w:cs="Arial" w:eastAsia="Arial" w:hAnsi="Arial"/>
          <w:sz w:val="19"/>
          <w:szCs w:val="19"/>
          <w:i w:val="1"/>
          <w:iCs w:val="1"/>
          <w:color w:val="auto"/>
        </w:rPr>
        <w:t>Acquisition-Related Expenses and Amortization of Acquisition-Related Intangibles — </w:t>
      </w:r>
      <w:r>
        <w:rPr>
          <w:rFonts w:ascii="Arial" w:cs="Arial" w:eastAsia="Arial" w:hAnsi="Arial"/>
          <w:sz w:val="19"/>
          <w:szCs w:val="19"/>
          <w:color w:val="auto"/>
        </w:rPr>
        <w:t>including such</w:t>
      </w:r>
      <w:r>
        <w:rPr>
          <w:rFonts w:ascii="Arial" w:cs="Arial" w:eastAsia="Arial" w:hAnsi="Arial"/>
          <w:sz w:val="19"/>
          <w:szCs w:val="19"/>
          <w:i w:val="1"/>
          <w:iCs w:val="1"/>
          <w:color w:val="auto"/>
        </w:rPr>
        <w:t xml:space="preserve"> </w:t>
      </w:r>
      <w:r>
        <w:rPr>
          <w:rFonts w:ascii="Arial" w:cs="Arial" w:eastAsia="Arial" w:hAnsi="Arial"/>
          <w:sz w:val="19"/>
          <w:szCs w:val="19"/>
          <w:color w:val="auto"/>
        </w:rPr>
        <w:t>items as, when applicable, fair value adjustments to contingent consideration, fair value charges incurred upon the sale of acquired inventory, acquisition-related expenses, and amortization of acquired intangible assets because they are not considered by management in making operating decisions and we believe that such expenses do not have a direct correlation to our future business operations and thereby including such charges does not necessarily reflect the performance of our ongoing operations for the period in which such charges or reversals are incurred.</w:t>
      </w:r>
    </w:p>
    <w:p>
      <w:pPr>
        <w:spacing w:after="0" w:line="177" w:lineRule="exact"/>
        <w:rPr>
          <w:sz w:val="20"/>
          <w:szCs w:val="20"/>
          <w:color w:val="auto"/>
        </w:rPr>
      </w:pPr>
    </w:p>
    <w:p>
      <w:pPr>
        <w:ind w:left="660" w:right="200"/>
        <w:spacing w:after="0" w:line="258" w:lineRule="auto"/>
        <w:rPr>
          <w:sz w:val="20"/>
          <w:szCs w:val="20"/>
          <w:color w:val="auto"/>
        </w:rPr>
      </w:pPr>
      <w:r>
        <w:rPr>
          <w:rFonts w:ascii="Arial" w:cs="Arial" w:eastAsia="Arial" w:hAnsi="Arial"/>
          <w:sz w:val="20"/>
          <w:szCs w:val="20"/>
          <w:i w:val="1"/>
          <w:iCs w:val="1"/>
          <w:color w:val="auto"/>
        </w:rPr>
        <w:t xml:space="preserve">Settlements, Gains, Losses, and Impairments —  </w:t>
      </w:r>
      <w:r>
        <w:rPr>
          <w:rFonts w:ascii="Arial" w:cs="Arial" w:eastAsia="Arial" w:hAnsi="Arial"/>
          <w:sz w:val="20"/>
          <w:szCs w:val="20"/>
          <w:color w:val="auto"/>
        </w:rPr>
        <w:t>because such settlements, gains, losses, and impairments (1) are not considered by management in making operating decisions,</w:t>
      </w:r>
    </w:p>
    <w:p>
      <w:pPr>
        <w:spacing w:after="0" w:line="3" w:lineRule="exact"/>
        <w:rPr>
          <w:sz w:val="20"/>
          <w:szCs w:val="20"/>
          <w:color w:val="auto"/>
        </w:rPr>
      </w:pPr>
    </w:p>
    <w:p>
      <w:pPr>
        <w:ind w:left="660" w:hanging="6"/>
        <w:spacing w:after="0" w:line="254" w:lineRule="auto"/>
        <w:tabs>
          <w:tab w:leader="none" w:pos="957"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are infrequent in nature, (3) are generally not directly controlled by management, (4) do not necessarily reflect the performance of our ongoing operations for the period in which such charges are recognized, and/or (5) can vary significantly in amount between companies and make comparisons less reliable.</w:t>
      </w:r>
    </w:p>
    <w:p>
      <w:pPr>
        <w:spacing w:after="0" w:line="193" w:lineRule="exact"/>
        <w:rPr>
          <w:sz w:val="20"/>
          <w:szCs w:val="20"/>
          <w:color w:val="auto"/>
        </w:rPr>
      </w:pPr>
    </w:p>
    <w:p>
      <w:pPr>
        <w:ind w:left="660"/>
        <w:spacing w:after="0" w:line="258" w:lineRule="auto"/>
        <w:rPr>
          <w:sz w:val="20"/>
          <w:szCs w:val="20"/>
          <w:color w:val="auto"/>
        </w:rPr>
      </w:pPr>
      <w:r>
        <w:rPr>
          <w:rFonts w:ascii="Arial" w:cs="Arial" w:eastAsia="Arial" w:hAnsi="Arial"/>
          <w:sz w:val="20"/>
          <w:szCs w:val="20"/>
          <w:i w:val="1"/>
          <w:iCs w:val="1"/>
          <w:color w:val="auto"/>
        </w:rPr>
        <w:t>Restructuring and Other Charges — </w:t>
      </w:r>
      <w:r>
        <w:rPr>
          <w:rFonts w:ascii="Arial" w:cs="Arial" w:eastAsia="Arial" w:hAnsi="Arial"/>
          <w:sz w:val="20"/>
          <w:szCs w:val="20"/>
          <w:color w:val="auto"/>
        </w:rPr>
        <w:t>because these</w:t>
      </w:r>
      <w:r>
        <w:rPr>
          <w:rFonts w:ascii="Arial" w:cs="Arial" w:eastAsia="Arial" w:hAnsi="Arial"/>
          <w:sz w:val="20"/>
          <w:szCs w:val="20"/>
          <w:i w:val="1"/>
          <w:iCs w:val="1"/>
          <w:color w:val="auto"/>
        </w:rPr>
        <w:t xml:space="preserve"> </w:t>
      </w:r>
      <w:r>
        <w:rPr>
          <w:rFonts w:ascii="Arial" w:cs="Arial" w:eastAsia="Arial" w:hAnsi="Arial"/>
          <w:sz w:val="20"/>
          <w:szCs w:val="20"/>
          <w:color w:val="auto"/>
        </w:rPr>
        <w:t>charges have no direct correlation to our future business operations and including such charges or reversals does not necessarily reflect the performance of our ongoing operations for the period in which such charges or reversals are incurred.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i w:val="1"/>
          <w:iCs w:val="1"/>
          <w:color w:val="auto"/>
        </w:rPr>
        <w:t>Certain Income Tax Items — </w:t>
      </w:r>
      <w:r>
        <w:rPr>
          <w:rFonts w:ascii="Arial" w:cs="Arial" w:eastAsia="Arial" w:hAnsi="Arial"/>
          <w:sz w:val="19"/>
          <w:szCs w:val="19"/>
          <w:color w:val="auto"/>
        </w:rPr>
        <w:t>including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deferred tax charges and benefits that do not result in a current tax payment or tax refund and other adjustments, including but not limited to, items unrelated to the current fiscal year or that are not indicative of our ongoing business operations.</w:t>
      </w:r>
    </w:p>
    <w:p>
      <w:pPr>
        <w:spacing w:after="0" w:line="192"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color w:val="auto"/>
        </w:rPr>
        <w:t>The non-GAAP financial measures presented in the table above should not be considered in isolation and are not an alternative for the respective GAAP financial measure that is most directly comparable to each such non-GAAP financial measure. Investors are cautioned against placing undue reliance on these non-GAAP financial measures and are urged to review and consider carefully the adjustments made by management to the most directly comparable GAAP financial measures to arrive at these non-GAAP financial measures. Non-GAAP financial measures may have limited value as analytical tools because they may exclude certain expenses that some investors consider important in evaluating our operating performance or ongoing business performance. Further, non-GAAP financial measures are likely to have limited value for purposes of drawing comparisons between companies as a result of different companies potentially calculating similarly titled non-GAAP financial measures in different ways because non-GAAP measures are not based on any comprehensive set of accounting rules or principles.</w:t>
      </w:r>
    </w:p>
    <w:p>
      <w:pPr>
        <w:spacing w:after="0" w:line="1870" w:lineRule="exact"/>
        <w:rPr>
          <w:sz w:val="20"/>
          <w:szCs w:val="20"/>
          <w:color w:val="auto"/>
        </w:rPr>
      </w:pPr>
    </w:p>
    <w:p>
      <w:pPr>
        <w:sectPr>
          <w:pgSz w:w="11900" w:h="16838" w:orient="portrait"/>
          <w:cols w:equalWidth="0" w:num="2">
            <w:col w:w="5140" w:space="440"/>
            <w:col w:w="4520"/>
          </w:cols>
          <w:pgMar w:left="580" w:top="131"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tabs>
          <w:tab w:leader="none" w:pos="1940" w:val="left"/>
          <w:tab w:leader="none" w:pos="2220" w:val="left"/>
          <w:tab w:leader="none" w:pos="8420" w:val="left"/>
          <w:tab w:leader="none" w:pos="9200"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6"/>
          <w:szCs w:val="16"/>
          <w:color w:val="auto"/>
        </w:rPr>
        <w:t>​</w:t>
        <w:tab/>
        <w:t xml:space="preserve">​                             </w:t>
      </w:r>
      <w:r>
        <w:rPr>
          <w:sz w:val="1"/>
          <w:szCs w:val="1"/>
          <w:color w:val="auto"/>
        </w:rPr>
        <w:drawing>
          <wp:inline distT="0" distB="0" distL="0" distR="0">
            <wp:extent cx="779780" cy="25717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w:t>
        <w:tab/>
        <w:t>​</w:t>
      </w:r>
      <w:r>
        <w:rPr>
          <w:sz w:val="20"/>
          <w:szCs w:val="20"/>
          <w:color w:val="auto"/>
        </w:rPr>
        <w:tab/>
      </w:r>
      <w:r>
        <w:rPr>
          <w:rFonts w:ascii="Arial" w:cs="Arial" w:eastAsia="Arial" w:hAnsi="Arial"/>
          <w:sz w:val="16"/>
          <w:szCs w:val="16"/>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131" w:right="121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8341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1965" cy="883412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40005</wp:posOffset>
            </wp:positionV>
            <wp:extent cx="6831965" cy="87483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8748395"/>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1."/>
      <w:numFmt w:val="decimal"/>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1"/>
      <w:numFmt w:val="bullet"/>
      <w:start w:val="1"/>
    </w:lvl>
  </w:abstractNum>
  <w:abstractNum w:abstractNumId="9">
    <w:nsid w:val="77AE35EB"/>
    <w:multiLevelType w:val="hybridMultilevel"/>
    <w:lvl w:ilvl="0">
      <w:lvlJc w:val="left"/>
      <w:lvlText w:val="2"/>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lvl w:ilvl="1">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1)"/>
      <w:numFmt w:val="decimal"/>
      <w:start w:val="30"/>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1)"/>
      <w:numFmt w:val="lowerRoman"/>
      <w:start w:val="1"/>
    </w:lvl>
  </w:abstractNum>
  <w:abstractNum w:abstractNumId="36">
    <w:nsid w:val="BF72B14"/>
    <w:multiLevelType w:val="hybridMultilevel"/>
    <w:lvl w:ilvl="0">
      <w:lvlJc w:val="left"/>
      <w:lvlText w:val="(%1)"/>
      <w:numFmt w:val="decimal"/>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1)"/>
      <w:numFmt w:val="decimal"/>
      <w:start w:val="1"/>
    </w:lvl>
  </w:abstractNum>
  <w:abstractNum w:abstractNumId="42">
    <w:nsid w:val="3B0FD379"/>
    <w:multiLevelType w:val="hybridMultilevel"/>
    <w:lvl w:ilvl="0">
      <w:lvlJc w:val="left"/>
      <w:lvlText w:val="(%1)"/>
      <w:numFmt w:val="lowerRoman"/>
      <w:start w:val="1"/>
    </w:lvl>
  </w:abstractNum>
  <w:abstractNum w:abstractNumId="43">
    <w:nsid w:val="68EB2F63"/>
    <w:multiLevelType w:val="hybridMultilevel"/>
    <w:lvl w:ilvl="0">
      <w:lvlJc w:val="left"/>
      <w:lvlText w:val="(%1)"/>
      <w:numFmt w:val="lowerRoman"/>
      <w:start w:val="4"/>
    </w:lvl>
  </w:abstractNum>
  <w:abstractNum w:abstractNumId="44">
    <w:nsid w:val="4962813B"/>
    <w:multiLevelType w:val="hybridMultilevel"/>
    <w:lvl w:ilvl="0">
      <w:lvlJc w:val="left"/>
      <w:lvlText w:val="(%1)"/>
      <w:numFmt w:val="decimal"/>
      <w:start w:val="1"/>
    </w:lvl>
  </w:abstractNum>
  <w:abstractNum w:abstractNumId="45">
    <w:nsid w:val="60B6DF70"/>
    <w:multiLevelType w:val="hybridMultilevel"/>
    <w:lvl w:ilvl="0">
      <w:lvlJc w:val="left"/>
      <w:lvlText w:val="3"/>
      <w:numFmt w:val="bullet"/>
      <w:start w:val="1"/>
    </w:lvl>
  </w:abstractNum>
  <w:abstractNum w:abstractNumId="46">
    <w:nsid w:val="6A5EE64"/>
    <w:multiLevelType w:val="hybridMultilevel"/>
    <w:lvl w:ilvl="0">
      <w:lvlJc w:val="left"/>
      <w:lvlText w:val="(%1)"/>
      <w:numFmt w:val="decimal"/>
      <w:start w:val="1"/>
    </w:lvl>
  </w:abstractNum>
  <w:abstractNum w:abstractNumId="47">
    <w:nsid w:val="14330624"/>
    <w:multiLevelType w:val="hybridMultilevel"/>
    <w:lvl w:ilvl="0">
      <w:lvlJc w:val="left"/>
      <w:lvlText w:val="(%1)"/>
      <w:numFmt w:val="decimal"/>
      <w:start w:val="1"/>
    </w:lvl>
  </w:abstractNum>
  <w:abstractNum w:abstractNumId="48">
    <w:nsid w:val="7FFFCA11"/>
    <w:multiLevelType w:val="hybridMultilevel"/>
    <w:lvl w:ilvl="0">
      <w:lvlJc w:val="left"/>
      <w:lvlText w:val="4"/>
      <w:numFmt w:val="bullet"/>
      <w:start w:val="1"/>
    </w:lvl>
  </w:abstractNum>
  <w:abstractNum w:abstractNumId="49">
    <w:nsid w:val="1A27709E"/>
    <w:multiLevelType w:val="hybridMultilevel"/>
    <w:lvl w:ilvl="0">
      <w:lvlJc w:val="left"/>
      <w:lvlText w:val="•"/>
      <w:numFmt w:val="bullet"/>
      <w:start w:val="1"/>
    </w:lvl>
  </w:abstractNum>
  <w:abstractNum w:abstractNumId="50">
    <w:nsid w:val="71EA1109"/>
    <w:multiLevelType w:val="hybridMultilevel"/>
    <w:lvl w:ilvl="0">
      <w:lvlJc w:val="left"/>
      <w:lvlText w:val="(%1)"/>
      <w:numFmt w:val="decimal"/>
      <w:start w:val="1"/>
    </w:lvl>
  </w:abstractNum>
  <w:abstractNum w:abstractNumId="51">
    <w:nsid w:val="100F59DC"/>
    <w:multiLevelType w:val="hybridMultilevel"/>
    <w:lvl w:ilvl="0">
      <w:lvlJc w:val="left"/>
      <w:lvlText w:val="(%1)"/>
      <w:numFmt w:val="decimal"/>
      <w:start w:val="1"/>
    </w:lvl>
  </w:abstractNum>
  <w:abstractNum w:abstractNumId="52">
    <w:nsid w:val="7FB7E0AA"/>
    <w:multiLevelType w:val="hybridMultilevel"/>
    <w:lvl w:ilvl="0">
      <w:lvlJc w:val="left"/>
      <w:lvlText w:val="(%1)"/>
      <w:numFmt w:val="decimal"/>
      <w:start w:val="1"/>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
      <w:numFmt w:val="bullet"/>
      <w:start w:val="1"/>
    </w:lvl>
  </w:abstractNum>
  <w:abstractNum w:abstractNumId="55">
    <w:nsid w:val="94211F2"/>
    <w:multiLevelType w:val="hybridMultilevel"/>
    <w:lvl w:ilvl="0">
      <w:lvlJc w:val="left"/>
      <w:lvlText w:val="(%1)"/>
      <w:numFmt w:val="decimal"/>
      <w:start w:val="1"/>
    </w:lvl>
  </w:abstractNum>
  <w:abstractNum w:abstractNumId="56">
    <w:nsid w:val="885E1B"/>
    <w:multiLevelType w:val="hybridMultilevel"/>
    <w:lvl w:ilvl="0">
      <w:lvlJc w:val="left"/>
      <w:lvlText w:val="(%1)"/>
      <w:numFmt w:val="decimal"/>
      <w:start w:val="1"/>
    </w:lvl>
  </w:abstractNum>
  <w:abstractNum w:abstractNumId="57">
    <w:nsid w:val="76272110"/>
    <w:multiLevelType w:val="hybridMultilevel"/>
    <w:lvl w:ilvl="0">
      <w:lvlJc w:val="left"/>
      <w:lvlText w:val="(%1)"/>
      <w:numFmt w:val="decimal"/>
      <w:start w:val="1"/>
    </w:lvl>
  </w:abstractNum>
  <w:abstractNum w:abstractNumId="58">
    <w:nsid w:val="4C04A8AF"/>
    <w:multiLevelType w:val="hybridMultilevel"/>
    <w:lvl w:ilvl="0">
      <w:lvlJc w:val="left"/>
      <w:lvlText w:val="(%1)"/>
      <w:numFmt w:val="decimal"/>
      <w:start w:val="4"/>
    </w:lvl>
  </w:abstractNum>
  <w:abstractNum w:abstractNumId="59">
    <w:nsid w:val="1716703B"/>
    <w:multiLevelType w:val="hybridMultilevel"/>
    <w:lvl w:ilvl="0">
      <w:lvlJc w:val="left"/>
      <w:lvlText w:val="(%1)"/>
      <w:numFmt w:val="decimal"/>
      <w:start w:val="1"/>
    </w:lvl>
  </w:abstractNum>
  <w:abstractNum w:abstractNumId="60">
    <w:nsid w:val="14E17E33"/>
    <w:multiLevelType w:val="hybridMultilevel"/>
    <w:lvl w:ilvl="0">
      <w:lvlJc w:val="left"/>
      <w:lvlText w:val="(%1)"/>
      <w:numFmt w:val="lowerRoman"/>
      <w:start w:val="10"/>
    </w:lvl>
  </w:abstractNum>
  <w:abstractNum w:abstractNumId="61">
    <w:nsid w:val="3222E7CD"/>
    <w:multiLevelType w:val="hybridMultilevel"/>
    <w:lvl w:ilvl="0">
      <w:lvlJc w:val="left"/>
      <w:lvlText w:val="(%1)"/>
      <w:numFmt w:val="lowerRoman"/>
      <w:start w:val="1"/>
    </w:lvl>
  </w:abstractNum>
  <w:abstractNum w:abstractNumId="62">
    <w:nsid w:val="74DE0EE3"/>
    <w:multiLevelType w:val="hybridMultilevel"/>
    <w:lvl w:ilvl="0">
      <w:lvlJc w:val="left"/>
      <w:lvlText w:val="(%1)"/>
      <w:numFmt w:val="lowerRoman"/>
      <w:start w:val="10"/>
    </w:lvl>
  </w:abstractNum>
  <w:abstractNum w:abstractNumId="63">
    <w:nsid w:val="68EBC550"/>
    <w:multiLevelType w:val="hybridMultilevel"/>
    <w:lvl w:ilvl="0">
      <w:lvlJc w:val="left"/>
      <w:lvlText w:val="(%1)"/>
      <w:numFmt w:val="decimal"/>
      <w:start w:val="12"/>
    </w:lvl>
  </w:abstractNum>
  <w:abstractNum w:abstractNumId="64">
    <w:nsid w:val="2DF6D648"/>
    <w:multiLevelType w:val="hybridMultilevel"/>
    <w:lvl w:ilvl="0">
      <w:lvlJc w:val="left"/>
      <w:lvlText w:val="(%1)"/>
      <w:numFmt w:val="lowerRoman"/>
      <w:start w:val="1"/>
    </w:lvl>
  </w:abstractNum>
  <w:abstractNum w:abstractNumId="65">
    <w:nsid w:val="46B7D447"/>
    <w:multiLevelType w:val="hybridMultilevel"/>
    <w:lvl w:ilvl="0">
      <w:lvlJc w:val="left"/>
      <w:lvlText w:val="(%1)"/>
      <w:numFmt w:val="lowerRoman"/>
      <w:start w:val="1"/>
    </w:lvl>
  </w:abstractNum>
  <w:abstractNum w:abstractNumId="66">
    <w:nsid w:val="4A2AC315"/>
    <w:multiLevelType w:val="hybridMultilevel"/>
    <w:lvl w:ilvl="0">
      <w:lvlJc w:val="left"/>
      <w:lvlText w:val="(%1)"/>
      <w:numFmt w:val="lowerRoman"/>
      <w:start w:val="2"/>
    </w:lvl>
  </w:abstractNum>
  <w:abstractNum w:abstractNumId="67">
    <w:nsid w:val="39EE015C"/>
    <w:multiLevelType w:val="hybridMultilevel"/>
    <w:lvl w:ilvl="0">
      <w:lvlJc w:val="left"/>
      <w:lvlText w:val="(%1)"/>
      <w:numFmt w:val="lowerRoman"/>
      <w:start w:val="1"/>
    </w:lvl>
  </w:abstractNum>
  <w:abstractNum w:abstractNumId="68">
    <w:nsid w:val="57FC4FBB"/>
    <w:multiLevelType w:val="hybridMultilevel"/>
    <w:lvl w:ilvl="0">
      <w:lvlJc w:val="left"/>
      <w:lvlText w:val="(%1)"/>
      <w:numFmt w:val="lowerRoman"/>
      <w:start w:val="3"/>
    </w:lvl>
  </w:abstractNum>
  <w:abstractNum w:abstractNumId="69">
    <w:nsid w:val="CC1016F"/>
    <w:multiLevelType w:val="hybridMultilevel"/>
    <w:lvl w:ilvl="0">
      <w:lvlJc w:val="left"/>
      <w:lvlText w:val="(%1)"/>
      <w:numFmt w:val="lowerRoman"/>
      <w:start w:val="2"/>
    </w:lvl>
  </w:abstractNum>
  <w:abstractNum w:abstractNumId="70">
    <w:nsid w:val="43F18422"/>
    <w:multiLevelType w:val="hybridMultilevel"/>
    <w:lvl w:ilvl="0">
      <w:lvlJc w:val="left"/>
      <w:lvlText w:val="(%1)"/>
      <w:numFmt w:val="lowerRoman"/>
      <w:start w:val="1"/>
    </w:lvl>
  </w:abstractNum>
  <w:abstractNum w:abstractNumId="71">
    <w:nsid w:val="60EF0119"/>
    <w:multiLevelType w:val="hybridMultilevel"/>
    <w:lvl w:ilvl="0">
      <w:lvlJc w:val="left"/>
      <w:lvlText w:val="•"/>
      <w:numFmt w:val="bullet"/>
      <w:start w:val="1"/>
    </w:lvl>
  </w:abstractNum>
  <w:abstractNum w:abstractNumId="72">
    <w:nsid w:val="26F324BA"/>
    <w:multiLevelType w:val="hybridMultilevel"/>
    <w:lvl w:ilvl="0">
      <w:lvlJc w:val="left"/>
      <w:lvlText w:val="(%1)"/>
      <w:numFmt w:val="decimal"/>
      <w:start w:val="1"/>
    </w:lvl>
  </w:abstractNum>
  <w:abstractNum w:abstractNumId="73">
    <w:nsid w:val="7F01579B"/>
    <w:multiLevelType w:val="hybridMultilevel"/>
    <w:lvl w:ilvl="0">
      <w:lvlJc w:val="left"/>
      <w:lvlText w:val="(%1)"/>
      <w:numFmt w:val="decimal"/>
      <w:start w:val="4"/>
    </w:lvl>
  </w:abstractNum>
  <w:abstractNum w:abstractNumId="74">
    <w:nsid w:val="49DA307D"/>
    <w:multiLevelType w:val="hybridMultilevel"/>
    <w:lvl w:ilvl="0">
      <w:lvlJc w:val="left"/>
      <w:lvlText w:val="(%1)"/>
      <w:numFmt w:val="decimal"/>
      <w:start w:val="5"/>
    </w:lvl>
    <w:lvl w:ilvl="1">
      <w:lvlJc w:val="left"/>
      <w:lvlText w:val="(%2)"/>
      <w:numFmt w:val="lowerLetter"/>
      <w:start w:val="3"/>
    </w:lvl>
  </w:abstractNum>
  <w:abstractNum w:abstractNumId="75">
    <w:nsid w:val="7055A5F5"/>
    <w:multiLevelType w:val="hybridMultilevel"/>
    <w:lvl w:ilvl="0">
      <w:lvlJc w:val="left"/>
      <w:lvlText w:val="%1"/>
      <w:numFmt w:val="decimal"/>
      <w:start w:val="1"/>
    </w:lvl>
    <w:lvl w:ilvl="1">
      <w:lvlJc w:val="left"/>
      <w:lvlText w:val="(%2)"/>
      <w:numFmt w:val="lowerLetter"/>
      <w:start w:val="6"/>
    </w:lvl>
  </w:abstractNum>
  <w:abstractNum w:abstractNumId="76">
    <w:nsid w:val="5FB8370B"/>
    <w:multiLevelType w:val="hybridMultilevel"/>
    <w:lvl w:ilvl="0">
      <w:lvlJc w:val="left"/>
      <w:lvlText w:val="(%1)"/>
      <w:numFmt w:val="decimal"/>
      <w:start w:val="6"/>
    </w:lvl>
    <w:lvl w:ilvl="1">
      <w:lvlJc w:val="left"/>
      <w:lvlText w:val="%2"/>
      <w:numFmt w:val="lowerLetter"/>
      <w:start w:val="1"/>
    </w:lvl>
  </w:abstractNum>
  <w:abstractNum w:abstractNumId="77">
    <w:nsid w:val="50801EE1"/>
    <w:multiLevelType w:val="hybridMultilevel"/>
    <w:lvl w:ilvl="0">
      <w:lvlJc w:val="left"/>
      <w:lvlText w:val="•"/>
      <w:numFmt w:val="bullet"/>
      <w:start w:val="1"/>
    </w:lvl>
  </w:abstractNum>
  <w:abstractNum w:abstractNumId="78">
    <w:nsid w:val="488AC1A"/>
    <w:multiLevelType w:val="hybridMultilevel"/>
    <w:lvl w:ilvl="0">
      <w:lvlJc w:val="left"/>
      <w:lvlText w:val="•"/>
      <w:numFmt w:val="bullet"/>
      <w:start w:val="1"/>
    </w:lvl>
  </w:abstractNum>
  <w:abstractNum w:abstractNumId="79">
    <w:nsid w:val="5FB8011C"/>
    <w:multiLevelType w:val="hybridMultilevel"/>
    <w:lvl w:ilvl="0">
      <w:lvlJc w:val="left"/>
      <w:lvlText w:val="•"/>
      <w:numFmt w:val="bullet"/>
      <w:start w:val="1"/>
    </w:lvl>
  </w:abstractNum>
  <w:abstractNum w:abstractNumId="80">
    <w:nsid w:val="6AA78F7F"/>
    <w:multiLevelType w:val="hybridMultilevel"/>
    <w:lvl w:ilvl="0">
      <w:lvlJc w:val="left"/>
      <w:lvlText w:val="(%1)"/>
      <w:numFmt w:val="lowerLetter"/>
      <w:start w:val="1"/>
    </w:lvl>
  </w:abstractNum>
  <w:abstractNum w:abstractNumId="81">
    <w:nsid w:val="7672BD23"/>
    <w:multiLevelType w:val="hybridMultilevel"/>
    <w:lvl w:ilvl="0">
      <w:lvlJc w:val="left"/>
      <w:lvlText w:val="(%1)"/>
      <w:numFmt w:val="decimal"/>
      <w:start w:val="1"/>
    </w:lvl>
  </w:abstractNum>
  <w:abstractNum w:abstractNumId="82">
    <w:nsid w:val="6FC75AF8"/>
    <w:multiLevelType w:val="hybridMultilevel"/>
    <w:lvl w:ilvl="0">
      <w:lvlJc w:val="left"/>
      <w:lvlText w:val="(%1)"/>
      <w:numFmt w:val="decimal"/>
      <w:start w:val="2"/>
    </w:lvl>
  </w:abstractNum>
  <w:abstractNum w:abstractNumId="83">
    <w:nsid w:val="6A5F7029"/>
    <w:multiLevelType w:val="hybridMultilevel"/>
    <w:lvl w:ilvl="0">
      <w:lvlJc w:val="left"/>
      <w:lvlText w:val="•"/>
      <w:numFmt w:val="bullet"/>
      <w:start w:val="1"/>
    </w:lvl>
  </w:abstractNum>
  <w:abstractNum w:abstractNumId="84">
    <w:nsid w:val="7D5E18F8"/>
    <w:multiLevelType w:val="hybridMultilevel"/>
    <w:lvl w:ilvl="0">
      <w:lvlJc w:val="left"/>
      <w:lvlText w:val="•"/>
      <w:numFmt w:val="bullet"/>
      <w:start w:val="1"/>
    </w:lvl>
  </w:abstractNum>
  <w:abstractNum w:abstractNumId="85">
    <w:nsid w:val="5F3534A4"/>
    <w:multiLevelType w:val="hybridMultilevel"/>
    <w:lvl w:ilvl="0">
      <w:lvlJc w:val="left"/>
      <w:lvlText w:val="*"/>
      <w:numFmt w:val="bullet"/>
      <w:start w:val="1"/>
    </w:lvl>
  </w:abstractNum>
  <w:abstractNum w:abstractNumId="86">
    <w:nsid w:val="73A1821B"/>
    <w:multiLevelType w:val="hybridMultilevel"/>
    <w:lvl w:ilvl="0">
      <w:lvlJc w:val="left"/>
      <w:lvlText w:val="(%1)"/>
      <w:numFmt w:val="decimal"/>
      <w:start w:val="1"/>
    </w:lvl>
  </w:abstractNum>
  <w:abstractNum w:abstractNumId="87">
    <w:nsid w:val="7DE67713"/>
    <w:multiLevelType w:val="hybridMultilevel"/>
    <w:lvl w:ilvl="0">
      <w:lvlJc w:val="left"/>
      <w:lvlText w:val="(%1)"/>
      <w:numFmt w:val="decimal"/>
      <w:start w:val="3"/>
    </w:lvl>
  </w:abstractNum>
  <w:abstractNum w:abstractNumId="88">
    <w:nsid w:val="555C55B5"/>
    <w:multiLevelType w:val="hybridMultilevel"/>
    <w:lvl w:ilvl="0">
      <w:lvlJc w:val="left"/>
      <w:lvlText w:val="%1."/>
      <w:numFmt w:val="upperLetter"/>
      <w:start w:val="17"/>
    </w:lvl>
    <w:lvl w:ilvl="1">
      <w:lvlJc w:val="left"/>
      <w:lvlText w:val="•"/>
      <w:numFmt w:val="bullet"/>
      <w:start w:val="1"/>
    </w:lvl>
  </w:abstractNum>
  <w:abstractNum w:abstractNumId="89">
    <w:nsid w:val="3FA62ACA"/>
    <w:multiLevelType w:val="hybridMultilevel"/>
    <w:lvl w:ilvl="0">
      <w:lvlJc w:val="left"/>
      <w:lvlText w:val="%1."/>
      <w:numFmt w:val="upperLetter"/>
      <w:start w:val="17"/>
    </w:lvl>
    <w:lvl w:ilvl="1">
      <w:lvlJc w:val="left"/>
      <w:lvlText w:val="•"/>
      <w:numFmt w:val="bullet"/>
      <w:start w:val="1"/>
    </w:lvl>
  </w:abstractNum>
  <w:abstractNum w:abstractNumId="90">
    <w:nsid w:val="14FCE74E"/>
    <w:multiLevelType w:val="hybridMultilevel"/>
    <w:lvl w:ilvl="0">
      <w:lvlJc w:val="left"/>
      <w:lvlText w:val="%1."/>
      <w:numFmt w:val="upperLetter"/>
      <w:start w:val="17"/>
    </w:lvl>
    <w:lvl w:ilvl="1">
      <w:lvlJc w:val="left"/>
      <w:lvlText w:val="•"/>
      <w:numFmt w:val="bullet"/>
      <w:start w:val="1"/>
    </w:lvl>
  </w:abstractNum>
  <w:abstractNum w:abstractNumId="91">
    <w:nsid w:val="6A3DD3E8"/>
    <w:multiLevelType w:val="hybridMultilevel"/>
    <w:lvl w:ilvl="0">
      <w:lvlJc w:val="left"/>
      <w:lvlText w:val="•"/>
      <w:numFmt w:val="bullet"/>
      <w:start w:val="1"/>
    </w:lvl>
  </w:abstractNum>
  <w:abstractNum w:abstractNumId="92">
    <w:nsid w:val="71C91298"/>
    <w:multiLevelType w:val="hybridMultilevel"/>
    <w:lvl w:ilvl="0">
      <w:lvlJc w:val="left"/>
      <w:lvlText w:val="%1."/>
      <w:numFmt w:val="upperLetter"/>
      <w:start w:val="17"/>
    </w:lvl>
  </w:abstractNum>
  <w:abstractNum w:abstractNumId="93">
    <w:nsid w:val="9DAF632"/>
    <w:multiLevelType w:val="hybridMultilevel"/>
    <w:lvl w:ilvl="0">
      <w:lvlJc w:val="left"/>
      <w:lvlText w:val="%1."/>
      <w:numFmt w:val="upperLetter"/>
      <w:start w:val="17"/>
    </w:lvl>
  </w:abstractNum>
  <w:abstractNum w:abstractNumId="94">
    <w:nsid w:val="53299938"/>
    <w:multiLevelType w:val="hybridMultilevel"/>
    <w:lvl w:ilvl="0">
      <w:lvlJc w:val="left"/>
      <w:lvlText w:val="%1."/>
      <w:numFmt w:val="upperLetter"/>
      <w:start w:val="17"/>
    </w:lvl>
    <w:lvl w:ilvl="1">
      <w:lvlJc w:val="left"/>
      <w:lvlText w:val="%2"/>
      <w:numFmt w:val="lowerLetter"/>
      <w:start w:val="1"/>
    </w:lvl>
  </w:abstractNum>
  <w:abstractNum w:abstractNumId="95">
    <w:nsid w:val="1FBFE8E0"/>
    <w:multiLevelType w:val="hybridMultilevel"/>
    <w:lvl w:ilvl="0">
      <w:lvlJc w:val="left"/>
      <w:lvlText w:val="%1."/>
      <w:numFmt w:val="upperLetter"/>
      <w:start w:val="17"/>
    </w:lvl>
    <w:lvl w:ilvl="1">
      <w:lvlJc w:val="left"/>
      <w:lvlText w:val="(%2)"/>
      <w:numFmt w:val="lowerLetter"/>
      <w:start w:val="1"/>
    </w:lvl>
  </w:abstractNum>
  <w:abstractNum w:abstractNumId="96">
    <w:nsid w:val="5092CA79"/>
    <w:multiLevelType w:val="hybridMultilevel"/>
    <w:lvl w:ilvl="0">
      <w:lvlJc w:val="left"/>
      <w:lvlText w:val="%1"/>
      <w:numFmt w:val="upperLetter"/>
      <w:start w:val="1"/>
    </w:lvl>
    <w:lvl w:ilvl="1">
      <w:lvlJc w:val="left"/>
      <w:lvlText w:val="(%2)"/>
      <w:numFmt w:val="lowerLetter"/>
      <w:start w:val="3"/>
    </w:lvl>
  </w:abstractNum>
  <w:abstractNum w:abstractNumId="97">
    <w:nsid w:val="1D545C4D"/>
    <w:multiLevelType w:val="hybridMultilevel"/>
    <w:lvl w:ilvl="0">
      <w:lvlJc w:val="left"/>
      <w:lvlText w:val="%1."/>
      <w:numFmt w:val="upperLetter"/>
      <w:start w:val="17"/>
    </w:lvl>
    <w:lvl w:ilvl="1">
      <w:lvlJc w:val="left"/>
      <w:lvlText w:val="%2"/>
      <w:numFmt w:val="lowerLetter"/>
      <w:start w:val="1"/>
    </w:lvl>
  </w:abstractNum>
  <w:abstractNum w:abstractNumId="98">
    <w:nsid w:val="59ADEA3D"/>
    <w:multiLevelType w:val="hybridMultilevel"/>
    <w:lvl w:ilvl="0">
      <w:lvlJc w:val="left"/>
      <w:lvlText w:val="%1."/>
      <w:numFmt w:val="upperLetter"/>
      <w:start w:val="17"/>
    </w:lvl>
  </w:abstractNum>
  <w:abstractNum w:abstractNumId="99">
    <w:nsid w:val="288F1A34"/>
    <w:multiLevelType w:val="hybridMultilevel"/>
    <w:lvl w:ilvl="0">
      <w:lvlJc w:val="left"/>
      <w:lvlText w:val="%1."/>
      <w:numFmt w:val="upperLetter"/>
      <w:start w:val="17"/>
    </w:lvl>
  </w:abstractNum>
  <w:abstractNum w:abstractNumId="100">
    <w:nsid w:val="2A155DBC"/>
    <w:multiLevelType w:val="hybridMultilevel"/>
    <w:lvl w:ilvl="0">
      <w:lvlJc w:val="left"/>
      <w:lvlText w:val="%1."/>
      <w:numFmt w:val="upperLetter"/>
      <w:start w:val="17"/>
    </w:lvl>
  </w:abstractNum>
  <w:abstractNum w:abstractNumId="101">
    <w:nsid w:val="1D9F6E5F"/>
    <w:multiLevelType w:val="hybridMultilevel"/>
    <w:lvl w:ilvl="0">
      <w:lvlJc w:val="left"/>
      <w:lvlText w:val="%1."/>
      <w:numFmt w:val="upperLetter"/>
      <w:start w:val="17"/>
    </w:lvl>
  </w:abstractNum>
  <w:abstractNum w:abstractNumId="102">
    <w:nsid w:val="97E1B4E"/>
    <w:multiLevelType w:val="hybridMultilevel"/>
    <w:lvl w:ilvl="0">
      <w:lvlJc w:val="left"/>
      <w:lvlText w:val="%1."/>
      <w:numFmt w:val="upperLetter"/>
      <w:start w:val="17"/>
    </w:lvl>
  </w:abstractNum>
  <w:abstractNum w:abstractNumId="103">
    <w:nsid w:val="51088277"/>
    <w:multiLevelType w:val="hybridMultilevel"/>
    <w:lvl w:ilvl="0">
      <w:lvlJc w:val="left"/>
      <w:lvlText w:val="%1."/>
      <w:numFmt w:val="upperLetter"/>
      <w:start w:val="17"/>
    </w:lvl>
  </w:abstractNum>
  <w:abstractNum w:abstractNumId="104">
    <w:nsid w:val="1CA0C5FA"/>
    <w:multiLevelType w:val="hybridMultilevel"/>
    <w:lvl w:ilvl="0">
      <w:lvlJc w:val="left"/>
      <w:lvlText w:val="%1."/>
      <w:numFmt w:val="upperLetter"/>
      <w:start w:val="17"/>
    </w:lvl>
  </w:abstractNum>
  <w:abstractNum w:abstractNumId="105">
    <w:nsid w:val="53584BCB"/>
    <w:multiLevelType w:val="hybridMultilevel"/>
    <w:lvl w:ilvl="0">
      <w:lvlJc w:val="left"/>
      <w:lvlText w:val="%1."/>
      <w:numFmt w:val="upperLetter"/>
      <w:start w:val="17"/>
    </w:lvl>
  </w:abstractNum>
  <w:abstractNum w:abstractNumId="106">
    <w:nsid w:val="415E286C"/>
    <w:multiLevelType w:val="hybridMultilevel"/>
    <w:lvl w:ilvl="0">
      <w:lvlJc w:val="left"/>
      <w:lvlText w:val="%1."/>
      <w:numFmt w:val="upperLetter"/>
      <w:start w:val="17"/>
    </w:lvl>
  </w:abstractNum>
  <w:abstractNum w:abstractNumId="107">
    <w:nsid w:val="7C58FD05"/>
    <w:multiLevelType w:val="hybridMultilevel"/>
    <w:lvl w:ilvl="0">
      <w:lvlJc w:val="left"/>
      <w:lvlText w:val="%1."/>
      <w:numFmt w:val="upperLetter"/>
      <w:start w:val="17"/>
    </w:lvl>
  </w:abstractNum>
  <w:abstractNum w:abstractNumId="108">
    <w:nsid w:val="23D86AAC"/>
    <w:multiLevelType w:val="hybridMultilevel"/>
    <w:lvl w:ilvl="0">
      <w:lvlJc w:val="left"/>
      <w:lvlText w:val="%1."/>
      <w:numFmt w:val="upperLetter"/>
      <w:start w:val="17"/>
    </w:lvl>
  </w:abstractNum>
  <w:abstractNum w:abstractNumId="109">
    <w:nsid w:val="45E6D486"/>
    <w:multiLevelType w:val="hybridMultilevel"/>
    <w:lvl w:ilvl="0">
      <w:lvlJc w:val="left"/>
      <w:lvlText w:val="%1."/>
      <w:numFmt w:val="upperLetter"/>
      <w:start w:val="17"/>
    </w:lvl>
  </w:abstractNum>
  <w:abstractNum w:abstractNumId="110">
    <w:nsid w:val="5C10FE21"/>
    <w:multiLevelType w:val="hybridMultilevel"/>
    <w:lvl w:ilvl="0">
      <w:lvlJc w:val="left"/>
      <w:lvlText w:val="%1."/>
      <w:numFmt w:val="upperLetter"/>
      <w:start w:val="17"/>
    </w:lvl>
  </w:abstractNum>
  <w:abstractNum w:abstractNumId="111">
    <w:nsid w:val="E7FFA2B"/>
    <w:multiLevelType w:val="hybridMultilevel"/>
    <w:lvl w:ilvl="0">
      <w:lvlJc w:val="left"/>
      <w:lvlText w:val="%1."/>
      <w:numFmt w:val="upperLetter"/>
      <w:start w:val="17"/>
    </w:lvl>
  </w:abstractNum>
  <w:abstractNum w:abstractNumId="112">
    <w:nsid w:val="3C5991AA"/>
    <w:multiLevelType w:val="hybridMultilevel"/>
    <w:lvl w:ilvl="0">
      <w:lvlJc w:val="left"/>
      <w:lvlText w:val="​"/>
      <w:numFmt w:val="bullet"/>
      <w:start w:val="1"/>
    </w:lvl>
  </w:abstractNum>
  <w:abstractNum w:abstractNumId="113">
    <w:nsid w:val="4BD8591A"/>
    <w:multiLevelType w:val="hybridMultilevel"/>
    <w:lvl w:ilvl="0">
      <w:lvlJc w:val="left"/>
      <w:lvlText w:val="(%1)"/>
      <w:numFmt w:val="lowerLetter"/>
      <w:start w:val="1"/>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2023-03-24T21:47:00Z</dcterms:created>
  <dcterms:modified xsi:type="dcterms:W3CDTF">2023-03-24T21:47:00Z</dcterms:modified>
</cp:coreProperties>
</file>