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4"/>
          <w:szCs w:val="24"/>
          <w:color w:val="auto"/>
        </w:rPr>
      </w:pPr>
    </w:p>
    <w:p>
      <w:pPr>
        <w:spacing w:after="0" w:line="381" w:lineRule="exact"/>
        <w:rPr>
          <w:sz w:val="24"/>
          <w:szCs w:val="24"/>
          <w:color w:val="auto"/>
        </w:rPr>
      </w:pPr>
    </w:p>
    <w:p>
      <w:pPr>
        <w:jc w:val="center"/>
        <w:ind w:right="-800"/>
        <w:spacing w:after="0"/>
        <w:rPr>
          <w:sz w:val="20"/>
          <w:szCs w:val="20"/>
          <w:color w:val="auto"/>
        </w:rPr>
      </w:pPr>
      <w:r>
        <w:rPr>
          <w:rFonts w:ascii="Arial" w:cs="Arial" w:eastAsia="Arial" w:hAnsi="Arial"/>
          <w:sz w:val="18"/>
          <w:szCs w:val="18"/>
          <w:b w:val="1"/>
          <w:bCs w:val="1"/>
          <w:color w:val="auto"/>
        </w:rPr>
        <w:t>UNITED STATES</w:t>
      </w:r>
    </w:p>
    <w:p>
      <w:pPr>
        <w:spacing w:after="0" w:line="31" w:lineRule="exact"/>
        <w:rPr>
          <w:sz w:val="24"/>
          <w:szCs w:val="24"/>
          <w:color w:val="auto"/>
        </w:rPr>
      </w:pPr>
    </w:p>
    <w:p>
      <w:pPr>
        <w:jc w:val="center"/>
        <w:ind w:right="-80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840"/>
        <w:spacing w:after="0"/>
        <w:rPr>
          <w:sz w:val="20"/>
          <w:szCs w:val="20"/>
          <w:color w:val="auto"/>
        </w:rPr>
      </w:pPr>
      <w:r>
        <w:rPr>
          <w:rFonts w:ascii="Arial" w:cs="Arial" w:eastAsia="Arial" w:hAnsi="Arial"/>
          <w:sz w:val="18"/>
          <w:szCs w:val="18"/>
          <w:b w:val="1"/>
          <w:bCs w:val="1"/>
          <w:color w:val="auto"/>
        </w:rPr>
        <w:t>Washington, D.C. 20549</w:t>
      </w:r>
    </w:p>
    <w:p>
      <w:pPr>
        <w:spacing w:after="0" w:line="141" w:lineRule="exact"/>
        <w:rPr>
          <w:sz w:val="24"/>
          <w:szCs w:val="24"/>
          <w:color w:val="auto"/>
        </w:rPr>
      </w:pPr>
    </w:p>
    <w:p>
      <w:pPr>
        <w:jc w:val="center"/>
        <w:ind w:right="-840"/>
        <w:spacing w:after="0"/>
        <w:rPr>
          <w:sz w:val="20"/>
          <w:szCs w:val="20"/>
          <w:color w:val="auto"/>
        </w:rPr>
      </w:pPr>
      <w:r>
        <w:rPr>
          <w:rFonts w:ascii="Arial" w:cs="Arial" w:eastAsia="Arial" w:hAnsi="Arial"/>
          <w:sz w:val="25"/>
          <w:szCs w:val="25"/>
          <w:b w:val="1"/>
          <w:bCs w:val="1"/>
          <w:color w:val="auto"/>
        </w:rPr>
        <w:t>SCHEDULE 14A</w:t>
      </w:r>
    </w:p>
    <w:p>
      <w:pPr>
        <w:spacing w:after="0" w:line="201" w:lineRule="exact"/>
        <w:rPr>
          <w:sz w:val="24"/>
          <w:szCs w:val="24"/>
          <w:color w:val="auto"/>
        </w:rPr>
      </w:pPr>
    </w:p>
    <w:p>
      <w:pPr>
        <w:jc w:val="center"/>
        <w:ind w:right="-800"/>
        <w:spacing w:after="0"/>
        <w:rPr>
          <w:sz w:val="20"/>
          <w:szCs w:val="20"/>
          <w:color w:val="auto"/>
        </w:rPr>
      </w:pPr>
      <w:r>
        <w:rPr>
          <w:rFonts w:ascii="Arial" w:cs="Arial" w:eastAsia="Arial" w:hAnsi="Arial"/>
          <w:sz w:val="18"/>
          <w:szCs w:val="18"/>
          <w:color w:val="auto"/>
        </w:rPr>
        <w:t>Proxy Statement Pursuant to Section 14(a) of</w:t>
      </w:r>
    </w:p>
    <w:p>
      <w:pPr>
        <w:spacing w:after="0" w:line="9" w:lineRule="exact"/>
        <w:rPr>
          <w:sz w:val="24"/>
          <w:szCs w:val="24"/>
          <w:color w:val="auto"/>
        </w:rPr>
      </w:pPr>
    </w:p>
    <w:p>
      <w:pPr>
        <w:ind w:left="2980"/>
        <w:spacing w:after="0"/>
        <w:tabs>
          <w:tab w:leader="none" w:pos="7660" w:val="left"/>
        </w:tabs>
        <w:rPr>
          <w:sz w:val="20"/>
          <w:szCs w:val="20"/>
          <w:color w:val="auto"/>
        </w:rPr>
      </w:pPr>
      <w:r>
        <w:rPr>
          <w:rFonts w:ascii="Arial" w:cs="Arial" w:eastAsia="Arial" w:hAnsi="Arial"/>
          <w:sz w:val="18"/>
          <w:szCs w:val="18"/>
          <w:color w:val="auto"/>
        </w:rPr>
        <w:t>the Securities Exchange Act of 1934 (Amendment No.</w:t>
      </w:r>
      <w:r>
        <w:rPr>
          <w:sz w:val="20"/>
          <w:szCs w:val="20"/>
          <w:color w:val="auto"/>
        </w:rPr>
        <w:tab/>
      </w:r>
      <w:r>
        <w:rPr>
          <w:rFonts w:ascii="Arial" w:cs="Arial" w:eastAsia="Arial" w:hAnsi="Arial"/>
          <w:sz w:val="18"/>
          <w:szCs w:val="18"/>
          <w:color w:val="auto"/>
        </w:rPr>
        <w:t>)</w:t>
      </w:r>
    </w:p>
    <w:p>
      <w:pPr>
        <w:spacing w:after="0" w:line="71"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17"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63" w:lineRule="exact"/>
        <w:rPr>
          <w:sz w:val="24"/>
          <w:szCs w:val="24"/>
          <w:color w:val="auto"/>
        </w:rPr>
      </w:pPr>
    </w:p>
    <w:p>
      <w:pPr>
        <w:ind w:left="660"/>
        <w:spacing w:after="0"/>
        <w:rPr>
          <w:sz w:val="20"/>
          <w:szCs w:val="20"/>
          <w:color w:val="auto"/>
        </w:rPr>
      </w:pPr>
      <w:r>
        <w:rPr>
          <w:rFonts w:ascii="Arial" w:cs="Arial" w:eastAsia="Arial" w:hAnsi="Arial"/>
          <w:sz w:val="18"/>
          <w:szCs w:val="18"/>
          <w:color w:val="auto"/>
        </w:rPr>
        <w:t>Check the appropriate box:</w:t>
      </w:r>
    </w:p>
    <w:p>
      <w:pPr>
        <w:spacing w:after="0" w:line="117" w:lineRule="exact"/>
        <w:rPr>
          <w:sz w:val="24"/>
          <w:szCs w:val="24"/>
          <w:color w:val="auto"/>
        </w:rPr>
      </w:pPr>
    </w:p>
    <w:p>
      <w:pPr>
        <w:ind w:left="1020" w:hanging="366"/>
        <w:spacing w:after="0"/>
        <w:tabs>
          <w:tab w:leader="none" w:pos="10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95" w:lineRule="exact"/>
        <w:rPr>
          <w:rFonts w:ascii="MS PGothic" w:cs="MS PGothic" w:eastAsia="MS PGothic" w:hAnsi="MS PGothic"/>
          <w:sz w:val="18"/>
          <w:szCs w:val="18"/>
          <w:color w:val="auto"/>
        </w:rPr>
      </w:pPr>
    </w:p>
    <w:p>
      <w:pPr>
        <w:ind w:left="1020" w:hanging="366"/>
        <w:spacing w:after="0"/>
        <w:tabs>
          <w:tab w:leader="none" w:pos="10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2" w:lineRule="exact"/>
        <w:rPr>
          <w:rFonts w:ascii="MS PGothic" w:cs="MS PGothic" w:eastAsia="MS PGothic" w:hAnsi="MS PGothic"/>
          <w:sz w:val="18"/>
          <w:szCs w:val="18"/>
          <w:color w:val="auto"/>
        </w:rPr>
      </w:pPr>
    </w:p>
    <w:p>
      <w:pPr>
        <w:ind w:left="66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163" w:lineRule="exact"/>
        <w:rPr>
          <w:rFonts w:ascii="MS PGothic" w:cs="MS PGothic" w:eastAsia="MS PGothic" w:hAnsi="MS PGothic"/>
          <w:sz w:val="18"/>
          <w:szCs w:val="18"/>
          <w:color w:val="auto"/>
        </w:rPr>
      </w:pPr>
    </w:p>
    <w:p>
      <w:pPr>
        <w:ind w:left="1020" w:hanging="366"/>
        <w:spacing w:after="0"/>
        <w:tabs>
          <w:tab w:leader="none" w:pos="10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1020" w:hanging="366"/>
        <w:spacing w:after="0"/>
        <w:tabs>
          <w:tab w:leader="none" w:pos="10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95" w:lineRule="exact"/>
        <w:rPr>
          <w:sz w:val="24"/>
          <w:szCs w:val="24"/>
          <w:color w:val="auto"/>
        </w:rPr>
      </w:pPr>
    </w:p>
    <w:p>
      <w:pPr>
        <w:jc w:val="center"/>
        <w:ind w:right="-840"/>
        <w:spacing w:after="0"/>
        <w:rPr>
          <w:sz w:val="20"/>
          <w:szCs w:val="20"/>
          <w:color w:val="auto"/>
        </w:rPr>
      </w:pPr>
      <w:r>
        <w:rPr>
          <w:rFonts w:ascii="Arial" w:cs="Arial" w:eastAsia="Arial" w:hAnsi="Arial"/>
          <w:sz w:val="18"/>
          <w:szCs w:val="18"/>
          <w:b w:val="1"/>
          <w:bCs w:val="1"/>
          <w:color w:val="auto"/>
        </w:rPr>
        <w:t>SKYWORKS SOLUTIONS,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414020</wp:posOffset>
            </wp:positionH>
            <wp:positionV relativeFrom="paragraph">
              <wp:posOffset>54610</wp:posOffset>
            </wp:positionV>
            <wp:extent cx="59747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74715" cy="8255"/>
                    </a:xfrm>
                    <a:prstGeom prst="rect">
                      <a:avLst/>
                    </a:prstGeom>
                    <a:noFill/>
                  </pic:spPr>
                </pic:pic>
              </a:graphicData>
            </a:graphic>
          </wp:anchor>
        </w:drawing>
      </w:r>
    </w:p>
    <w:p>
      <w:pPr>
        <w:spacing w:after="0" w:line="143" w:lineRule="exact"/>
        <w:rPr>
          <w:sz w:val="24"/>
          <w:szCs w:val="24"/>
          <w:color w:val="auto"/>
        </w:rPr>
      </w:pPr>
    </w:p>
    <w:p>
      <w:pPr>
        <w:ind w:left="3280"/>
        <w:spacing w:after="0"/>
        <w:rPr>
          <w:sz w:val="20"/>
          <w:szCs w:val="20"/>
          <w:color w:val="auto"/>
        </w:rPr>
      </w:pPr>
      <w:r>
        <w:rPr>
          <w:rFonts w:ascii="Arial" w:cs="Arial" w:eastAsia="Arial" w:hAnsi="Arial"/>
          <w:sz w:val="20"/>
          <w:szCs w:val="20"/>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414020</wp:posOffset>
            </wp:positionH>
            <wp:positionV relativeFrom="paragraph">
              <wp:posOffset>250825</wp:posOffset>
            </wp:positionV>
            <wp:extent cx="59747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74715" cy="8255"/>
                    </a:xfrm>
                    <a:prstGeom prst="rect">
                      <a:avLst/>
                    </a:prstGeom>
                    <a:noFill/>
                  </pic:spPr>
                </pic:pic>
              </a:graphicData>
            </a:graphic>
          </wp:anchor>
        </w:drawing>
      </w:r>
    </w:p>
    <w:p>
      <w:pPr>
        <w:spacing w:after="0" w:line="200" w:lineRule="exact"/>
        <w:rPr>
          <w:sz w:val="24"/>
          <w:szCs w:val="24"/>
          <w:color w:val="auto"/>
        </w:rPr>
      </w:pPr>
    </w:p>
    <w:p>
      <w:pPr>
        <w:spacing w:after="0" w:line="241" w:lineRule="exact"/>
        <w:rPr>
          <w:sz w:val="24"/>
          <w:szCs w:val="24"/>
          <w:color w:val="auto"/>
        </w:rPr>
      </w:pPr>
    </w:p>
    <w:p>
      <w:pPr>
        <w:ind w:left="250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17" w:lineRule="exact"/>
        <w:rPr>
          <w:sz w:val="24"/>
          <w:szCs w:val="24"/>
          <w:color w:val="auto"/>
        </w:rPr>
      </w:pPr>
    </w:p>
    <w:p>
      <w:pPr>
        <w:ind w:left="660"/>
        <w:spacing w:after="0"/>
        <w:rPr>
          <w:sz w:val="20"/>
          <w:szCs w:val="20"/>
          <w:color w:val="auto"/>
        </w:rPr>
      </w:pPr>
      <w:r>
        <w:rPr>
          <w:rFonts w:ascii="Arial" w:cs="Arial" w:eastAsia="Arial" w:hAnsi="Arial"/>
          <w:sz w:val="18"/>
          <w:szCs w:val="18"/>
          <w:color w:val="auto"/>
        </w:rPr>
        <w:t>Payment of Filing Fee (Check the appropriate box):</w:t>
      </w:r>
    </w:p>
    <w:p>
      <w:pPr>
        <w:spacing w:after="0" w:line="117" w:lineRule="exact"/>
        <w:rPr>
          <w:sz w:val="24"/>
          <w:szCs w:val="24"/>
          <w:color w:val="auto"/>
        </w:rPr>
      </w:pPr>
    </w:p>
    <w:p>
      <w:pPr>
        <w:ind w:left="1020" w:hanging="366"/>
        <w:spacing w:after="0"/>
        <w:tabs>
          <w:tab w:leader="none" w:pos="10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17" w:lineRule="exact"/>
        <w:rPr>
          <w:sz w:val="24"/>
          <w:szCs w:val="24"/>
          <w:color w:val="auto"/>
        </w:rPr>
      </w:pPr>
    </w:p>
    <w:p>
      <w:pPr>
        <w:ind w:left="1020" w:hanging="366"/>
        <w:spacing w:after="0"/>
        <w:tabs>
          <w:tab w:leader="none" w:pos="10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1020" w:hanging="366"/>
        <w:spacing w:after="0"/>
        <w:tabs>
          <w:tab w:leader="none" w:pos="102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3867150</wp:posOffset>
            </wp:positionV>
            <wp:extent cx="683196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39" w:right="1440" w:bottom="1440" w:gutter="0" w:footer="0" w:header="0"/>
        </w:sectPr>
      </w:pPr>
    </w:p>
    <w:bookmarkStart w:id="1" w:name="page2"/>
    <w:bookmarkEnd w:id="1"/>
    <w:p>
      <w:pPr>
        <w:spacing w:after="0"/>
        <w:rPr>
          <w:rFonts w:ascii="Arial" w:cs="Arial" w:eastAsia="Arial" w:hAnsi="Arial"/>
          <w:sz w:val="14"/>
          <w:szCs w:val="14"/>
          <w:color w:val="003366"/>
        </w:rPr>
      </w:pPr>
      <w:r>
        <w:rPr>
          <w:rFonts w:ascii="Arial" w:cs="Arial" w:eastAsia="Arial" w:hAnsi="Arial"/>
          <w:sz w:val="14"/>
          <w:szCs w:val="14"/>
          <w:color w:val="003366"/>
        </w:rPr>
        <w:drawing>
          <wp:anchor simplePos="0" relativeHeight="251657728" behindDoc="1" locked="0" layoutInCell="0" allowOverlap="1">
            <wp:simplePos x="0" y="0"/>
            <wp:positionH relativeFrom="page">
              <wp:posOffset>139700</wp:posOffset>
            </wp:positionH>
            <wp:positionV relativeFrom="page">
              <wp:posOffset>88900</wp:posOffset>
            </wp:positionV>
            <wp:extent cx="678053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80530" cy="29845"/>
                    </a:xfrm>
                    <a:prstGeom prst="rect">
                      <a:avLst/>
                    </a:prstGeom>
                    <a:noFill/>
                  </pic:spPr>
                </pic:pic>
              </a:graphicData>
            </a:graphic>
          </wp:anchor>
        </w:drawing>
      </w: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212090</wp:posOffset>
            </wp:positionV>
            <wp:extent cx="5915025" cy="7475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15025" cy="7475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600"/>
        <w:spacing w:after="0"/>
        <w:rPr>
          <w:sz w:val="20"/>
          <w:szCs w:val="20"/>
          <w:color w:val="auto"/>
        </w:rPr>
      </w:pPr>
      <w:r>
        <w:rPr>
          <w:rFonts w:ascii="Arial" w:cs="Arial" w:eastAsia="Arial" w:hAnsi="Arial"/>
          <w:sz w:val="16"/>
          <w:szCs w:val="16"/>
          <w:b w:val="1"/>
          <w:bCs w:val="1"/>
          <w:color w:val="1A84B1"/>
        </w:rPr>
        <w:t>March 25, 2022</w:t>
      </w:r>
    </w:p>
    <w:p>
      <w:pPr>
        <w:spacing w:after="0" w:line="315" w:lineRule="exact"/>
        <w:rPr>
          <w:sz w:val="20"/>
          <w:szCs w:val="20"/>
          <w:color w:val="auto"/>
        </w:rPr>
      </w:pPr>
    </w:p>
    <w:p>
      <w:pPr>
        <w:ind w:left="1600"/>
        <w:spacing w:after="0"/>
        <w:rPr>
          <w:sz w:val="20"/>
          <w:szCs w:val="20"/>
          <w:color w:val="auto"/>
        </w:rPr>
      </w:pPr>
      <w:r>
        <w:rPr>
          <w:rFonts w:ascii="Arial" w:cs="Arial" w:eastAsia="Arial" w:hAnsi="Arial"/>
          <w:sz w:val="22"/>
          <w:szCs w:val="22"/>
          <w:b w:val="1"/>
          <w:bCs w:val="1"/>
          <w:color w:val="1A84B1"/>
        </w:rPr>
        <w:t>Dear Stockholder:</w:t>
      </w:r>
    </w:p>
    <w:p>
      <w:pPr>
        <w:spacing w:after="0" w:line="240" w:lineRule="exact"/>
        <w:rPr>
          <w:sz w:val="20"/>
          <w:szCs w:val="20"/>
          <w:color w:val="auto"/>
        </w:rPr>
      </w:pPr>
    </w:p>
    <w:p>
      <w:pPr>
        <w:ind w:left="1600"/>
        <w:spacing w:after="0"/>
        <w:rPr>
          <w:sz w:val="20"/>
          <w:szCs w:val="20"/>
          <w:color w:val="auto"/>
        </w:rPr>
      </w:pPr>
      <w:r>
        <w:rPr>
          <w:rFonts w:ascii="Arial" w:cs="Arial" w:eastAsia="Arial" w:hAnsi="Arial"/>
          <w:sz w:val="16"/>
          <w:szCs w:val="16"/>
          <w:color w:val="191919"/>
        </w:rPr>
        <w:t>I am pleased to invite you to attend the 2022 Annual Meeting of Stockholders (the “Annual Meeting”)</w:t>
      </w:r>
    </w:p>
    <w:p>
      <w:pPr>
        <w:spacing w:after="0" w:line="5" w:lineRule="exact"/>
        <w:rPr>
          <w:sz w:val="20"/>
          <w:szCs w:val="20"/>
          <w:color w:val="auto"/>
        </w:rPr>
      </w:pPr>
    </w:p>
    <w:p>
      <w:pPr>
        <w:ind w:left="1600"/>
        <w:spacing w:after="0"/>
        <w:rPr>
          <w:sz w:val="20"/>
          <w:szCs w:val="20"/>
          <w:color w:val="auto"/>
        </w:rPr>
      </w:pPr>
      <w:r>
        <w:rPr>
          <w:rFonts w:ascii="Arial" w:cs="Arial" w:eastAsia="Arial" w:hAnsi="Arial"/>
          <w:sz w:val="16"/>
          <w:szCs w:val="16"/>
          <w:color w:val="191919"/>
        </w:rPr>
        <w:t>of Skyworks Solutions, Inc., to be held at:</w:t>
      </w:r>
    </w:p>
    <w:p>
      <w:pPr>
        <w:spacing w:after="0" w:line="248" w:lineRule="exact"/>
        <w:rPr>
          <w:sz w:val="20"/>
          <w:szCs w:val="20"/>
          <w:color w:val="auto"/>
        </w:rPr>
      </w:pPr>
    </w:p>
    <w:p>
      <w:pPr>
        <w:ind w:left="1960"/>
        <w:spacing w:after="0"/>
        <w:tabs>
          <w:tab w:leader="none" w:pos="2640" w:val="left"/>
        </w:tabs>
        <w:rPr>
          <w:sz w:val="20"/>
          <w:szCs w:val="20"/>
          <w:color w:val="auto"/>
        </w:rPr>
      </w:pPr>
      <w:r>
        <w:rPr>
          <w:rFonts w:ascii="Arial" w:cs="Arial" w:eastAsia="Arial" w:hAnsi="Arial"/>
          <w:sz w:val="16"/>
          <w:szCs w:val="16"/>
          <w:color w:val="0076A8"/>
        </w:rPr>
        <w:t>Time:</w:t>
      </w:r>
      <w:r>
        <w:rPr>
          <w:sz w:val="20"/>
          <w:szCs w:val="20"/>
          <w:color w:val="auto"/>
        </w:rPr>
        <w:tab/>
      </w:r>
      <w:r>
        <w:rPr>
          <w:rFonts w:ascii="Arial" w:cs="Arial" w:eastAsia="Arial" w:hAnsi="Arial"/>
          <w:sz w:val="16"/>
          <w:szCs w:val="16"/>
          <w:color w:val="0076A8"/>
        </w:rPr>
        <w:t>11:00 a.m. PDT</w:t>
      </w:r>
    </w:p>
    <w:p>
      <w:pPr>
        <w:spacing w:after="0" w:line="46" w:lineRule="exact"/>
        <w:rPr>
          <w:sz w:val="20"/>
          <w:szCs w:val="20"/>
          <w:color w:val="auto"/>
        </w:rPr>
      </w:pPr>
    </w:p>
    <w:p>
      <w:pPr>
        <w:ind w:left="1960"/>
        <w:spacing w:after="0"/>
        <w:tabs>
          <w:tab w:leader="none" w:pos="2640" w:val="left"/>
        </w:tabs>
        <w:rPr>
          <w:sz w:val="20"/>
          <w:szCs w:val="20"/>
          <w:color w:val="auto"/>
        </w:rPr>
      </w:pPr>
      <w:r>
        <w:rPr>
          <w:rFonts w:ascii="Arial" w:cs="Arial" w:eastAsia="Arial" w:hAnsi="Arial"/>
          <w:sz w:val="16"/>
          <w:szCs w:val="16"/>
          <w:color w:val="0076A8"/>
        </w:rPr>
        <w:t>Date:</w:t>
      </w:r>
      <w:r>
        <w:rPr>
          <w:sz w:val="20"/>
          <w:szCs w:val="20"/>
          <w:color w:val="auto"/>
        </w:rPr>
        <w:tab/>
      </w:r>
      <w:r>
        <w:rPr>
          <w:rFonts w:ascii="Arial" w:cs="Arial" w:eastAsia="Arial" w:hAnsi="Arial"/>
          <w:sz w:val="16"/>
          <w:szCs w:val="16"/>
          <w:color w:val="0076A8"/>
        </w:rPr>
        <w:t>Wednesday, May 11, 2022</w:t>
      </w:r>
    </w:p>
    <w:p>
      <w:pPr>
        <w:spacing w:after="0" w:line="59" w:lineRule="exact"/>
        <w:rPr>
          <w:sz w:val="20"/>
          <w:szCs w:val="20"/>
          <w:color w:val="auto"/>
        </w:rPr>
      </w:pPr>
    </w:p>
    <w:p>
      <w:pPr>
        <w:ind w:left="1960"/>
        <w:spacing w:after="0"/>
        <w:tabs>
          <w:tab w:leader="none" w:pos="2640" w:val="left"/>
        </w:tabs>
        <w:rPr>
          <w:sz w:val="20"/>
          <w:szCs w:val="20"/>
          <w:color w:val="auto"/>
        </w:rPr>
      </w:pPr>
      <w:r>
        <w:rPr>
          <w:rFonts w:ascii="Arial" w:cs="Arial" w:eastAsia="Arial" w:hAnsi="Arial"/>
          <w:sz w:val="16"/>
          <w:szCs w:val="16"/>
          <w:color w:val="0076A8"/>
        </w:rPr>
        <w:t>Web:</w:t>
      </w:r>
      <w:r>
        <w:rPr>
          <w:sz w:val="20"/>
          <w:szCs w:val="20"/>
          <w:color w:val="auto"/>
        </w:rPr>
        <w:tab/>
      </w:r>
      <w:r>
        <w:rPr>
          <w:rFonts w:ascii="Arial" w:cs="Arial" w:eastAsia="Arial" w:hAnsi="Arial"/>
          <w:sz w:val="16"/>
          <w:szCs w:val="16"/>
          <w:color w:val="0076A8"/>
        </w:rPr>
        <w:t>www.virtualshareholdermeeting.com/SWKS2022</w:t>
      </w:r>
    </w:p>
    <w:p>
      <w:pPr>
        <w:spacing w:after="0" w:line="370" w:lineRule="exact"/>
        <w:rPr>
          <w:sz w:val="20"/>
          <w:szCs w:val="20"/>
          <w:color w:val="auto"/>
        </w:rPr>
      </w:pPr>
    </w:p>
    <w:p>
      <w:pPr>
        <w:jc w:val="both"/>
        <w:ind w:left="1600" w:right="1199"/>
        <w:spacing w:after="0" w:line="251" w:lineRule="auto"/>
        <w:rPr>
          <w:sz w:val="20"/>
          <w:szCs w:val="20"/>
          <w:color w:val="auto"/>
        </w:rPr>
      </w:pPr>
      <w:r>
        <w:rPr>
          <w:rFonts w:ascii="Arial" w:cs="Arial" w:eastAsia="Arial" w:hAnsi="Arial"/>
          <w:sz w:val="16"/>
          <w:szCs w:val="16"/>
          <w:color w:val="191919"/>
        </w:rPr>
        <w:t>You will be able to attend and participate in the Annual Meeting online at the web address above, where you will be able to listen to the meeting live, submit questions, and vote. We look forward to your participation online or by proxy. The attached Notice of 2022 Annual Meeting of Stockholders and Proxy Statement describe the matters that we expect to be acted upon at the Annual Meeting.</w:t>
      </w:r>
    </w:p>
    <w:p>
      <w:pPr>
        <w:spacing w:after="0" w:line="202" w:lineRule="exact"/>
        <w:rPr>
          <w:sz w:val="20"/>
          <w:szCs w:val="20"/>
          <w:color w:val="auto"/>
        </w:rPr>
      </w:pPr>
    </w:p>
    <w:p>
      <w:pPr>
        <w:jc w:val="both"/>
        <w:ind w:left="1600" w:right="1199"/>
        <w:spacing w:after="0" w:line="248" w:lineRule="auto"/>
        <w:rPr>
          <w:sz w:val="20"/>
          <w:szCs w:val="20"/>
          <w:color w:val="auto"/>
        </w:rPr>
      </w:pPr>
      <w:r>
        <w:rPr>
          <w:rFonts w:ascii="Arial" w:cs="Arial" w:eastAsia="Arial" w:hAnsi="Arial"/>
          <w:sz w:val="16"/>
          <w:szCs w:val="16"/>
          <w:color w:val="191919"/>
        </w:rPr>
        <w:t>Whether or not you plan to attend the Annual Meeting online, and regardless of how many shares you own, it is important that your shares be represented at the Annual Meeting. Accordingly, if you are a stockholder of record, we urge you to complete the proxy and return it to us promptly in the postage-prepaid envelope provided, or to complete and submit your proxy by telephone or via the internet in accordance with the instructions on the proxy card. If your shares are held in “street name,” that is, held for your account by a broker or other nominee, you will receive instructions from the holder of record that you must follow for your shares to be voted. If you do attend the Annual Meeting online and wish to vote at that time, you may revoke a previously submitted proxy by voting at the meeting.</w:t>
      </w:r>
    </w:p>
    <w:p>
      <w:pPr>
        <w:spacing w:after="0" w:line="207" w:lineRule="exact"/>
        <w:rPr>
          <w:sz w:val="20"/>
          <w:szCs w:val="20"/>
          <w:color w:val="auto"/>
        </w:rPr>
      </w:pPr>
    </w:p>
    <w:p>
      <w:pPr>
        <w:ind w:left="1600"/>
        <w:spacing w:after="0"/>
        <w:rPr>
          <w:sz w:val="20"/>
          <w:szCs w:val="20"/>
          <w:color w:val="auto"/>
        </w:rPr>
      </w:pPr>
      <w:r>
        <w:rPr>
          <w:rFonts w:ascii="Arial" w:cs="Arial" w:eastAsia="Arial" w:hAnsi="Arial"/>
          <w:sz w:val="16"/>
          <w:szCs w:val="16"/>
          <w:color w:val="191919"/>
        </w:rPr>
        <w:t>Sincerely yours,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600"/>
        <w:spacing w:after="0"/>
        <w:rPr>
          <w:sz w:val="20"/>
          <w:szCs w:val="20"/>
          <w:color w:val="auto"/>
        </w:rPr>
      </w:pPr>
      <w:r>
        <w:rPr>
          <w:rFonts w:ascii="Arial" w:cs="Arial" w:eastAsia="Arial" w:hAnsi="Arial"/>
          <w:sz w:val="16"/>
          <w:szCs w:val="16"/>
          <w:b w:val="1"/>
          <w:bCs w:val="1"/>
          <w:color w:val="1A84B1"/>
        </w:rPr>
        <w:t>Liam K. Griffin</w:t>
      </w:r>
    </w:p>
    <w:p>
      <w:pPr>
        <w:spacing w:after="0" w:line="25" w:lineRule="exact"/>
        <w:rPr>
          <w:sz w:val="20"/>
          <w:szCs w:val="20"/>
          <w:color w:val="auto"/>
        </w:rPr>
      </w:pPr>
    </w:p>
    <w:p>
      <w:pPr>
        <w:ind w:left="1600"/>
        <w:spacing w:after="0"/>
        <w:rPr>
          <w:sz w:val="20"/>
          <w:szCs w:val="20"/>
          <w:color w:val="auto"/>
        </w:rPr>
      </w:pPr>
      <w:r>
        <w:rPr>
          <w:rFonts w:ascii="Arial" w:cs="Arial" w:eastAsia="Arial" w:hAnsi="Arial"/>
          <w:sz w:val="16"/>
          <w:szCs w:val="16"/>
          <w:i w:val="1"/>
          <w:iCs w:val="1"/>
          <w:color w:val="191919"/>
        </w:rPr>
        <w:t>Chairman, Chief Executive Officer and President</w:t>
      </w:r>
    </w:p>
    <w:p>
      <w:pPr>
        <w:sectPr>
          <w:pgSz w:w="11900" w:h="16838" w:orient="portrait"/>
          <w:cols w:equalWidth="0" w:num="1">
            <w:col w:w="10139"/>
          </w:cols>
          <w:pgMar w:left="320" w:top="198" w:right="1440" w:bottom="1440" w:gutter="0" w:footer="0" w:header="0"/>
        </w:sectPr>
      </w:pPr>
    </w:p>
    <w:bookmarkStart w:id="2" w:name="page3"/>
    <w:bookmarkEnd w:id="2"/>
    <w:p>
      <w:pPr>
        <w:spacing w:after="0"/>
        <w:rPr>
          <w:rFonts w:ascii="Arial" w:cs="Arial" w:eastAsia="Arial" w:hAnsi="Arial"/>
          <w:sz w:val="14"/>
          <w:szCs w:val="14"/>
          <w:color w:val="003366"/>
        </w:rPr>
      </w:pPr>
      <w:r>
        <w:rPr>
          <w:rFonts w:ascii="Arial" w:cs="Arial" w:eastAsia="Arial" w:hAnsi="Arial"/>
          <w:sz w:val="14"/>
          <w:szCs w:val="14"/>
          <w:color w:val="003366"/>
        </w:rPr>
        <w:drawing>
          <wp:anchor simplePos="0" relativeHeight="251657728" behindDoc="1" locked="0" layoutInCell="0" allowOverlap="1">
            <wp:simplePos x="0" y="0"/>
            <wp:positionH relativeFrom="page">
              <wp:posOffset>139700</wp:posOffset>
            </wp:positionH>
            <wp:positionV relativeFrom="page">
              <wp:posOffset>88900</wp:posOffset>
            </wp:positionV>
            <wp:extent cx="67805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80530" cy="29845"/>
                    </a:xfrm>
                    <a:prstGeom prst="rect">
                      <a:avLst/>
                    </a:prstGeom>
                    <a:noFill/>
                  </pic:spPr>
                </pic:pic>
              </a:graphicData>
            </a:graphic>
          </wp:anchor>
        </w:drawing>
      </w: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212090</wp:posOffset>
            </wp:positionV>
            <wp:extent cx="5915025" cy="74752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915025" cy="7475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600"/>
        <w:spacing w:after="0"/>
        <w:rPr>
          <w:sz w:val="20"/>
          <w:szCs w:val="20"/>
          <w:color w:val="auto"/>
        </w:rPr>
      </w:pPr>
      <w:r>
        <w:rPr>
          <w:rFonts w:ascii="Arial" w:cs="Arial" w:eastAsia="Arial" w:hAnsi="Arial"/>
          <w:sz w:val="22"/>
          <w:szCs w:val="22"/>
          <w:b w:val="1"/>
          <w:bCs w:val="1"/>
          <w:i w:val="1"/>
          <w:iCs w:val="1"/>
          <w:color w:val="191919"/>
        </w:rPr>
        <w:t>Letter from Lead Independent Director</w:t>
      </w:r>
    </w:p>
    <w:p>
      <w:pPr>
        <w:spacing w:after="0" w:line="206" w:lineRule="exact"/>
        <w:rPr>
          <w:sz w:val="20"/>
          <w:szCs w:val="20"/>
          <w:color w:val="auto"/>
        </w:rPr>
      </w:pPr>
    </w:p>
    <w:p>
      <w:pPr>
        <w:ind w:left="1600"/>
        <w:spacing w:after="0"/>
        <w:rPr>
          <w:sz w:val="20"/>
          <w:szCs w:val="20"/>
          <w:color w:val="auto"/>
        </w:rPr>
      </w:pPr>
      <w:r>
        <w:rPr>
          <w:rFonts w:ascii="Arial" w:cs="Arial" w:eastAsia="Arial" w:hAnsi="Arial"/>
          <w:sz w:val="22"/>
          <w:szCs w:val="22"/>
          <w:b w:val="1"/>
          <w:bCs w:val="1"/>
          <w:color w:val="1A84B1"/>
        </w:rPr>
        <w:t>Dear Stockholder:</w:t>
      </w:r>
    </w:p>
    <w:p>
      <w:pPr>
        <w:spacing w:after="0" w:line="78" w:lineRule="exact"/>
        <w:rPr>
          <w:sz w:val="20"/>
          <w:szCs w:val="20"/>
          <w:color w:val="auto"/>
        </w:rPr>
      </w:pPr>
    </w:p>
    <w:p>
      <w:pPr>
        <w:jc w:val="both"/>
        <w:ind w:left="1600" w:right="1199"/>
        <w:spacing w:after="0" w:line="216" w:lineRule="auto"/>
        <w:rPr>
          <w:sz w:val="20"/>
          <w:szCs w:val="20"/>
          <w:color w:val="auto"/>
        </w:rPr>
      </w:pPr>
      <w:r>
        <w:rPr>
          <w:rFonts w:ascii="Arial" w:cs="Arial" w:eastAsia="Arial" w:hAnsi="Arial"/>
          <w:sz w:val="16"/>
          <w:szCs w:val="16"/>
          <w:color w:val="191919"/>
        </w:rPr>
        <w:t>First and foremost, on behalf of the Board of Directors, I thank you for your investment in Skyworks and for the confidence you place in the Board to oversee your interests in our Company. While the COVID-19 pandemic continued to pose challenges in 2021, we are proud of the Company’s significant progress executing against its long-term strategy. As we advance through the initial stages of a multi-year wireless transition, our performance remains strong. Of note, in fiscal year 2021 we achieved record revenue of $5.1 billion, up 52% year-over-year, delivering significant growth as a result of our expanded product portfolio. Skyworks is well-positioned to continue making investments in next-generation technologies to fuel sustainable growth.</w:t>
      </w:r>
    </w:p>
    <w:p>
      <w:pPr>
        <w:spacing w:after="0" w:line="66" w:lineRule="exact"/>
        <w:rPr>
          <w:sz w:val="20"/>
          <w:szCs w:val="20"/>
          <w:color w:val="auto"/>
        </w:rPr>
      </w:pPr>
    </w:p>
    <w:p>
      <w:pPr>
        <w:jc w:val="both"/>
        <w:ind w:left="1600" w:right="1199"/>
        <w:spacing w:after="0" w:line="219" w:lineRule="auto"/>
        <w:rPr>
          <w:sz w:val="20"/>
          <w:szCs w:val="20"/>
          <w:color w:val="auto"/>
        </w:rPr>
      </w:pPr>
      <w:r>
        <w:rPr>
          <w:rFonts w:ascii="Arial" w:cs="Arial" w:eastAsia="Arial" w:hAnsi="Arial"/>
          <w:sz w:val="16"/>
          <w:szCs w:val="16"/>
          <w:color w:val="191919"/>
        </w:rPr>
        <w:t>The Board is committed to providing critical oversight and helping to ensure that the Company’s corporate culture is aligned with growing and protecting your investment over the long term. As directors, we continue to play a leading role in overseeing the strategic direction of the Company and monitoring execution of this strategy by management. The 2022 Annual Meeting of Stockholders provides a moment to reflect on some of the Board’s key focus areas, which include:</w:t>
      </w:r>
    </w:p>
    <w:p>
      <w:pPr>
        <w:spacing w:after="0" w:line="45" w:lineRule="exact"/>
        <w:rPr>
          <w:sz w:val="20"/>
          <w:szCs w:val="20"/>
          <w:color w:val="auto"/>
        </w:rPr>
      </w:pPr>
    </w:p>
    <w:p>
      <w:pPr>
        <w:jc w:val="both"/>
        <w:ind w:left="1960" w:right="1199" w:hanging="368"/>
        <w:spacing w:after="0" w:line="235" w:lineRule="auto"/>
        <w:tabs>
          <w:tab w:leader="none" w:pos="196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0076A8"/>
        </w:rPr>
        <w:t xml:space="preserve">Refreshing Our Board with New Perspectives: </w:t>
      </w:r>
      <w:r>
        <w:rPr>
          <w:rFonts w:ascii="Arial" w:cs="Arial" w:eastAsia="Arial" w:hAnsi="Arial"/>
          <w:sz w:val="16"/>
          <w:szCs w:val="16"/>
          <w:color w:val="000000"/>
        </w:rPr>
        <w:t>Our Board includes a diverse, experienced</w:t>
      </w:r>
      <w:r>
        <w:rPr>
          <w:rFonts w:ascii="Arial" w:cs="Arial" w:eastAsia="Arial" w:hAnsi="Arial"/>
          <w:sz w:val="16"/>
          <w:szCs w:val="16"/>
          <w:b w:val="1"/>
          <w:bCs w:val="1"/>
          <w:color w:val="0076A8"/>
        </w:rPr>
        <w:t xml:space="preserve"> </w:t>
      </w:r>
      <w:r>
        <w:rPr>
          <w:rFonts w:ascii="Arial" w:cs="Arial" w:eastAsia="Arial" w:hAnsi="Arial"/>
          <w:sz w:val="16"/>
          <w:szCs w:val="16"/>
          <w:color w:val="000000"/>
        </w:rPr>
        <w:t xml:space="preserve">group of independent directors with a range of relevant qualifications that support the Company’s strategy and position it for long-term success. Thoughtful, ongoing attention to Board composition is an important responsibility as we seek to ensure an appropriate mix of tenure and expertise that balances fresh perspectives and institutional knowledge. Earlier this year, we appointed Eric J. Guerin and Suzanne “Suzi” E. McBride to the Board. They both bring a wealth of experience, and we look forward to leveraging their skills and insights as we deliver on our vision of </w:t>
      </w:r>
      <w:r>
        <w:rPr>
          <w:rFonts w:ascii="Arial" w:cs="Arial" w:eastAsia="Arial" w:hAnsi="Arial"/>
          <w:sz w:val="16"/>
          <w:szCs w:val="16"/>
          <w:i w:val="1"/>
          <w:iCs w:val="1"/>
          <w:color w:val="000000"/>
        </w:rPr>
        <w:t>Connecting Everyone and Everything, All the Time.</w:t>
      </w:r>
    </w:p>
    <w:p>
      <w:pPr>
        <w:spacing w:after="0" w:line="43" w:lineRule="exact"/>
        <w:rPr>
          <w:rFonts w:ascii="Arial" w:cs="Arial" w:eastAsia="Arial" w:hAnsi="Arial"/>
          <w:sz w:val="16"/>
          <w:szCs w:val="16"/>
          <w:color w:val="auto"/>
        </w:rPr>
      </w:pPr>
    </w:p>
    <w:p>
      <w:pPr>
        <w:jc w:val="both"/>
        <w:ind w:left="1960" w:right="1199" w:hanging="368"/>
        <w:spacing w:after="0" w:line="232" w:lineRule="auto"/>
        <w:tabs>
          <w:tab w:leader="none" w:pos="196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0076A8"/>
        </w:rPr>
        <w:t xml:space="preserve">Engaging Regularly with Stockholders: </w:t>
      </w:r>
      <w:r>
        <w:rPr>
          <w:rFonts w:ascii="Arial" w:cs="Arial" w:eastAsia="Arial" w:hAnsi="Arial"/>
          <w:sz w:val="16"/>
          <w:szCs w:val="16"/>
          <w:color w:val="000000"/>
        </w:rPr>
        <w:t>Stockholder engagement remains an important part of</w:t>
      </w:r>
      <w:r>
        <w:rPr>
          <w:rFonts w:ascii="Arial" w:cs="Arial" w:eastAsia="Arial" w:hAnsi="Arial"/>
          <w:sz w:val="16"/>
          <w:szCs w:val="16"/>
          <w:b w:val="1"/>
          <w:bCs w:val="1"/>
          <w:color w:val="0076A8"/>
        </w:rPr>
        <w:t xml:space="preserve"> </w:t>
      </w:r>
      <w:r>
        <w:rPr>
          <w:rFonts w:ascii="Arial" w:cs="Arial" w:eastAsia="Arial" w:hAnsi="Arial"/>
          <w:sz w:val="16"/>
          <w:szCs w:val="16"/>
          <w:color w:val="000000"/>
        </w:rPr>
        <w:t>the Board’s longstanding commitment to sound governance practices. Our ongoing dialogue with stockholders throughout the year allows the Board to better understand our stockholders’ priorities and perspectives and to incorporate them into our deliberations and decision making. Following low support for our executive pay program at the 2021 Annual Meeting, our Compensation Committee undertook a robust process to review the Company’s executive compensation structure, taking into account feedback from our stockholders that we gathered as part of an extensive outreach effort. In the months following the 2021 Annual Meeting, we proactively reached out to stockholders representing nearly 51% of the Company’s outstanding common stock and I personally engaged with stockholders representing approximately 34% of the Company’s outstanding common stock. These efforts resulted in meaningful, responsive changes to our executive compensation program, as highlighted in the pages that follow. We continue to believe that one of the Board’s most critical responsibilities is ensuring an executive compensation program that appropriately attracts, retains, and incentivizes our management team, and we further believe that the changes made to the compensation program are aligned with the interests of you, our stockholders.</w:t>
      </w:r>
    </w:p>
    <w:p>
      <w:pPr>
        <w:spacing w:after="0" w:line="77" w:lineRule="exact"/>
        <w:rPr>
          <w:sz w:val="20"/>
          <w:szCs w:val="20"/>
          <w:color w:val="auto"/>
        </w:rPr>
      </w:pPr>
    </w:p>
    <w:p>
      <w:pPr>
        <w:jc w:val="both"/>
        <w:ind w:left="1600" w:right="1199"/>
        <w:spacing w:after="0" w:line="237" w:lineRule="auto"/>
        <w:rPr>
          <w:sz w:val="20"/>
          <w:szCs w:val="20"/>
          <w:color w:val="auto"/>
        </w:rPr>
      </w:pPr>
      <w:r>
        <w:rPr>
          <w:rFonts w:ascii="Arial" w:cs="Arial" w:eastAsia="Arial" w:hAnsi="Arial"/>
          <w:sz w:val="16"/>
          <w:szCs w:val="16"/>
          <w:color w:val="191919"/>
        </w:rPr>
        <w:t>As we move forward in 2022, I am confident that the Company will continue to build on its momentum with the Board’s active involvement and stewardship. We look forward to hearing your views at this year’s Annual Meeting and in the year to come.</w:t>
      </w:r>
    </w:p>
    <w:p>
      <w:pPr>
        <w:spacing w:after="0" w:line="62" w:lineRule="exact"/>
        <w:rPr>
          <w:sz w:val="20"/>
          <w:szCs w:val="20"/>
          <w:color w:val="auto"/>
        </w:rPr>
      </w:pPr>
    </w:p>
    <w:p>
      <w:pPr>
        <w:ind w:left="1600"/>
        <w:spacing w:after="0"/>
        <w:rPr>
          <w:sz w:val="20"/>
          <w:szCs w:val="20"/>
          <w:color w:val="auto"/>
        </w:rPr>
      </w:pPr>
      <w:r>
        <w:rPr>
          <w:rFonts w:ascii="Arial" w:cs="Arial" w:eastAsia="Arial" w:hAnsi="Arial"/>
          <w:sz w:val="16"/>
          <w:szCs w:val="16"/>
          <w:color w:val="191919"/>
        </w:rPr>
        <w:t>With appreciation,</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600"/>
        <w:spacing w:after="0"/>
        <w:rPr>
          <w:sz w:val="20"/>
          <w:szCs w:val="20"/>
          <w:color w:val="auto"/>
        </w:rPr>
      </w:pPr>
      <w:r>
        <w:rPr>
          <w:rFonts w:ascii="Arial" w:cs="Arial" w:eastAsia="Arial" w:hAnsi="Arial"/>
          <w:sz w:val="16"/>
          <w:szCs w:val="16"/>
          <w:b w:val="1"/>
          <w:bCs w:val="1"/>
          <w:color w:val="1A84B1"/>
        </w:rPr>
        <w:t>Christine King</w:t>
      </w:r>
    </w:p>
    <w:p>
      <w:pPr>
        <w:spacing w:after="0" w:line="3" w:lineRule="exact"/>
        <w:rPr>
          <w:sz w:val="20"/>
          <w:szCs w:val="20"/>
          <w:color w:val="auto"/>
        </w:rPr>
      </w:pPr>
    </w:p>
    <w:p>
      <w:pPr>
        <w:ind w:left="1600"/>
        <w:spacing w:after="0"/>
        <w:rPr>
          <w:sz w:val="20"/>
          <w:szCs w:val="20"/>
          <w:color w:val="auto"/>
        </w:rPr>
      </w:pPr>
      <w:r>
        <w:rPr>
          <w:rFonts w:ascii="Arial" w:cs="Arial" w:eastAsia="Arial" w:hAnsi="Arial"/>
          <w:sz w:val="16"/>
          <w:szCs w:val="16"/>
          <w:i w:val="1"/>
          <w:iCs w:val="1"/>
          <w:color w:val="191919"/>
        </w:rPr>
        <w:t>Lead Independent Director</w:t>
      </w:r>
    </w:p>
    <w:p>
      <w:pPr>
        <w:ind w:left="1600"/>
        <w:spacing w:after="0" w:line="228" w:lineRule="auto"/>
        <w:rPr>
          <w:sz w:val="20"/>
          <w:szCs w:val="20"/>
          <w:color w:val="auto"/>
        </w:rPr>
      </w:pPr>
      <w:r>
        <w:rPr>
          <w:rFonts w:ascii="Arial" w:cs="Arial" w:eastAsia="Arial" w:hAnsi="Arial"/>
          <w:sz w:val="16"/>
          <w:szCs w:val="16"/>
          <w:i w:val="1"/>
          <w:iCs w:val="1"/>
          <w:color w:val="191919"/>
        </w:rPr>
        <w:t>Chairman, Compensation Committee</w:t>
      </w:r>
    </w:p>
    <w:p>
      <w:pPr>
        <w:spacing w:after="0" w:line="1" w:lineRule="exact"/>
        <w:rPr>
          <w:sz w:val="20"/>
          <w:szCs w:val="20"/>
          <w:color w:val="auto"/>
        </w:rPr>
      </w:pPr>
    </w:p>
    <w:p>
      <w:pPr>
        <w:ind w:left="1600"/>
        <w:spacing w:after="0"/>
        <w:rPr>
          <w:sz w:val="20"/>
          <w:szCs w:val="20"/>
          <w:color w:val="auto"/>
        </w:rPr>
      </w:pPr>
      <w:r>
        <w:rPr>
          <w:rFonts w:ascii="Arial" w:cs="Arial" w:eastAsia="Arial" w:hAnsi="Arial"/>
          <w:sz w:val="16"/>
          <w:szCs w:val="16"/>
          <w:i w:val="1"/>
          <w:iCs w:val="1"/>
          <w:color w:val="191919"/>
        </w:rPr>
        <w:t>Member, Audit Committee</w:t>
      </w:r>
    </w:p>
    <w:p>
      <w:pPr>
        <w:sectPr>
          <w:pgSz w:w="11900" w:h="16838" w:orient="portrait"/>
          <w:cols w:equalWidth="0" w:num="1">
            <w:col w:w="10139"/>
          </w:cols>
          <w:pgMar w:left="320" w:top="198" w:right="1440" w:bottom="1440" w:gutter="0" w:footer="0" w:header="0"/>
        </w:sectPr>
      </w:pPr>
    </w:p>
    <w:bookmarkStart w:id="3" w:name="page4"/>
    <w:bookmarkEnd w:id="3"/>
    <w:p>
      <w:pPr>
        <w:spacing w:after="0"/>
        <w:rPr>
          <w:rFonts w:ascii="Arial" w:cs="Arial" w:eastAsia="Arial" w:hAnsi="Arial"/>
          <w:sz w:val="14"/>
          <w:szCs w:val="14"/>
          <w:color w:val="003366"/>
        </w:rPr>
      </w:pPr>
      <w:r>
        <w:rPr>
          <w:rFonts w:ascii="Arial" w:cs="Arial" w:eastAsia="Arial" w:hAnsi="Arial"/>
          <w:sz w:val="14"/>
          <w:szCs w:val="14"/>
          <w:color w:val="003366"/>
        </w:rPr>
        <w:drawing>
          <wp:anchor simplePos="0" relativeHeight="251657728" behindDoc="1" locked="0" layoutInCell="0" allowOverlap="1">
            <wp:simplePos x="0" y="0"/>
            <wp:positionH relativeFrom="page">
              <wp:posOffset>139700</wp:posOffset>
            </wp:positionH>
            <wp:positionV relativeFrom="page">
              <wp:posOffset>88900</wp:posOffset>
            </wp:positionV>
            <wp:extent cx="67805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80530" cy="29845"/>
                    </a:xfrm>
                    <a:prstGeom prst="rect">
                      <a:avLst/>
                    </a:prstGeom>
                    <a:noFill/>
                  </pic:spPr>
                </pic:pic>
              </a:graphicData>
            </a:graphic>
          </wp:anchor>
        </w:drawing>
      </w: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100330</wp:posOffset>
            </wp:positionV>
            <wp:extent cx="1551305" cy="514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5130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40"/>
        <w:spacing w:after="0"/>
        <w:rPr>
          <w:sz w:val="20"/>
          <w:szCs w:val="20"/>
          <w:color w:val="auto"/>
        </w:rPr>
      </w:pPr>
      <w:r>
        <w:rPr>
          <w:rFonts w:ascii="Arial" w:cs="Arial" w:eastAsia="Arial" w:hAnsi="Arial"/>
          <w:sz w:val="29"/>
          <w:szCs w:val="29"/>
          <w:b w:val="1"/>
          <w:bCs w:val="1"/>
          <w:color w:val="auto"/>
        </w:rPr>
        <w:t>NOTICE OF 2022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105410</wp:posOffset>
            </wp:positionV>
            <wp:extent cx="454025" cy="4540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54025" cy="45402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105410</wp:posOffset>
            </wp:positionV>
            <wp:extent cx="514350" cy="4718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350" cy="47180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105410</wp:posOffset>
            </wp:positionV>
            <wp:extent cx="454025" cy="4540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54025"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1260" w:type="dxa"/>
        <w:tblCellMar>
          <w:top w:w="0" w:type="dxa"/>
          <w:left w:w="0" w:type="dxa"/>
          <w:bottom w:w="0" w:type="dxa"/>
          <w:right w:w="0" w:type="dxa"/>
        </w:tblCellMar>
      </w:tblPr>
      <w:tr>
        <w:trPr>
          <w:trHeight w:val="254"/>
        </w:trPr>
        <w:tc>
          <w:tcPr>
            <w:tcW w:w="1860" w:type="dxa"/>
            <w:vAlign w:val="bottom"/>
          </w:tcPr>
          <w:p>
            <w:pPr>
              <w:jc w:val="center"/>
              <w:ind w:right="401"/>
              <w:spacing w:after="0"/>
              <w:rPr>
                <w:sz w:val="20"/>
                <w:szCs w:val="20"/>
                <w:color w:val="auto"/>
              </w:rPr>
            </w:pPr>
            <w:r>
              <w:rPr>
                <w:rFonts w:ascii="Arial" w:cs="Arial" w:eastAsia="Arial" w:hAnsi="Arial"/>
                <w:sz w:val="20"/>
                <w:szCs w:val="20"/>
                <w:b w:val="1"/>
                <w:bCs w:val="1"/>
                <w:color w:val="auto"/>
                <w:w w:val="99"/>
              </w:rPr>
              <w:t>Date and Time</w:t>
            </w:r>
          </w:p>
        </w:tc>
        <w:tc>
          <w:tcPr>
            <w:tcW w:w="4180" w:type="dxa"/>
            <w:vAlign w:val="bottom"/>
          </w:tcPr>
          <w:p>
            <w:pPr>
              <w:jc w:val="center"/>
              <w:spacing w:after="0"/>
              <w:rPr>
                <w:sz w:val="20"/>
                <w:szCs w:val="20"/>
                <w:color w:val="auto"/>
              </w:rPr>
            </w:pPr>
            <w:r>
              <w:rPr>
                <w:rFonts w:ascii="Arial" w:cs="Arial" w:eastAsia="Arial" w:hAnsi="Arial"/>
                <w:sz w:val="20"/>
                <w:szCs w:val="20"/>
                <w:b w:val="1"/>
                <w:bCs w:val="1"/>
                <w:color w:val="auto"/>
                <w:w w:val="98"/>
              </w:rPr>
              <w:t>Location</w:t>
            </w:r>
          </w:p>
        </w:tc>
        <w:tc>
          <w:tcPr>
            <w:tcW w:w="1860" w:type="dxa"/>
            <w:vAlign w:val="bottom"/>
          </w:tcPr>
          <w:p>
            <w:pPr>
              <w:jc w:val="center"/>
              <w:ind w:left="401"/>
              <w:spacing w:after="0"/>
              <w:rPr>
                <w:sz w:val="20"/>
                <w:szCs w:val="20"/>
                <w:color w:val="auto"/>
              </w:rPr>
            </w:pPr>
            <w:r>
              <w:rPr>
                <w:rFonts w:ascii="Arial" w:cs="Arial" w:eastAsia="Arial" w:hAnsi="Arial"/>
                <w:sz w:val="20"/>
                <w:szCs w:val="20"/>
                <w:b w:val="1"/>
                <w:bCs w:val="1"/>
                <w:color w:val="auto"/>
                <w:w w:val="98"/>
              </w:rPr>
              <w:t>Record Date</w:t>
            </w:r>
          </w:p>
        </w:tc>
      </w:tr>
      <w:tr>
        <w:trPr>
          <w:trHeight w:val="229"/>
        </w:trPr>
        <w:tc>
          <w:tcPr>
            <w:tcW w:w="1860" w:type="dxa"/>
            <w:vAlign w:val="bottom"/>
          </w:tcPr>
          <w:p>
            <w:pPr>
              <w:jc w:val="center"/>
              <w:ind w:right="401"/>
              <w:spacing w:after="0"/>
              <w:rPr>
                <w:sz w:val="20"/>
                <w:szCs w:val="20"/>
                <w:color w:val="auto"/>
              </w:rPr>
            </w:pPr>
            <w:r>
              <w:rPr>
                <w:rFonts w:ascii="Arial" w:cs="Arial" w:eastAsia="Arial" w:hAnsi="Arial"/>
                <w:sz w:val="20"/>
                <w:szCs w:val="20"/>
                <w:color w:val="auto"/>
                <w:w w:val="98"/>
              </w:rPr>
              <w:t>May 11, 2022</w:t>
            </w:r>
          </w:p>
        </w:tc>
        <w:tc>
          <w:tcPr>
            <w:tcW w:w="4180" w:type="dxa"/>
            <w:vAlign w:val="bottom"/>
          </w:tcPr>
          <w:p>
            <w:pPr>
              <w:jc w:val="center"/>
              <w:spacing w:after="0"/>
              <w:rPr>
                <w:sz w:val="20"/>
                <w:szCs w:val="20"/>
                <w:color w:val="auto"/>
              </w:rPr>
            </w:pPr>
            <w:r>
              <w:rPr>
                <w:rFonts w:ascii="Arial" w:cs="Arial" w:eastAsia="Arial" w:hAnsi="Arial"/>
                <w:sz w:val="20"/>
                <w:szCs w:val="20"/>
                <w:color w:val="auto"/>
                <w:w w:val="98"/>
              </w:rPr>
              <w:t>www.virtualshareholdermeeting.com/</w:t>
            </w:r>
          </w:p>
        </w:tc>
        <w:tc>
          <w:tcPr>
            <w:tcW w:w="1860" w:type="dxa"/>
            <w:vAlign w:val="bottom"/>
          </w:tcPr>
          <w:p>
            <w:pPr>
              <w:jc w:val="center"/>
              <w:ind w:left="381"/>
              <w:spacing w:after="0"/>
              <w:rPr>
                <w:sz w:val="20"/>
                <w:szCs w:val="20"/>
                <w:color w:val="auto"/>
              </w:rPr>
            </w:pPr>
            <w:r>
              <w:rPr>
                <w:rFonts w:ascii="Arial" w:cs="Arial" w:eastAsia="Arial" w:hAnsi="Arial"/>
                <w:sz w:val="20"/>
                <w:szCs w:val="20"/>
                <w:color w:val="auto"/>
                <w:w w:val="99"/>
              </w:rPr>
              <w:t>March 17, 2022</w:t>
            </w:r>
          </w:p>
        </w:tc>
      </w:tr>
      <w:tr>
        <w:trPr>
          <w:trHeight w:val="237"/>
        </w:trPr>
        <w:tc>
          <w:tcPr>
            <w:tcW w:w="1860" w:type="dxa"/>
            <w:vAlign w:val="bottom"/>
          </w:tcPr>
          <w:p>
            <w:pPr>
              <w:jc w:val="center"/>
              <w:ind w:right="381"/>
              <w:spacing w:after="0"/>
              <w:rPr>
                <w:sz w:val="20"/>
                <w:szCs w:val="20"/>
                <w:color w:val="auto"/>
              </w:rPr>
            </w:pPr>
            <w:r>
              <w:rPr>
                <w:rFonts w:ascii="Arial" w:cs="Arial" w:eastAsia="Arial" w:hAnsi="Arial"/>
                <w:sz w:val="20"/>
                <w:szCs w:val="20"/>
                <w:color w:val="auto"/>
                <w:w w:val="98"/>
              </w:rPr>
              <w:t>11:00 a.m. PDT</w:t>
            </w:r>
          </w:p>
        </w:tc>
        <w:tc>
          <w:tcPr>
            <w:tcW w:w="4180" w:type="dxa"/>
            <w:vAlign w:val="bottom"/>
          </w:tcPr>
          <w:p>
            <w:pPr>
              <w:jc w:val="center"/>
              <w:spacing w:after="0"/>
              <w:rPr>
                <w:sz w:val="20"/>
                <w:szCs w:val="20"/>
                <w:color w:val="auto"/>
              </w:rPr>
            </w:pPr>
            <w:r>
              <w:rPr>
                <w:rFonts w:ascii="Arial" w:cs="Arial" w:eastAsia="Arial" w:hAnsi="Arial"/>
                <w:sz w:val="20"/>
                <w:szCs w:val="20"/>
                <w:color w:val="auto"/>
                <w:w w:val="98"/>
              </w:rPr>
              <w:t>SWKS2022</w:t>
            </w:r>
          </w:p>
        </w:tc>
        <w:tc>
          <w:tcPr>
            <w:tcW w:w="1860" w:type="dxa"/>
            <w:vAlign w:val="bottom"/>
          </w:tcPr>
          <w:p>
            <w:pPr>
              <w:spacing w:after="0"/>
              <w:rPr>
                <w:sz w:val="20"/>
                <w:szCs w:val="20"/>
                <w:color w:val="auto"/>
              </w:rPr>
            </w:pPr>
          </w:p>
        </w:tc>
      </w:tr>
    </w:tbl>
    <w:p>
      <w:pPr>
        <w:spacing w:after="0" w:line="80" w:lineRule="exact"/>
        <w:rPr>
          <w:sz w:val="20"/>
          <w:szCs w:val="20"/>
          <w:color w:val="auto"/>
        </w:rPr>
      </w:pPr>
    </w:p>
    <w:p>
      <w:pPr>
        <w:ind w:left="520"/>
        <w:spacing w:after="0"/>
        <w:rPr>
          <w:sz w:val="20"/>
          <w:szCs w:val="20"/>
          <w:color w:val="auto"/>
        </w:rPr>
      </w:pPr>
      <w:r>
        <w:rPr>
          <w:rFonts w:ascii="Arial" w:cs="Arial" w:eastAsia="Arial" w:hAnsi="Arial"/>
          <w:sz w:val="23"/>
          <w:szCs w:val="23"/>
          <w:b w:val="1"/>
          <w:bCs w:val="1"/>
          <w:color w:val="auto"/>
        </w:rPr>
        <w:t>Items of Business</w:t>
      </w:r>
    </w:p>
    <w:p>
      <w:pPr>
        <w:spacing w:after="0" w:line="134" w:lineRule="exact"/>
        <w:rPr>
          <w:sz w:val="20"/>
          <w:szCs w:val="20"/>
          <w:color w:val="auto"/>
        </w:rPr>
      </w:pPr>
    </w:p>
    <w:p>
      <w:pPr>
        <w:ind w:left="960" w:right="519" w:hanging="448"/>
        <w:spacing w:after="0" w:line="261" w:lineRule="auto"/>
        <w:tabs>
          <w:tab w:leader="none" w:pos="960" w:val="left"/>
        </w:tabs>
        <w:numPr>
          <w:ilvl w:val="0"/>
          <w:numId w:val="5"/>
        </w:numPr>
        <w:rPr>
          <w:rFonts w:ascii="Arial" w:cs="Arial" w:eastAsia="Arial" w:hAnsi="Arial"/>
          <w:sz w:val="20"/>
          <w:szCs w:val="20"/>
          <w:color w:val="auto"/>
        </w:rPr>
      </w:pPr>
      <w:r>
        <w:rPr>
          <w:rFonts w:ascii="Arial" w:cs="Arial" w:eastAsia="Arial" w:hAnsi="Arial"/>
          <w:sz w:val="20"/>
          <w:szCs w:val="20"/>
          <w:color w:val="auto"/>
        </w:rPr>
        <w:t>To elect eight individuals nominated to serve as directors of the Company with terms expiring at the 2023 Annual Meeting of Stockholders and named in the Proxy Statement;</w:t>
      </w:r>
    </w:p>
    <w:p>
      <w:pPr>
        <w:spacing w:after="0" w:line="93" w:lineRule="exact"/>
        <w:rPr>
          <w:rFonts w:ascii="Arial" w:cs="Arial" w:eastAsia="Arial" w:hAnsi="Arial"/>
          <w:sz w:val="20"/>
          <w:szCs w:val="20"/>
          <w:color w:val="auto"/>
        </w:rPr>
      </w:pPr>
    </w:p>
    <w:p>
      <w:pPr>
        <w:ind w:left="960" w:right="219" w:hanging="448"/>
        <w:spacing w:after="0" w:line="261" w:lineRule="auto"/>
        <w:tabs>
          <w:tab w:leader="none" w:pos="960" w:val="left"/>
        </w:tabs>
        <w:numPr>
          <w:ilvl w:val="0"/>
          <w:numId w:val="5"/>
        </w:numPr>
        <w:rPr>
          <w:rFonts w:ascii="Arial" w:cs="Arial" w:eastAsia="Arial" w:hAnsi="Arial"/>
          <w:sz w:val="20"/>
          <w:szCs w:val="20"/>
          <w:color w:val="auto"/>
        </w:rPr>
      </w:pPr>
      <w:r>
        <w:rPr>
          <w:rFonts w:ascii="Arial" w:cs="Arial" w:eastAsia="Arial" w:hAnsi="Arial"/>
          <w:sz w:val="20"/>
          <w:szCs w:val="20"/>
          <w:color w:val="auto"/>
        </w:rPr>
        <w:t>To ratify the selection by the Company’s Audit Committee of KPMG LLP as the independent registered public accounting firm for the Company for fiscal year 2022;</w:t>
      </w:r>
    </w:p>
    <w:p>
      <w:pPr>
        <w:spacing w:after="0" w:line="53" w:lineRule="exact"/>
        <w:rPr>
          <w:rFonts w:ascii="Arial" w:cs="Arial" w:eastAsia="Arial" w:hAnsi="Arial"/>
          <w:sz w:val="20"/>
          <w:szCs w:val="20"/>
          <w:color w:val="auto"/>
        </w:rPr>
      </w:pPr>
    </w:p>
    <w:p>
      <w:pPr>
        <w:ind w:left="960" w:hanging="448"/>
        <w:spacing w:after="0"/>
        <w:tabs>
          <w:tab w:leader="none" w:pos="960" w:val="left"/>
        </w:tabs>
        <w:numPr>
          <w:ilvl w:val="0"/>
          <w:numId w:val="5"/>
        </w:numPr>
        <w:rPr>
          <w:rFonts w:ascii="Arial" w:cs="Arial" w:eastAsia="Arial" w:hAnsi="Arial"/>
          <w:sz w:val="20"/>
          <w:szCs w:val="20"/>
          <w:color w:val="auto"/>
        </w:rPr>
      </w:pPr>
      <w:r>
        <w:rPr>
          <w:rFonts w:ascii="Arial" w:cs="Arial" w:eastAsia="Arial" w:hAnsi="Arial"/>
          <w:sz w:val="20"/>
          <w:szCs w:val="20"/>
          <w:color w:val="auto"/>
        </w:rPr>
        <w:t>To approve, on an advisory basis, the compensation of the Company’s named executive officers;</w:t>
      </w:r>
    </w:p>
    <w:p>
      <w:pPr>
        <w:spacing w:after="0" w:line="108" w:lineRule="exact"/>
        <w:rPr>
          <w:sz w:val="20"/>
          <w:szCs w:val="20"/>
          <w:color w:val="auto"/>
        </w:rPr>
      </w:pPr>
    </w:p>
    <w:p>
      <w:pPr>
        <w:ind w:left="960" w:right="159" w:hanging="449"/>
        <w:spacing w:after="0" w:line="253" w:lineRule="auto"/>
        <w:rPr>
          <w:sz w:val="20"/>
          <w:szCs w:val="20"/>
          <w:color w:val="auto"/>
        </w:rPr>
      </w:pPr>
      <w:r>
        <w:rPr>
          <w:rFonts w:ascii="Arial" w:cs="Arial" w:eastAsia="Arial" w:hAnsi="Arial"/>
          <w:sz w:val="20"/>
          <w:szCs w:val="20"/>
          <w:color w:val="auto"/>
        </w:rPr>
        <w:t>4-7. To approve four separate amendments to the Company’s Restated Certificate of Incorporation to eliminate the supermajority vote provisions relating to (a) stockholder approval of a merger or consolidation, disposition of all or substantially all of the Company’s assets, or issuance of a substantial amount of the Company’s securities; (b) stockholder approval of a business combination with any related person; (c) stockholder amendment of charter provisions governing directors; and</w:t>
      </w:r>
    </w:p>
    <w:p>
      <w:pPr>
        <w:spacing w:after="0" w:line="3" w:lineRule="exact"/>
        <w:rPr>
          <w:sz w:val="20"/>
          <w:szCs w:val="20"/>
          <w:color w:val="auto"/>
        </w:rPr>
      </w:pPr>
    </w:p>
    <w:p>
      <w:pPr>
        <w:ind w:left="960"/>
        <w:spacing w:after="0"/>
        <w:rPr>
          <w:sz w:val="20"/>
          <w:szCs w:val="20"/>
          <w:color w:val="auto"/>
        </w:rPr>
      </w:pPr>
      <w:r>
        <w:rPr>
          <w:rFonts w:ascii="Arial" w:cs="Arial" w:eastAsia="Arial" w:hAnsi="Arial"/>
          <w:sz w:val="20"/>
          <w:szCs w:val="20"/>
          <w:color w:val="auto"/>
        </w:rPr>
        <w:t>(d) stockholder amendment of the charter provision governing action by stockholders;</w:t>
      </w:r>
    </w:p>
    <w:p>
      <w:pPr>
        <w:spacing w:after="0" w:line="94" w:lineRule="exact"/>
        <w:rPr>
          <w:sz w:val="20"/>
          <w:szCs w:val="20"/>
          <w:color w:val="auto"/>
        </w:rPr>
      </w:pPr>
    </w:p>
    <w:p>
      <w:pPr>
        <w:ind w:left="960" w:hanging="448"/>
        <w:spacing w:after="0"/>
        <w:tabs>
          <w:tab w:leader="none" w:pos="960" w:val="left"/>
        </w:tabs>
        <w:numPr>
          <w:ilvl w:val="0"/>
          <w:numId w:val="6"/>
        </w:numPr>
        <w:rPr>
          <w:rFonts w:ascii="Arial" w:cs="Arial" w:eastAsia="Arial" w:hAnsi="Arial"/>
          <w:sz w:val="20"/>
          <w:szCs w:val="20"/>
          <w:color w:val="auto"/>
        </w:rPr>
      </w:pPr>
      <w:r>
        <w:rPr>
          <w:rFonts w:ascii="Arial" w:cs="Arial" w:eastAsia="Arial" w:hAnsi="Arial"/>
          <w:sz w:val="20"/>
          <w:szCs w:val="20"/>
          <w:color w:val="auto"/>
        </w:rPr>
        <w:t>To consider one stockholder proposal, if properly presented at the Annual Meeting; and</w:t>
      </w:r>
    </w:p>
    <w:p>
      <w:pPr>
        <w:spacing w:after="0" w:line="80" w:lineRule="exact"/>
        <w:rPr>
          <w:rFonts w:ascii="Arial" w:cs="Arial" w:eastAsia="Arial" w:hAnsi="Arial"/>
          <w:sz w:val="20"/>
          <w:szCs w:val="20"/>
          <w:color w:val="auto"/>
        </w:rPr>
      </w:pPr>
    </w:p>
    <w:p>
      <w:pPr>
        <w:ind w:left="960" w:hanging="448"/>
        <w:spacing w:after="0"/>
        <w:tabs>
          <w:tab w:leader="none" w:pos="960" w:val="left"/>
        </w:tabs>
        <w:numPr>
          <w:ilvl w:val="0"/>
          <w:numId w:val="6"/>
        </w:numPr>
        <w:rPr>
          <w:rFonts w:ascii="Arial" w:cs="Arial" w:eastAsia="Arial" w:hAnsi="Arial"/>
          <w:sz w:val="20"/>
          <w:szCs w:val="20"/>
          <w:color w:val="auto"/>
        </w:rPr>
      </w:pPr>
      <w:r>
        <w:rPr>
          <w:rFonts w:ascii="Arial" w:cs="Arial" w:eastAsia="Arial" w:hAnsi="Arial"/>
          <w:sz w:val="20"/>
          <w:szCs w:val="20"/>
          <w:color w:val="auto"/>
        </w:rPr>
        <w:t>To transact such other business as may properly come before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96520</wp:posOffset>
            </wp:positionV>
            <wp:extent cx="5974715" cy="2743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74715" cy="274320"/>
                    </a:xfrm>
                    <a:prstGeom prst="rect">
                      <a:avLst/>
                    </a:prstGeom>
                    <a:noFill/>
                  </pic:spPr>
                </pic:pic>
              </a:graphicData>
            </a:graphic>
          </wp:anchor>
        </w:drawing>
      </w:r>
    </w:p>
    <w:p>
      <w:pPr>
        <w:spacing w:after="0" w:line="221" w:lineRule="exact"/>
        <w:rPr>
          <w:sz w:val="20"/>
          <w:szCs w:val="20"/>
          <w:color w:val="auto"/>
        </w:rPr>
      </w:pPr>
    </w:p>
    <w:p>
      <w:pPr>
        <w:jc w:val="center"/>
        <w:ind w:right="-280"/>
        <w:spacing w:after="0"/>
        <w:rPr>
          <w:sz w:val="20"/>
          <w:szCs w:val="20"/>
          <w:color w:val="auto"/>
        </w:rPr>
      </w:pPr>
      <w:r>
        <w:rPr>
          <w:rFonts w:ascii="Arial" w:cs="Arial" w:eastAsia="Arial" w:hAnsi="Arial"/>
          <w:sz w:val="22"/>
          <w:szCs w:val="22"/>
          <w:b w:val="1"/>
          <w:bCs w:val="1"/>
          <w:color w:val="FFFFFF"/>
        </w:rPr>
        <w:t>Your Vote Is Important.</w:t>
      </w:r>
    </w:p>
    <w:p>
      <w:pPr>
        <w:spacing w:after="0" w:line="235" w:lineRule="exact"/>
        <w:rPr>
          <w:sz w:val="20"/>
          <w:szCs w:val="20"/>
          <w:color w:val="auto"/>
        </w:rPr>
      </w:pPr>
    </w:p>
    <w:p>
      <w:pPr>
        <w:ind w:left="520" w:right="99"/>
        <w:spacing w:after="0" w:line="232" w:lineRule="auto"/>
        <w:rPr>
          <w:sz w:val="20"/>
          <w:szCs w:val="20"/>
          <w:color w:val="auto"/>
        </w:rPr>
      </w:pPr>
      <w:r>
        <w:rPr>
          <w:rFonts w:ascii="Arial" w:cs="Arial" w:eastAsia="Arial" w:hAnsi="Arial"/>
          <w:sz w:val="20"/>
          <w:szCs w:val="20"/>
          <w:color w:val="191919"/>
        </w:rPr>
        <w:t>To ensure your representation at the Annual Meeting, please submit your proxy or voting instructions as soon as possible by using any of the following methods, as described in greater detail on your proxy card or voter instruction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24765</wp:posOffset>
            </wp:positionV>
            <wp:extent cx="445770" cy="4457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45770" cy="445770"/>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24765</wp:posOffset>
            </wp:positionV>
            <wp:extent cx="377190" cy="3771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77190" cy="3771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24765</wp:posOffset>
            </wp:positionV>
            <wp:extent cx="480060" cy="3600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8006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660"/>
        <w:spacing w:after="0"/>
        <w:tabs>
          <w:tab w:leader="none" w:pos="4900" w:val="left"/>
          <w:tab w:leader="none" w:pos="8200" w:val="left"/>
        </w:tabs>
        <w:rPr>
          <w:sz w:val="20"/>
          <w:szCs w:val="20"/>
          <w:color w:val="auto"/>
        </w:rPr>
      </w:pPr>
      <w:r>
        <w:rPr>
          <w:rFonts w:ascii="Arial" w:cs="Arial" w:eastAsia="Arial" w:hAnsi="Arial"/>
          <w:sz w:val="20"/>
          <w:szCs w:val="20"/>
          <w:b w:val="1"/>
          <w:bCs w:val="1"/>
          <w:color w:val="auto"/>
        </w:rPr>
        <w:t>Internet</w:t>
      </w:r>
      <w:r>
        <w:rPr>
          <w:sz w:val="20"/>
          <w:szCs w:val="20"/>
          <w:color w:val="auto"/>
        </w:rPr>
        <w:tab/>
      </w:r>
      <w:r>
        <w:rPr>
          <w:rFonts w:ascii="Arial" w:cs="Arial" w:eastAsia="Arial" w:hAnsi="Arial"/>
          <w:sz w:val="20"/>
          <w:szCs w:val="20"/>
          <w:b w:val="1"/>
          <w:bCs w:val="1"/>
          <w:color w:val="auto"/>
        </w:rPr>
        <w:t>Phone</w:t>
      </w:r>
      <w:r>
        <w:rPr>
          <w:sz w:val="20"/>
          <w:szCs w:val="20"/>
          <w:color w:val="auto"/>
        </w:rPr>
        <w:tab/>
      </w:r>
      <w:r>
        <w:rPr>
          <w:rFonts w:ascii="Arial" w:cs="Arial" w:eastAsia="Arial" w:hAnsi="Arial"/>
          <w:sz w:val="19"/>
          <w:szCs w:val="19"/>
          <w:b w:val="1"/>
          <w:bCs w:val="1"/>
          <w:color w:val="auto"/>
        </w:rPr>
        <w:t>Mail</w:t>
      </w:r>
    </w:p>
    <w:p>
      <w:pPr>
        <w:spacing w:after="0" w:line="64" w:lineRule="exact"/>
        <w:rPr>
          <w:sz w:val="20"/>
          <w:szCs w:val="20"/>
          <w:color w:val="auto"/>
        </w:rPr>
      </w:pPr>
    </w:p>
    <w:p>
      <w:pPr>
        <w:ind w:left="520" w:right="419"/>
        <w:spacing w:after="0" w:line="230" w:lineRule="auto"/>
        <w:rPr>
          <w:sz w:val="20"/>
          <w:szCs w:val="20"/>
          <w:color w:val="auto"/>
        </w:rPr>
      </w:pPr>
      <w:r>
        <w:rPr>
          <w:rFonts w:ascii="Arial" w:cs="Arial" w:eastAsia="Arial" w:hAnsi="Arial"/>
          <w:sz w:val="20"/>
          <w:szCs w:val="20"/>
          <w:color w:val="auto"/>
        </w:rPr>
        <w:t>The accompanying Proxy Statement includes further information about how to attend the Annual Meeting online, vote your shares online during the Annual Meeting, and submit questions online during the Annual Meeting. A complete list of registered stockholders will be available for examination during the Annual Meeting at www.virtualshareholdermeeting.com/SWKS2022.</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20"/>
          <w:szCs w:val="20"/>
          <w:b w:val="1"/>
          <w:bCs w:val="1"/>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43180</wp:posOffset>
            </wp:positionV>
            <wp:extent cx="951230" cy="402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51230"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20"/>
        <w:spacing w:after="0"/>
        <w:rPr>
          <w:sz w:val="20"/>
          <w:szCs w:val="20"/>
          <w:color w:val="auto"/>
        </w:rPr>
      </w:pPr>
      <w:r>
        <w:rPr>
          <w:rFonts w:ascii="Arial" w:cs="Arial" w:eastAsia="Arial" w:hAnsi="Arial"/>
          <w:sz w:val="20"/>
          <w:szCs w:val="20"/>
          <w:b w:val="1"/>
          <w:bCs w:val="1"/>
          <w:color w:val="0076A8"/>
        </w:rPr>
        <w:t>Robert J. Terry</w:t>
      </w:r>
    </w:p>
    <w:p>
      <w:pPr>
        <w:spacing w:after="0" w:line="31" w:lineRule="exact"/>
        <w:rPr>
          <w:sz w:val="20"/>
          <w:szCs w:val="20"/>
          <w:color w:val="auto"/>
        </w:rPr>
      </w:pPr>
    </w:p>
    <w:p>
      <w:pPr>
        <w:ind w:left="520"/>
        <w:spacing w:after="0"/>
        <w:rPr>
          <w:sz w:val="20"/>
          <w:szCs w:val="20"/>
          <w:color w:val="auto"/>
        </w:rPr>
      </w:pPr>
      <w:r>
        <w:rPr>
          <w:rFonts w:ascii="Arial" w:cs="Arial" w:eastAsia="Arial" w:hAnsi="Arial"/>
          <w:sz w:val="20"/>
          <w:szCs w:val="20"/>
          <w:i w:val="1"/>
          <w:iCs w:val="1"/>
          <w:color w:val="auto"/>
        </w:rPr>
        <w:t>Senior Vice President, General Counsel and Secretary</w:t>
      </w:r>
    </w:p>
    <w:p>
      <w:pPr>
        <w:spacing w:after="0" w:line="13" w:lineRule="exact"/>
        <w:rPr>
          <w:sz w:val="20"/>
          <w:szCs w:val="20"/>
          <w:color w:val="auto"/>
        </w:rPr>
      </w:pPr>
    </w:p>
    <w:p>
      <w:pPr>
        <w:ind w:left="520"/>
        <w:spacing w:after="0"/>
        <w:rPr>
          <w:sz w:val="20"/>
          <w:szCs w:val="20"/>
          <w:color w:val="auto"/>
        </w:rPr>
      </w:pPr>
      <w:r>
        <w:rPr>
          <w:rFonts w:ascii="Arial" w:cs="Arial" w:eastAsia="Arial" w:hAnsi="Arial"/>
          <w:sz w:val="20"/>
          <w:szCs w:val="20"/>
          <w:i w:val="1"/>
          <w:iCs w:val="1"/>
          <w:color w:val="auto"/>
        </w:rPr>
        <w:t>Irvine, California • March 25, 2022</w:t>
      </w:r>
    </w:p>
    <w:p>
      <w:pPr>
        <w:sectPr>
          <w:pgSz w:w="11900" w:h="16838" w:orient="portrait"/>
          <w:cols w:equalWidth="0" w:num="1">
            <w:col w:w="10139"/>
          </w:cols>
          <w:pgMar w:left="320" w:top="198" w:right="1440" w:bottom="1440" w:gutter="0" w:footer="0" w:header="0"/>
        </w:sectPr>
      </w:pPr>
    </w:p>
    <w:bookmarkStart w:id="4" w:name="page5"/>
    <w:bookmarkEnd w:id="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363" w:lineRule="exact"/>
        <w:rPr>
          <w:sz w:val="20"/>
          <w:szCs w:val="20"/>
          <w:color w:val="auto"/>
        </w:rPr>
      </w:pPr>
    </w:p>
    <w:p>
      <w:pPr>
        <w:jc w:val="right"/>
        <w:ind w:right="2940"/>
        <w:spacing w:after="0"/>
        <w:rPr>
          <w:sz w:val="20"/>
          <w:szCs w:val="20"/>
          <w:color w:val="auto"/>
        </w:rPr>
      </w:pPr>
      <w:r>
        <w:rPr>
          <w:rFonts w:ascii="Arial" w:cs="Arial" w:eastAsia="Arial" w:hAnsi="Arial"/>
          <w:sz w:val="29"/>
          <w:szCs w:val="29"/>
          <w:b w:val="1"/>
          <w:bCs w:val="1"/>
          <w:color w:val="auto"/>
        </w:rPr>
        <w:t>PROXY STATEMENT 2022</w:t>
      </w:r>
    </w:p>
    <w:p>
      <w:pPr>
        <w:spacing w:after="0" w:line="200" w:lineRule="exact"/>
        <w:rPr>
          <w:sz w:val="20"/>
          <w:szCs w:val="20"/>
          <w:color w:val="auto"/>
        </w:rPr>
      </w:pPr>
    </w:p>
    <w:p>
      <w:pPr>
        <w:spacing w:after="0" w:line="223" w:lineRule="exact"/>
        <w:rPr>
          <w:sz w:val="20"/>
          <w:szCs w:val="20"/>
          <w:color w:val="auto"/>
        </w:rPr>
      </w:pPr>
    </w:p>
    <w:p>
      <w:pPr>
        <w:ind w:left="660"/>
        <w:spacing w:after="0"/>
        <w:rPr>
          <w:sz w:val="20"/>
          <w:szCs w:val="20"/>
          <w:color w:val="auto"/>
        </w:rPr>
      </w:pPr>
      <w:r>
        <w:rPr>
          <w:rFonts w:ascii="Arial" w:cs="Arial" w:eastAsia="Arial" w:hAnsi="Arial"/>
          <w:sz w:val="29"/>
          <w:szCs w:val="29"/>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79375</wp:posOffset>
            </wp:positionV>
            <wp:extent cx="59747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74715" cy="8255"/>
                    </a:xfrm>
                    <a:prstGeom prst="rect">
                      <a:avLst/>
                    </a:prstGeom>
                    <a:noFill/>
                  </pic:spPr>
                </pic:pic>
              </a:graphicData>
            </a:graphic>
          </wp:anchor>
        </w:drawing>
      </w:r>
    </w:p>
    <w:p>
      <w:pPr>
        <w:sectPr>
          <w:pgSz w:w="11900" w:h="16838" w:orient="portrait"/>
          <w:cols w:equalWidth="0" w:num="1">
            <w:col w:w="10060"/>
          </w:cols>
          <w:pgMar w:left="580" w:top="132" w:right="1259" w:bottom="1440" w:gutter="0" w:footer="0" w:header="0"/>
        </w:sectPr>
      </w:pPr>
    </w:p>
    <w:p>
      <w:pPr>
        <w:spacing w:after="0" w:line="200" w:lineRule="exact"/>
        <w:rPr>
          <w:sz w:val="20"/>
          <w:szCs w:val="20"/>
          <w:color w:val="auto"/>
        </w:rPr>
      </w:pPr>
    </w:p>
    <w:p>
      <w:pPr>
        <w:spacing w:after="0" w:line="280" w:lineRule="exact"/>
        <w:rPr>
          <w:sz w:val="20"/>
          <w:szCs w:val="20"/>
          <w:color w:val="auto"/>
        </w:rPr>
      </w:pPr>
    </w:p>
    <w:p>
      <w:pPr>
        <w:ind w:left="900" w:right="280"/>
        <w:spacing w:after="0" w:line="383" w:lineRule="auto"/>
        <w:rPr>
          <w:rFonts w:ascii="Arial" w:cs="Arial" w:eastAsia="Arial" w:hAnsi="Arial"/>
          <w:sz w:val="23"/>
          <w:szCs w:val="23"/>
          <w:u w:val="single" w:color="auto"/>
          <w:color w:val="0076A8"/>
        </w:rPr>
      </w:pPr>
      <w:hyperlink w:anchor="page5">
        <w:r>
          <w:rPr>
            <w:rFonts w:ascii="Arial" w:cs="Arial" w:eastAsia="Arial" w:hAnsi="Arial"/>
            <w:sz w:val="23"/>
            <w:szCs w:val="23"/>
            <w:u w:val="single" w:color="auto"/>
            <w:color w:val="0076A8"/>
          </w:rPr>
          <w:t>Proxy Statement Summary</w:t>
        </w:r>
      </w:hyperlink>
      <w:r>
        <w:rPr>
          <w:rFonts w:ascii="Arial" w:cs="Arial" w:eastAsia="Arial" w:hAnsi="Arial"/>
          <w:sz w:val="23"/>
          <w:szCs w:val="23"/>
          <w:u w:val="single" w:color="auto"/>
          <w:color w:val="0076A8"/>
        </w:rPr>
        <w:t xml:space="preserve"> </w:t>
      </w:r>
      <w:hyperlink w:anchor="page12">
        <w:r>
          <w:rPr>
            <w:rFonts w:ascii="Arial" w:cs="Arial" w:eastAsia="Arial" w:hAnsi="Arial"/>
            <w:sz w:val="23"/>
            <w:szCs w:val="23"/>
            <w:u w:val="single" w:color="auto"/>
            <w:color w:val="0076A8"/>
          </w:rPr>
          <w:t>Proposal 1: Election of Directors</w:t>
        </w:r>
      </w:hyperlink>
    </w:p>
    <w:p>
      <w:pPr>
        <w:spacing w:after="0" w:line="1" w:lineRule="exact"/>
        <w:rPr>
          <w:sz w:val="20"/>
          <w:szCs w:val="20"/>
          <w:color w:val="auto"/>
        </w:rPr>
      </w:pPr>
    </w:p>
    <w:p>
      <w:pPr>
        <w:ind w:left="1260"/>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Nominees for Election</w:t>
        </w:r>
      </w:hyperlink>
    </w:p>
    <w:p>
      <w:pPr>
        <w:spacing w:after="0" w:line="144" w:lineRule="exact"/>
        <w:rPr>
          <w:sz w:val="20"/>
          <w:szCs w:val="20"/>
          <w:color w:val="auto"/>
        </w:rPr>
      </w:pPr>
    </w:p>
    <w:p>
      <w:pPr>
        <w:ind w:left="1260"/>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Board Diversity Matrix</w:t>
        </w:r>
      </w:hyperlink>
    </w:p>
    <w:p>
      <w:pPr>
        <w:spacing w:after="0" w:line="144" w:lineRule="exact"/>
        <w:rPr>
          <w:sz w:val="20"/>
          <w:szCs w:val="20"/>
          <w:color w:val="auto"/>
        </w:rPr>
      </w:pPr>
    </w:p>
    <w:p>
      <w:pPr>
        <w:ind w:left="126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Corporate Governance</w:t>
        </w:r>
      </w:hyperlink>
    </w:p>
    <w:p>
      <w:pPr>
        <w:spacing w:after="0" w:line="144" w:lineRule="exact"/>
        <w:rPr>
          <w:sz w:val="20"/>
          <w:szCs w:val="20"/>
          <w:color w:val="auto"/>
        </w:rPr>
      </w:pPr>
    </w:p>
    <w:p>
      <w:pPr>
        <w:ind w:left="1260"/>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Committees of the Board of Directors</w:t>
        </w:r>
      </w:hyperlink>
    </w:p>
    <w:p>
      <w:pPr>
        <w:spacing w:after="0" w:line="131" w:lineRule="exact"/>
        <w:rPr>
          <w:sz w:val="20"/>
          <w:szCs w:val="20"/>
          <w:color w:val="auto"/>
        </w:rPr>
      </w:pPr>
    </w:p>
    <w:p>
      <w:pPr>
        <w:ind w:left="1260" w:right="300"/>
        <w:spacing w:after="0" w:line="277" w:lineRule="auto"/>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Role of the Board of Directors in Risk</w:t>
        </w:r>
      </w:hyperlink>
      <w:r>
        <w:rPr>
          <w:rFonts w:ascii="Arial" w:cs="Arial" w:eastAsia="Arial" w:hAnsi="Arial"/>
          <w:sz w:val="18"/>
          <w:szCs w:val="18"/>
          <w:u w:val="single" w:color="auto"/>
          <w:color w:val="0000EE"/>
        </w:rPr>
        <w:t xml:space="preserve"> </w:t>
      </w:r>
      <w:hyperlink w:anchor="page28">
        <w:r>
          <w:rPr>
            <w:rFonts w:ascii="Arial" w:cs="Arial" w:eastAsia="Arial" w:hAnsi="Arial"/>
            <w:sz w:val="18"/>
            <w:szCs w:val="18"/>
            <w:u w:val="single" w:color="auto"/>
            <w:color w:val="0000EE"/>
          </w:rPr>
          <w:t>Oversight</w:t>
        </w:r>
      </w:hyperlink>
    </w:p>
    <w:p>
      <w:pPr>
        <w:spacing w:after="0" w:line="103" w:lineRule="exact"/>
        <w:rPr>
          <w:sz w:val="20"/>
          <w:szCs w:val="20"/>
          <w:color w:val="auto"/>
        </w:rPr>
      </w:pPr>
    </w:p>
    <w:p>
      <w:pPr>
        <w:ind w:left="1260" w:right="20"/>
        <w:spacing w:after="0" w:line="277" w:lineRule="auto"/>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Compensation Committee Interlocks and</w:t>
        </w:r>
      </w:hyperlink>
      <w:r>
        <w:rPr>
          <w:rFonts w:ascii="Arial" w:cs="Arial" w:eastAsia="Arial" w:hAnsi="Arial"/>
          <w:sz w:val="18"/>
          <w:szCs w:val="18"/>
          <w:u w:val="single" w:color="auto"/>
          <w:color w:val="0000EE"/>
        </w:rPr>
        <w:t xml:space="preserve"> </w:t>
      </w:r>
      <w:hyperlink w:anchor="page29">
        <w:r>
          <w:rPr>
            <w:rFonts w:ascii="Arial" w:cs="Arial" w:eastAsia="Arial" w:hAnsi="Arial"/>
            <w:sz w:val="18"/>
            <w:szCs w:val="18"/>
            <w:u w:val="single" w:color="auto"/>
            <w:color w:val="0000EE"/>
          </w:rPr>
          <w:t>Insider Participation</w:t>
        </w:r>
      </w:hyperlink>
    </w:p>
    <w:p>
      <w:pPr>
        <w:spacing w:after="0" w:line="103" w:lineRule="exact"/>
        <w:rPr>
          <w:sz w:val="20"/>
          <w:szCs w:val="20"/>
          <w:color w:val="auto"/>
        </w:rPr>
      </w:pPr>
    </w:p>
    <w:p>
      <w:pPr>
        <w:ind w:left="1260" w:right="540"/>
        <w:spacing w:after="0" w:line="277" w:lineRule="auto"/>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Certain Relationships and Related</w:t>
        </w:r>
      </w:hyperlink>
      <w:r>
        <w:rPr>
          <w:rFonts w:ascii="Arial" w:cs="Arial" w:eastAsia="Arial" w:hAnsi="Arial"/>
          <w:sz w:val="18"/>
          <w:szCs w:val="18"/>
          <w:u w:val="single" w:color="auto"/>
          <w:color w:val="0000EE"/>
        </w:rPr>
        <w:t xml:space="preserve"> </w:t>
      </w:r>
      <w:hyperlink w:anchor="page29">
        <w:r>
          <w:rPr>
            <w:rFonts w:ascii="Arial" w:cs="Arial" w:eastAsia="Arial" w:hAnsi="Arial"/>
            <w:sz w:val="18"/>
            <w:szCs w:val="18"/>
            <w:u w:val="single" w:color="auto"/>
            <w:color w:val="0000EE"/>
          </w:rPr>
          <w:t>Person Transactions</w:t>
        </w:r>
      </w:hyperlink>
    </w:p>
    <w:p>
      <w:pPr>
        <w:spacing w:after="0" w:line="162" w:lineRule="exact"/>
        <w:rPr>
          <w:sz w:val="20"/>
          <w:szCs w:val="20"/>
          <w:color w:val="auto"/>
        </w:rPr>
      </w:pPr>
    </w:p>
    <w:p>
      <w:pPr>
        <w:ind w:left="900" w:right="420"/>
        <w:spacing w:after="0" w:line="224" w:lineRule="auto"/>
        <w:rPr>
          <w:rFonts w:ascii="Arial" w:cs="Arial" w:eastAsia="Arial" w:hAnsi="Arial"/>
          <w:sz w:val="23"/>
          <w:szCs w:val="23"/>
          <w:u w:val="single" w:color="auto"/>
          <w:color w:val="0076A8"/>
        </w:rPr>
      </w:pPr>
      <w:hyperlink w:anchor="page30">
        <w:r>
          <w:rPr>
            <w:rFonts w:ascii="Arial" w:cs="Arial" w:eastAsia="Arial" w:hAnsi="Arial"/>
            <w:sz w:val="23"/>
            <w:szCs w:val="23"/>
            <w:u w:val="single" w:color="auto"/>
            <w:color w:val="0076A8"/>
          </w:rPr>
          <w:t>Proposal 2: Ratification of</w:t>
        </w:r>
      </w:hyperlink>
      <w:r>
        <w:rPr>
          <w:rFonts w:ascii="Arial" w:cs="Arial" w:eastAsia="Arial" w:hAnsi="Arial"/>
          <w:sz w:val="23"/>
          <w:szCs w:val="23"/>
          <w:u w:val="single" w:color="auto"/>
          <w:color w:val="0076A8"/>
        </w:rPr>
        <w:t xml:space="preserve"> </w:t>
      </w:r>
      <w:hyperlink w:anchor="page30">
        <w:r>
          <w:rPr>
            <w:rFonts w:ascii="Arial" w:cs="Arial" w:eastAsia="Arial" w:hAnsi="Arial"/>
            <w:sz w:val="23"/>
            <w:szCs w:val="23"/>
            <w:u w:val="single" w:color="auto"/>
            <w:color w:val="0076A8"/>
          </w:rPr>
          <w:t>Independent Registered Public</w:t>
        </w:r>
      </w:hyperlink>
      <w:r>
        <w:rPr>
          <w:rFonts w:ascii="Arial" w:cs="Arial" w:eastAsia="Arial" w:hAnsi="Arial"/>
          <w:sz w:val="23"/>
          <w:szCs w:val="23"/>
          <w:u w:val="single" w:color="auto"/>
          <w:color w:val="0076A8"/>
        </w:rPr>
        <w:t xml:space="preserve"> </w:t>
      </w:r>
      <w:hyperlink w:anchor="page30">
        <w:r>
          <w:rPr>
            <w:rFonts w:ascii="Arial" w:cs="Arial" w:eastAsia="Arial" w:hAnsi="Arial"/>
            <w:sz w:val="23"/>
            <w:szCs w:val="23"/>
            <w:u w:val="single" w:color="auto"/>
            <w:color w:val="0076A8"/>
          </w:rPr>
          <w:t>Accounting Firm</w:t>
        </w:r>
      </w:hyperlink>
    </w:p>
    <w:p>
      <w:pPr>
        <w:spacing w:after="0" w:line="118" w:lineRule="exact"/>
        <w:rPr>
          <w:rFonts w:ascii="Arial" w:cs="Arial" w:eastAsia="Arial" w:hAnsi="Arial"/>
          <w:sz w:val="23"/>
          <w:szCs w:val="23"/>
          <w:u w:val="single" w:color="auto"/>
          <w:color w:val="0076A8"/>
        </w:rPr>
      </w:pPr>
    </w:p>
    <w:p>
      <w:pPr>
        <w:ind w:left="126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Audit Fees</w:t>
        </w:r>
      </w:hyperlink>
    </w:p>
    <w:p>
      <w:pPr>
        <w:spacing w:after="0" w:line="190" w:lineRule="exact"/>
        <w:rPr>
          <w:rFonts w:ascii="Arial" w:cs="Arial" w:eastAsia="Arial" w:hAnsi="Arial"/>
          <w:sz w:val="23"/>
          <w:szCs w:val="23"/>
          <w:u w:val="single" w:color="auto"/>
          <w:color w:val="0076A8"/>
        </w:rPr>
      </w:pPr>
    </w:p>
    <w:p>
      <w:pPr>
        <w:ind w:left="900"/>
        <w:spacing w:after="0"/>
        <w:rPr>
          <w:rFonts w:ascii="Arial" w:cs="Arial" w:eastAsia="Arial" w:hAnsi="Arial"/>
          <w:sz w:val="23"/>
          <w:szCs w:val="23"/>
          <w:u w:val="single" w:color="auto"/>
          <w:color w:val="0076A8"/>
        </w:rPr>
      </w:pPr>
      <w:hyperlink w:anchor="page32">
        <w:r>
          <w:rPr>
            <w:rFonts w:ascii="Arial" w:cs="Arial" w:eastAsia="Arial" w:hAnsi="Arial"/>
            <w:sz w:val="23"/>
            <w:szCs w:val="23"/>
            <w:u w:val="single" w:color="auto"/>
            <w:color w:val="0076A8"/>
          </w:rPr>
          <w:t>Report of the Audit Committee</w:t>
        </w:r>
      </w:hyperlink>
    </w:p>
    <w:p>
      <w:pPr>
        <w:spacing w:after="0" w:line="181" w:lineRule="exact"/>
        <w:rPr>
          <w:rFonts w:ascii="Arial" w:cs="Arial" w:eastAsia="Arial" w:hAnsi="Arial"/>
          <w:sz w:val="23"/>
          <w:szCs w:val="23"/>
          <w:u w:val="single" w:color="auto"/>
          <w:color w:val="0076A8"/>
        </w:rPr>
      </w:pPr>
    </w:p>
    <w:p>
      <w:pPr>
        <w:ind w:left="900" w:right="220"/>
        <w:spacing w:after="0" w:line="220" w:lineRule="auto"/>
        <w:rPr>
          <w:rFonts w:ascii="Arial" w:cs="Arial" w:eastAsia="Arial" w:hAnsi="Arial"/>
          <w:sz w:val="23"/>
          <w:szCs w:val="23"/>
          <w:u w:val="single" w:color="auto"/>
          <w:color w:val="0076A8"/>
        </w:rPr>
      </w:pPr>
      <w:hyperlink w:anchor="page33">
        <w:r>
          <w:rPr>
            <w:rFonts w:ascii="Arial" w:cs="Arial" w:eastAsia="Arial" w:hAnsi="Arial"/>
            <w:sz w:val="23"/>
            <w:szCs w:val="23"/>
            <w:u w:val="single" w:color="auto"/>
            <w:color w:val="0076A8"/>
          </w:rPr>
          <w:t>Proposal 3: Advisory Vote on the</w:t>
        </w:r>
      </w:hyperlink>
      <w:r>
        <w:rPr>
          <w:rFonts w:ascii="Arial" w:cs="Arial" w:eastAsia="Arial" w:hAnsi="Arial"/>
          <w:sz w:val="23"/>
          <w:szCs w:val="23"/>
          <w:u w:val="single" w:color="auto"/>
          <w:color w:val="0076A8"/>
        </w:rPr>
        <w:t xml:space="preserve"> </w:t>
      </w:r>
      <w:hyperlink w:anchor="page33">
        <w:r>
          <w:rPr>
            <w:rFonts w:ascii="Arial" w:cs="Arial" w:eastAsia="Arial" w:hAnsi="Arial"/>
            <w:sz w:val="23"/>
            <w:szCs w:val="23"/>
            <w:u w:val="single" w:color="auto"/>
            <w:color w:val="0076A8"/>
          </w:rPr>
          <w:t>Compensation of Our Named</w:t>
        </w:r>
      </w:hyperlink>
      <w:r>
        <w:rPr>
          <w:rFonts w:ascii="Arial" w:cs="Arial" w:eastAsia="Arial" w:hAnsi="Arial"/>
          <w:sz w:val="23"/>
          <w:szCs w:val="23"/>
          <w:u w:val="single" w:color="auto"/>
          <w:color w:val="0076A8"/>
        </w:rPr>
        <w:t xml:space="preserve"> </w:t>
      </w:r>
      <w:hyperlink w:anchor="page33">
        <w:r>
          <w:rPr>
            <w:rFonts w:ascii="Arial" w:cs="Arial" w:eastAsia="Arial" w:hAnsi="Arial"/>
            <w:sz w:val="23"/>
            <w:szCs w:val="23"/>
            <w:u w:val="single" w:color="auto"/>
            <w:color w:val="0076A8"/>
          </w:rPr>
          <w:t>Executive Officers (“Say-on-Pay”</w:t>
        </w:r>
      </w:hyperlink>
      <w:r>
        <w:rPr>
          <w:rFonts w:ascii="Arial" w:cs="Arial" w:eastAsia="Arial" w:hAnsi="Arial"/>
          <w:sz w:val="23"/>
          <w:szCs w:val="23"/>
          <w:u w:val="single" w:color="auto"/>
          <w:color w:val="0076A8"/>
        </w:rPr>
        <w:t xml:space="preserve"> </w:t>
      </w:r>
      <w:hyperlink w:anchor="page33">
        <w:r>
          <w:rPr>
            <w:rFonts w:ascii="Arial" w:cs="Arial" w:eastAsia="Arial" w:hAnsi="Arial"/>
            <w:sz w:val="23"/>
            <w:szCs w:val="23"/>
            <w:u w:val="single" w:color="auto"/>
            <w:color w:val="0076A8"/>
          </w:rPr>
          <w:t>Vote)</w:t>
        </w:r>
      </w:hyperlink>
    </w:p>
    <w:p>
      <w:pPr>
        <w:spacing w:after="0" w:line="164" w:lineRule="exact"/>
        <w:rPr>
          <w:rFonts w:ascii="Arial" w:cs="Arial" w:eastAsia="Arial" w:hAnsi="Arial"/>
          <w:sz w:val="23"/>
          <w:szCs w:val="23"/>
          <w:u w:val="single" w:color="auto"/>
          <w:color w:val="0076A8"/>
        </w:rPr>
      </w:pPr>
    </w:p>
    <w:p>
      <w:pPr>
        <w:ind w:left="900"/>
        <w:spacing w:after="0" w:line="231" w:lineRule="auto"/>
        <w:rPr>
          <w:rFonts w:ascii="Arial" w:cs="Arial" w:eastAsia="Arial" w:hAnsi="Arial"/>
          <w:sz w:val="23"/>
          <w:szCs w:val="23"/>
          <w:u w:val="single" w:color="auto"/>
          <w:color w:val="0076A8"/>
        </w:rPr>
      </w:pPr>
      <w:hyperlink w:anchor="page34">
        <w:r>
          <w:rPr>
            <w:rFonts w:ascii="Arial" w:cs="Arial" w:eastAsia="Arial" w:hAnsi="Arial"/>
            <w:sz w:val="23"/>
            <w:szCs w:val="23"/>
            <w:u w:val="single" w:color="auto"/>
            <w:color w:val="0076A8"/>
          </w:rPr>
          <w:t>Information About Executive and</w:t>
        </w:r>
      </w:hyperlink>
      <w:r>
        <w:rPr>
          <w:rFonts w:ascii="Arial" w:cs="Arial" w:eastAsia="Arial" w:hAnsi="Arial"/>
          <w:sz w:val="23"/>
          <w:szCs w:val="23"/>
          <w:u w:val="single" w:color="auto"/>
          <w:color w:val="0076A8"/>
        </w:rPr>
        <w:t xml:space="preserve"> </w:t>
      </w:r>
      <w:hyperlink w:anchor="page34">
        <w:r>
          <w:rPr>
            <w:rFonts w:ascii="Arial" w:cs="Arial" w:eastAsia="Arial" w:hAnsi="Arial"/>
            <w:sz w:val="23"/>
            <w:szCs w:val="23"/>
            <w:u w:val="single" w:color="auto"/>
            <w:color w:val="0076A8"/>
          </w:rPr>
          <w:t>Director Compensation</w:t>
        </w:r>
      </w:hyperlink>
    </w:p>
    <w:p>
      <w:pPr>
        <w:spacing w:after="0" w:line="120" w:lineRule="exact"/>
        <w:rPr>
          <w:sz w:val="20"/>
          <w:szCs w:val="20"/>
          <w:color w:val="auto"/>
        </w:rPr>
      </w:pPr>
    </w:p>
    <w:p>
      <w:pPr>
        <w:ind w:left="126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Summary and Highlights</w:t>
        </w:r>
      </w:hyperlink>
    </w:p>
    <w:p>
      <w:pPr>
        <w:spacing w:after="0" w:line="131" w:lineRule="exact"/>
        <w:rPr>
          <w:sz w:val="20"/>
          <w:szCs w:val="20"/>
          <w:color w:val="auto"/>
        </w:rPr>
      </w:pPr>
    </w:p>
    <w:p>
      <w:pPr>
        <w:ind w:left="126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Compensation Discussion and</w:t>
        </w:r>
      </w:hyperlink>
    </w:p>
    <w:p>
      <w:pPr>
        <w:spacing w:after="0" w:line="23" w:lineRule="exact"/>
        <w:rPr>
          <w:sz w:val="20"/>
          <w:szCs w:val="20"/>
          <w:color w:val="auto"/>
        </w:rPr>
      </w:pPr>
    </w:p>
    <w:p>
      <w:pPr>
        <w:ind w:left="126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Analysis</w:t>
        </w:r>
      </w:hyperlink>
    </w:p>
    <w:p>
      <w:pPr>
        <w:spacing w:after="0" w:line="144" w:lineRule="exact"/>
        <w:rPr>
          <w:sz w:val="20"/>
          <w:szCs w:val="20"/>
          <w:color w:val="auto"/>
        </w:rPr>
      </w:pPr>
    </w:p>
    <w:p>
      <w:pPr>
        <w:ind w:left="1260"/>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Compensation Tables for Named</w:t>
        </w:r>
      </w:hyperlink>
    </w:p>
    <w:p>
      <w:pPr>
        <w:spacing w:after="0" w:line="23" w:lineRule="exact"/>
        <w:rPr>
          <w:sz w:val="20"/>
          <w:szCs w:val="20"/>
          <w:color w:val="auto"/>
        </w:rPr>
      </w:pPr>
    </w:p>
    <w:p>
      <w:pPr>
        <w:ind w:left="1260"/>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Executive Officers</w:t>
        </w:r>
      </w:hyperlink>
    </w:p>
    <w:p>
      <w:pPr>
        <w:spacing w:after="0" w:line="158" w:lineRule="exact"/>
        <w:rPr>
          <w:sz w:val="20"/>
          <w:szCs w:val="20"/>
          <w:color w:val="auto"/>
        </w:rPr>
      </w:pPr>
    </w:p>
    <w:p>
      <w:pPr>
        <w:ind w:left="1260"/>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Director Compensation</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line="1" w:lineRule="exact"/>
        <w:rPr>
          <w:sz w:val="1"/>
          <w:szCs w:val="1"/>
          <w:color w:val="auto"/>
        </w:rPr>
      </w:pPr>
    </w:p>
    <w:tbl>
      <w:tblPr>
        <w:tblLayout w:type="fixed"/>
        <w:tblInd w:w="60" w:type="dxa"/>
        <w:tblCellMar>
          <w:top w:w="0" w:type="dxa"/>
          <w:left w:w="0" w:type="dxa"/>
          <w:bottom w:w="0" w:type="dxa"/>
          <w:right w:w="0" w:type="dxa"/>
        </w:tblCellMar>
      </w:tblPr>
      <w:tr>
        <w:trPr>
          <w:trHeight w:val="264"/>
        </w:trPr>
        <w:tc>
          <w:tcPr>
            <w:tcW w:w="200" w:type="dxa"/>
            <w:vAlign w:val="bottom"/>
            <w:gridSpan w:val="2"/>
          </w:tcPr>
          <w:p>
            <w:pPr>
              <w:jc w:val="right"/>
              <w:spacing w:after="0"/>
              <w:rPr>
                <w:rFonts w:ascii="Arial" w:cs="Arial" w:eastAsia="Arial" w:hAnsi="Arial"/>
                <w:sz w:val="23"/>
                <w:szCs w:val="23"/>
                <w:color w:val="0076A8"/>
              </w:rPr>
            </w:pPr>
            <w:hyperlink w:anchor="page5">
              <w:r>
                <w:rPr>
                  <w:rFonts w:ascii="Arial" w:cs="Arial" w:eastAsia="Arial" w:hAnsi="Arial"/>
                  <w:sz w:val="23"/>
                  <w:szCs w:val="23"/>
                  <w:color w:val="0076A8"/>
                </w:rPr>
                <w:t>1</w:t>
              </w:r>
            </w:hyperlink>
          </w:p>
        </w:tc>
        <w:tc>
          <w:tcPr>
            <w:tcW w:w="580" w:type="dxa"/>
            <w:vAlign w:val="bottom"/>
          </w:tcPr>
          <w:p>
            <w:pPr>
              <w:spacing w:after="0"/>
              <w:rPr>
                <w:sz w:val="22"/>
                <w:szCs w:val="22"/>
                <w:color w:val="auto"/>
              </w:rPr>
            </w:pPr>
          </w:p>
        </w:tc>
        <w:tc>
          <w:tcPr>
            <w:tcW w:w="3540" w:type="dxa"/>
            <w:vAlign w:val="bottom"/>
            <w:gridSpan w:val="5"/>
          </w:tcPr>
          <w:p>
            <w:pPr>
              <w:spacing w:after="0"/>
              <w:rPr>
                <w:rFonts w:ascii="Arial" w:cs="Arial" w:eastAsia="Arial" w:hAnsi="Arial"/>
                <w:sz w:val="23"/>
                <w:szCs w:val="23"/>
                <w:color w:val="0076A8"/>
              </w:rPr>
            </w:pPr>
            <w:hyperlink w:anchor="page61">
              <w:r>
                <w:rPr>
                  <w:rFonts w:ascii="Arial" w:cs="Arial" w:eastAsia="Arial" w:hAnsi="Arial"/>
                  <w:sz w:val="23"/>
                  <w:szCs w:val="23"/>
                  <w:color w:val="0076A8"/>
                </w:rPr>
                <w:t>Compensation Committee Report</w:t>
              </w:r>
            </w:hyperlink>
          </w:p>
        </w:tc>
        <w:tc>
          <w:tcPr>
            <w:tcW w:w="600" w:type="dxa"/>
            <w:vAlign w:val="bottom"/>
            <w:gridSpan w:val="2"/>
          </w:tcPr>
          <w:p>
            <w:pPr>
              <w:jc w:val="right"/>
              <w:spacing w:after="0"/>
              <w:rPr>
                <w:rFonts w:ascii="Arial" w:cs="Arial" w:eastAsia="Arial" w:hAnsi="Arial"/>
                <w:sz w:val="23"/>
                <w:szCs w:val="23"/>
                <w:color w:val="0076A8"/>
              </w:rPr>
            </w:pPr>
            <w:hyperlink w:anchor="page61">
              <w:r>
                <w:rPr>
                  <w:rFonts w:ascii="Arial" w:cs="Arial" w:eastAsia="Arial" w:hAnsi="Arial"/>
                  <w:sz w:val="23"/>
                  <w:szCs w:val="23"/>
                  <w:color w:val="0076A8"/>
                </w:rPr>
                <w:t>57</w:t>
              </w:r>
            </w:hyperlink>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20" w:type="dxa"/>
            <w:vAlign w:val="bottom"/>
            <w:shd w:val="clear" w:color="auto" w:fill="0076A8"/>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shd w:val="clear" w:color="auto" w:fill="0076A8"/>
          </w:tcPr>
          <w:p>
            <w:pPr>
              <w:spacing w:after="0" w:line="20" w:lineRule="exact"/>
              <w:rPr>
                <w:sz w:val="1"/>
                <w:szCs w:val="1"/>
                <w:color w:val="auto"/>
              </w:rPr>
            </w:pPr>
          </w:p>
        </w:tc>
        <w:tc>
          <w:tcPr>
            <w:tcW w:w="1660" w:type="dxa"/>
            <w:vAlign w:val="bottom"/>
            <w:shd w:val="clear" w:color="auto" w:fill="0076A8"/>
          </w:tcPr>
          <w:p>
            <w:pPr>
              <w:spacing w:after="0" w:line="20" w:lineRule="exact"/>
              <w:rPr>
                <w:sz w:val="1"/>
                <w:szCs w:val="1"/>
                <w:color w:val="auto"/>
              </w:rPr>
            </w:pPr>
          </w:p>
        </w:tc>
        <w:tc>
          <w:tcPr>
            <w:tcW w:w="20" w:type="dxa"/>
            <w:vAlign w:val="bottom"/>
            <w:shd w:val="clear" w:color="auto" w:fill="0076A8"/>
          </w:tcPr>
          <w:p>
            <w:pPr>
              <w:spacing w:after="0" w:line="20" w:lineRule="exact"/>
              <w:rPr>
                <w:sz w:val="1"/>
                <w:szCs w:val="1"/>
                <w:color w:val="auto"/>
              </w:rPr>
            </w:pPr>
          </w:p>
        </w:tc>
        <w:tc>
          <w:tcPr>
            <w:tcW w:w="240" w:type="dxa"/>
            <w:vAlign w:val="bottom"/>
            <w:shd w:val="clear" w:color="auto" w:fill="0076A8"/>
          </w:tcPr>
          <w:p>
            <w:pPr>
              <w:spacing w:after="0" w:line="20" w:lineRule="exact"/>
              <w:rPr>
                <w:sz w:val="1"/>
                <w:szCs w:val="1"/>
                <w:color w:val="auto"/>
              </w:rPr>
            </w:pPr>
          </w:p>
        </w:tc>
        <w:tc>
          <w:tcPr>
            <w:tcW w:w="540" w:type="dxa"/>
            <w:vAlign w:val="bottom"/>
            <w:shd w:val="clear" w:color="auto" w:fill="0076A8"/>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shd w:val="clear" w:color="auto" w:fill="0076A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0" w:type="dxa"/>
            <w:vAlign w:val="bottom"/>
            <w:gridSpan w:val="2"/>
          </w:tcPr>
          <w:p>
            <w:pPr>
              <w:jc w:val="right"/>
              <w:spacing w:after="0"/>
              <w:rPr>
                <w:rFonts w:ascii="Arial" w:cs="Arial" w:eastAsia="Arial" w:hAnsi="Arial"/>
                <w:sz w:val="23"/>
                <w:szCs w:val="23"/>
                <w:color w:val="0076A8"/>
              </w:rPr>
            </w:pPr>
            <w:hyperlink w:anchor="page12">
              <w:r>
                <w:rPr>
                  <w:rFonts w:ascii="Arial" w:cs="Arial" w:eastAsia="Arial" w:hAnsi="Arial"/>
                  <w:sz w:val="23"/>
                  <w:szCs w:val="23"/>
                  <w:color w:val="0076A8"/>
                </w:rPr>
                <w:t>8</w:t>
              </w:r>
            </w:hyperlink>
          </w:p>
        </w:tc>
        <w:tc>
          <w:tcPr>
            <w:tcW w:w="580" w:type="dxa"/>
            <w:vAlign w:val="bottom"/>
          </w:tcPr>
          <w:p>
            <w:pPr>
              <w:spacing w:after="0"/>
              <w:rPr>
                <w:sz w:val="24"/>
                <w:szCs w:val="24"/>
                <w:color w:val="auto"/>
              </w:rPr>
            </w:pPr>
          </w:p>
        </w:tc>
        <w:tc>
          <w:tcPr>
            <w:tcW w:w="3540" w:type="dxa"/>
            <w:vAlign w:val="bottom"/>
            <w:gridSpan w:val="5"/>
          </w:tcPr>
          <w:p>
            <w:pPr>
              <w:spacing w:after="0"/>
              <w:rPr>
                <w:rFonts w:ascii="Arial" w:cs="Arial" w:eastAsia="Arial" w:hAnsi="Arial"/>
                <w:sz w:val="23"/>
                <w:szCs w:val="23"/>
                <w:color w:val="0076A8"/>
              </w:rPr>
            </w:pPr>
            <w:hyperlink w:anchor="page62">
              <w:r>
                <w:rPr>
                  <w:rFonts w:ascii="Arial" w:cs="Arial" w:eastAsia="Arial" w:hAnsi="Arial"/>
                  <w:sz w:val="23"/>
                  <w:szCs w:val="23"/>
                  <w:color w:val="0076A8"/>
                </w:rPr>
                <w:t>Proposals 4-7: Approval of</w:t>
              </w:r>
            </w:hyperlink>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20" w:type="dxa"/>
            <w:vAlign w:val="bottom"/>
            <w:shd w:val="clear" w:color="auto" w:fill="0076A8"/>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1080" w:type="dxa"/>
            <w:vAlign w:val="bottom"/>
            <w:shd w:val="clear" w:color="auto" w:fill="0076A8"/>
          </w:tcPr>
          <w:p>
            <w:pPr>
              <w:spacing w:after="0" w:line="20" w:lineRule="exact"/>
              <w:rPr>
                <w:sz w:val="1"/>
                <w:szCs w:val="1"/>
                <w:color w:val="auto"/>
              </w:rPr>
            </w:pPr>
          </w:p>
        </w:tc>
        <w:tc>
          <w:tcPr>
            <w:tcW w:w="1660" w:type="dxa"/>
            <w:vAlign w:val="bottom"/>
            <w:shd w:val="clear" w:color="auto" w:fill="0076A8"/>
          </w:tcPr>
          <w:p>
            <w:pPr>
              <w:spacing w:after="0" w:line="20" w:lineRule="exact"/>
              <w:rPr>
                <w:sz w:val="1"/>
                <w:szCs w:val="1"/>
                <w:color w:val="auto"/>
              </w:rPr>
            </w:pPr>
          </w:p>
        </w:tc>
        <w:tc>
          <w:tcPr>
            <w:tcW w:w="20" w:type="dxa"/>
            <w:vAlign w:val="bottom"/>
            <w:shd w:val="clear" w:color="auto" w:fill="0076A8"/>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gridSpan w:val="2"/>
            <w:vMerge w:val="restart"/>
          </w:tcPr>
          <w:p>
            <w:pPr>
              <w:jc w:val="right"/>
              <w:spacing w:after="0"/>
              <w:rPr>
                <w:rFonts w:ascii="Arial" w:cs="Arial" w:eastAsia="Arial" w:hAnsi="Arial"/>
                <w:sz w:val="18"/>
                <w:szCs w:val="18"/>
                <w:color w:val="0000EE"/>
                <w:w w:val="89"/>
              </w:rPr>
            </w:pPr>
            <w:hyperlink w:anchor="page14">
              <w:r>
                <w:rPr>
                  <w:rFonts w:ascii="Arial" w:cs="Arial" w:eastAsia="Arial" w:hAnsi="Arial"/>
                  <w:sz w:val="18"/>
                  <w:szCs w:val="18"/>
                  <w:color w:val="0000EE"/>
                  <w:w w:val="89"/>
                </w:rPr>
                <w:t>10</w:t>
              </w:r>
            </w:hyperlink>
          </w:p>
        </w:tc>
        <w:tc>
          <w:tcPr>
            <w:tcW w:w="580" w:type="dxa"/>
            <w:vAlign w:val="bottom"/>
            <w:vMerge w:val="continue"/>
          </w:tcPr>
          <w:p>
            <w:pPr>
              <w:spacing w:after="0"/>
              <w:rPr>
                <w:sz w:val="18"/>
                <w:szCs w:val="18"/>
                <w:color w:val="auto"/>
              </w:rPr>
            </w:pPr>
          </w:p>
        </w:tc>
        <w:tc>
          <w:tcPr>
            <w:tcW w:w="2760" w:type="dxa"/>
            <w:vAlign w:val="bottom"/>
            <w:gridSpan w:val="3"/>
          </w:tcPr>
          <w:p>
            <w:pPr>
              <w:spacing w:after="0" w:line="210" w:lineRule="exact"/>
              <w:rPr>
                <w:rFonts w:ascii="Arial" w:cs="Arial" w:eastAsia="Arial" w:hAnsi="Arial"/>
                <w:sz w:val="23"/>
                <w:szCs w:val="23"/>
                <w:color w:val="0076A8"/>
              </w:rPr>
            </w:pPr>
            <w:hyperlink w:anchor="page62">
              <w:r>
                <w:rPr>
                  <w:rFonts w:ascii="Arial" w:cs="Arial" w:eastAsia="Arial" w:hAnsi="Arial"/>
                  <w:sz w:val="23"/>
                  <w:szCs w:val="23"/>
                  <w:color w:val="0076A8"/>
                </w:rPr>
                <w:t>Amendments to Charter to</w:t>
              </w:r>
            </w:hyperlink>
          </w:p>
        </w:tc>
        <w:tc>
          <w:tcPr>
            <w:tcW w:w="240" w:type="dxa"/>
            <w:vAlign w:val="bottom"/>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gridSpan w:val="2"/>
            <w:vMerge w:val="continu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shd w:val="clear" w:color="auto" w:fill="0076A8"/>
          </w:tcPr>
          <w:p>
            <w:pPr>
              <w:spacing w:after="0" w:line="20" w:lineRule="exact"/>
              <w:rPr>
                <w:sz w:val="1"/>
                <w:szCs w:val="1"/>
                <w:color w:val="auto"/>
              </w:rPr>
            </w:pPr>
          </w:p>
        </w:tc>
        <w:tc>
          <w:tcPr>
            <w:tcW w:w="1660" w:type="dxa"/>
            <w:vAlign w:val="bottom"/>
            <w:shd w:val="clear" w:color="auto" w:fill="0076A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200" w:type="dxa"/>
            <w:vAlign w:val="bottom"/>
            <w:tcBorders>
              <w:bottom w:val="single" w:sz="8" w:color="0000EE"/>
            </w:tcBorders>
            <w:gridSpan w:val="2"/>
            <w:vMerge w:val="continue"/>
          </w:tcPr>
          <w:p>
            <w:pPr>
              <w:spacing w:after="0"/>
              <w:rPr>
                <w:sz w:val="8"/>
                <w:szCs w:val="8"/>
                <w:color w:val="auto"/>
              </w:rPr>
            </w:pPr>
          </w:p>
        </w:tc>
        <w:tc>
          <w:tcPr>
            <w:tcW w:w="580" w:type="dxa"/>
            <w:vAlign w:val="bottom"/>
          </w:tcPr>
          <w:p>
            <w:pPr>
              <w:spacing w:after="0"/>
              <w:rPr>
                <w:sz w:val="8"/>
                <w:szCs w:val="8"/>
                <w:color w:val="auto"/>
              </w:rPr>
            </w:pPr>
          </w:p>
        </w:tc>
        <w:tc>
          <w:tcPr>
            <w:tcW w:w="3540" w:type="dxa"/>
            <w:vAlign w:val="bottom"/>
            <w:gridSpan w:val="5"/>
            <w:vMerge w:val="restart"/>
          </w:tcPr>
          <w:p>
            <w:pPr>
              <w:spacing w:after="0" w:line="210" w:lineRule="exact"/>
              <w:rPr>
                <w:rFonts w:ascii="Arial" w:cs="Arial" w:eastAsia="Arial" w:hAnsi="Arial"/>
                <w:sz w:val="23"/>
                <w:szCs w:val="23"/>
                <w:color w:val="0076A8"/>
              </w:rPr>
            </w:pPr>
            <w:hyperlink w:anchor="page62">
              <w:r>
                <w:rPr>
                  <w:rFonts w:ascii="Arial" w:cs="Arial" w:eastAsia="Arial" w:hAnsi="Arial"/>
                  <w:sz w:val="23"/>
                  <w:szCs w:val="23"/>
                  <w:color w:val="0076A8"/>
                </w:rPr>
                <w:t>Eliminate Supermajority Vote</w:t>
              </w:r>
            </w:hyperlink>
          </w:p>
        </w:tc>
        <w:tc>
          <w:tcPr>
            <w:tcW w:w="600" w:type="dxa"/>
            <w:vAlign w:val="bottom"/>
            <w:gridSpan w:val="2"/>
            <w:vMerge w:val="restart"/>
          </w:tcPr>
          <w:p>
            <w:pPr>
              <w:jc w:val="right"/>
              <w:spacing w:after="0"/>
              <w:rPr>
                <w:rFonts w:ascii="Arial" w:cs="Arial" w:eastAsia="Arial" w:hAnsi="Arial"/>
                <w:sz w:val="23"/>
                <w:szCs w:val="23"/>
                <w:color w:val="0076A8"/>
              </w:rPr>
            </w:pPr>
            <w:hyperlink w:anchor="page62">
              <w:r>
                <w:rPr>
                  <w:rFonts w:ascii="Arial" w:cs="Arial" w:eastAsia="Arial" w:hAnsi="Arial"/>
                  <w:sz w:val="23"/>
                  <w:szCs w:val="23"/>
                  <w:color w:val="0076A8"/>
                </w:rPr>
                <w:t>58</w:t>
              </w:r>
            </w:hyperlink>
          </w:p>
        </w:tc>
        <w:tc>
          <w:tcPr>
            <w:tcW w:w="0" w:type="dxa"/>
            <w:vAlign w:val="bottom"/>
          </w:tcPr>
          <w:p>
            <w:pPr>
              <w:spacing w:after="0"/>
              <w:rPr>
                <w:sz w:val="1"/>
                <w:szCs w:val="1"/>
                <w:color w:val="auto"/>
              </w:rPr>
            </w:pPr>
          </w:p>
        </w:tc>
      </w:tr>
      <w:tr>
        <w:trPr>
          <w:trHeight w:val="88"/>
        </w:trPr>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540" w:type="dxa"/>
            <w:vAlign w:val="bottom"/>
            <w:gridSpan w:val="5"/>
            <w:vMerge w:val="continue"/>
          </w:tcPr>
          <w:p>
            <w:pPr>
              <w:spacing w:after="0"/>
              <w:rPr>
                <w:sz w:val="7"/>
                <w:szCs w:val="7"/>
                <w:color w:val="auto"/>
              </w:rPr>
            </w:pPr>
          </w:p>
        </w:tc>
        <w:tc>
          <w:tcPr>
            <w:tcW w:w="6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200" w:type="dxa"/>
            <w:vAlign w:val="bottom"/>
            <w:gridSpan w:val="2"/>
          </w:tcPr>
          <w:p>
            <w:pPr>
              <w:jc w:val="right"/>
              <w:spacing w:after="0" w:line="196" w:lineRule="exact"/>
              <w:rPr>
                <w:rFonts w:ascii="Arial" w:cs="Arial" w:eastAsia="Arial" w:hAnsi="Arial"/>
                <w:sz w:val="18"/>
                <w:szCs w:val="18"/>
                <w:color w:val="0000EE"/>
                <w:w w:val="89"/>
              </w:rPr>
            </w:pPr>
            <w:hyperlink w:anchor="page19">
              <w:r>
                <w:rPr>
                  <w:rFonts w:ascii="Arial" w:cs="Arial" w:eastAsia="Arial" w:hAnsi="Arial"/>
                  <w:sz w:val="18"/>
                  <w:szCs w:val="18"/>
                  <w:color w:val="0000EE"/>
                  <w:w w:val="89"/>
                </w:rPr>
                <w:t>15</w:t>
              </w:r>
            </w:hyperlink>
          </w:p>
        </w:tc>
        <w:tc>
          <w:tcPr>
            <w:tcW w:w="580" w:type="dxa"/>
            <w:vAlign w:val="bottom"/>
          </w:tcPr>
          <w:p>
            <w:pPr>
              <w:spacing w:after="0"/>
              <w:rPr>
                <w:sz w:val="18"/>
                <w:szCs w:val="18"/>
                <w:color w:val="auto"/>
              </w:rPr>
            </w:pPr>
          </w:p>
        </w:tc>
        <w:tc>
          <w:tcPr>
            <w:tcW w:w="3000" w:type="dxa"/>
            <w:vAlign w:val="bottom"/>
            <w:tcBorders>
              <w:top w:val="single" w:sz="8" w:color="0076A8"/>
            </w:tcBorders>
            <w:gridSpan w:val="4"/>
          </w:tcPr>
          <w:p>
            <w:pPr>
              <w:spacing w:after="0" w:line="195" w:lineRule="exact"/>
              <w:rPr>
                <w:rFonts w:ascii="Arial" w:cs="Arial" w:eastAsia="Arial" w:hAnsi="Arial"/>
                <w:sz w:val="22"/>
                <w:szCs w:val="22"/>
                <w:color w:val="0076A8"/>
              </w:rPr>
            </w:pPr>
            <w:hyperlink w:anchor="page62">
              <w:r>
                <w:rPr>
                  <w:rFonts w:ascii="Arial" w:cs="Arial" w:eastAsia="Arial" w:hAnsi="Arial"/>
                  <w:sz w:val="22"/>
                  <w:szCs w:val="22"/>
                  <w:color w:val="0076A8"/>
                </w:rPr>
                <w:t>Provisions</w:t>
              </w:r>
            </w:hyperlink>
          </w:p>
        </w:tc>
        <w:tc>
          <w:tcPr>
            <w:tcW w:w="540" w:type="dxa"/>
            <w:vAlign w:val="bottom"/>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shd w:val="clear" w:color="auto" w:fill="0076A8"/>
          </w:tcPr>
          <w:p>
            <w:pPr>
              <w:spacing w:after="0"/>
              <w:rPr>
                <w:sz w:val="2"/>
                <w:szCs w:val="2"/>
                <w:color w:val="auto"/>
              </w:rPr>
            </w:pPr>
          </w:p>
        </w:tc>
        <w:tc>
          <w:tcPr>
            <w:tcW w:w="16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shd w:val="clear" w:color="auto" w:fill="0076A8"/>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 w:lineRule="exact"/>
        <w:rPr>
          <w:sz w:val="20"/>
          <w:szCs w:val="20"/>
          <w:color w:val="auto"/>
        </w:rPr>
      </w:pPr>
    </w:p>
    <w:p>
      <w:pPr>
        <w:ind w:left="840" w:hanging="771"/>
        <w:spacing w:after="0"/>
        <w:tabs>
          <w:tab w:leader="none" w:pos="840" w:val="left"/>
        </w:tabs>
        <w:numPr>
          <w:ilvl w:val="0"/>
          <w:numId w:val="7"/>
        </w:numPr>
        <w:rPr>
          <w:rFonts w:ascii="Arial" w:cs="Arial" w:eastAsia="Arial" w:hAnsi="Arial"/>
          <w:sz w:val="23"/>
          <w:szCs w:val="23"/>
          <w:color w:val="0076A8"/>
        </w:rPr>
      </w:pPr>
      <w:hyperlink w:anchor="page67">
        <w:r>
          <w:rPr>
            <w:rFonts w:ascii="Arial" w:cs="Arial" w:eastAsia="Arial" w:hAnsi="Arial"/>
            <w:sz w:val="23"/>
            <w:szCs w:val="23"/>
            <w:color w:val="0076A8"/>
          </w:rPr>
          <w:t>Proposal 8: Stockholder Proposal</w:t>
        </w:r>
      </w:hyperlink>
    </w:p>
    <w:tbl>
      <w:tblPr>
        <w:tblLayout w:type="fixed"/>
        <w:tblInd w:w="60" w:type="dxa"/>
        <w:tblCellMar>
          <w:top w:w="0" w:type="dxa"/>
          <w:left w:w="0" w:type="dxa"/>
          <w:bottom w:w="0" w:type="dxa"/>
          <w:right w:w="0" w:type="dxa"/>
        </w:tblCellMar>
      </w:tblPr>
      <w:tr>
        <w:trPr>
          <w:trHeight w:val="209"/>
        </w:trPr>
        <w:tc>
          <w:tcPr>
            <w:tcW w:w="780" w:type="dxa"/>
            <w:vAlign w:val="bottom"/>
            <w:gridSpan w:val="2"/>
          </w:tcPr>
          <w:p>
            <w:pPr>
              <w:jc w:val="right"/>
              <w:ind w:right="580"/>
              <w:spacing w:after="0"/>
              <w:rPr>
                <w:rFonts w:ascii="Arial" w:cs="Arial" w:eastAsia="Arial" w:hAnsi="Arial"/>
                <w:sz w:val="18"/>
                <w:szCs w:val="18"/>
                <w:color w:val="0000EE"/>
                <w:w w:val="89"/>
              </w:rPr>
            </w:pPr>
            <w:hyperlink w:anchor="page24">
              <w:r>
                <w:rPr>
                  <w:rFonts w:ascii="Arial" w:cs="Arial" w:eastAsia="Arial" w:hAnsi="Arial"/>
                  <w:sz w:val="18"/>
                  <w:szCs w:val="18"/>
                  <w:color w:val="0000EE"/>
                  <w:w w:val="89"/>
                </w:rPr>
                <w:t>20</w:t>
              </w:r>
            </w:hyperlink>
          </w:p>
        </w:tc>
        <w:tc>
          <w:tcPr>
            <w:tcW w:w="3220" w:type="dxa"/>
            <w:vAlign w:val="bottom"/>
            <w:tcBorders>
              <w:top w:val="single" w:sz="8" w:color="0076A8"/>
              <w:bottom w:val="single" w:sz="8" w:color="0076A8"/>
            </w:tcBorders>
            <w:gridSpan w:val="4"/>
          </w:tcPr>
          <w:p>
            <w:pPr>
              <w:spacing w:after="0" w:line="210" w:lineRule="exact"/>
              <w:rPr>
                <w:rFonts w:ascii="Arial" w:cs="Arial" w:eastAsia="Arial" w:hAnsi="Arial"/>
                <w:sz w:val="23"/>
                <w:szCs w:val="23"/>
                <w:color w:val="0076A8"/>
              </w:rPr>
            </w:pPr>
            <w:hyperlink w:anchor="page67">
              <w:r>
                <w:rPr>
                  <w:rFonts w:ascii="Arial" w:cs="Arial" w:eastAsia="Arial" w:hAnsi="Arial"/>
                  <w:sz w:val="23"/>
                  <w:szCs w:val="23"/>
                  <w:color w:val="0076A8"/>
                </w:rPr>
                <w:t>Regarding Stockholder Special</w:t>
              </w:r>
            </w:hyperlink>
          </w:p>
        </w:tc>
        <w:tc>
          <w:tcPr>
            <w:tcW w:w="260" w:type="dxa"/>
            <w:vAlign w:val="bottom"/>
            <w:tcBorders>
              <w:top w:val="single" w:sz="8" w:color="0076A8"/>
            </w:tcBorders>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vMerge w:val="restart"/>
          </w:tcPr>
          <w:p>
            <w:pPr>
              <w:jc w:val="right"/>
              <w:spacing w:after="0"/>
              <w:rPr>
                <w:rFonts w:ascii="Arial" w:cs="Arial" w:eastAsia="Arial" w:hAnsi="Arial"/>
                <w:sz w:val="23"/>
                <w:szCs w:val="23"/>
                <w:color w:val="0076A8"/>
                <w:w w:val="70"/>
              </w:rPr>
            </w:pPr>
            <w:hyperlink w:anchor="page67">
              <w:r>
                <w:rPr>
                  <w:rFonts w:ascii="Arial" w:cs="Arial" w:eastAsia="Arial" w:hAnsi="Arial"/>
                  <w:sz w:val="23"/>
                  <w:szCs w:val="23"/>
                  <w:color w:val="0076A8"/>
                  <w:w w:val="70"/>
                </w:rPr>
                <w:t>63</w:t>
              </w:r>
            </w:hyperlink>
          </w:p>
        </w:tc>
        <w:tc>
          <w:tcPr>
            <w:tcW w:w="0" w:type="dxa"/>
            <w:vAlign w:val="bottom"/>
          </w:tcPr>
          <w:p>
            <w:pPr>
              <w:spacing w:after="0"/>
              <w:rPr>
                <w:sz w:val="1"/>
                <w:szCs w:val="1"/>
                <w:color w:val="auto"/>
              </w:rPr>
            </w:pPr>
          </w:p>
        </w:tc>
      </w:tr>
      <w:tr>
        <w:trPr>
          <w:trHeight w:val="21"/>
        </w:trPr>
        <w:tc>
          <w:tcPr>
            <w:tcW w:w="200" w:type="dxa"/>
            <w:vAlign w:val="bottom"/>
            <w:tcBorders>
              <w:bottom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20" w:type="dxa"/>
            <w:vAlign w:val="bottom"/>
            <w:gridSpan w:val="4"/>
            <w:vMerge w:val="restart"/>
          </w:tcPr>
          <w:p>
            <w:pPr>
              <w:spacing w:after="0" w:line="210" w:lineRule="exact"/>
              <w:rPr>
                <w:rFonts w:ascii="Arial" w:cs="Arial" w:eastAsia="Arial" w:hAnsi="Arial"/>
                <w:sz w:val="23"/>
                <w:szCs w:val="23"/>
                <w:color w:val="0076A8"/>
              </w:rPr>
            </w:pPr>
            <w:hyperlink w:anchor="page67">
              <w:r>
                <w:rPr>
                  <w:rFonts w:ascii="Arial" w:cs="Arial" w:eastAsia="Arial" w:hAnsi="Arial"/>
                  <w:sz w:val="23"/>
                  <w:szCs w:val="23"/>
                  <w:color w:val="0076A8"/>
                </w:rPr>
                <w:t>Meeting Right</w:t>
              </w:r>
            </w:hyperlink>
          </w:p>
        </w:tc>
        <w:tc>
          <w:tcPr>
            <w:tcW w:w="340" w:type="dxa"/>
            <w:vAlign w:val="bottom"/>
            <w:gridSpan w:val="2"/>
            <w:vMerge w:val="restart"/>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20" w:type="dxa"/>
            <w:vAlign w:val="bottom"/>
            <w:gridSpan w:val="4"/>
            <w:vMerge w:val="continue"/>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360" w:type="dxa"/>
            <w:vAlign w:val="bottom"/>
            <w:shd w:val="clear" w:color="auto" w:fill="0076A8"/>
          </w:tcPr>
          <w:p>
            <w:pPr>
              <w:spacing w:after="0" w:line="20" w:lineRule="exact"/>
              <w:rPr>
                <w:sz w:val="1"/>
                <w:szCs w:val="1"/>
                <w:color w:val="auto"/>
              </w:rPr>
            </w:pPr>
          </w:p>
        </w:tc>
        <w:tc>
          <w:tcPr>
            <w:tcW w:w="720" w:type="dxa"/>
            <w:vAlign w:val="bottom"/>
            <w:shd w:val="clear" w:color="auto" w:fill="0076A8"/>
          </w:tcPr>
          <w:p>
            <w:pPr>
              <w:spacing w:after="0" w:line="20" w:lineRule="exact"/>
              <w:rPr>
                <w:sz w:val="1"/>
                <w:szCs w:val="1"/>
                <w:color w:val="auto"/>
              </w:rPr>
            </w:pPr>
          </w:p>
        </w:tc>
        <w:tc>
          <w:tcPr>
            <w:tcW w:w="360" w:type="dxa"/>
            <w:vAlign w:val="bottom"/>
            <w:shd w:val="clear" w:color="auto" w:fill="0076A8"/>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380" w:type="dxa"/>
            <w:vAlign w:val="bottom"/>
            <w:tcBorders>
              <w:right w:val="single" w:sz="8" w:color="0076A8"/>
            </w:tcBorders>
          </w:tcPr>
          <w:p>
            <w:pPr>
              <w:spacing w:after="0" w:line="20" w:lineRule="exact"/>
              <w:rPr>
                <w:sz w:val="1"/>
                <w:szCs w:val="1"/>
                <w:color w:val="auto"/>
              </w:rPr>
            </w:pPr>
          </w:p>
        </w:tc>
        <w:tc>
          <w:tcPr>
            <w:tcW w:w="200" w:type="dxa"/>
            <w:vAlign w:val="bottom"/>
            <w:shd w:val="clear" w:color="auto" w:fill="0076A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80" w:type="dxa"/>
            <w:vAlign w:val="bottom"/>
            <w:gridSpan w:val="2"/>
            <w:vMerge w:val="restart"/>
          </w:tcPr>
          <w:p>
            <w:pPr>
              <w:jc w:val="right"/>
              <w:ind w:right="580"/>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24</w:t>
              </w:r>
            </w:hyperlink>
          </w:p>
        </w:tc>
        <w:tc>
          <w:tcPr>
            <w:tcW w:w="360" w:type="dxa"/>
            <w:vAlign w:val="bottom"/>
          </w:tcPr>
          <w:p>
            <w:pPr>
              <w:spacing w:after="0"/>
              <w:rPr>
                <w:sz w:val="24"/>
                <w:szCs w:val="24"/>
                <w:color w:val="auto"/>
              </w:rPr>
            </w:pPr>
          </w:p>
        </w:tc>
        <w:tc>
          <w:tcPr>
            <w:tcW w:w="3200" w:type="dxa"/>
            <w:vAlign w:val="bottom"/>
            <w:tcBorders>
              <w:bottom w:val="single" w:sz="8" w:color="0000EE"/>
            </w:tcBorders>
            <w:gridSpan w:val="5"/>
          </w:tcPr>
          <w:p>
            <w:pPr>
              <w:spacing w:after="0"/>
              <w:rPr>
                <w:rFonts w:ascii="Arial" w:cs="Arial" w:eastAsia="Arial" w:hAnsi="Arial"/>
                <w:sz w:val="18"/>
                <w:szCs w:val="18"/>
                <w:color w:val="0000EE"/>
                <w:w w:val="99"/>
              </w:rPr>
            </w:pPr>
            <w:hyperlink w:anchor="page68">
              <w:r>
                <w:rPr>
                  <w:rFonts w:ascii="Arial" w:cs="Arial" w:eastAsia="Arial" w:hAnsi="Arial"/>
                  <w:sz w:val="18"/>
                  <w:szCs w:val="18"/>
                  <w:color w:val="0000EE"/>
                  <w:w w:val="99"/>
                </w:rPr>
                <w:t>Statement of Opposition by the Board of</w:t>
              </w:r>
            </w:hyperlink>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780" w:type="dxa"/>
            <w:vAlign w:val="bottom"/>
            <w:gridSpan w:val="2"/>
            <w:vMerge w:val="continue"/>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3580" w:type="dxa"/>
            <w:vAlign w:val="bottom"/>
            <w:gridSpan w:val="6"/>
            <w:vMerge w:val="restart"/>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Directors</w:t>
              </w:r>
            </w:hyperlink>
          </w:p>
        </w:tc>
        <w:tc>
          <w:tcPr>
            <w:tcW w:w="200" w:type="dxa"/>
            <w:vAlign w:val="bottom"/>
            <w:vMerge w:val="restart"/>
          </w:tcPr>
          <w:p>
            <w:pPr>
              <w:jc w:val="right"/>
              <w:spacing w:after="0"/>
              <w:rPr>
                <w:rFonts w:ascii="Arial" w:cs="Arial" w:eastAsia="Arial" w:hAnsi="Arial"/>
                <w:sz w:val="18"/>
                <w:szCs w:val="18"/>
                <w:color w:val="0000EE"/>
                <w:w w:val="89"/>
              </w:rPr>
            </w:pPr>
            <w:hyperlink w:anchor="page68">
              <w:r>
                <w:rPr>
                  <w:rFonts w:ascii="Arial" w:cs="Arial" w:eastAsia="Arial" w:hAnsi="Arial"/>
                  <w:sz w:val="18"/>
                  <w:szCs w:val="18"/>
                  <w:color w:val="0000EE"/>
                  <w:w w:val="89"/>
                </w:rPr>
                <w:t>64</w:t>
              </w:r>
            </w:hyperlink>
          </w:p>
        </w:tc>
        <w:tc>
          <w:tcPr>
            <w:tcW w:w="0" w:type="dxa"/>
            <w:vAlign w:val="bottom"/>
          </w:tcPr>
          <w:p>
            <w:pPr>
              <w:spacing w:after="0"/>
              <w:rPr>
                <w:sz w:val="1"/>
                <w:szCs w:val="1"/>
                <w:color w:val="auto"/>
              </w:rPr>
            </w:pPr>
          </w:p>
        </w:tc>
      </w:tr>
      <w:tr>
        <w:trPr>
          <w:trHeight w:val="169"/>
        </w:trPr>
        <w:tc>
          <w:tcPr>
            <w:tcW w:w="200" w:type="dxa"/>
            <w:vAlign w:val="bottom"/>
            <w:tcBorders>
              <w:top w:val="single" w:sz="8" w:color="0000EE"/>
            </w:tcBorders>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3580" w:type="dxa"/>
            <w:vAlign w:val="bottom"/>
            <w:gridSpan w:val="6"/>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 w:lineRule="exact"/>
        <w:rPr>
          <w:sz w:val="20"/>
          <w:szCs w:val="20"/>
          <w:color w:val="auto"/>
        </w:rPr>
      </w:pPr>
    </w:p>
    <w:p>
      <w:pPr>
        <w:ind w:left="840" w:hanging="771"/>
        <w:spacing w:after="0"/>
        <w:tabs>
          <w:tab w:leader="none" w:pos="840" w:val="left"/>
        </w:tabs>
        <w:numPr>
          <w:ilvl w:val="0"/>
          <w:numId w:val="8"/>
        </w:numPr>
        <w:rPr>
          <w:rFonts w:ascii="Arial" w:cs="Arial" w:eastAsia="Arial" w:hAnsi="Arial"/>
          <w:sz w:val="23"/>
          <w:szCs w:val="23"/>
          <w:color w:val="0076A8"/>
        </w:rPr>
      </w:pPr>
      <w:hyperlink w:anchor="page70">
        <w:r>
          <w:rPr>
            <w:rFonts w:ascii="Arial" w:cs="Arial" w:eastAsia="Arial" w:hAnsi="Arial"/>
            <w:sz w:val="23"/>
            <w:szCs w:val="23"/>
            <w:color w:val="0076A8"/>
          </w:rPr>
          <w:t>Security Ownership of Certain</w:t>
        </w:r>
      </w:hyperlink>
    </w:p>
    <w:tbl>
      <w:tblPr>
        <w:tblLayout w:type="fixed"/>
        <w:tblInd w:w="0" w:type="dxa"/>
        <w:tblCellMar>
          <w:top w:w="0" w:type="dxa"/>
          <w:left w:w="0" w:type="dxa"/>
          <w:bottom w:w="0" w:type="dxa"/>
          <w:right w:w="0" w:type="dxa"/>
        </w:tblCellMar>
      </w:tblPr>
      <w:tr>
        <w:trPr>
          <w:trHeight w:val="209"/>
        </w:trPr>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120" w:type="dxa"/>
            <w:vAlign w:val="bottom"/>
            <w:tcBorders>
              <w:top w:val="single" w:sz="8" w:color="0076A8"/>
            </w:tcBorders>
            <w:gridSpan w:val="14"/>
          </w:tcPr>
          <w:p>
            <w:pPr>
              <w:spacing w:after="0" w:line="210" w:lineRule="exact"/>
              <w:rPr>
                <w:rFonts w:ascii="Arial" w:cs="Arial" w:eastAsia="Arial" w:hAnsi="Arial"/>
                <w:sz w:val="23"/>
                <w:szCs w:val="23"/>
                <w:color w:val="0076A8"/>
              </w:rPr>
            </w:pPr>
            <w:hyperlink w:anchor="page70">
              <w:r>
                <w:rPr>
                  <w:rFonts w:ascii="Arial" w:cs="Arial" w:eastAsia="Arial" w:hAnsi="Arial"/>
                  <w:sz w:val="23"/>
                  <w:szCs w:val="23"/>
                  <w:color w:val="0076A8"/>
                </w:rPr>
                <w:t>Beneficial Owners and</w:t>
              </w:r>
            </w:hyperlink>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vMerge w:val="restart"/>
          </w:tcPr>
          <w:p>
            <w:pPr>
              <w:jc w:val="right"/>
              <w:spacing w:after="0"/>
              <w:rPr>
                <w:rFonts w:ascii="Arial" w:cs="Arial" w:eastAsia="Arial" w:hAnsi="Arial"/>
                <w:sz w:val="23"/>
                <w:szCs w:val="23"/>
                <w:color w:val="0076A8"/>
                <w:w w:val="70"/>
              </w:rPr>
            </w:pPr>
            <w:hyperlink w:anchor="page70">
              <w:r>
                <w:rPr>
                  <w:rFonts w:ascii="Arial" w:cs="Arial" w:eastAsia="Arial" w:hAnsi="Arial"/>
                  <w:sz w:val="23"/>
                  <w:szCs w:val="23"/>
                  <w:color w:val="0076A8"/>
                  <w:w w:val="70"/>
                </w:rPr>
                <w:t>66</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0" w:type="dxa"/>
            <w:vAlign w:val="bottom"/>
            <w:gridSpan w:val="2"/>
            <w:vMerge w:val="restart"/>
          </w:tcPr>
          <w:p>
            <w:pPr>
              <w:jc w:val="right"/>
              <w:spacing w:after="0"/>
              <w:rPr>
                <w:rFonts w:ascii="Arial" w:cs="Arial" w:eastAsia="Arial" w:hAnsi="Arial"/>
                <w:sz w:val="18"/>
                <w:szCs w:val="18"/>
                <w:color w:val="0000EE"/>
              </w:rPr>
            </w:pPr>
            <w:hyperlink w:anchor="page29">
              <w:r>
                <w:rPr>
                  <w:rFonts w:ascii="Arial" w:cs="Arial" w:eastAsia="Arial" w:hAnsi="Arial"/>
                  <w:sz w:val="18"/>
                  <w:szCs w:val="18"/>
                  <w:color w:val="0000EE"/>
                </w:rPr>
                <w:t>25</w:t>
              </w:r>
            </w:hyperlink>
          </w:p>
        </w:tc>
        <w:tc>
          <w:tcPr>
            <w:tcW w:w="580" w:type="dxa"/>
            <w:vAlign w:val="bottom"/>
          </w:tcPr>
          <w:p>
            <w:pPr>
              <w:spacing w:after="0"/>
              <w:rPr>
                <w:sz w:val="18"/>
                <w:szCs w:val="18"/>
                <w:color w:val="auto"/>
              </w:rPr>
            </w:pPr>
          </w:p>
        </w:tc>
        <w:tc>
          <w:tcPr>
            <w:tcW w:w="1380" w:type="dxa"/>
            <w:vAlign w:val="bottom"/>
            <w:tcBorders>
              <w:top w:val="single" w:sz="8" w:color="0076A8"/>
              <w:bottom w:val="single" w:sz="8" w:color="0076A8"/>
            </w:tcBorders>
            <w:gridSpan w:val="3"/>
          </w:tcPr>
          <w:p>
            <w:pPr>
              <w:spacing w:after="0" w:line="195" w:lineRule="exact"/>
              <w:rPr>
                <w:rFonts w:ascii="Arial" w:cs="Arial" w:eastAsia="Arial" w:hAnsi="Arial"/>
                <w:sz w:val="22"/>
                <w:szCs w:val="22"/>
                <w:color w:val="0076A8"/>
              </w:rPr>
            </w:pPr>
            <w:hyperlink w:anchor="page70">
              <w:r>
                <w:rPr>
                  <w:rFonts w:ascii="Arial" w:cs="Arial" w:eastAsia="Arial" w:hAnsi="Arial"/>
                  <w:sz w:val="22"/>
                  <w:szCs w:val="22"/>
                  <w:color w:val="0076A8"/>
                </w:rPr>
                <w:t>Management</w:t>
              </w:r>
            </w:hyperlink>
          </w:p>
        </w:tc>
        <w:tc>
          <w:tcPr>
            <w:tcW w:w="60" w:type="dxa"/>
            <w:vAlign w:val="bottom"/>
            <w:tcBorders>
              <w:top w:val="single" w:sz="8" w:color="0076A8"/>
              <w:bottom w:val="single" w:sz="8" w:color="0076A8"/>
            </w:tcBorders>
          </w:tcPr>
          <w:p>
            <w:pPr>
              <w:spacing w:after="0"/>
              <w:rPr>
                <w:sz w:val="18"/>
                <w:szCs w:val="18"/>
                <w:color w:val="auto"/>
              </w:rPr>
            </w:pPr>
          </w:p>
        </w:tc>
        <w:tc>
          <w:tcPr>
            <w:tcW w:w="600" w:type="dxa"/>
            <w:vAlign w:val="bottom"/>
            <w:tcBorders>
              <w:top w:val="single" w:sz="8" w:color="0076A8"/>
              <w:bottom w:val="single" w:sz="8" w:color="0076A8"/>
            </w:tcBorders>
          </w:tcPr>
          <w:p>
            <w:pPr>
              <w:spacing w:after="0"/>
              <w:rPr>
                <w:sz w:val="18"/>
                <w:szCs w:val="18"/>
                <w:color w:val="auto"/>
              </w:rPr>
            </w:pPr>
          </w:p>
        </w:tc>
        <w:tc>
          <w:tcPr>
            <w:tcW w:w="40" w:type="dxa"/>
            <w:vAlign w:val="bottom"/>
            <w:tcBorders>
              <w:top w:val="single" w:sz="8" w:color="0076A8"/>
              <w:bottom w:val="single" w:sz="8" w:color="0076A8"/>
            </w:tcBorders>
          </w:tcPr>
          <w:p>
            <w:pPr>
              <w:spacing w:after="0"/>
              <w:rPr>
                <w:sz w:val="18"/>
                <w:szCs w:val="18"/>
                <w:color w:val="auto"/>
              </w:rPr>
            </w:pPr>
          </w:p>
        </w:tc>
        <w:tc>
          <w:tcPr>
            <w:tcW w:w="260" w:type="dxa"/>
            <w:vAlign w:val="bottom"/>
            <w:tcBorders>
              <w:top w:val="single" w:sz="8" w:color="0076A8"/>
              <w:bottom w:val="single" w:sz="8" w:color="0076A8"/>
            </w:tcBorders>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Borders>
              <w:bottom w:val="single" w:sz="8" w:color="0076A8"/>
            </w:tcBorders>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260" w:type="dxa"/>
            <w:vAlign w:val="bottom"/>
            <w:gridSpan w:val="2"/>
            <w:vMerge w:val="continue"/>
          </w:tcPr>
          <w:p>
            <w:pPr>
              <w:spacing w:after="0"/>
              <w:rPr>
                <w:sz w:val="2"/>
                <w:szCs w:val="2"/>
                <w:color w:val="auto"/>
              </w:rPr>
            </w:pPr>
          </w:p>
        </w:tc>
        <w:tc>
          <w:tcPr>
            <w:tcW w:w="580" w:type="dxa"/>
            <w:vAlign w:val="bottom"/>
          </w:tcPr>
          <w:p>
            <w:pPr>
              <w:spacing w:after="0"/>
              <w:rPr>
                <w:sz w:val="2"/>
                <w:szCs w:val="2"/>
                <w:color w:val="auto"/>
              </w:rPr>
            </w:pPr>
          </w:p>
        </w:tc>
        <w:tc>
          <w:tcPr>
            <w:tcW w:w="2080" w:type="dxa"/>
            <w:vAlign w:val="bottom"/>
            <w:gridSpan w:val="6"/>
            <w:vMerge w:val="restart"/>
          </w:tcPr>
          <w:p>
            <w:pPr>
              <w:spacing w:after="0"/>
              <w:rPr>
                <w:rFonts w:ascii="Arial" w:cs="Arial" w:eastAsia="Arial" w:hAnsi="Arial"/>
                <w:sz w:val="23"/>
                <w:szCs w:val="23"/>
                <w:color w:val="0076A8"/>
              </w:rPr>
            </w:pPr>
            <w:hyperlink w:anchor="page72">
              <w:r>
                <w:rPr>
                  <w:rFonts w:ascii="Arial" w:cs="Arial" w:eastAsia="Arial" w:hAnsi="Arial"/>
                  <w:sz w:val="23"/>
                  <w:szCs w:val="23"/>
                  <w:color w:val="0076A8"/>
                </w:rPr>
                <w:t>General Information</w:t>
              </w:r>
            </w:hyperlink>
          </w:p>
        </w:tc>
        <w:tc>
          <w:tcPr>
            <w:tcW w:w="1860" w:type="dxa"/>
            <w:vAlign w:val="bottom"/>
            <w:gridSpan w:val="10"/>
            <w:vMerge w:val="restart"/>
          </w:tcPr>
          <w:p>
            <w:pPr>
              <w:spacing w:after="0"/>
              <w:rPr>
                <w:sz w:val="2"/>
                <w:szCs w:val="2"/>
                <w:color w:val="auto"/>
              </w:rPr>
            </w:pPr>
          </w:p>
        </w:tc>
        <w:tc>
          <w:tcPr>
            <w:tcW w:w="200" w:type="dxa"/>
            <w:vAlign w:val="bottom"/>
            <w:vMerge w:val="restart"/>
          </w:tcPr>
          <w:p>
            <w:pPr>
              <w:jc w:val="right"/>
              <w:spacing w:after="0"/>
              <w:rPr>
                <w:rFonts w:ascii="Arial" w:cs="Arial" w:eastAsia="Arial" w:hAnsi="Arial"/>
                <w:sz w:val="23"/>
                <w:szCs w:val="23"/>
                <w:color w:val="0076A8"/>
                <w:w w:val="70"/>
              </w:rPr>
            </w:pPr>
            <w:hyperlink w:anchor="page72">
              <w:r>
                <w:rPr>
                  <w:rFonts w:ascii="Arial" w:cs="Arial" w:eastAsia="Arial" w:hAnsi="Arial"/>
                  <w:sz w:val="23"/>
                  <w:szCs w:val="23"/>
                  <w:color w:val="0076A8"/>
                  <w:w w:val="70"/>
                </w:rPr>
                <w:t>68</w:t>
              </w:r>
            </w:hyperlink>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377"/>
        </w:trPr>
        <w:tc>
          <w:tcPr>
            <w:tcW w:w="60" w:type="dxa"/>
            <w:vAlign w:val="bottom"/>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580" w:type="dxa"/>
            <w:vAlign w:val="bottom"/>
          </w:tcPr>
          <w:p>
            <w:pPr>
              <w:spacing w:after="0"/>
              <w:rPr>
                <w:sz w:val="24"/>
                <w:szCs w:val="24"/>
                <w:color w:val="auto"/>
              </w:rPr>
            </w:pPr>
          </w:p>
        </w:tc>
        <w:tc>
          <w:tcPr>
            <w:tcW w:w="2080" w:type="dxa"/>
            <w:vAlign w:val="bottom"/>
            <w:tcBorders>
              <w:bottom w:val="single" w:sz="8" w:color="0076A8"/>
            </w:tcBorders>
            <w:gridSpan w:val="6"/>
            <w:vMerge w:val="continue"/>
          </w:tcPr>
          <w:p>
            <w:pPr>
              <w:spacing w:after="0"/>
              <w:rPr>
                <w:sz w:val="24"/>
                <w:szCs w:val="24"/>
                <w:color w:val="auto"/>
              </w:rPr>
            </w:pPr>
          </w:p>
        </w:tc>
        <w:tc>
          <w:tcPr>
            <w:tcW w:w="1860" w:type="dxa"/>
            <w:vAlign w:val="bottom"/>
            <w:gridSpan w:val="10"/>
            <w:vMerge w:val="continue"/>
          </w:tcPr>
          <w:p>
            <w:pPr>
              <w:spacing w:after="0"/>
              <w:rPr>
                <w:sz w:val="24"/>
                <w:szCs w:val="24"/>
                <w:color w:val="auto"/>
              </w:rPr>
            </w:pPr>
          </w:p>
        </w:tc>
        <w:tc>
          <w:tcPr>
            <w:tcW w:w="200" w:type="dxa"/>
            <w:vAlign w:val="bottom"/>
            <w:tcBorders>
              <w:bottom w:val="single" w:sz="8" w:color="0076A8"/>
            </w:tcBorders>
            <w:vMerge w:val="continue"/>
          </w:tcPr>
          <w:p>
            <w:pPr>
              <w:spacing w:after="0"/>
              <w:rPr>
                <w:sz w:val="24"/>
                <w:szCs w:val="24"/>
                <w:color w:val="auto"/>
              </w:rPr>
            </w:pPr>
          </w:p>
        </w:tc>
        <w:tc>
          <w:tcPr>
            <w:tcW w:w="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260" w:type="dxa"/>
            <w:vAlign w:val="bottom"/>
            <w:gridSpan w:val="2"/>
            <w:vMerge w:val="restart"/>
          </w:tcPr>
          <w:p>
            <w:pPr>
              <w:jc w:val="right"/>
              <w:spacing w:after="0"/>
              <w:rPr>
                <w:rFonts w:ascii="Arial" w:cs="Arial" w:eastAsia="Arial" w:hAnsi="Arial"/>
                <w:sz w:val="23"/>
                <w:szCs w:val="23"/>
                <w:color w:val="0076A8"/>
                <w:w w:val="93"/>
              </w:rPr>
            </w:pPr>
            <w:hyperlink w:anchor="page30">
              <w:r>
                <w:rPr>
                  <w:rFonts w:ascii="Arial" w:cs="Arial" w:eastAsia="Arial" w:hAnsi="Arial"/>
                  <w:sz w:val="23"/>
                  <w:szCs w:val="23"/>
                  <w:color w:val="0076A8"/>
                  <w:w w:val="93"/>
                </w:rPr>
                <w:t>26</w:t>
              </w:r>
            </w:hyperlink>
          </w:p>
        </w:tc>
        <w:tc>
          <w:tcPr>
            <w:tcW w:w="580" w:type="dxa"/>
            <w:vAlign w:val="bottom"/>
          </w:tcPr>
          <w:p>
            <w:pPr>
              <w:spacing w:after="0"/>
              <w:rPr>
                <w:sz w:val="24"/>
                <w:szCs w:val="24"/>
                <w:color w:val="auto"/>
              </w:rPr>
            </w:pPr>
          </w:p>
        </w:tc>
        <w:tc>
          <w:tcPr>
            <w:tcW w:w="2380" w:type="dxa"/>
            <w:vAlign w:val="bottom"/>
            <w:tcBorders>
              <w:bottom w:val="single" w:sz="8" w:color="0076A8"/>
            </w:tcBorders>
            <w:gridSpan w:val="8"/>
          </w:tcPr>
          <w:p>
            <w:pPr>
              <w:spacing w:after="0"/>
              <w:rPr>
                <w:rFonts w:ascii="Arial" w:cs="Arial" w:eastAsia="Arial" w:hAnsi="Arial"/>
                <w:sz w:val="23"/>
                <w:szCs w:val="23"/>
                <w:color w:val="0076A8"/>
              </w:rPr>
            </w:pPr>
            <w:hyperlink w:anchor="page78">
              <w:r>
                <w:rPr>
                  <w:rFonts w:ascii="Arial" w:cs="Arial" w:eastAsia="Arial" w:hAnsi="Arial"/>
                  <w:sz w:val="23"/>
                  <w:szCs w:val="23"/>
                  <w:color w:val="0076A8"/>
                </w:rPr>
                <w:t>Other Proposed Action</w:t>
              </w:r>
            </w:hyperlink>
          </w:p>
        </w:tc>
        <w:tc>
          <w:tcPr>
            <w:tcW w:w="1560" w:type="dxa"/>
            <w:vAlign w:val="bottom"/>
            <w:gridSpan w:val="8"/>
          </w:tcPr>
          <w:p>
            <w:pPr>
              <w:spacing w:after="0"/>
              <w:rPr>
                <w:sz w:val="24"/>
                <w:szCs w:val="24"/>
                <w:color w:val="auto"/>
              </w:rPr>
            </w:pPr>
          </w:p>
        </w:tc>
        <w:tc>
          <w:tcPr>
            <w:tcW w:w="200" w:type="dxa"/>
            <w:vAlign w:val="bottom"/>
            <w:tcBorders>
              <w:bottom w:val="single" w:sz="8" w:color="0076A8"/>
            </w:tcBorders>
          </w:tcPr>
          <w:p>
            <w:pPr>
              <w:jc w:val="right"/>
              <w:spacing w:after="0"/>
              <w:rPr>
                <w:rFonts w:ascii="Arial" w:cs="Arial" w:eastAsia="Arial" w:hAnsi="Arial"/>
                <w:sz w:val="23"/>
                <w:szCs w:val="23"/>
                <w:color w:val="0076A8"/>
                <w:w w:val="70"/>
              </w:rPr>
            </w:pPr>
            <w:hyperlink w:anchor="page78">
              <w:r>
                <w:rPr>
                  <w:rFonts w:ascii="Arial" w:cs="Arial" w:eastAsia="Arial" w:hAnsi="Arial"/>
                  <w:sz w:val="23"/>
                  <w:szCs w:val="23"/>
                  <w:color w:val="0076A8"/>
                  <w:w w:val="70"/>
                </w:rPr>
                <w:t>74</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260" w:type="dxa"/>
            <w:vAlign w:val="bottom"/>
            <w:tcBorders>
              <w:bottom w:val="single" w:sz="8" w:color="0076A8"/>
            </w:tcBorders>
            <w:gridSpan w:val="2"/>
            <w:vMerge w:val="continue"/>
          </w:tcPr>
          <w:p>
            <w:pPr>
              <w:spacing w:after="0"/>
              <w:rPr>
                <w:sz w:val="5"/>
                <w:szCs w:val="5"/>
                <w:color w:val="auto"/>
              </w:rPr>
            </w:pPr>
          </w:p>
        </w:tc>
        <w:tc>
          <w:tcPr>
            <w:tcW w:w="580" w:type="dxa"/>
            <w:vAlign w:val="bottom"/>
          </w:tcPr>
          <w:p>
            <w:pPr>
              <w:spacing w:after="0"/>
              <w:rPr>
                <w:sz w:val="5"/>
                <w:szCs w:val="5"/>
                <w:color w:val="auto"/>
              </w:rPr>
            </w:pPr>
          </w:p>
        </w:tc>
        <w:tc>
          <w:tcPr>
            <w:tcW w:w="1440" w:type="dxa"/>
            <w:vAlign w:val="bottom"/>
            <w:gridSpan w:val="4"/>
            <w:vMerge w:val="restart"/>
          </w:tcPr>
          <w:p>
            <w:pPr>
              <w:spacing w:after="0"/>
              <w:rPr>
                <w:rFonts w:ascii="Arial" w:cs="Arial" w:eastAsia="Arial" w:hAnsi="Arial"/>
                <w:sz w:val="23"/>
                <w:szCs w:val="23"/>
                <w:color w:val="0076A8"/>
              </w:rPr>
            </w:pPr>
            <w:hyperlink w:anchor="page78">
              <w:r>
                <w:rPr>
                  <w:rFonts w:ascii="Arial" w:cs="Arial" w:eastAsia="Arial" w:hAnsi="Arial"/>
                  <w:sz w:val="23"/>
                  <w:szCs w:val="23"/>
                  <w:color w:val="0076A8"/>
                </w:rPr>
                <w:t>Other Matters</w:t>
              </w:r>
            </w:hyperlink>
          </w:p>
        </w:tc>
        <w:tc>
          <w:tcPr>
            <w:tcW w:w="2500" w:type="dxa"/>
            <w:vAlign w:val="bottom"/>
            <w:gridSpan w:val="12"/>
            <w:vMerge w:val="restart"/>
          </w:tcPr>
          <w:p>
            <w:pPr>
              <w:spacing w:after="0"/>
              <w:rPr>
                <w:sz w:val="5"/>
                <w:szCs w:val="5"/>
                <w:color w:val="auto"/>
              </w:rPr>
            </w:pPr>
          </w:p>
        </w:tc>
        <w:tc>
          <w:tcPr>
            <w:tcW w:w="200" w:type="dxa"/>
            <w:vAlign w:val="bottom"/>
            <w:vMerge w:val="restart"/>
          </w:tcPr>
          <w:p>
            <w:pPr>
              <w:jc w:val="right"/>
              <w:spacing w:after="0"/>
              <w:rPr>
                <w:rFonts w:ascii="Arial" w:cs="Arial" w:eastAsia="Arial" w:hAnsi="Arial"/>
                <w:sz w:val="23"/>
                <w:szCs w:val="23"/>
                <w:color w:val="0076A8"/>
                <w:w w:val="70"/>
              </w:rPr>
            </w:pPr>
            <w:hyperlink w:anchor="page78">
              <w:r>
                <w:rPr>
                  <w:rFonts w:ascii="Arial" w:cs="Arial" w:eastAsia="Arial" w:hAnsi="Arial"/>
                  <w:sz w:val="23"/>
                  <w:szCs w:val="23"/>
                  <w:color w:val="0076A8"/>
                  <w:w w:val="70"/>
                </w:rPr>
                <w:t>74</w:t>
              </w:r>
            </w:hyperlink>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351"/>
        </w:trPr>
        <w:tc>
          <w:tcPr>
            <w:tcW w:w="60" w:type="dxa"/>
            <w:vAlign w:val="bottom"/>
          </w:tcPr>
          <w:p>
            <w:pPr>
              <w:spacing w:after="0"/>
              <w:rPr>
                <w:sz w:val="24"/>
                <w:szCs w:val="24"/>
                <w:color w:val="auto"/>
              </w:rPr>
            </w:pPr>
          </w:p>
        </w:tc>
        <w:tc>
          <w:tcPr>
            <w:tcW w:w="200" w:type="dxa"/>
            <w:vAlign w:val="bottom"/>
            <w:tcBorders>
              <w:bottom w:val="single" w:sz="8" w:color="0000EE"/>
            </w:tcBorders>
          </w:tcPr>
          <w:p>
            <w:pPr>
              <w:jc w:val="right"/>
              <w:spacing w:after="0"/>
              <w:rPr>
                <w:rFonts w:ascii="Arial" w:cs="Arial" w:eastAsia="Arial" w:hAnsi="Arial"/>
                <w:sz w:val="18"/>
                <w:szCs w:val="18"/>
                <w:color w:val="0000EE"/>
                <w:w w:val="89"/>
              </w:rPr>
            </w:pPr>
            <w:hyperlink w:anchor="page31">
              <w:r>
                <w:rPr>
                  <w:rFonts w:ascii="Arial" w:cs="Arial" w:eastAsia="Arial" w:hAnsi="Arial"/>
                  <w:sz w:val="18"/>
                  <w:szCs w:val="18"/>
                  <w:color w:val="0000EE"/>
                  <w:w w:val="89"/>
                </w:rPr>
                <w:t>27</w:t>
              </w:r>
            </w:hyperlink>
          </w:p>
        </w:tc>
        <w:tc>
          <w:tcPr>
            <w:tcW w:w="580" w:type="dxa"/>
            <w:vAlign w:val="bottom"/>
          </w:tcPr>
          <w:p>
            <w:pPr>
              <w:spacing w:after="0"/>
              <w:rPr>
                <w:sz w:val="24"/>
                <w:szCs w:val="24"/>
                <w:color w:val="auto"/>
              </w:rPr>
            </w:pPr>
          </w:p>
        </w:tc>
        <w:tc>
          <w:tcPr>
            <w:tcW w:w="1440" w:type="dxa"/>
            <w:vAlign w:val="bottom"/>
            <w:tcBorders>
              <w:bottom w:val="single" w:sz="8" w:color="0076A8"/>
            </w:tcBorders>
            <w:gridSpan w:val="4"/>
            <w:vMerge w:val="continue"/>
          </w:tcPr>
          <w:p>
            <w:pPr>
              <w:spacing w:after="0"/>
              <w:rPr>
                <w:sz w:val="24"/>
                <w:szCs w:val="24"/>
                <w:color w:val="auto"/>
              </w:rPr>
            </w:pPr>
          </w:p>
        </w:tc>
        <w:tc>
          <w:tcPr>
            <w:tcW w:w="2500" w:type="dxa"/>
            <w:vAlign w:val="bottom"/>
            <w:gridSpan w:val="12"/>
            <w:vMerge w:val="continue"/>
          </w:tcPr>
          <w:p>
            <w:pPr>
              <w:spacing w:after="0"/>
              <w:rPr>
                <w:sz w:val="24"/>
                <w:szCs w:val="24"/>
                <w:color w:val="auto"/>
              </w:rPr>
            </w:pPr>
          </w:p>
        </w:tc>
        <w:tc>
          <w:tcPr>
            <w:tcW w:w="200" w:type="dxa"/>
            <w:vAlign w:val="bottom"/>
            <w:tcBorders>
              <w:bottom w:val="single" w:sz="8" w:color="0076A8"/>
            </w:tcBorders>
            <w:vMerge w:val="continue"/>
          </w:tcPr>
          <w:p>
            <w:pPr>
              <w:spacing w:after="0"/>
              <w:rPr>
                <w:sz w:val="24"/>
                <w:szCs w:val="24"/>
                <w:color w:val="auto"/>
              </w:rPr>
            </w:pPr>
          </w:p>
        </w:tc>
        <w:tc>
          <w:tcPr>
            <w:tcW w:w="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260" w:type="dxa"/>
            <w:vAlign w:val="bottom"/>
            <w:gridSpan w:val="2"/>
          </w:tcPr>
          <w:p>
            <w:pPr>
              <w:jc w:val="right"/>
              <w:spacing w:after="0"/>
              <w:rPr>
                <w:rFonts w:ascii="Arial" w:cs="Arial" w:eastAsia="Arial" w:hAnsi="Arial"/>
                <w:sz w:val="23"/>
                <w:szCs w:val="23"/>
                <w:color w:val="0076A8"/>
                <w:w w:val="93"/>
              </w:rPr>
            </w:pPr>
            <w:hyperlink w:anchor="page32">
              <w:r>
                <w:rPr>
                  <w:rFonts w:ascii="Arial" w:cs="Arial" w:eastAsia="Arial" w:hAnsi="Arial"/>
                  <w:sz w:val="23"/>
                  <w:szCs w:val="23"/>
                  <w:color w:val="0076A8"/>
                  <w:w w:val="93"/>
                </w:rPr>
                <w:t>28</w:t>
              </w:r>
            </w:hyperlink>
          </w:p>
        </w:tc>
        <w:tc>
          <w:tcPr>
            <w:tcW w:w="580" w:type="dxa"/>
            <w:vAlign w:val="bottom"/>
          </w:tcPr>
          <w:p>
            <w:pPr>
              <w:spacing w:after="0"/>
              <w:rPr>
                <w:sz w:val="24"/>
                <w:szCs w:val="24"/>
                <w:color w:val="auto"/>
              </w:rPr>
            </w:pPr>
          </w:p>
        </w:tc>
        <w:tc>
          <w:tcPr>
            <w:tcW w:w="3940" w:type="dxa"/>
            <w:vAlign w:val="bottom"/>
            <w:gridSpan w:val="16"/>
          </w:tcPr>
          <w:p>
            <w:pPr>
              <w:spacing w:after="0"/>
              <w:rPr>
                <w:rFonts w:ascii="Arial" w:cs="Arial" w:eastAsia="Arial" w:hAnsi="Arial"/>
                <w:sz w:val="23"/>
                <w:szCs w:val="23"/>
                <w:color w:val="0076A8"/>
              </w:rPr>
            </w:pPr>
            <w:hyperlink w:anchor="page80">
              <w:r>
                <w:rPr>
                  <w:rFonts w:ascii="Arial" w:cs="Arial" w:eastAsia="Arial" w:hAnsi="Arial"/>
                  <w:sz w:val="23"/>
                  <w:szCs w:val="23"/>
                  <w:color w:val="0076A8"/>
                </w:rPr>
                <w:t>Appendix A: Provisions of</w:t>
              </w:r>
            </w:hyperlink>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 w:type="dxa"/>
            <w:vAlign w:val="bottom"/>
            <w:tcBorders>
              <w:top w:val="single" w:sz="8" w:color="0076A8"/>
            </w:tcBorders>
          </w:tcPr>
          <w:p>
            <w:pPr>
              <w:spacing w:after="0"/>
              <w:rPr>
                <w:sz w:val="18"/>
                <w:szCs w:val="18"/>
                <w:color w:val="auto"/>
              </w:rPr>
            </w:pPr>
          </w:p>
        </w:tc>
        <w:tc>
          <w:tcPr>
            <w:tcW w:w="200" w:type="dxa"/>
            <w:vAlign w:val="bottom"/>
            <w:tcBorders>
              <w:top w:val="single" w:sz="8" w:color="0076A8"/>
            </w:tcBorders>
          </w:tcPr>
          <w:p>
            <w:pPr>
              <w:spacing w:after="0"/>
              <w:rPr>
                <w:sz w:val="18"/>
                <w:szCs w:val="18"/>
                <w:color w:val="auto"/>
              </w:rPr>
            </w:pPr>
          </w:p>
        </w:tc>
        <w:tc>
          <w:tcPr>
            <w:tcW w:w="580" w:type="dxa"/>
            <w:vAlign w:val="bottom"/>
          </w:tcPr>
          <w:p>
            <w:pPr>
              <w:spacing w:after="0"/>
              <w:rPr>
                <w:sz w:val="18"/>
                <w:szCs w:val="18"/>
                <w:color w:val="auto"/>
              </w:rPr>
            </w:pPr>
          </w:p>
        </w:tc>
        <w:tc>
          <w:tcPr>
            <w:tcW w:w="2660" w:type="dxa"/>
            <w:vAlign w:val="bottom"/>
            <w:tcBorders>
              <w:top w:val="single" w:sz="8" w:color="0076A8"/>
              <w:bottom w:val="single" w:sz="8" w:color="0076A8"/>
            </w:tcBorders>
            <w:gridSpan w:val="11"/>
          </w:tcPr>
          <w:p>
            <w:pPr>
              <w:spacing w:after="0" w:line="216" w:lineRule="exact"/>
              <w:rPr>
                <w:rFonts w:ascii="Arial" w:cs="Arial" w:eastAsia="Arial" w:hAnsi="Arial"/>
                <w:sz w:val="23"/>
                <w:szCs w:val="23"/>
                <w:color w:val="0076A8"/>
                <w:w w:val="93"/>
              </w:rPr>
            </w:pPr>
            <w:hyperlink w:anchor="page80">
              <w:r>
                <w:rPr>
                  <w:rFonts w:ascii="Arial" w:cs="Arial" w:eastAsia="Arial" w:hAnsi="Arial"/>
                  <w:sz w:val="23"/>
                  <w:szCs w:val="23"/>
                  <w:color w:val="0076A8"/>
                  <w:w w:val="93"/>
                </w:rPr>
                <w:t>Charter Subject to Potential</w:t>
              </w:r>
            </w:hyperlink>
          </w:p>
        </w:tc>
        <w:tc>
          <w:tcPr>
            <w:tcW w:w="200" w:type="dxa"/>
            <w:vAlign w:val="bottom"/>
            <w:tcBorders>
              <w:bottom w:val="single" w:sz="8" w:color="0076A8"/>
            </w:tcBorders>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gridSpan w:val="2"/>
            <w:vMerge w:val="restart"/>
          </w:tcPr>
          <w:p>
            <w:pPr>
              <w:jc w:val="right"/>
              <w:ind w:right="20"/>
              <w:spacing w:after="0"/>
              <w:rPr>
                <w:rFonts w:ascii="Arial" w:cs="Arial" w:eastAsia="Arial" w:hAnsi="Arial"/>
                <w:sz w:val="23"/>
                <w:szCs w:val="23"/>
                <w:color w:val="0076A8"/>
                <w:w w:val="70"/>
              </w:rPr>
            </w:pPr>
            <w:hyperlink w:anchor="page80">
              <w:r>
                <w:rPr>
                  <w:rFonts w:ascii="Arial" w:cs="Arial" w:eastAsia="Arial" w:hAnsi="Arial"/>
                  <w:sz w:val="23"/>
                  <w:szCs w:val="23"/>
                  <w:color w:val="0076A8"/>
                  <w:w w:val="70"/>
                </w:rPr>
                <w:t>76</w:t>
              </w:r>
            </w:hyperlink>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60" w:type="dxa"/>
            <w:vAlign w:val="bottom"/>
            <w:gridSpan w:val="12"/>
          </w:tcPr>
          <w:p>
            <w:pPr>
              <w:spacing w:after="0" w:line="210" w:lineRule="exact"/>
              <w:rPr>
                <w:rFonts w:ascii="Arial" w:cs="Arial" w:eastAsia="Arial" w:hAnsi="Arial"/>
                <w:sz w:val="23"/>
                <w:szCs w:val="23"/>
                <w:color w:val="0076A8"/>
              </w:rPr>
            </w:pPr>
            <w:hyperlink w:anchor="page80">
              <w:r>
                <w:rPr>
                  <w:rFonts w:ascii="Arial" w:cs="Arial" w:eastAsia="Arial" w:hAnsi="Arial"/>
                  <w:sz w:val="23"/>
                  <w:szCs w:val="23"/>
                  <w:color w:val="0076A8"/>
                </w:rPr>
                <w:t>Amendment</w:t>
              </w:r>
            </w:hyperlink>
          </w:p>
        </w:tc>
        <w:tc>
          <w:tcPr>
            <w:tcW w:w="20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shd w:val="clear" w:color="auto" w:fill="0076A8"/>
          </w:tcPr>
          <w:p>
            <w:pPr>
              <w:spacing w:after="0" w:line="20" w:lineRule="exact"/>
              <w:rPr>
                <w:sz w:val="1"/>
                <w:szCs w:val="1"/>
                <w:color w:val="auto"/>
              </w:rPr>
            </w:pPr>
          </w:p>
        </w:tc>
        <w:tc>
          <w:tcPr>
            <w:tcW w:w="900" w:type="dxa"/>
            <w:vAlign w:val="bottom"/>
            <w:shd w:val="clear" w:color="auto" w:fill="0076A8"/>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20" w:type="dxa"/>
            <w:vAlign w:val="bottom"/>
            <w:tcBorders>
              <w:right w:val="single" w:sz="8" w:color="0076A8"/>
            </w:tcBorders>
          </w:tcPr>
          <w:p>
            <w:pPr>
              <w:spacing w:after="0" w:line="20" w:lineRule="exact"/>
              <w:rPr>
                <w:sz w:val="1"/>
                <w:szCs w:val="1"/>
                <w:color w:val="auto"/>
              </w:rPr>
            </w:pPr>
          </w:p>
        </w:tc>
        <w:tc>
          <w:tcPr>
            <w:tcW w:w="200" w:type="dxa"/>
            <w:vAlign w:val="bottom"/>
            <w:shd w:val="clear" w:color="auto" w:fill="0076A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260" w:type="dxa"/>
            <w:vAlign w:val="bottom"/>
            <w:gridSpan w:val="2"/>
            <w:vMerge w:val="restart"/>
          </w:tcPr>
          <w:p>
            <w:pPr>
              <w:jc w:val="right"/>
              <w:spacing w:after="0"/>
              <w:rPr>
                <w:rFonts w:ascii="Arial" w:cs="Arial" w:eastAsia="Arial" w:hAnsi="Arial"/>
                <w:sz w:val="23"/>
                <w:szCs w:val="23"/>
                <w:color w:val="0076A8"/>
                <w:w w:val="93"/>
              </w:rPr>
            </w:pPr>
            <w:hyperlink w:anchor="page33">
              <w:r>
                <w:rPr>
                  <w:rFonts w:ascii="Arial" w:cs="Arial" w:eastAsia="Arial" w:hAnsi="Arial"/>
                  <w:sz w:val="23"/>
                  <w:szCs w:val="23"/>
                  <w:color w:val="0076A8"/>
                  <w:w w:val="93"/>
                </w:rPr>
                <w:t>29</w:t>
              </w:r>
            </w:hyperlink>
          </w:p>
        </w:tc>
        <w:tc>
          <w:tcPr>
            <w:tcW w:w="580" w:type="dxa"/>
            <w:vAlign w:val="bottom"/>
          </w:tcPr>
          <w:p>
            <w:pPr>
              <w:spacing w:after="0"/>
              <w:rPr>
                <w:sz w:val="24"/>
                <w:szCs w:val="24"/>
                <w:color w:val="auto"/>
              </w:rPr>
            </w:pPr>
          </w:p>
        </w:tc>
        <w:tc>
          <w:tcPr>
            <w:tcW w:w="3940" w:type="dxa"/>
            <w:vAlign w:val="bottom"/>
            <w:gridSpan w:val="16"/>
          </w:tcPr>
          <w:p>
            <w:pPr>
              <w:spacing w:after="0"/>
              <w:rPr>
                <w:rFonts w:ascii="Arial" w:cs="Arial" w:eastAsia="Arial" w:hAnsi="Arial"/>
                <w:sz w:val="23"/>
                <w:szCs w:val="23"/>
                <w:color w:val="0076A8"/>
              </w:rPr>
            </w:pPr>
            <w:hyperlink w:anchor="page87">
              <w:r>
                <w:rPr>
                  <w:rFonts w:ascii="Arial" w:cs="Arial" w:eastAsia="Arial" w:hAnsi="Arial"/>
                  <w:sz w:val="23"/>
                  <w:szCs w:val="23"/>
                  <w:color w:val="0076A8"/>
                </w:rPr>
                <w:t>Appendix B: Unaudited</w:t>
              </w:r>
            </w:hyperlink>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60" w:type="dxa"/>
            <w:vAlign w:val="bottom"/>
            <w:gridSpan w:val="2"/>
            <w:vMerge w:val="continue"/>
          </w:tcPr>
          <w:p>
            <w:pPr>
              <w:spacing w:after="0"/>
              <w:rPr>
                <w:sz w:val="17"/>
                <w:szCs w:val="17"/>
                <w:color w:val="auto"/>
              </w:rPr>
            </w:pPr>
          </w:p>
        </w:tc>
        <w:tc>
          <w:tcPr>
            <w:tcW w:w="580" w:type="dxa"/>
            <w:vAlign w:val="bottom"/>
          </w:tcPr>
          <w:p>
            <w:pPr>
              <w:spacing w:after="0"/>
              <w:rPr>
                <w:sz w:val="17"/>
                <w:szCs w:val="17"/>
                <w:color w:val="auto"/>
              </w:rPr>
            </w:pPr>
          </w:p>
        </w:tc>
        <w:tc>
          <w:tcPr>
            <w:tcW w:w="2400" w:type="dxa"/>
            <w:vAlign w:val="bottom"/>
            <w:tcBorders>
              <w:top w:val="single" w:sz="8" w:color="0076A8"/>
            </w:tcBorders>
            <w:gridSpan w:val="9"/>
          </w:tcPr>
          <w:p>
            <w:pPr>
              <w:spacing w:after="0" w:line="183" w:lineRule="exact"/>
              <w:rPr>
                <w:rFonts w:ascii="Arial" w:cs="Arial" w:eastAsia="Arial" w:hAnsi="Arial"/>
                <w:sz w:val="21"/>
                <w:szCs w:val="21"/>
                <w:color w:val="0076A8"/>
              </w:rPr>
            </w:pPr>
            <w:hyperlink w:anchor="page87">
              <w:r>
                <w:rPr>
                  <w:rFonts w:ascii="Arial" w:cs="Arial" w:eastAsia="Arial" w:hAnsi="Arial"/>
                  <w:sz w:val="21"/>
                  <w:szCs w:val="21"/>
                  <w:color w:val="0076A8"/>
                </w:rPr>
                <w:t>Reconciliations of Non-</w:t>
              </w:r>
            </w:hyperlink>
          </w:p>
        </w:tc>
        <w:tc>
          <w:tcPr>
            <w:tcW w:w="1540" w:type="dxa"/>
            <w:vAlign w:val="bottom"/>
            <w:gridSpan w:val="7"/>
          </w:tcPr>
          <w:p>
            <w:pPr>
              <w:ind w:left="20"/>
              <w:spacing w:after="0" w:line="176" w:lineRule="exact"/>
              <w:rPr>
                <w:rFonts w:ascii="Arial" w:cs="Arial" w:eastAsia="Arial" w:hAnsi="Arial"/>
                <w:sz w:val="20"/>
                <w:szCs w:val="20"/>
                <w:color w:val="0076A8"/>
              </w:rPr>
            </w:pPr>
            <w:hyperlink w:anchor="page87">
              <w:r>
                <w:rPr>
                  <w:rFonts w:ascii="Arial" w:cs="Arial" w:eastAsia="Arial" w:hAnsi="Arial"/>
                  <w:sz w:val="20"/>
                  <w:szCs w:val="20"/>
                  <w:color w:val="0076A8"/>
                </w:rPr>
                <w:t>GAAP</w:t>
              </w:r>
            </w:hyperlink>
          </w:p>
        </w:tc>
        <w:tc>
          <w:tcPr>
            <w:tcW w:w="200" w:type="dxa"/>
            <w:vAlign w:val="bottom"/>
            <w:vMerge w:val="restart"/>
          </w:tcPr>
          <w:p>
            <w:pPr>
              <w:jc w:val="right"/>
              <w:spacing w:after="0"/>
              <w:rPr>
                <w:rFonts w:ascii="Arial" w:cs="Arial" w:eastAsia="Arial" w:hAnsi="Arial"/>
                <w:sz w:val="23"/>
                <w:szCs w:val="23"/>
                <w:color w:val="0076A8"/>
                <w:w w:val="70"/>
              </w:rPr>
            </w:pPr>
            <w:hyperlink w:anchor="page87">
              <w:r>
                <w:rPr>
                  <w:rFonts w:ascii="Arial" w:cs="Arial" w:eastAsia="Arial" w:hAnsi="Arial"/>
                  <w:sz w:val="23"/>
                  <w:szCs w:val="23"/>
                  <w:color w:val="0076A8"/>
                  <w:w w:val="70"/>
                </w:rPr>
                <w:t>83</w:t>
              </w:r>
            </w:hyperlink>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 w:type="dxa"/>
            <w:vAlign w:val="bottom"/>
            <w:tcBorders>
              <w:top w:val="single" w:sz="8" w:color="0076A8"/>
            </w:tcBorders>
          </w:tcPr>
          <w:p>
            <w:pPr>
              <w:spacing w:after="0"/>
              <w:rPr>
                <w:sz w:val="18"/>
                <w:szCs w:val="18"/>
                <w:color w:val="auto"/>
              </w:rPr>
            </w:pPr>
          </w:p>
        </w:tc>
        <w:tc>
          <w:tcPr>
            <w:tcW w:w="200" w:type="dxa"/>
            <w:vAlign w:val="bottom"/>
            <w:tcBorders>
              <w:top w:val="single" w:sz="8" w:color="0076A8"/>
            </w:tcBorders>
          </w:tcPr>
          <w:p>
            <w:pPr>
              <w:spacing w:after="0"/>
              <w:rPr>
                <w:sz w:val="18"/>
                <w:szCs w:val="18"/>
                <w:color w:val="auto"/>
              </w:rPr>
            </w:pPr>
          </w:p>
        </w:tc>
        <w:tc>
          <w:tcPr>
            <w:tcW w:w="580" w:type="dxa"/>
            <w:vAlign w:val="bottom"/>
          </w:tcPr>
          <w:p>
            <w:pPr>
              <w:spacing w:after="0"/>
              <w:rPr>
                <w:sz w:val="18"/>
                <w:szCs w:val="18"/>
                <w:color w:val="auto"/>
              </w:rPr>
            </w:pPr>
          </w:p>
        </w:tc>
        <w:tc>
          <w:tcPr>
            <w:tcW w:w="2040" w:type="dxa"/>
            <w:vAlign w:val="bottom"/>
            <w:tcBorders>
              <w:top w:val="single" w:sz="8" w:color="0076A8"/>
              <w:bottom w:val="single" w:sz="8" w:color="0076A8"/>
            </w:tcBorders>
            <w:gridSpan w:val="5"/>
          </w:tcPr>
          <w:p>
            <w:pPr>
              <w:spacing w:after="0" w:line="216" w:lineRule="exact"/>
              <w:rPr>
                <w:rFonts w:ascii="Arial" w:cs="Arial" w:eastAsia="Arial" w:hAnsi="Arial"/>
                <w:sz w:val="23"/>
                <w:szCs w:val="23"/>
                <w:color w:val="0076A8"/>
              </w:rPr>
            </w:pPr>
            <w:hyperlink w:anchor="page87">
              <w:r>
                <w:rPr>
                  <w:rFonts w:ascii="Arial" w:cs="Arial" w:eastAsia="Arial" w:hAnsi="Arial"/>
                  <w:sz w:val="23"/>
                  <w:szCs w:val="23"/>
                  <w:color w:val="0076A8"/>
                </w:rPr>
                <w:t>Financial Measures</w:t>
              </w:r>
            </w:hyperlink>
          </w:p>
        </w:tc>
        <w:tc>
          <w:tcPr>
            <w:tcW w:w="1020" w:type="dxa"/>
            <w:vAlign w:val="bottom"/>
            <w:tcBorders>
              <w:top w:val="single" w:sz="8" w:color="0076A8"/>
            </w:tcBorders>
            <w:gridSpan w:val="8"/>
          </w:tcPr>
          <w:p>
            <w:pPr>
              <w:spacing w:after="0"/>
              <w:rPr>
                <w:sz w:val="18"/>
                <w:szCs w:val="18"/>
                <w:color w:val="auto"/>
              </w:rPr>
            </w:pPr>
          </w:p>
        </w:tc>
        <w:tc>
          <w:tcPr>
            <w:tcW w:w="360" w:type="dxa"/>
            <w:vAlign w:val="bottom"/>
            <w:gridSpan w:val="2"/>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Borders>
              <w:bottom w:val="single" w:sz="8" w:color="0076A8"/>
            </w:tcBorders>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8"/>
        </w:trPr>
        <w:tc>
          <w:tcPr>
            <w:tcW w:w="260" w:type="dxa"/>
            <w:vAlign w:val="bottom"/>
            <w:gridSpan w:val="2"/>
            <w:vMerge w:val="restart"/>
          </w:tcPr>
          <w:p>
            <w:pPr>
              <w:jc w:val="right"/>
              <w:spacing w:after="0"/>
              <w:rPr>
                <w:rFonts w:ascii="Arial" w:cs="Arial" w:eastAsia="Arial" w:hAnsi="Arial"/>
                <w:sz w:val="23"/>
                <w:szCs w:val="23"/>
                <w:color w:val="0076A8"/>
                <w:w w:val="93"/>
              </w:rPr>
            </w:pPr>
            <w:hyperlink w:anchor="page34">
              <w:r>
                <w:rPr>
                  <w:rFonts w:ascii="Arial" w:cs="Arial" w:eastAsia="Arial" w:hAnsi="Arial"/>
                  <w:sz w:val="23"/>
                  <w:szCs w:val="23"/>
                  <w:color w:val="0076A8"/>
                  <w:w w:val="93"/>
                </w:rPr>
                <w:t>30</w:t>
              </w:r>
            </w:hyperlink>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580" w:type="dxa"/>
            <w:vAlign w:val="bottom"/>
            <w:gridSpan w:val="15"/>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Discussion Regarding the Use of Non-</w:t>
              </w:r>
            </w:hyperlink>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260" w:type="dxa"/>
            <w:vAlign w:val="bottom"/>
            <w:tcBorders>
              <w:bottom w:val="single" w:sz="8" w:color="0076A8"/>
            </w:tcBorders>
            <w:gridSpan w:val="2"/>
            <w:vMerge w:val="continue"/>
          </w:tcPr>
          <w:p>
            <w:pPr>
              <w:spacing w:after="0"/>
              <w:rPr>
                <w:sz w:val="6"/>
                <w:szCs w:val="6"/>
                <w:color w:val="auto"/>
              </w:rPr>
            </w:pPr>
          </w:p>
        </w:tc>
        <w:tc>
          <w:tcPr>
            <w:tcW w:w="580" w:type="dxa"/>
            <w:vAlign w:val="bottom"/>
          </w:tcPr>
          <w:p>
            <w:pPr>
              <w:spacing w:after="0"/>
              <w:rPr>
                <w:sz w:val="6"/>
                <w:szCs w:val="6"/>
                <w:color w:val="auto"/>
              </w:rPr>
            </w:pPr>
          </w:p>
        </w:tc>
        <w:tc>
          <w:tcPr>
            <w:tcW w:w="360" w:type="dxa"/>
            <w:vAlign w:val="bottom"/>
            <w:vMerge w:val="restart"/>
          </w:tcPr>
          <w:p>
            <w:pPr>
              <w:spacing w:after="0"/>
              <w:rPr>
                <w:sz w:val="6"/>
                <w:szCs w:val="6"/>
                <w:color w:val="auto"/>
              </w:rPr>
            </w:pPr>
          </w:p>
        </w:tc>
        <w:tc>
          <w:tcPr>
            <w:tcW w:w="3060" w:type="dxa"/>
            <w:vAlign w:val="bottom"/>
            <w:tcBorders>
              <w:top w:val="single" w:sz="8" w:color="0000EE"/>
              <w:bottom w:val="single" w:sz="8" w:color="0000EE"/>
            </w:tcBorders>
            <w:gridSpan w:val="14"/>
            <w:vMerge w:val="restart"/>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GAAP Financial Measures</w:t>
              </w:r>
            </w:hyperlink>
          </w:p>
        </w:tc>
        <w:tc>
          <w:tcPr>
            <w:tcW w:w="520" w:type="dxa"/>
            <w:vAlign w:val="bottom"/>
            <w:vMerge w:val="restart"/>
          </w:tcPr>
          <w:p>
            <w:pPr>
              <w:spacing w:after="0"/>
              <w:rPr>
                <w:sz w:val="6"/>
                <w:szCs w:val="6"/>
                <w:color w:val="auto"/>
              </w:rPr>
            </w:pPr>
          </w:p>
        </w:tc>
        <w:tc>
          <w:tcPr>
            <w:tcW w:w="220" w:type="dxa"/>
            <w:vAlign w:val="bottom"/>
            <w:gridSpan w:val="2"/>
            <w:vMerge w:val="restart"/>
          </w:tcPr>
          <w:p>
            <w:pPr>
              <w:jc w:val="right"/>
              <w:ind w:right="20"/>
              <w:spacing w:after="0"/>
              <w:rPr>
                <w:rFonts w:ascii="Arial" w:cs="Arial" w:eastAsia="Arial" w:hAnsi="Arial"/>
                <w:sz w:val="18"/>
                <w:szCs w:val="18"/>
                <w:color w:val="0000EE"/>
                <w:w w:val="89"/>
              </w:rPr>
            </w:pPr>
            <w:hyperlink w:anchor="page88">
              <w:r>
                <w:rPr>
                  <w:rFonts w:ascii="Arial" w:cs="Arial" w:eastAsia="Arial" w:hAnsi="Arial"/>
                  <w:sz w:val="18"/>
                  <w:szCs w:val="18"/>
                  <w:color w:val="0000EE"/>
                  <w:w w:val="89"/>
                </w:rPr>
                <w:t>84</w:t>
              </w:r>
            </w:hyperlink>
          </w:p>
        </w:tc>
        <w:tc>
          <w:tcPr>
            <w:tcW w:w="0" w:type="dxa"/>
            <w:vAlign w:val="bottom"/>
          </w:tcPr>
          <w:p>
            <w:pPr>
              <w:spacing w:after="0"/>
              <w:rPr>
                <w:sz w:val="1"/>
                <w:szCs w:val="1"/>
                <w:color w:val="auto"/>
              </w:rPr>
            </w:pPr>
          </w:p>
        </w:tc>
      </w:tr>
      <w:tr>
        <w:trPr>
          <w:trHeight w:val="115"/>
        </w:trPr>
        <w:tc>
          <w:tcPr>
            <w:tcW w:w="60" w:type="dxa"/>
            <w:vAlign w:val="bottom"/>
            <w:vMerge w:val="restart"/>
          </w:tcPr>
          <w:p>
            <w:pPr>
              <w:spacing w:after="0"/>
              <w:rPr>
                <w:sz w:val="10"/>
                <w:szCs w:val="10"/>
                <w:color w:val="auto"/>
              </w:rPr>
            </w:pPr>
          </w:p>
        </w:tc>
        <w:tc>
          <w:tcPr>
            <w:tcW w:w="200" w:type="dxa"/>
            <w:vAlign w:val="bottom"/>
            <w:vMerge w:val="restart"/>
          </w:tcPr>
          <w:p>
            <w:pPr>
              <w:jc w:val="right"/>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30</w:t>
              </w:r>
            </w:hyperlink>
          </w:p>
        </w:tc>
        <w:tc>
          <w:tcPr>
            <w:tcW w:w="580" w:type="dxa"/>
            <w:vAlign w:val="bottom"/>
          </w:tcPr>
          <w:p>
            <w:pPr>
              <w:spacing w:after="0"/>
              <w:rPr>
                <w:sz w:val="10"/>
                <w:szCs w:val="10"/>
                <w:color w:val="auto"/>
              </w:rPr>
            </w:pPr>
          </w:p>
        </w:tc>
        <w:tc>
          <w:tcPr>
            <w:tcW w:w="360" w:type="dxa"/>
            <w:vAlign w:val="bottom"/>
            <w:vMerge w:val="continue"/>
          </w:tcPr>
          <w:p>
            <w:pPr>
              <w:spacing w:after="0"/>
              <w:rPr>
                <w:sz w:val="10"/>
                <w:szCs w:val="10"/>
                <w:color w:val="auto"/>
              </w:rPr>
            </w:pPr>
          </w:p>
        </w:tc>
        <w:tc>
          <w:tcPr>
            <w:tcW w:w="3060" w:type="dxa"/>
            <w:vAlign w:val="bottom"/>
            <w:gridSpan w:val="14"/>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2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1"/>
        </w:trPr>
        <w:tc>
          <w:tcPr>
            <w:tcW w:w="60" w:type="dxa"/>
            <w:vAlign w:val="bottom"/>
            <w:vMerge w:val="continue"/>
          </w:tcPr>
          <w:p>
            <w:pPr>
              <w:spacing w:after="0"/>
              <w:rPr>
                <w:sz w:val="17"/>
                <w:szCs w:val="17"/>
                <w:color w:val="auto"/>
              </w:rPr>
            </w:pPr>
          </w:p>
        </w:tc>
        <w:tc>
          <w:tcPr>
            <w:tcW w:w="200" w:type="dxa"/>
            <w:vAlign w:val="bottom"/>
            <w:tcBorders>
              <w:bottom w:val="single" w:sz="8" w:color="0000EE"/>
            </w:tcBorders>
            <w:vMerge w:val="continue"/>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7"/>
        </w:trPr>
        <w:tc>
          <w:tcPr>
            <w:tcW w:w="60" w:type="dxa"/>
            <w:vAlign w:val="bottom"/>
          </w:tcPr>
          <w:p>
            <w:pPr>
              <w:spacing w:after="0"/>
              <w:rPr>
                <w:sz w:val="24"/>
                <w:szCs w:val="24"/>
                <w:color w:val="auto"/>
              </w:rPr>
            </w:pPr>
          </w:p>
        </w:tc>
        <w:tc>
          <w:tcPr>
            <w:tcW w:w="200" w:type="dxa"/>
            <w:vAlign w:val="bottom"/>
            <w:tcBorders>
              <w:bottom w:val="single" w:sz="8" w:color="0000EE"/>
            </w:tcBorders>
          </w:tcPr>
          <w:p>
            <w:pPr>
              <w:jc w:val="right"/>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31</w:t>
              </w:r>
            </w:hyperlink>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91" w:lineRule="exact"/>
        <w:rPr>
          <w:sz w:val="20"/>
          <w:szCs w:val="20"/>
          <w:color w:val="auto"/>
        </w:rPr>
      </w:pPr>
    </w:p>
    <w:p>
      <w:pPr>
        <w:ind w:left="60"/>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44</w:t>
        </w:r>
      </w:hyperlink>
    </w:p>
    <w:p>
      <w:pPr>
        <w:spacing w:after="0" w:line="158" w:lineRule="exact"/>
        <w:rPr>
          <w:sz w:val="20"/>
          <w:szCs w:val="20"/>
          <w:color w:val="auto"/>
        </w:rPr>
      </w:pPr>
    </w:p>
    <w:p>
      <w:pPr>
        <w:ind w:left="60"/>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55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452120</wp:posOffset>
            </wp:positionV>
            <wp:extent cx="779780" cy="2571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9780" cy="2571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520" w:space="280"/>
            <w:col w:w="5260"/>
          </w:cols>
          <w:pgMar w:left="580" w:top="132" w:right="1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8860"/>
        <w:spacing w:after="0"/>
        <w:rPr>
          <w:sz w:val="20"/>
          <w:szCs w:val="20"/>
          <w:color w:val="auto"/>
        </w:rPr>
      </w:pP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177800</wp:posOffset>
            </wp:positionV>
            <wp:extent cx="68319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132" w:right="1259" w:bottom="1440" w:gutter="0" w:footer="0" w:header="0"/>
          <w:type w:val="continuous"/>
        </w:sectPr>
      </w:pPr>
    </w:p>
    <w:bookmarkStart w:id="5" w:name="page6"/>
    <w:bookmarkEnd w:id="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2248535</wp:posOffset>
            </wp:positionH>
            <wp:positionV relativeFrom="paragraph">
              <wp:posOffset>400050</wp:posOffset>
            </wp:positionV>
            <wp:extent cx="2305685" cy="763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305685" cy="76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240"/>
        <w:spacing w:after="0"/>
        <w:rPr>
          <w:sz w:val="20"/>
          <w:szCs w:val="20"/>
          <w:color w:val="auto"/>
        </w:rPr>
      </w:pPr>
      <w:r>
        <w:rPr>
          <w:rFonts w:ascii="Arial" w:cs="Arial" w:eastAsia="Arial" w:hAnsi="Arial"/>
          <w:sz w:val="32"/>
          <w:szCs w:val="32"/>
          <w:b w:val="1"/>
          <w:bCs w:val="1"/>
          <w:color w:val="0076A8"/>
        </w:rPr>
        <w:t>PROXY STATEMENT SUMMARY</w:t>
      </w:r>
    </w:p>
    <w:p>
      <w:pPr>
        <w:spacing w:after="0" w:line="259" w:lineRule="exact"/>
        <w:rPr>
          <w:sz w:val="20"/>
          <w:szCs w:val="20"/>
          <w:color w:val="auto"/>
        </w:rPr>
      </w:pPr>
    </w:p>
    <w:p>
      <w:pPr>
        <w:ind w:left="660" w:right="900"/>
        <w:spacing w:after="0" w:line="256" w:lineRule="auto"/>
        <w:rPr>
          <w:sz w:val="20"/>
          <w:szCs w:val="20"/>
          <w:color w:val="auto"/>
        </w:rPr>
      </w:pPr>
      <w:r>
        <w:rPr>
          <w:rFonts w:ascii="Arial" w:cs="Arial" w:eastAsia="Arial" w:hAnsi="Arial"/>
          <w:sz w:val="20"/>
          <w:szCs w:val="20"/>
          <w:color w:val="191919"/>
        </w:rPr>
        <w:t>This summary highlights financial and other accomplishments during fiscal year 2021, as well as information generally contained elsewhere in this Proxy Statement. This summary does not contain all of the information that you should consider in advance of the 2022 Annual Meeting of Stockholders, and we encourage you to read the entire Proxy Statement before voting your shares.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2022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1099820</wp:posOffset>
            </wp:positionH>
            <wp:positionV relativeFrom="paragraph">
              <wp:posOffset>123825</wp:posOffset>
            </wp:positionV>
            <wp:extent cx="454025" cy="4546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54025" cy="454660"/>
                    </a:xfrm>
                    <a:prstGeom prst="rect">
                      <a:avLst/>
                    </a:prstGeom>
                    <a:noFill/>
                  </pic:spPr>
                </pic:pic>
              </a:graphicData>
            </a:graphic>
          </wp:anchor>
        </w:drawing>
        <w:drawing>
          <wp:anchor simplePos="0" relativeHeight="251657728" behindDoc="1" locked="0" layoutInCell="0" allowOverlap="1">
            <wp:simplePos x="0" y="0"/>
            <wp:positionH relativeFrom="column">
              <wp:posOffset>3140075</wp:posOffset>
            </wp:positionH>
            <wp:positionV relativeFrom="paragraph">
              <wp:posOffset>123825</wp:posOffset>
            </wp:positionV>
            <wp:extent cx="514350" cy="4718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350" cy="471805"/>
                    </a:xfrm>
                    <a:prstGeom prst="rect">
                      <a:avLst/>
                    </a:prstGeom>
                    <a:noFill/>
                  </pic:spPr>
                </pic:pic>
              </a:graphicData>
            </a:graphic>
          </wp:anchor>
        </w:drawing>
        <w:drawing>
          <wp:anchor simplePos="0" relativeHeight="251657728" behindDoc="1" locked="0" layoutInCell="0" allowOverlap="1">
            <wp:simplePos x="0" y="0"/>
            <wp:positionH relativeFrom="column">
              <wp:posOffset>5248910</wp:posOffset>
            </wp:positionH>
            <wp:positionV relativeFrom="paragraph">
              <wp:posOffset>123825</wp:posOffset>
            </wp:positionV>
            <wp:extent cx="454025" cy="4546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54025"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1400" w:type="dxa"/>
        <w:tblCellMar>
          <w:top w:w="0" w:type="dxa"/>
          <w:left w:w="0" w:type="dxa"/>
          <w:bottom w:w="0" w:type="dxa"/>
          <w:right w:w="0" w:type="dxa"/>
        </w:tblCellMar>
      </w:tblPr>
      <w:tr>
        <w:trPr>
          <w:trHeight w:val="253"/>
        </w:trPr>
        <w:tc>
          <w:tcPr>
            <w:tcW w:w="1860" w:type="dxa"/>
            <w:vAlign w:val="bottom"/>
          </w:tcPr>
          <w:p>
            <w:pPr>
              <w:jc w:val="center"/>
              <w:ind w:right="381"/>
              <w:spacing w:after="0"/>
              <w:rPr>
                <w:sz w:val="20"/>
                <w:szCs w:val="20"/>
                <w:color w:val="auto"/>
              </w:rPr>
            </w:pPr>
            <w:r>
              <w:rPr>
                <w:rFonts w:ascii="Arial" w:cs="Arial" w:eastAsia="Arial" w:hAnsi="Arial"/>
                <w:sz w:val="20"/>
                <w:szCs w:val="20"/>
                <w:b w:val="1"/>
                <w:bCs w:val="1"/>
                <w:color w:val="auto"/>
                <w:w w:val="97"/>
              </w:rPr>
              <w:t>Date and Time</w:t>
            </w:r>
          </w:p>
        </w:tc>
        <w:tc>
          <w:tcPr>
            <w:tcW w:w="4200" w:type="dxa"/>
            <w:vAlign w:val="bottom"/>
          </w:tcPr>
          <w:p>
            <w:pPr>
              <w:jc w:val="center"/>
              <w:spacing w:after="0"/>
              <w:rPr>
                <w:sz w:val="20"/>
                <w:szCs w:val="20"/>
                <w:color w:val="auto"/>
              </w:rPr>
            </w:pPr>
            <w:r>
              <w:rPr>
                <w:rFonts w:ascii="Arial" w:cs="Arial" w:eastAsia="Arial" w:hAnsi="Arial"/>
                <w:sz w:val="20"/>
                <w:szCs w:val="20"/>
                <w:b w:val="1"/>
                <w:bCs w:val="1"/>
                <w:color w:val="auto"/>
                <w:w w:val="98"/>
              </w:rPr>
              <w:t>Location</w:t>
            </w:r>
          </w:p>
        </w:tc>
        <w:tc>
          <w:tcPr>
            <w:tcW w:w="1840" w:type="dxa"/>
            <w:vAlign w:val="bottom"/>
          </w:tcPr>
          <w:p>
            <w:pPr>
              <w:jc w:val="center"/>
              <w:ind w:left="381"/>
              <w:spacing w:after="0"/>
              <w:rPr>
                <w:sz w:val="20"/>
                <w:szCs w:val="20"/>
                <w:color w:val="auto"/>
              </w:rPr>
            </w:pPr>
            <w:r>
              <w:rPr>
                <w:rFonts w:ascii="Arial" w:cs="Arial" w:eastAsia="Arial" w:hAnsi="Arial"/>
                <w:sz w:val="20"/>
                <w:szCs w:val="20"/>
                <w:b w:val="1"/>
                <w:bCs w:val="1"/>
                <w:color w:val="auto"/>
                <w:w w:val="98"/>
              </w:rPr>
              <w:t>Record Date</w:t>
            </w:r>
          </w:p>
        </w:tc>
      </w:tr>
      <w:tr>
        <w:trPr>
          <w:trHeight w:val="229"/>
        </w:trPr>
        <w:tc>
          <w:tcPr>
            <w:tcW w:w="1860" w:type="dxa"/>
            <w:vAlign w:val="bottom"/>
          </w:tcPr>
          <w:p>
            <w:pPr>
              <w:jc w:val="center"/>
              <w:ind w:right="401"/>
              <w:spacing w:after="0"/>
              <w:rPr>
                <w:sz w:val="20"/>
                <w:szCs w:val="20"/>
                <w:color w:val="auto"/>
              </w:rPr>
            </w:pPr>
            <w:r>
              <w:rPr>
                <w:rFonts w:ascii="Arial" w:cs="Arial" w:eastAsia="Arial" w:hAnsi="Arial"/>
                <w:sz w:val="20"/>
                <w:szCs w:val="20"/>
                <w:color w:val="auto"/>
                <w:w w:val="98"/>
              </w:rPr>
              <w:t>May 11, 2022</w:t>
            </w:r>
          </w:p>
        </w:tc>
        <w:tc>
          <w:tcPr>
            <w:tcW w:w="4200" w:type="dxa"/>
            <w:vAlign w:val="bottom"/>
          </w:tcPr>
          <w:p>
            <w:pPr>
              <w:jc w:val="center"/>
              <w:spacing w:after="0"/>
              <w:rPr>
                <w:sz w:val="20"/>
                <w:szCs w:val="20"/>
                <w:color w:val="auto"/>
              </w:rPr>
            </w:pPr>
            <w:r>
              <w:rPr>
                <w:rFonts w:ascii="Arial" w:cs="Arial" w:eastAsia="Arial" w:hAnsi="Arial"/>
                <w:sz w:val="20"/>
                <w:szCs w:val="20"/>
                <w:color w:val="auto"/>
                <w:w w:val="98"/>
              </w:rPr>
              <w:t>www.virtualshareholdermeeting.com/</w:t>
            </w:r>
          </w:p>
        </w:tc>
        <w:tc>
          <w:tcPr>
            <w:tcW w:w="1840" w:type="dxa"/>
            <w:vAlign w:val="bottom"/>
          </w:tcPr>
          <w:p>
            <w:pPr>
              <w:jc w:val="center"/>
              <w:ind w:left="381"/>
              <w:spacing w:after="0"/>
              <w:rPr>
                <w:sz w:val="20"/>
                <w:szCs w:val="20"/>
                <w:color w:val="auto"/>
              </w:rPr>
            </w:pPr>
            <w:r>
              <w:rPr>
                <w:rFonts w:ascii="Arial" w:cs="Arial" w:eastAsia="Arial" w:hAnsi="Arial"/>
                <w:sz w:val="20"/>
                <w:szCs w:val="20"/>
                <w:color w:val="auto"/>
                <w:w w:val="97"/>
              </w:rPr>
              <w:t>March 17, 2022</w:t>
            </w:r>
          </w:p>
        </w:tc>
      </w:tr>
      <w:tr>
        <w:trPr>
          <w:trHeight w:val="237"/>
        </w:trPr>
        <w:tc>
          <w:tcPr>
            <w:tcW w:w="1860" w:type="dxa"/>
            <w:vAlign w:val="bottom"/>
          </w:tcPr>
          <w:p>
            <w:pPr>
              <w:jc w:val="center"/>
              <w:ind w:right="381"/>
              <w:spacing w:after="0"/>
              <w:rPr>
                <w:sz w:val="20"/>
                <w:szCs w:val="20"/>
                <w:color w:val="auto"/>
              </w:rPr>
            </w:pPr>
            <w:r>
              <w:rPr>
                <w:rFonts w:ascii="Arial" w:cs="Arial" w:eastAsia="Arial" w:hAnsi="Arial"/>
                <w:sz w:val="20"/>
                <w:szCs w:val="20"/>
                <w:color w:val="auto"/>
                <w:w w:val="98"/>
              </w:rPr>
              <w:t>11:00 a.m. PDT</w:t>
            </w:r>
          </w:p>
        </w:tc>
        <w:tc>
          <w:tcPr>
            <w:tcW w:w="4200" w:type="dxa"/>
            <w:vAlign w:val="bottom"/>
          </w:tcPr>
          <w:p>
            <w:pPr>
              <w:jc w:val="center"/>
              <w:spacing w:after="0"/>
              <w:rPr>
                <w:sz w:val="20"/>
                <w:szCs w:val="20"/>
                <w:color w:val="auto"/>
              </w:rPr>
            </w:pPr>
            <w:r>
              <w:rPr>
                <w:rFonts w:ascii="Arial" w:cs="Arial" w:eastAsia="Arial" w:hAnsi="Arial"/>
                <w:sz w:val="20"/>
                <w:szCs w:val="20"/>
                <w:color w:val="auto"/>
                <w:w w:val="98"/>
              </w:rPr>
              <w:t>SWKS2022</w:t>
            </w:r>
          </w:p>
        </w:tc>
        <w:tc>
          <w:tcPr>
            <w:tcW w:w="1840" w:type="dxa"/>
            <w:vAlign w:val="bottom"/>
          </w:tcPr>
          <w:p>
            <w:pPr>
              <w:spacing w:after="0"/>
              <w:rPr>
                <w:sz w:val="20"/>
                <w:szCs w:val="20"/>
                <w:color w:val="auto"/>
              </w:rPr>
            </w:pPr>
          </w:p>
        </w:tc>
      </w:tr>
    </w:tbl>
    <w:p>
      <w:pPr>
        <w:spacing w:after="0" w:line="388" w:lineRule="exact"/>
        <w:rPr>
          <w:sz w:val="20"/>
          <w:szCs w:val="20"/>
          <w:color w:val="auto"/>
        </w:rPr>
      </w:pPr>
    </w:p>
    <w:p>
      <w:pPr>
        <w:ind w:left="660"/>
        <w:spacing w:after="0"/>
        <w:rPr>
          <w:sz w:val="20"/>
          <w:szCs w:val="20"/>
          <w:color w:val="auto"/>
        </w:rPr>
      </w:pPr>
      <w:r>
        <w:rPr>
          <w:rFonts w:ascii="Arial" w:cs="Arial" w:eastAsia="Arial" w:hAnsi="Arial"/>
          <w:sz w:val="29"/>
          <w:szCs w:val="29"/>
          <w:b w:val="1"/>
          <w:bCs w:val="1"/>
          <w:color w:val="auto"/>
        </w:rPr>
        <w:t>Matters to be Voted Upon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79375</wp:posOffset>
            </wp:positionV>
            <wp:extent cx="59747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974715"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660" w:right="900"/>
        <w:spacing w:after="0" w:line="261" w:lineRule="auto"/>
        <w:rPr>
          <w:sz w:val="20"/>
          <w:szCs w:val="20"/>
          <w:color w:val="auto"/>
        </w:rPr>
      </w:pPr>
      <w:r>
        <w:rPr>
          <w:rFonts w:ascii="Arial" w:cs="Arial" w:eastAsia="Arial" w:hAnsi="Arial"/>
          <w:sz w:val="20"/>
          <w:szCs w:val="20"/>
          <w:color w:val="191919"/>
        </w:rPr>
        <w:t>Your vote is very important to us. Please cast your vote on all of the proposals to ensure that your shares are represented.</w:t>
      </w:r>
    </w:p>
    <w:p>
      <w:pPr>
        <w:spacing w:after="0" w:line="232" w:lineRule="exact"/>
        <w:rPr>
          <w:sz w:val="20"/>
          <w:szCs w:val="20"/>
          <w:color w:val="auto"/>
        </w:rPr>
      </w:pPr>
    </w:p>
    <w:tbl>
      <w:tblPr>
        <w:tblLayout w:type="fixed"/>
        <w:tblInd w:w="660" w:type="dxa"/>
        <w:tblCellMar>
          <w:top w:w="0" w:type="dxa"/>
          <w:left w:w="0" w:type="dxa"/>
          <w:bottom w:w="0" w:type="dxa"/>
          <w:right w:w="0" w:type="dxa"/>
        </w:tblCellMar>
      </w:tblPr>
      <w:tr>
        <w:trPr>
          <w:trHeight w:val="229"/>
        </w:trPr>
        <w:tc>
          <w:tcPr>
            <w:tcW w:w="2980" w:type="dxa"/>
            <w:vAlign w:val="bottom"/>
            <w:gridSpan w:val="2"/>
            <w:vMerge w:val="restart"/>
            <w:shd w:val="clear" w:color="auto" w:fill="0076A8"/>
          </w:tcPr>
          <w:p>
            <w:pPr>
              <w:ind w:left="80"/>
              <w:spacing w:after="0"/>
              <w:rPr>
                <w:sz w:val="20"/>
                <w:szCs w:val="20"/>
                <w:color w:val="auto"/>
              </w:rPr>
            </w:pPr>
            <w:r>
              <w:rPr>
                <w:rFonts w:ascii="Arial" w:cs="Arial" w:eastAsia="Arial" w:hAnsi="Arial"/>
                <w:sz w:val="18"/>
                <w:szCs w:val="18"/>
                <w:color w:val="FFFFFF"/>
              </w:rPr>
              <w:t>Proposal</w:t>
            </w:r>
          </w:p>
        </w:tc>
        <w:tc>
          <w:tcPr>
            <w:tcW w:w="3920" w:type="dxa"/>
            <w:vAlign w:val="bottom"/>
            <w:shd w:val="clear" w:color="auto" w:fill="0076A8"/>
          </w:tcPr>
          <w:p>
            <w:pPr>
              <w:ind w:left="880"/>
              <w:spacing w:after="0"/>
              <w:rPr>
                <w:sz w:val="20"/>
                <w:szCs w:val="20"/>
                <w:color w:val="auto"/>
              </w:rPr>
            </w:pPr>
            <w:r>
              <w:rPr>
                <w:rFonts w:ascii="Arial" w:cs="Arial" w:eastAsia="Arial" w:hAnsi="Arial"/>
                <w:sz w:val="18"/>
                <w:szCs w:val="18"/>
                <w:color w:val="FFFFFF"/>
              </w:rPr>
              <w:t>Required Vote</w:t>
            </w:r>
          </w:p>
        </w:tc>
        <w:tc>
          <w:tcPr>
            <w:tcW w:w="1840" w:type="dxa"/>
            <w:vAlign w:val="bottom"/>
            <w:shd w:val="clear" w:color="auto" w:fill="0076A8"/>
          </w:tcPr>
          <w:p>
            <w:pPr>
              <w:ind w:left="740"/>
              <w:spacing w:after="0"/>
              <w:rPr>
                <w:sz w:val="20"/>
                <w:szCs w:val="20"/>
                <w:color w:val="auto"/>
              </w:rPr>
            </w:pPr>
            <w:r>
              <w:rPr>
                <w:rFonts w:ascii="Arial" w:cs="Arial" w:eastAsia="Arial" w:hAnsi="Arial"/>
                <w:sz w:val="18"/>
                <w:szCs w:val="18"/>
                <w:color w:val="FFFFFF"/>
              </w:rPr>
              <w:t>Board</w:t>
            </w:r>
          </w:p>
        </w:tc>
        <w:tc>
          <w:tcPr>
            <w:tcW w:w="660" w:type="dxa"/>
            <w:vAlign w:val="bottom"/>
            <w:gridSpan w:val="3"/>
            <w:shd w:val="clear" w:color="auto" w:fill="0076A8"/>
          </w:tcPr>
          <w:p>
            <w:pPr>
              <w:jc w:val="center"/>
              <w:spacing w:after="0"/>
              <w:rPr>
                <w:sz w:val="20"/>
                <w:szCs w:val="20"/>
                <w:color w:val="auto"/>
              </w:rPr>
            </w:pPr>
            <w:r>
              <w:rPr>
                <w:rFonts w:ascii="Arial" w:cs="Arial" w:eastAsia="Arial" w:hAnsi="Arial"/>
                <w:sz w:val="18"/>
                <w:szCs w:val="18"/>
                <w:color w:val="FFFFFF"/>
                <w:w w:val="99"/>
              </w:rPr>
              <w:t>See</w:t>
            </w:r>
          </w:p>
        </w:tc>
        <w:tc>
          <w:tcPr>
            <w:tcW w:w="0" w:type="dxa"/>
            <w:vAlign w:val="bottom"/>
          </w:tcPr>
          <w:p>
            <w:pPr>
              <w:spacing w:after="0"/>
              <w:rPr>
                <w:sz w:val="1"/>
                <w:szCs w:val="1"/>
                <w:color w:val="auto"/>
              </w:rPr>
            </w:pPr>
          </w:p>
        </w:tc>
      </w:tr>
      <w:tr>
        <w:trPr>
          <w:trHeight w:val="109"/>
        </w:trPr>
        <w:tc>
          <w:tcPr>
            <w:tcW w:w="2980" w:type="dxa"/>
            <w:vAlign w:val="bottom"/>
            <w:gridSpan w:val="2"/>
            <w:vMerge w:val="continue"/>
            <w:shd w:val="clear" w:color="auto" w:fill="0076A8"/>
          </w:tcPr>
          <w:p>
            <w:pPr>
              <w:spacing w:after="0"/>
              <w:rPr>
                <w:sz w:val="9"/>
                <w:szCs w:val="9"/>
                <w:color w:val="auto"/>
              </w:rPr>
            </w:pPr>
          </w:p>
        </w:tc>
        <w:tc>
          <w:tcPr>
            <w:tcW w:w="3920" w:type="dxa"/>
            <w:vAlign w:val="bottom"/>
            <w:vMerge w:val="restart"/>
            <w:shd w:val="clear" w:color="auto" w:fill="0076A8"/>
          </w:tcPr>
          <w:p>
            <w:pPr>
              <w:ind w:left="880"/>
              <w:spacing w:after="0"/>
              <w:rPr>
                <w:sz w:val="20"/>
                <w:szCs w:val="20"/>
                <w:color w:val="auto"/>
              </w:rPr>
            </w:pPr>
            <w:r>
              <w:rPr>
                <w:rFonts w:ascii="Arial" w:cs="Arial" w:eastAsia="Arial" w:hAnsi="Arial"/>
                <w:sz w:val="18"/>
                <w:szCs w:val="18"/>
                <w:color w:val="FFFFFF"/>
              </w:rPr>
              <w:t>for Approval</w:t>
            </w:r>
          </w:p>
        </w:tc>
        <w:tc>
          <w:tcPr>
            <w:tcW w:w="1840" w:type="dxa"/>
            <w:vAlign w:val="bottom"/>
            <w:vMerge w:val="restart"/>
            <w:shd w:val="clear" w:color="auto" w:fill="0076A8"/>
          </w:tcPr>
          <w:p>
            <w:pPr>
              <w:ind w:left="280"/>
              <w:spacing w:after="0"/>
              <w:rPr>
                <w:sz w:val="20"/>
                <w:szCs w:val="20"/>
                <w:color w:val="auto"/>
              </w:rPr>
            </w:pPr>
            <w:r>
              <w:rPr>
                <w:rFonts w:ascii="Arial" w:cs="Arial" w:eastAsia="Arial" w:hAnsi="Arial"/>
                <w:sz w:val="18"/>
                <w:szCs w:val="18"/>
                <w:color w:val="FFFFFF"/>
              </w:rPr>
              <w:t>Recommendation</w:t>
            </w:r>
          </w:p>
        </w:tc>
        <w:tc>
          <w:tcPr>
            <w:tcW w:w="660" w:type="dxa"/>
            <w:vAlign w:val="bottom"/>
            <w:gridSpan w:val="3"/>
            <w:vMerge w:val="restart"/>
            <w:shd w:val="clear" w:color="auto" w:fill="0076A8"/>
          </w:tcPr>
          <w:p>
            <w:pPr>
              <w:jc w:val="center"/>
              <w:spacing w:after="0"/>
              <w:rPr>
                <w:sz w:val="20"/>
                <w:szCs w:val="20"/>
                <w:color w:val="auto"/>
              </w:rPr>
            </w:pPr>
            <w:r>
              <w:rPr>
                <w:rFonts w:ascii="Arial" w:cs="Arial" w:eastAsia="Arial" w:hAnsi="Arial"/>
                <w:sz w:val="18"/>
                <w:szCs w:val="18"/>
                <w:color w:val="FFFFFF"/>
                <w:w w:val="99"/>
              </w:rPr>
              <w:t>Page</w:t>
            </w:r>
          </w:p>
        </w:tc>
        <w:tc>
          <w:tcPr>
            <w:tcW w:w="0" w:type="dxa"/>
            <w:vAlign w:val="bottom"/>
          </w:tcPr>
          <w:p>
            <w:pPr>
              <w:spacing w:after="0"/>
              <w:rPr>
                <w:sz w:val="1"/>
                <w:szCs w:val="1"/>
                <w:color w:val="auto"/>
              </w:rPr>
            </w:pPr>
          </w:p>
        </w:tc>
      </w:tr>
      <w:tr>
        <w:trPr>
          <w:trHeight w:val="128"/>
        </w:trPr>
        <w:tc>
          <w:tcPr>
            <w:tcW w:w="500" w:type="dxa"/>
            <w:vAlign w:val="bottom"/>
            <w:tcBorders>
              <w:bottom w:val="single" w:sz="8" w:color="0076A8"/>
            </w:tcBorders>
            <w:shd w:val="clear" w:color="auto" w:fill="0076A8"/>
          </w:tcPr>
          <w:p>
            <w:pPr>
              <w:spacing w:after="0"/>
              <w:rPr>
                <w:sz w:val="11"/>
                <w:szCs w:val="11"/>
                <w:color w:val="auto"/>
              </w:rPr>
            </w:pPr>
          </w:p>
        </w:tc>
        <w:tc>
          <w:tcPr>
            <w:tcW w:w="2480" w:type="dxa"/>
            <w:vAlign w:val="bottom"/>
            <w:tcBorders>
              <w:bottom w:val="single" w:sz="8" w:color="0076A8"/>
            </w:tcBorders>
            <w:shd w:val="clear" w:color="auto" w:fill="0076A8"/>
          </w:tcPr>
          <w:p>
            <w:pPr>
              <w:spacing w:after="0"/>
              <w:rPr>
                <w:sz w:val="11"/>
                <w:szCs w:val="11"/>
                <w:color w:val="auto"/>
              </w:rPr>
            </w:pPr>
          </w:p>
        </w:tc>
        <w:tc>
          <w:tcPr>
            <w:tcW w:w="3920" w:type="dxa"/>
            <w:vAlign w:val="bottom"/>
            <w:tcBorders>
              <w:bottom w:val="single" w:sz="8" w:color="0076A8"/>
            </w:tcBorders>
            <w:vMerge w:val="continue"/>
            <w:shd w:val="clear" w:color="auto" w:fill="0076A8"/>
          </w:tcPr>
          <w:p>
            <w:pPr>
              <w:spacing w:after="0"/>
              <w:rPr>
                <w:sz w:val="11"/>
                <w:szCs w:val="11"/>
                <w:color w:val="auto"/>
              </w:rPr>
            </w:pPr>
          </w:p>
        </w:tc>
        <w:tc>
          <w:tcPr>
            <w:tcW w:w="1840" w:type="dxa"/>
            <w:vAlign w:val="bottom"/>
            <w:tcBorders>
              <w:bottom w:val="single" w:sz="8" w:color="0076A8"/>
            </w:tcBorders>
            <w:vMerge w:val="continue"/>
            <w:shd w:val="clear" w:color="auto" w:fill="0076A8"/>
          </w:tcPr>
          <w:p>
            <w:pPr>
              <w:spacing w:after="0"/>
              <w:rPr>
                <w:sz w:val="11"/>
                <w:szCs w:val="11"/>
                <w:color w:val="auto"/>
              </w:rPr>
            </w:pPr>
          </w:p>
        </w:tc>
        <w:tc>
          <w:tcPr>
            <w:tcW w:w="660" w:type="dxa"/>
            <w:vAlign w:val="bottom"/>
            <w:tcBorders>
              <w:bottom w:val="single" w:sz="8" w:color="0076A8"/>
            </w:tcBorders>
            <w:gridSpan w:val="3"/>
            <w:vMerge w:val="continue"/>
            <w:shd w:val="clear" w:color="auto" w:fill="0076A8"/>
          </w:tcPr>
          <w:p>
            <w:pPr>
              <w:spacing w:after="0"/>
              <w:rPr>
                <w:sz w:val="11"/>
                <w:szCs w:val="11"/>
                <w:color w:val="auto"/>
              </w:rPr>
            </w:pPr>
          </w:p>
        </w:tc>
        <w:tc>
          <w:tcPr>
            <w:tcW w:w="0" w:type="dxa"/>
            <w:vAlign w:val="bottom"/>
          </w:tcPr>
          <w:p>
            <w:pPr>
              <w:spacing w:after="0"/>
              <w:rPr>
                <w:sz w:val="1"/>
                <w:szCs w:val="1"/>
                <w:color w:val="auto"/>
              </w:rPr>
            </w:pPr>
          </w:p>
        </w:tc>
      </w:tr>
      <w:tr>
        <w:trPr>
          <w:trHeight w:val="258"/>
        </w:trPr>
        <w:tc>
          <w:tcPr>
            <w:tcW w:w="500" w:type="dxa"/>
            <w:vAlign w:val="bottom"/>
            <w:vMerge w:val="restart"/>
            <w:shd w:val="clear" w:color="auto" w:fill="E5E5E5"/>
          </w:tcPr>
          <w:p>
            <w:pPr>
              <w:jc w:val="right"/>
              <w:ind w:right="75"/>
              <w:spacing w:after="0"/>
              <w:rPr>
                <w:sz w:val="20"/>
                <w:szCs w:val="20"/>
                <w:color w:val="auto"/>
              </w:rPr>
            </w:pPr>
            <w:r>
              <w:rPr>
                <w:rFonts w:ascii="Arial" w:cs="Arial" w:eastAsia="Arial" w:hAnsi="Arial"/>
                <w:sz w:val="16"/>
                <w:szCs w:val="16"/>
                <w:color w:val="auto"/>
              </w:rPr>
              <w:t>1.</w:t>
            </w:r>
          </w:p>
        </w:tc>
        <w:tc>
          <w:tcPr>
            <w:tcW w:w="2480" w:type="dxa"/>
            <w:vAlign w:val="bottom"/>
            <w:vMerge w:val="restart"/>
            <w:shd w:val="clear" w:color="auto" w:fill="E5E5E5"/>
          </w:tcPr>
          <w:p>
            <w:pPr>
              <w:ind w:left="160"/>
              <w:spacing w:after="0"/>
              <w:rPr>
                <w:sz w:val="20"/>
                <w:szCs w:val="20"/>
                <w:color w:val="auto"/>
              </w:rPr>
            </w:pPr>
            <w:r>
              <w:rPr>
                <w:rFonts w:ascii="Arial" w:cs="Arial" w:eastAsia="Arial" w:hAnsi="Arial"/>
                <w:sz w:val="16"/>
                <w:szCs w:val="16"/>
                <w:color w:val="auto"/>
              </w:rPr>
              <w:t>Election of Directors</w:t>
            </w:r>
          </w:p>
        </w:tc>
        <w:tc>
          <w:tcPr>
            <w:tcW w:w="3920" w:type="dxa"/>
            <w:vAlign w:val="bottom"/>
            <w:vMerge w:val="restart"/>
            <w:shd w:val="clear" w:color="auto" w:fill="E5E5E5"/>
          </w:tcPr>
          <w:p>
            <w:pPr>
              <w:ind w:left="900"/>
              <w:spacing w:after="0"/>
              <w:rPr>
                <w:sz w:val="20"/>
                <w:szCs w:val="20"/>
                <w:color w:val="auto"/>
              </w:rPr>
            </w:pPr>
            <w:r>
              <w:rPr>
                <w:rFonts w:ascii="Arial" w:cs="Arial" w:eastAsia="Arial" w:hAnsi="Arial"/>
                <w:sz w:val="16"/>
                <w:szCs w:val="16"/>
                <w:color w:val="auto"/>
              </w:rPr>
              <w:t>For each director, majority of votes cast</w:t>
            </w:r>
          </w:p>
        </w:tc>
        <w:tc>
          <w:tcPr>
            <w:tcW w:w="1840" w:type="dxa"/>
            <w:vAlign w:val="bottom"/>
            <w:shd w:val="clear" w:color="auto" w:fill="E5E5E5"/>
          </w:tcPr>
          <w:p>
            <w:pPr>
              <w:ind w:left="200"/>
              <w:spacing w:after="0"/>
              <w:rPr>
                <w:sz w:val="20"/>
                <w:szCs w:val="20"/>
                <w:color w:val="auto"/>
              </w:rPr>
            </w:pPr>
            <w:r>
              <w:rPr>
                <w:rFonts w:ascii="Arial" w:cs="Arial" w:eastAsia="Arial" w:hAnsi="Arial"/>
                <w:sz w:val="16"/>
                <w:szCs w:val="16"/>
                <w:color w:val="auto"/>
              </w:rPr>
              <w:t>FOR Each</w:t>
            </w:r>
          </w:p>
        </w:tc>
        <w:tc>
          <w:tcPr>
            <w:tcW w:w="660" w:type="dxa"/>
            <w:vAlign w:val="bottom"/>
            <w:gridSpan w:val="3"/>
            <w:vMerge w:val="restart"/>
            <w:shd w:val="clear" w:color="auto" w:fill="E5E5E5"/>
          </w:tcPr>
          <w:p>
            <w:pPr>
              <w:jc w:val="center"/>
              <w:spacing w:after="0"/>
              <w:rPr>
                <w:rFonts w:ascii="Arial" w:cs="Arial" w:eastAsia="Arial" w:hAnsi="Arial"/>
                <w:sz w:val="16"/>
                <w:szCs w:val="16"/>
                <w:color w:val="0000EE"/>
              </w:rPr>
            </w:pPr>
            <w:hyperlink w:anchor="page12">
              <w:r>
                <w:rPr>
                  <w:rFonts w:ascii="Arial" w:cs="Arial" w:eastAsia="Arial" w:hAnsi="Arial"/>
                  <w:sz w:val="16"/>
                  <w:szCs w:val="16"/>
                  <w:color w:val="0000EE"/>
                </w:rPr>
                <w:t>8</w:t>
              </w:r>
            </w:hyperlink>
          </w:p>
        </w:tc>
        <w:tc>
          <w:tcPr>
            <w:tcW w:w="0" w:type="dxa"/>
            <w:vAlign w:val="bottom"/>
          </w:tcPr>
          <w:p>
            <w:pPr>
              <w:spacing w:after="0"/>
              <w:rPr>
                <w:sz w:val="1"/>
                <w:szCs w:val="1"/>
                <w:color w:val="auto"/>
              </w:rPr>
            </w:pPr>
          </w:p>
        </w:tc>
      </w:tr>
      <w:tr>
        <w:trPr>
          <w:trHeight w:val="79"/>
        </w:trPr>
        <w:tc>
          <w:tcPr>
            <w:tcW w:w="500" w:type="dxa"/>
            <w:vAlign w:val="bottom"/>
            <w:vMerge w:val="continue"/>
            <w:shd w:val="clear" w:color="auto" w:fill="E5E5E5"/>
          </w:tcPr>
          <w:p>
            <w:pPr>
              <w:spacing w:after="0"/>
              <w:rPr>
                <w:sz w:val="6"/>
                <w:szCs w:val="6"/>
                <w:color w:val="auto"/>
              </w:rPr>
            </w:pPr>
          </w:p>
        </w:tc>
        <w:tc>
          <w:tcPr>
            <w:tcW w:w="2480" w:type="dxa"/>
            <w:vAlign w:val="bottom"/>
            <w:vMerge w:val="continue"/>
            <w:shd w:val="clear" w:color="auto" w:fill="E5E5E5"/>
          </w:tcPr>
          <w:p>
            <w:pPr>
              <w:spacing w:after="0"/>
              <w:rPr>
                <w:sz w:val="6"/>
                <w:szCs w:val="6"/>
                <w:color w:val="auto"/>
              </w:rPr>
            </w:pPr>
          </w:p>
        </w:tc>
        <w:tc>
          <w:tcPr>
            <w:tcW w:w="3920" w:type="dxa"/>
            <w:vAlign w:val="bottom"/>
            <w:vMerge w:val="continue"/>
            <w:shd w:val="clear" w:color="auto" w:fill="E5E5E5"/>
          </w:tcPr>
          <w:p>
            <w:pPr>
              <w:spacing w:after="0"/>
              <w:rPr>
                <w:sz w:val="6"/>
                <w:szCs w:val="6"/>
                <w:color w:val="auto"/>
              </w:rPr>
            </w:pPr>
          </w:p>
        </w:tc>
        <w:tc>
          <w:tcPr>
            <w:tcW w:w="1840" w:type="dxa"/>
            <w:vAlign w:val="bottom"/>
            <w:vMerge w:val="restart"/>
            <w:shd w:val="clear" w:color="auto" w:fill="E5E5E5"/>
          </w:tcPr>
          <w:p>
            <w:pPr>
              <w:ind w:left="280"/>
              <w:spacing w:after="0"/>
              <w:rPr>
                <w:sz w:val="20"/>
                <w:szCs w:val="20"/>
                <w:color w:val="auto"/>
              </w:rPr>
            </w:pPr>
            <w:r>
              <w:rPr>
                <w:rFonts w:ascii="Arial" w:cs="Arial" w:eastAsia="Arial" w:hAnsi="Arial"/>
                <w:sz w:val="16"/>
                <w:szCs w:val="16"/>
                <w:color w:val="auto"/>
              </w:rPr>
              <w:t>Nominee</w:t>
            </w:r>
          </w:p>
        </w:tc>
        <w:tc>
          <w:tcPr>
            <w:tcW w:w="660" w:type="dxa"/>
            <w:vAlign w:val="bottom"/>
            <w:gridSpan w:val="3"/>
            <w:vMerge w:val="continue"/>
            <w:shd w:val="clear" w:color="auto" w:fill="E5E5E5"/>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500" w:type="dxa"/>
            <w:vAlign w:val="bottom"/>
            <w:tcBorders>
              <w:top w:val="single" w:sz="8" w:color="E5E5E5"/>
            </w:tcBorders>
            <w:shd w:val="clear" w:color="auto" w:fill="E5E5E5"/>
          </w:tcPr>
          <w:p>
            <w:pPr>
              <w:spacing w:after="0"/>
              <w:rPr>
                <w:sz w:val="8"/>
                <w:szCs w:val="8"/>
                <w:color w:val="auto"/>
              </w:rPr>
            </w:pPr>
          </w:p>
        </w:tc>
        <w:tc>
          <w:tcPr>
            <w:tcW w:w="2480" w:type="dxa"/>
            <w:vAlign w:val="bottom"/>
            <w:tcBorders>
              <w:top w:val="single" w:sz="8" w:color="E5E5E5"/>
            </w:tcBorders>
            <w:shd w:val="clear" w:color="auto" w:fill="E5E5E5"/>
          </w:tcPr>
          <w:p>
            <w:pPr>
              <w:spacing w:after="0"/>
              <w:rPr>
                <w:sz w:val="8"/>
                <w:szCs w:val="8"/>
                <w:color w:val="auto"/>
              </w:rPr>
            </w:pPr>
          </w:p>
        </w:tc>
        <w:tc>
          <w:tcPr>
            <w:tcW w:w="3920" w:type="dxa"/>
            <w:vAlign w:val="bottom"/>
            <w:tcBorders>
              <w:top w:val="single" w:sz="8" w:color="E5E5E5"/>
            </w:tcBorders>
            <w:shd w:val="clear" w:color="auto" w:fill="E5E5E5"/>
          </w:tcPr>
          <w:p>
            <w:pPr>
              <w:spacing w:after="0"/>
              <w:rPr>
                <w:sz w:val="8"/>
                <w:szCs w:val="8"/>
                <w:color w:val="auto"/>
              </w:rPr>
            </w:pPr>
          </w:p>
        </w:tc>
        <w:tc>
          <w:tcPr>
            <w:tcW w:w="1840" w:type="dxa"/>
            <w:vAlign w:val="bottom"/>
            <w:tcBorders>
              <w:top w:val="single" w:sz="8" w:color="E5E5E5"/>
            </w:tcBorders>
            <w:vMerge w:val="continue"/>
            <w:shd w:val="clear" w:color="auto" w:fill="E5E5E5"/>
          </w:tcPr>
          <w:p>
            <w:pPr>
              <w:spacing w:after="0"/>
              <w:rPr>
                <w:sz w:val="8"/>
                <w:szCs w:val="8"/>
                <w:color w:val="auto"/>
              </w:rPr>
            </w:pPr>
          </w:p>
        </w:tc>
        <w:tc>
          <w:tcPr>
            <w:tcW w:w="300" w:type="dxa"/>
            <w:vAlign w:val="bottom"/>
            <w:tcBorders>
              <w:top w:val="single" w:sz="8" w:color="E5E5E5"/>
            </w:tcBorders>
            <w:shd w:val="clear" w:color="auto" w:fill="E5E5E5"/>
          </w:tcPr>
          <w:p>
            <w:pPr>
              <w:spacing w:after="0"/>
              <w:rPr>
                <w:sz w:val="8"/>
                <w:szCs w:val="8"/>
                <w:color w:val="auto"/>
              </w:rPr>
            </w:pPr>
          </w:p>
        </w:tc>
        <w:tc>
          <w:tcPr>
            <w:tcW w:w="100" w:type="dxa"/>
            <w:vAlign w:val="bottom"/>
            <w:tcBorders>
              <w:top w:val="single" w:sz="8" w:color="0000EE"/>
            </w:tcBorders>
            <w:shd w:val="clear" w:color="auto" w:fill="E5E5E5"/>
          </w:tcPr>
          <w:p>
            <w:pPr>
              <w:spacing w:after="0"/>
              <w:rPr>
                <w:sz w:val="8"/>
                <w:szCs w:val="8"/>
                <w:color w:val="auto"/>
              </w:rPr>
            </w:pPr>
          </w:p>
        </w:tc>
        <w:tc>
          <w:tcPr>
            <w:tcW w:w="260" w:type="dxa"/>
            <w:vAlign w:val="bottom"/>
            <w:tcBorders>
              <w:top w:val="single" w:sz="8" w:color="E5E5E5"/>
            </w:tcBorders>
            <w:shd w:val="clear" w:color="auto" w:fill="E5E5E5"/>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500" w:type="dxa"/>
            <w:vAlign w:val="bottom"/>
            <w:shd w:val="clear" w:color="auto" w:fill="E5E5E5"/>
          </w:tcPr>
          <w:p>
            <w:pPr>
              <w:spacing w:after="0"/>
              <w:rPr>
                <w:sz w:val="8"/>
                <w:szCs w:val="8"/>
                <w:color w:val="auto"/>
              </w:rPr>
            </w:pPr>
          </w:p>
        </w:tc>
        <w:tc>
          <w:tcPr>
            <w:tcW w:w="2480" w:type="dxa"/>
            <w:vAlign w:val="bottom"/>
            <w:shd w:val="clear" w:color="auto" w:fill="E5E5E5"/>
          </w:tcPr>
          <w:p>
            <w:pPr>
              <w:spacing w:after="0"/>
              <w:rPr>
                <w:sz w:val="8"/>
                <w:szCs w:val="8"/>
                <w:color w:val="auto"/>
              </w:rPr>
            </w:pPr>
          </w:p>
        </w:tc>
        <w:tc>
          <w:tcPr>
            <w:tcW w:w="3920" w:type="dxa"/>
            <w:vAlign w:val="bottom"/>
            <w:shd w:val="clear" w:color="auto" w:fill="E5E5E5"/>
          </w:tcPr>
          <w:p>
            <w:pPr>
              <w:spacing w:after="0"/>
              <w:rPr>
                <w:sz w:val="8"/>
                <w:szCs w:val="8"/>
                <w:color w:val="auto"/>
              </w:rPr>
            </w:pPr>
          </w:p>
        </w:tc>
        <w:tc>
          <w:tcPr>
            <w:tcW w:w="1840" w:type="dxa"/>
            <w:vAlign w:val="bottom"/>
            <w:shd w:val="clear" w:color="auto" w:fill="E5E5E5"/>
          </w:tcPr>
          <w:p>
            <w:pPr>
              <w:spacing w:after="0"/>
              <w:rPr>
                <w:sz w:val="8"/>
                <w:szCs w:val="8"/>
                <w:color w:val="auto"/>
              </w:rPr>
            </w:pPr>
          </w:p>
        </w:tc>
        <w:tc>
          <w:tcPr>
            <w:tcW w:w="300" w:type="dxa"/>
            <w:vAlign w:val="bottom"/>
            <w:shd w:val="clear" w:color="auto" w:fill="E5E5E5"/>
          </w:tcPr>
          <w:p>
            <w:pPr>
              <w:spacing w:after="0"/>
              <w:rPr>
                <w:sz w:val="8"/>
                <w:szCs w:val="8"/>
                <w:color w:val="auto"/>
              </w:rPr>
            </w:pPr>
          </w:p>
        </w:tc>
        <w:tc>
          <w:tcPr>
            <w:tcW w:w="100" w:type="dxa"/>
            <w:vAlign w:val="bottom"/>
            <w:shd w:val="clear" w:color="auto" w:fill="E5E5E5"/>
          </w:tcPr>
          <w:p>
            <w:pPr>
              <w:spacing w:after="0"/>
              <w:rPr>
                <w:sz w:val="8"/>
                <w:szCs w:val="8"/>
                <w:color w:val="auto"/>
              </w:rPr>
            </w:pPr>
          </w:p>
        </w:tc>
        <w:tc>
          <w:tcPr>
            <w:tcW w:w="260" w:type="dxa"/>
            <w:vAlign w:val="bottom"/>
            <w:shd w:val="clear" w:color="auto" w:fill="E5E5E5"/>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5626100</wp:posOffset>
            </wp:positionH>
            <wp:positionV relativeFrom="paragraph">
              <wp:posOffset>-307975</wp:posOffset>
            </wp:positionV>
            <wp:extent cx="266065" cy="2654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66065" cy="265430"/>
                    </a:xfrm>
                    <a:prstGeom prst="rect">
                      <a:avLst/>
                    </a:prstGeom>
                    <a:noFill/>
                  </pic:spPr>
                </pic:pic>
              </a:graphicData>
            </a:graphic>
          </wp:anchor>
        </w:drawing>
        <w:drawing>
          <wp:anchor simplePos="0" relativeHeight="251657728" behindDoc="1" locked="0" layoutInCell="0" allowOverlap="1">
            <wp:simplePos x="0" y="0"/>
            <wp:positionH relativeFrom="column">
              <wp:posOffset>5626100</wp:posOffset>
            </wp:positionH>
            <wp:positionV relativeFrom="paragraph">
              <wp:posOffset>42545</wp:posOffset>
            </wp:positionV>
            <wp:extent cx="266065" cy="2654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66065" cy="265430"/>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p>
      <w:pPr>
        <w:spacing w:after="0" w:line="191" w:lineRule="exact"/>
        <w:rPr>
          <w:sz w:val="20"/>
          <w:szCs w:val="20"/>
          <w:color w:val="auto"/>
        </w:rPr>
      </w:pPr>
    </w:p>
    <w:p>
      <w:pPr>
        <w:ind w:left="1320" w:hanging="456"/>
        <w:spacing w:after="0"/>
        <w:tabs>
          <w:tab w:leader="none" w:pos="1320" w:val="left"/>
        </w:tabs>
        <w:numPr>
          <w:ilvl w:val="0"/>
          <w:numId w:val="9"/>
        </w:numPr>
        <w:rPr>
          <w:rFonts w:ascii="Arial" w:cs="Arial" w:eastAsia="Arial" w:hAnsi="Arial"/>
          <w:sz w:val="16"/>
          <w:szCs w:val="16"/>
          <w:color w:val="auto"/>
        </w:rPr>
      </w:pPr>
      <w:r>
        <w:rPr>
          <w:rFonts w:ascii="Arial" w:cs="Arial" w:eastAsia="Arial" w:hAnsi="Arial"/>
          <w:sz w:val="16"/>
          <w:szCs w:val="16"/>
          <w:color w:val="auto"/>
        </w:rPr>
        <w:t>Ratification of Appointment of KPMG LLP</w:t>
      </w:r>
    </w:p>
    <w:p>
      <w:pPr>
        <w:spacing w:after="0" w:line="302" w:lineRule="exact"/>
        <w:rPr>
          <w:rFonts w:ascii="Arial" w:cs="Arial" w:eastAsia="Arial" w:hAnsi="Arial"/>
          <w:sz w:val="16"/>
          <w:szCs w:val="16"/>
          <w:color w:val="auto"/>
        </w:rPr>
      </w:pPr>
    </w:p>
    <w:p>
      <w:pPr>
        <w:ind w:left="1320" w:right="60" w:hanging="456"/>
        <w:spacing w:after="0" w:line="181" w:lineRule="auto"/>
        <w:tabs>
          <w:tab w:leader="none" w:pos="1320" w:val="left"/>
        </w:tabs>
        <w:numPr>
          <w:ilvl w:val="0"/>
          <w:numId w:val="9"/>
        </w:numPr>
        <w:rPr>
          <w:rFonts w:ascii="Arial" w:cs="Arial" w:eastAsia="Arial" w:hAnsi="Arial"/>
          <w:sz w:val="27"/>
          <w:szCs w:val="27"/>
          <w:color w:val="auto"/>
          <w:vertAlign w:val="subscript"/>
        </w:rPr>
      </w:pPr>
      <w:r>
        <w:rPr>
          <w:rFonts w:ascii="Arial" w:cs="Arial" w:eastAsia="Arial" w:hAnsi="Arial"/>
          <w:sz w:val="14"/>
          <w:szCs w:val="14"/>
          <w:color w:val="auto"/>
        </w:rPr>
        <w:t>Advisory Vote to Approve Compensation of Named Executive Officers</w:t>
      </w:r>
    </w:p>
    <w:p>
      <w:pPr>
        <w:spacing w:after="0" w:line="144" w:lineRule="exact"/>
        <w:rPr>
          <w:sz w:val="20"/>
          <w:szCs w:val="20"/>
          <w:color w:val="auto"/>
        </w:rPr>
      </w:pPr>
    </w:p>
    <w:p>
      <w:pPr>
        <w:ind w:left="740" w:right="100" w:firstLine="561"/>
        <w:spacing w:after="0" w:line="211" w:lineRule="auto"/>
        <w:rPr>
          <w:sz w:val="20"/>
          <w:szCs w:val="20"/>
          <w:color w:val="auto"/>
        </w:rPr>
      </w:pPr>
      <w:r>
        <w:rPr>
          <w:rFonts w:ascii="Arial" w:cs="Arial" w:eastAsia="Arial" w:hAnsi="Arial"/>
          <w:sz w:val="16"/>
          <w:szCs w:val="16"/>
          <w:color w:val="auto"/>
        </w:rPr>
        <w:t>Approve Amendments to Certificate of 4 – 7. Incorporation to Eliminate Supermajority</w:t>
      </w:r>
    </w:p>
    <w:p>
      <w:pPr>
        <w:ind w:left="1300"/>
        <w:spacing w:after="0"/>
        <w:rPr>
          <w:sz w:val="20"/>
          <w:szCs w:val="20"/>
          <w:color w:val="auto"/>
        </w:rPr>
      </w:pPr>
      <w:r>
        <w:rPr>
          <w:rFonts w:ascii="Arial" w:cs="Arial" w:eastAsia="Arial" w:hAnsi="Arial"/>
          <w:sz w:val="16"/>
          <w:szCs w:val="16"/>
          <w:color w:val="auto"/>
        </w:rPr>
        <w:t>Vote Provisions</w:t>
      </w:r>
    </w:p>
    <w:p>
      <w:pPr>
        <w:spacing w:after="0" w:line="167" w:lineRule="exact"/>
        <w:rPr>
          <w:sz w:val="20"/>
          <w:szCs w:val="20"/>
          <w:color w:val="auto"/>
        </w:rPr>
      </w:pPr>
    </w:p>
    <w:p>
      <w:pPr>
        <w:ind w:left="1320" w:right="260" w:hanging="456"/>
        <w:spacing w:after="0" w:line="181" w:lineRule="auto"/>
        <w:tabs>
          <w:tab w:leader="none" w:pos="1320" w:val="left"/>
        </w:tabs>
        <w:numPr>
          <w:ilvl w:val="0"/>
          <w:numId w:val="10"/>
        </w:numPr>
        <w:rPr>
          <w:rFonts w:ascii="Arial" w:cs="Arial" w:eastAsia="Arial" w:hAnsi="Arial"/>
          <w:sz w:val="27"/>
          <w:szCs w:val="27"/>
          <w:color w:val="auto"/>
          <w:vertAlign w:val="subscript"/>
        </w:rPr>
      </w:pPr>
      <w:r>
        <w:rPr>
          <w:rFonts w:ascii="Arial" w:cs="Arial" w:eastAsia="Arial" w:hAnsi="Arial"/>
          <w:sz w:val="14"/>
          <w:szCs w:val="14"/>
          <w:color w:val="auto"/>
        </w:rPr>
        <w:t>One Stockholder Proposal, if Properly Presented at the Annual Meeting</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spacing w:after="0" w:line="232" w:lineRule="auto"/>
        <w:rPr>
          <w:sz w:val="20"/>
          <w:szCs w:val="20"/>
          <w:color w:val="auto"/>
        </w:rPr>
      </w:pPr>
      <w:r>
        <w:rPr>
          <w:rFonts w:ascii="Arial" w:cs="Arial" w:eastAsia="Arial" w:hAnsi="Arial"/>
          <w:sz w:val="16"/>
          <w:szCs w:val="16"/>
          <w:color w:val="auto"/>
        </w:rPr>
        <w:t>Majority of votes present and entitled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-2468245</wp:posOffset>
            </wp:positionH>
            <wp:positionV relativeFrom="paragraph">
              <wp:posOffset>64135</wp:posOffset>
            </wp:positionV>
            <wp:extent cx="5974715" cy="3600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974715" cy="360045"/>
                    </a:xfrm>
                    <a:prstGeom prst="rect">
                      <a:avLst/>
                    </a:prstGeom>
                    <a:noFill/>
                  </pic:spPr>
                </pic:pic>
              </a:graphicData>
            </a:graphic>
          </wp:anchor>
        </w:drawing>
      </w:r>
    </w:p>
    <w:p>
      <w:pPr>
        <w:spacing w:after="0" w:line="191" w:lineRule="exact"/>
        <w:rPr>
          <w:sz w:val="20"/>
          <w:szCs w:val="20"/>
          <w:color w:val="auto"/>
        </w:rPr>
      </w:pPr>
    </w:p>
    <w:p>
      <w:pPr>
        <w:spacing w:after="0" w:line="232" w:lineRule="auto"/>
        <w:rPr>
          <w:sz w:val="20"/>
          <w:szCs w:val="20"/>
          <w:color w:val="auto"/>
        </w:rPr>
      </w:pPr>
      <w:r>
        <w:rPr>
          <w:rFonts w:ascii="Arial" w:cs="Arial" w:eastAsia="Arial" w:hAnsi="Arial"/>
          <w:sz w:val="16"/>
          <w:szCs w:val="16"/>
          <w:color w:val="auto"/>
        </w:rPr>
        <w:t>Majority of votes present and entitled to vote</w:t>
      </w:r>
    </w:p>
    <w:p>
      <w:pPr>
        <w:spacing w:after="0" w:line="211" w:lineRule="exact"/>
        <w:rPr>
          <w:sz w:val="20"/>
          <w:szCs w:val="20"/>
          <w:color w:val="auto"/>
        </w:rPr>
      </w:pPr>
    </w:p>
    <w:p>
      <w:pPr>
        <w:ind w:right="80"/>
        <w:spacing w:after="0" w:line="232" w:lineRule="auto"/>
        <w:rPr>
          <w:sz w:val="20"/>
          <w:szCs w:val="20"/>
          <w:color w:val="auto"/>
        </w:rPr>
      </w:pPr>
      <w:r>
        <w:rPr>
          <w:rFonts w:ascii="Arial" w:cs="Arial" w:eastAsia="Arial" w:hAnsi="Arial"/>
          <w:sz w:val="16"/>
          <w:szCs w:val="16"/>
          <w:color w:val="auto"/>
        </w:rPr>
        <w:t>80% (or 90% in case of Proposal 5) of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-2468245</wp:posOffset>
            </wp:positionH>
            <wp:positionV relativeFrom="paragraph">
              <wp:posOffset>73025</wp:posOffset>
            </wp:positionV>
            <wp:extent cx="5974715" cy="3943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974715" cy="394335"/>
                    </a:xfrm>
                    <a:prstGeom prst="rect">
                      <a:avLst/>
                    </a:prstGeom>
                    <a:noFill/>
                  </pic:spPr>
                </pic:pic>
              </a:graphicData>
            </a:graphic>
          </wp:anchor>
        </w:drawing>
      </w:r>
    </w:p>
    <w:p>
      <w:pPr>
        <w:spacing w:after="0" w:line="232" w:lineRule="exact"/>
        <w:rPr>
          <w:sz w:val="20"/>
          <w:szCs w:val="20"/>
          <w:color w:val="auto"/>
        </w:rPr>
      </w:pPr>
    </w:p>
    <w:p>
      <w:pPr>
        <w:spacing w:after="0" w:line="232" w:lineRule="auto"/>
        <w:rPr>
          <w:sz w:val="20"/>
          <w:szCs w:val="20"/>
          <w:color w:val="auto"/>
        </w:rPr>
      </w:pPr>
      <w:r>
        <w:rPr>
          <w:rFonts w:ascii="Arial" w:cs="Arial" w:eastAsia="Arial" w:hAnsi="Arial"/>
          <w:sz w:val="16"/>
          <w:szCs w:val="16"/>
          <w:color w:val="auto"/>
        </w:rPr>
        <w:t>Majority of votes present and entitled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647065</wp:posOffset>
            </wp:positionV>
            <wp:extent cx="779780" cy="2571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9780" cy="2571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ind w:left="180"/>
        <w:spacing w:after="0"/>
        <w:tabs>
          <w:tab w:leader="none" w:pos="1840" w:val="left"/>
        </w:tabs>
        <w:rPr>
          <w:rFonts w:ascii="Arial" w:cs="Arial" w:eastAsia="Arial" w:hAnsi="Arial"/>
          <w:sz w:val="16"/>
          <w:szCs w:val="16"/>
          <w:u w:val="single" w:color="auto"/>
          <w:color w:val="0000EE"/>
        </w:rPr>
      </w:pPr>
      <w:r>
        <w:rPr>
          <w:rFonts w:ascii="Arial" w:cs="Arial" w:eastAsia="Arial" w:hAnsi="Arial"/>
          <w:sz w:val="16"/>
          <w:szCs w:val="16"/>
          <w:color w:val="auto"/>
        </w:rPr>
        <w:t>FOR</w:t>
      </w:r>
      <w:r>
        <w:rPr>
          <w:sz w:val="20"/>
          <w:szCs w:val="20"/>
          <w:color w:val="auto"/>
        </w:rPr>
        <w:tab/>
      </w:r>
      <w:hyperlink w:anchor="page30">
        <w:r>
          <w:rPr>
            <w:rFonts w:ascii="Arial" w:cs="Arial" w:eastAsia="Arial" w:hAnsi="Arial"/>
            <w:sz w:val="16"/>
            <w:szCs w:val="16"/>
            <w:u w:val="single" w:color="auto"/>
            <w:color w:val="0000EE"/>
          </w:rPr>
          <w:t>26</w:t>
        </w:r>
      </w:hyperlink>
    </w:p>
    <w:p>
      <w:pPr>
        <w:spacing w:after="0" w:line="383" w:lineRule="exact"/>
        <w:rPr>
          <w:sz w:val="20"/>
          <w:szCs w:val="20"/>
          <w:color w:val="auto"/>
        </w:rPr>
      </w:pPr>
    </w:p>
    <w:p>
      <w:pPr>
        <w:ind w:left="180"/>
        <w:spacing w:after="0"/>
        <w:tabs>
          <w:tab w:leader="none" w:pos="1840" w:val="left"/>
        </w:tabs>
        <w:rPr>
          <w:rFonts w:ascii="Arial" w:cs="Arial" w:eastAsia="Arial" w:hAnsi="Arial"/>
          <w:sz w:val="16"/>
          <w:szCs w:val="16"/>
          <w:u w:val="single" w:color="auto"/>
          <w:color w:val="0000EE"/>
        </w:rPr>
      </w:pPr>
      <w:r>
        <w:rPr>
          <w:rFonts w:ascii="Arial" w:cs="Arial" w:eastAsia="Arial" w:hAnsi="Arial"/>
          <w:sz w:val="16"/>
          <w:szCs w:val="16"/>
          <w:color w:val="auto"/>
        </w:rPr>
        <w:t>FOR</w:t>
      </w:r>
      <w:r>
        <w:rPr>
          <w:sz w:val="20"/>
          <w:szCs w:val="20"/>
          <w:color w:val="auto"/>
        </w:rPr>
        <w:tab/>
      </w:r>
      <w:hyperlink w:anchor="page33">
        <w:r>
          <w:rPr>
            <w:rFonts w:ascii="Arial" w:cs="Arial" w:eastAsia="Arial" w:hAnsi="Arial"/>
            <w:sz w:val="16"/>
            <w:szCs w:val="16"/>
            <w:u w:val="single" w:color="auto"/>
            <w:color w:val="0000EE"/>
          </w:rPr>
          <w:t>29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673100</wp:posOffset>
            </wp:positionH>
            <wp:positionV relativeFrom="paragraph">
              <wp:posOffset>173355</wp:posOffset>
            </wp:positionV>
            <wp:extent cx="266065" cy="2660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66065" cy="266065"/>
                    </a:xfrm>
                    <a:prstGeom prst="rect">
                      <a:avLst/>
                    </a:prstGeom>
                    <a:noFill/>
                  </pic:spPr>
                </pic:pic>
              </a:graphicData>
            </a:graphic>
          </wp:anchor>
        </w:drawing>
      </w:r>
    </w:p>
    <w:p>
      <w:pPr>
        <w:spacing w:after="0" w:line="363" w:lineRule="exact"/>
        <w:rPr>
          <w:sz w:val="20"/>
          <w:szCs w:val="20"/>
          <w:color w:val="auto"/>
        </w:rPr>
      </w:pPr>
    </w:p>
    <w:p>
      <w:pPr>
        <w:ind w:left="180"/>
        <w:spacing w:after="0"/>
        <w:tabs>
          <w:tab w:leader="none" w:pos="1840" w:val="left"/>
        </w:tabs>
        <w:rPr>
          <w:rFonts w:ascii="Arial" w:cs="Arial" w:eastAsia="Arial" w:hAnsi="Arial"/>
          <w:sz w:val="16"/>
          <w:szCs w:val="16"/>
          <w:u w:val="single" w:color="auto"/>
          <w:color w:val="0000EE"/>
        </w:rPr>
      </w:pPr>
      <w:r>
        <w:rPr>
          <w:rFonts w:ascii="Arial" w:cs="Arial" w:eastAsia="Arial" w:hAnsi="Arial"/>
          <w:sz w:val="16"/>
          <w:szCs w:val="16"/>
          <w:color w:val="auto"/>
        </w:rPr>
        <w:t>FOR</w:t>
      </w:r>
      <w:r>
        <w:rPr>
          <w:sz w:val="20"/>
          <w:szCs w:val="20"/>
          <w:color w:val="auto"/>
        </w:rPr>
        <w:tab/>
      </w:r>
      <w:hyperlink w:anchor="page62">
        <w:r>
          <w:rPr>
            <w:rFonts w:ascii="Arial" w:cs="Arial" w:eastAsia="Arial" w:hAnsi="Arial"/>
            <w:sz w:val="16"/>
            <w:szCs w:val="16"/>
            <w:u w:val="single" w:color="auto"/>
            <w:color w:val="0000EE"/>
          </w:rPr>
          <w:t>58</w:t>
        </w:r>
      </w:hyperlink>
    </w:p>
    <w:p>
      <w:pPr>
        <w:spacing w:after="0" w:line="200" w:lineRule="exact"/>
        <w:rPr>
          <w:sz w:val="20"/>
          <w:szCs w:val="20"/>
          <w:color w:val="auto"/>
        </w:rPr>
      </w:pPr>
    </w:p>
    <w:p>
      <w:pPr>
        <w:spacing w:after="0" w:line="224" w:lineRule="exact"/>
        <w:rPr>
          <w:sz w:val="20"/>
          <w:szCs w:val="20"/>
          <w:color w:val="auto"/>
        </w:rPr>
      </w:pPr>
    </w:p>
    <w:p>
      <w:pPr>
        <w:spacing w:after="0"/>
        <w:tabs>
          <w:tab w:leader="none" w:pos="1840" w:val="left"/>
        </w:tabs>
        <w:rPr>
          <w:rFonts w:ascii="Arial" w:cs="Arial" w:eastAsia="Arial" w:hAnsi="Arial"/>
          <w:sz w:val="16"/>
          <w:szCs w:val="16"/>
          <w:u w:val="single" w:color="auto"/>
          <w:color w:val="0000EE"/>
        </w:rPr>
      </w:pPr>
      <w:r>
        <w:rPr>
          <w:rFonts w:ascii="Arial" w:cs="Arial" w:eastAsia="Arial" w:hAnsi="Arial"/>
          <w:sz w:val="16"/>
          <w:szCs w:val="16"/>
          <w:color w:val="auto"/>
        </w:rPr>
        <w:t>AGAINST</w:t>
      </w:r>
      <w:r>
        <w:rPr>
          <w:sz w:val="20"/>
          <w:szCs w:val="20"/>
          <w:color w:val="auto"/>
        </w:rPr>
        <w:tab/>
      </w:r>
      <w:hyperlink w:anchor="page67">
        <w:r>
          <w:rPr>
            <w:rFonts w:ascii="Arial" w:cs="Arial" w:eastAsia="Arial" w:hAnsi="Arial"/>
            <w:sz w:val="16"/>
            <w:szCs w:val="16"/>
            <w:u w:val="single" w:color="auto"/>
            <w:color w:val="0000EE"/>
          </w:rPr>
          <w:t>63</w:t>
        </w:r>
      </w:hyperlink>
    </w:p>
    <w:p>
      <w:pPr>
        <w:spacing w:after="0" w:line="290" w:lineRule="exact"/>
        <w:rPr>
          <w:sz w:val="20"/>
          <w:szCs w:val="20"/>
          <w:color w:val="auto"/>
        </w:rPr>
      </w:pPr>
    </w:p>
    <w:p>
      <w:pPr>
        <w:sectPr>
          <w:pgSz w:w="11900" w:h="16838" w:orient="portrait"/>
          <w:cols w:equalWidth="0" w:num="3">
            <w:col w:w="4280" w:space="260"/>
            <w:col w:w="2820" w:space="440"/>
            <w:col w:w="2920"/>
          </w:cols>
          <w:pgMar w:left="580" w:top="131" w:right="5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920" w:type="dxa"/>
            <w:vAlign w:val="bottom"/>
          </w:tcPr>
          <w:p>
            <w:pPr>
              <w:ind w:left="660"/>
              <w:spacing w:after="0"/>
              <w:rPr>
                <w:sz w:val="20"/>
                <w:szCs w:val="20"/>
                <w:color w:val="auto"/>
              </w:rPr>
            </w:pPr>
            <w:r>
              <w:rPr>
                <w:rFonts w:ascii="Arial" w:cs="Arial" w:eastAsia="Arial" w:hAnsi="Arial"/>
                <w:sz w:val="16"/>
                <w:szCs w:val="16"/>
                <w:color w:val="auto"/>
              </w:rPr>
              <w:t>Proxy Statement</w:t>
            </w:r>
          </w:p>
        </w:tc>
        <w:tc>
          <w:tcPr>
            <w:tcW w:w="4800" w:type="dxa"/>
            <w:vAlign w:val="bottom"/>
          </w:tcPr>
          <w:p>
            <w:pPr>
              <w:jc w:val="right"/>
              <w:ind w:right="579"/>
              <w:spacing w:after="0"/>
              <w:rPr>
                <w:sz w:val="20"/>
                <w:szCs w:val="20"/>
                <w:color w:val="auto"/>
              </w:rPr>
            </w:pPr>
            <w:r>
              <w:rPr>
                <w:rFonts w:ascii="Arial" w:cs="Arial" w:eastAsia="Arial" w:hAnsi="Arial"/>
                <w:sz w:val="16"/>
                <w:szCs w:val="16"/>
                <w:color w:val="auto"/>
              </w:rPr>
              <w:t>1</w:t>
            </w:r>
          </w:p>
        </w:tc>
      </w:tr>
      <w:tr>
        <w:trPr>
          <w:trHeight w:val="296"/>
        </w:trPr>
        <w:tc>
          <w:tcPr>
            <w:tcW w:w="5920" w:type="dxa"/>
            <w:vAlign w:val="bottom"/>
            <w:tcBorders>
              <w:bottom w:val="single" w:sz="8" w:color="9A9A9A"/>
            </w:tcBorders>
          </w:tcPr>
          <w:p>
            <w:pPr>
              <w:spacing w:after="0"/>
              <w:rPr>
                <w:sz w:val="24"/>
                <w:szCs w:val="24"/>
                <w:color w:val="auto"/>
              </w:rPr>
            </w:pPr>
          </w:p>
        </w:tc>
        <w:tc>
          <w:tcPr>
            <w:tcW w:w="4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type w:val="continuous"/>
        </w:sectPr>
      </w:pPr>
    </w:p>
    <w:bookmarkStart w:id="6" w:name="page7"/>
    <w:bookmarkEnd w:id="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Arial" w:cs="Arial" w:eastAsia="Arial" w:hAnsi="Arial"/>
          <w:sz w:val="29"/>
          <w:szCs w:val="29"/>
          <w:b w:val="1"/>
          <w:bCs w:val="1"/>
          <w:color w:val="auto"/>
        </w:rPr>
        <w:t>Financial Highlights from Fiscal Year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79375</wp:posOffset>
            </wp:positionV>
            <wp:extent cx="59747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974715"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660" w:right="260"/>
        <w:spacing w:after="0" w:line="257" w:lineRule="auto"/>
        <w:rPr>
          <w:sz w:val="20"/>
          <w:szCs w:val="20"/>
          <w:color w:val="auto"/>
        </w:rPr>
      </w:pPr>
      <w:r>
        <w:rPr>
          <w:rFonts w:ascii="Arial" w:cs="Arial" w:eastAsia="Arial" w:hAnsi="Arial"/>
          <w:sz w:val="20"/>
          <w:szCs w:val="20"/>
          <w:color w:val="191919"/>
        </w:rPr>
        <w:t>In our fiscal year ended October 1, 2021 (“fiscal year 2021”), the Company delivered strong performance through the initial stage of a multi-year wireless transition that has been powered by deep customer relationships and decades of investments in innovative connectivity solutions.</w:t>
      </w:r>
    </w:p>
    <w:p>
      <w:pPr>
        <w:spacing w:after="0" w:line="115" w:lineRule="exact"/>
        <w:rPr>
          <w:sz w:val="20"/>
          <w:szCs w:val="20"/>
          <w:color w:val="auto"/>
        </w:rPr>
      </w:pPr>
    </w:p>
    <w:p>
      <w:pPr>
        <w:ind w:left="1200" w:hanging="186"/>
        <w:spacing w:after="0"/>
        <w:tabs>
          <w:tab w:leader="none" w:pos="12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 xml:space="preserve">Achieved net revenue of </w:t>
      </w:r>
      <w:r>
        <w:rPr>
          <w:rFonts w:ascii="Arial" w:cs="Arial" w:eastAsia="Arial" w:hAnsi="Arial"/>
          <w:sz w:val="20"/>
          <w:szCs w:val="20"/>
          <w:b w:val="1"/>
          <w:bCs w:val="1"/>
          <w:color w:val="auto"/>
        </w:rPr>
        <w:t>$5.109 billion</w:t>
      </w:r>
      <w:r>
        <w:rPr>
          <w:rFonts w:ascii="Arial" w:cs="Arial" w:eastAsia="Arial" w:hAnsi="Arial"/>
          <w:sz w:val="20"/>
          <w:szCs w:val="20"/>
          <w:color w:val="auto"/>
        </w:rPr>
        <w:t>, up 52% year over year</w:t>
      </w:r>
    </w:p>
    <w:p>
      <w:pPr>
        <w:spacing w:after="0" w:line="31" w:lineRule="exact"/>
        <w:rPr>
          <w:rFonts w:ascii="Arial" w:cs="Arial" w:eastAsia="Arial" w:hAnsi="Arial"/>
          <w:sz w:val="20"/>
          <w:szCs w:val="20"/>
          <w:color w:val="auto"/>
        </w:rPr>
      </w:pPr>
    </w:p>
    <w:p>
      <w:pPr>
        <w:ind w:left="1200" w:hanging="186"/>
        <w:spacing w:after="0" w:line="182" w:lineRule="auto"/>
        <w:tabs>
          <w:tab w:leader="none" w:pos="12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 xml:space="preserve">Achieved operating margin of </w:t>
      </w:r>
      <w:r>
        <w:rPr>
          <w:rFonts w:ascii="Arial" w:cs="Arial" w:eastAsia="Arial" w:hAnsi="Arial"/>
          <w:sz w:val="20"/>
          <w:szCs w:val="20"/>
          <w:b w:val="1"/>
          <w:bCs w:val="1"/>
          <w:color w:val="auto"/>
        </w:rPr>
        <w:t>31.6%</w:t>
      </w:r>
      <w:r>
        <w:rPr>
          <w:rFonts w:ascii="Arial" w:cs="Arial" w:eastAsia="Arial" w:hAnsi="Arial"/>
          <w:sz w:val="20"/>
          <w:szCs w:val="20"/>
          <w:color w:val="auto"/>
        </w:rPr>
        <w:t xml:space="preserve"> on a GAAP basis (</w:t>
      </w:r>
      <w:r>
        <w:rPr>
          <w:rFonts w:ascii="Arial" w:cs="Arial" w:eastAsia="Arial" w:hAnsi="Arial"/>
          <w:sz w:val="20"/>
          <w:szCs w:val="20"/>
          <w:b w:val="1"/>
          <w:bCs w:val="1"/>
          <w:color w:val="auto"/>
        </w:rPr>
        <w:t>38.2%</w:t>
      </w:r>
      <w:r>
        <w:rPr>
          <w:rFonts w:ascii="Arial" w:cs="Arial" w:eastAsia="Arial" w:hAnsi="Arial"/>
          <w:sz w:val="20"/>
          <w:szCs w:val="20"/>
          <w:color w:val="auto"/>
        </w:rPr>
        <w:t xml:space="preserve"> on a non-GAAP basis)</w:t>
      </w:r>
      <w:r>
        <w:rPr>
          <w:rFonts w:ascii="Arial" w:cs="Arial" w:eastAsia="Arial" w:hAnsi="Arial"/>
          <w:sz w:val="30"/>
          <w:szCs w:val="30"/>
          <w:color w:val="auto"/>
          <w:vertAlign w:val="superscript"/>
        </w:rPr>
        <w:t>1</w:t>
      </w:r>
    </w:p>
    <w:p>
      <w:pPr>
        <w:ind w:left="1200" w:hanging="186"/>
        <w:spacing w:after="0" w:line="184" w:lineRule="auto"/>
        <w:tabs>
          <w:tab w:leader="none" w:pos="1200" w:val="left"/>
        </w:tabs>
        <w:numPr>
          <w:ilvl w:val="0"/>
          <w:numId w:val="11"/>
        </w:numPr>
        <w:rPr>
          <w:rFonts w:ascii="Arial" w:cs="Arial" w:eastAsia="Arial" w:hAnsi="Arial"/>
          <w:sz w:val="19"/>
          <w:szCs w:val="19"/>
          <w:color w:val="auto"/>
        </w:rPr>
      </w:pPr>
      <w:r>
        <w:rPr>
          <w:rFonts w:ascii="Arial" w:cs="Arial" w:eastAsia="Arial" w:hAnsi="Arial"/>
          <w:sz w:val="19"/>
          <w:szCs w:val="19"/>
          <w:color w:val="auto"/>
        </w:rPr>
        <w:t xml:space="preserve">Achieved diluted earnings per share of </w:t>
      </w:r>
      <w:r>
        <w:rPr>
          <w:rFonts w:ascii="Arial" w:cs="Arial" w:eastAsia="Arial" w:hAnsi="Arial"/>
          <w:sz w:val="19"/>
          <w:szCs w:val="19"/>
          <w:b w:val="1"/>
          <w:bCs w:val="1"/>
          <w:color w:val="auto"/>
        </w:rPr>
        <w:t>$8.97</w:t>
      </w:r>
      <w:r>
        <w:rPr>
          <w:rFonts w:ascii="Arial" w:cs="Arial" w:eastAsia="Arial" w:hAnsi="Arial"/>
          <w:sz w:val="19"/>
          <w:szCs w:val="19"/>
          <w:color w:val="auto"/>
        </w:rPr>
        <w:t xml:space="preserve"> on a GAAP basis (</w:t>
      </w:r>
      <w:r>
        <w:rPr>
          <w:rFonts w:ascii="Arial" w:cs="Arial" w:eastAsia="Arial" w:hAnsi="Arial"/>
          <w:sz w:val="19"/>
          <w:szCs w:val="19"/>
          <w:b w:val="1"/>
          <w:bCs w:val="1"/>
          <w:color w:val="auto"/>
        </w:rPr>
        <w:t>$10.50</w:t>
      </w:r>
      <w:r>
        <w:rPr>
          <w:rFonts w:ascii="Arial" w:cs="Arial" w:eastAsia="Arial" w:hAnsi="Arial"/>
          <w:sz w:val="19"/>
          <w:szCs w:val="19"/>
          <w:color w:val="auto"/>
        </w:rPr>
        <w:t xml:space="preserve"> on a non-GAAP basis)</w:t>
      </w:r>
      <w:r>
        <w:rPr>
          <w:rFonts w:ascii="Arial" w:cs="Arial" w:eastAsia="Arial" w:hAnsi="Arial"/>
          <w:sz w:val="29"/>
          <w:szCs w:val="29"/>
          <w:color w:val="auto"/>
          <w:vertAlign w:val="superscript"/>
        </w:rPr>
        <w:t>1</w:t>
      </w:r>
    </w:p>
    <w:p>
      <w:pPr>
        <w:ind w:left="1200" w:hanging="186"/>
        <w:spacing w:after="0"/>
        <w:tabs>
          <w:tab w:leader="none" w:pos="12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 xml:space="preserve">Generated operating cash flow of </w:t>
      </w:r>
      <w:r>
        <w:rPr>
          <w:rFonts w:ascii="Arial" w:cs="Arial" w:eastAsia="Arial" w:hAnsi="Arial"/>
          <w:sz w:val="20"/>
          <w:szCs w:val="20"/>
          <w:b w:val="1"/>
          <w:bCs w:val="1"/>
          <w:color w:val="auto"/>
        </w:rPr>
        <w:t>$1.772 billion</w:t>
      </w:r>
      <w:r>
        <w:rPr>
          <w:rFonts w:ascii="Arial" w:cs="Arial" w:eastAsia="Arial" w:hAnsi="Arial"/>
          <w:sz w:val="20"/>
          <w:szCs w:val="20"/>
          <w:color w:val="auto"/>
        </w:rPr>
        <w:t>, up 47% year over year</w:t>
      </w:r>
    </w:p>
    <w:p>
      <w:pPr>
        <w:spacing w:after="0" w:line="7" w:lineRule="exact"/>
        <w:rPr>
          <w:rFonts w:ascii="Arial" w:cs="Arial" w:eastAsia="Arial" w:hAnsi="Arial"/>
          <w:sz w:val="20"/>
          <w:szCs w:val="20"/>
          <w:color w:val="auto"/>
        </w:rPr>
      </w:pPr>
    </w:p>
    <w:p>
      <w:pPr>
        <w:ind w:left="1200" w:hanging="186"/>
        <w:spacing w:after="0"/>
        <w:tabs>
          <w:tab w:leader="none" w:pos="12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 xml:space="preserve">Increased our quarterly dividend from </w:t>
      </w:r>
      <w:r>
        <w:rPr>
          <w:rFonts w:ascii="Arial" w:cs="Arial" w:eastAsia="Arial" w:hAnsi="Arial"/>
          <w:sz w:val="20"/>
          <w:szCs w:val="20"/>
          <w:b w:val="1"/>
          <w:bCs w:val="1"/>
          <w:color w:val="auto"/>
        </w:rPr>
        <w:t>$0.50</w:t>
      </w:r>
      <w:r>
        <w:rPr>
          <w:rFonts w:ascii="Arial" w:cs="Arial" w:eastAsia="Arial" w:hAnsi="Arial"/>
          <w:sz w:val="20"/>
          <w:szCs w:val="20"/>
          <w:color w:val="auto"/>
        </w:rPr>
        <w:t xml:space="preserve"> per share to </w:t>
      </w:r>
      <w:r>
        <w:rPr>
          <w:rFonts w:ascii="Arial" w:cs="Arial" w:eastAsia="Arial" w:hAnsi="Arial"/>
          <w:sz w:val="20"/>
          <w:szCs w:val="20"/>
          <w:b w:val="1"/>
          <w:bCs w:val="1"/>
          <w:color w:val="auto"/>
        </w:rPr>
        <w:t>$0.56</w:t>
      </w:r>
      <w:r>
        <w:rPr>
          <w:rFonts w:ascii="Arial" w:cs="Arial" w:eastAsia="Arial" w:hAnsi="Arial"/>
          <w:sz w:val="20"/>
          <w:szCs w:val="20"/>
          <w:color w:val="auto"/>
        </w:rPr>
        <w:t xml:space="preserve"> per share</w:t>
      </w:r>
    </w:p>
    <w:p>
      <w:pPr>
        <w:spacing w:after="0" w:line="13" w:lineRule="exact"/>
        <w:rPr>
          <w:rFonts w:ascii="Arial" w:cs="Arial" w:eastAsia="Arial" w:hAnsi="Arial"/>
          <w:sz w:val="20"/>
          <w:szCs w:val="20"/>
          <w:color w:val="auto"/>
        </w:rPr>
      </w:pPr>
    </w:p>
    <w:p>
      <w:pPr>
        <w:ind w:left="1200" w:right="340" w:hanging="186"/>
        <w:spacing w:after="0" w:line="267" w:lineRule="auto"/>
        <w:tabs>
          <w:tab w:leader="none" w:pos="12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 xml:space="preserve">Returned </w:t>
      </w:r>
      <w:r>
        <w:rPr>
          <w:rFonts w:ascii="Arial" w:cs="Arial" w:eastAsia="Arial" w:hAnsi="Arial"/>
          <w:sz w:val="20"/>
          <w:szCs w:val="20"/>
          <w:b w:val="1"/>
          <w:bCs w:val="1"/>
          <w:color w:val="auto"/>
        </w:rPr>
        <w:t>$536.2 million</w:t>
      </w:r>
      <w:r>
        <w:rPr>
          <w:rFonts w:ascii="Arial" w:cs="Arial" w:eastAsia="Arial" w:hAnsi="Arial"/>
          <w:sz w:val="20"/>
          <w:szCs w:val="20"/>
          <w:color w:val="auto"/>
        </w:rPr>
        <w:t xml:space="preserve"> to stockholders through repurchasing </w:t>
      </w:r>
      <w:r>
        <w:rPr>
          <w:rFonts w:ascii="Arial" w:cs="Arial" w:eastAsia="Arial" w:hAnsi="Arial"/>
          <w:sz w:val="20"/>
          <w:szCs w:val="20"/>
          <w:b w:val="1"/>
          <w:bCs w:val="1"/>
          <w:color w:val="auto"/>
        </w:rPr>
        <w:t>1.4 million</w:t>
      </w:r>
      <w:r>
        <w:rPr>
          <w:rFonts w:ascii="Arial" w:cs="Arial" w:eastAsia="Arial" w:hAnsi="Arial"/>
          <w:sz w:val="20"/>
          <w:szCs w:val="20"/>
          <w:color w:val="auto"/>
        </w:rPr>
        <w:t xml:space="preserve"> shares of our common stock for </w:t>
      </w:r>
      <w:r>
        <w:rPr>
          <w:rFonts w:ascii="Arial" w:cs="Arial" w:eastAsia="Arial" w:hAnsi="Arial"/>
          <w:sz w:val="20"/>
          <w:szCs w:val="20"/>
          <w:b w:val="1"/>
          <w:bCs w:val="1"/>
          <w:color w:val="auto"/>
        </w:rPr>
        <w:t>$195.6 million</w:t>
      </w:r>
      <w:r>
        <w:rPr>
          <w:rFonts w:ascii="Arial" w:cs="Arial" w:eastAsia="Arial" w:hAnsi="Arial"/>
          <w:sz w:val="20"/>
          <w:szCs w:val="20"/>
          <w:color w:val="auto"/>
        </w:rPr>
        <w:t xml:space="preserve"> and through payments of </w:t>
      </w:r>
      <w:r>
        <w:rPr>
          <w:rFonts w:ascii="Arial" w:cs="Arial" w:eastAsia="Arial" w:hAnsi="Arial"/>
          <w:sz w:val="20"/>
          <w:szCs w:val="20"/>
          <w:b w:val="1"/>
          <w:bCs w:val="1"/>
          <w:color w:val="auto"/>
        </w:rPr>
        <w:t>$340.6 million</w:t>
      </w:r>
      <w:r>
        <w:rPr>
          <w:rFonts w:ascii="Arial" w:cs="Arial" w:eastAsia="Arial" w:hAnsi="Arial"/>
          <w:sz w:val="20"/>
          <w:szCs w:val="20"/>
          <w:color w:val="auto"/>
        </w:rPr>
        <w:t xml:space="preserve"> in cash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5099050</wp:posOffset>
            </wp:positionV>
            <wp:extent cx="123444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34440" cy="8890"/>
                    </a:xfrm>
                    <a:prstGeom prst="rect">
                      <a:avLst/>
                    </a:prstGeom>
                    <a:noFill/>
                  </pic:spPr>
                </pic:pic>
              </a:graphicData>
            </a:graphic>
          </wp:anchor>
        </w:drawing>
        <w:drawing>
          <wp:anchor simplePos="0" relativeHeight="251657728" behindDoc="1" locked="0" layoutInCell="0" allowOverlap="1">
            <wp:simplePos x="0" y="0"/>
            <wp:positionH relativeFrom="column">
              <wp:posOffset>1631315</wp:posOffset>
            </wp:positionH>
            <wp:positionV relativeFrom="paragraph">
              <wp:posOffset>152400</wp:posOffset>
            </wp:positionV>
            <wp:extent cx="3549015" cy="32061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549015" cy="3206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080" w:hanging="354"/>
        <w:spacing w:after="0"/>
        <w:tabs>
          <w:tab w:leader="none" w:pos="1080" w:val="left"/>
        </w:tabs>
        <w:numPr>
          <w:ilvl w:val="0"/>
          <w:numId w:val="12"/>
        </w:numPr>
        <w:rPr>
          <w:rFonts w:ascii="Arial" w:cs="Arial" w:eastAsia="Arial" w:hAnsi="Arial"/>
          <w:sz w:val="16"/>
          <w:szCs w:val="16"/>
          <w:i w:val="1"/>
          <w:iCs w:val="1"/>
          <w:color w:val="191919"/>
        </w:rPr>
      </w:pPr>
      <w:r>
        <w:rPr>
          <w:rFonts w:ascii="Arial" w:cs="Arial" w:eastAsia="Arial" w:hAnsi="Arial"/>
          <w:sz w:val="16"/>
          <w:szCs w:val="16"/>
          <w:i w:val="1"/>
          <w:iCs w:val="1"/>
          <w:color w:val="191919"/>
        </w:rPr>
        <w:t xml:space="preserve">Please see table on page </w:t>
      </w:r>
      <w:hyperlink w:anchor="page87">
        <w:r>
          <w:rPr>
            <w:rFonts w:ascii="Arial" w:cs="Arial" w:eastAsia="Arial" w:hAnsi="Arial"/>
            <w:sz w:val="16"/>
            <w:szCs w:val="16"/>
            <w:i w:val="1"/>
            <w:iCs w:val="1"/>
            <w:u w:val="single" w:color="auto"/>
            <w:color w:val="0000EE"/>
          </w:rPr>
          <w:t>83</w:t>
        </w:r>
        <w:r>
          <w:rPr>
            <w:rFonts w:ascii="Arial" w:cs="Arial" w:eastAsia="Arial" w:hAnsi="Arial"/>
            <w:sz w:val="16"/>
            <w:szCs w:val="16"/>
            <w:i w:val="1"/>
            <w:iCs w:val="1"/>
            <w:u w:val="single" w:color="auto"/>
            <w:color w:val="191919"/>
          </w:rPr>
          <w:t xml:space="preserve"> </w:t>
        </w:r>
      </w:hyperlink>
      <w:r>
        <w:rPr>
          <w:rFonts w:ascii="Arial" w:cs="Arial" w:eastAsia="Arial" w:hAnsi="Arial"/>
          <w:sz w:val="16"/>
          <w:szCs w:val="16"/>
          <w:i w:val="1"/>
          <w:iCs w:val="1"/>
          <w:color w:val="191919"/>
        </w:rPr>
        <w:t>for a full reconciliation of non-GAAP results to GAAP results.</w:t>
      </w:r>
    </w:p>
    <w:p>
      <w:pPr>
        <w:spacing w:after="0" w:line="350" w:lineRule="exact"/>
        <w:rPr>
          <w:sz w:val="20"/>
          <w:szCs w:val="20"/>
          <w:color w:val="auto"/>
        </w:rPr>
      </w:pPr>
    </w:p>
    <w:p>
      <w:pPr>
        <w:ind w:left="660"/>
        <w:spacing w:after="0"/>
        <w:tabs>
          <w:tab w:leader="none" w:pos="4817" w:val="left"/>
        </w:tabs>
        <w:rPr>
          <w:sz w:val="20"/>
          <w:szCs w:val="20"/>
          <w:color w:val="auto"/>
        </w:rPr>
      </w:pPr>
      <w:r>
        <w:rPr>
          <w:rFonts w:ascii="Arial" w:cs="Arial" w:eastAsia="Arial" w:hAnsi="Arial"/>
          <w:sz w:val="16"/>
          <w:szCs w:val="16"/>
          <w:color w:val="auto"/>
        </w:rPr>
        <w:t>2</w:t>
      </w:r>
      <w:r>
        <w:rPr>
          <w:sz w:val="20"/>
          <w:szCs w:val="20"/>
          <w:color w:val="auto"/>
        </w:rPr>
        <w:tab/>
      </w:r>
      <w:r>
        <w:rPr>
          <w:sz w:val="1"/>
          <w:szCs w:val="1"/>
          <w:color w:val="auto"/>
        </w:rPr>
        <w:drawing>
          <wp:inline distT="0" distB="0" distL="0" distR="0">
            <wp:extent cx="779780" cy="25717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131" w:right="1259" w:bottom="1440" w:gutter="0" w:footer="0" w:header="0"/>
        </w:sectPr>
      </w:pPr>
    </w:p>
    <w:bookmarkStart w:id="7" w:name="page8"/>
    <w:bookmarkEnd w:id="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Arial" w:cs="Arial" w:eastAsia="Arial" w:hAnsi="Arial"/>
          <w:sz w:val="29"/>
          <w:szCs w:val="29"/>
          <w:b w:val="1"/>
          <w:bCs w:val="1"/>
          <w:color w:val="auto"/>
        </w:rPr>
        <w:t>Driving Long-Term Stockholder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79375</wp:posOffset>
            </wp:positionV>
            <wp:extent cx="59747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974715" cy="8255"/>
                    </a:xfrm>
                    <a:prstGeom prst="rect">
                      <a:avLst/>
                    </a:prstGeom>
                    <a:noFill/>
                  </pic:spPr>
                </pic:pic>
              </a:graphicData>
            </a:graphic>
          </wp:anchor>
        </w:drawing>
      </w:r>
    </w:p>
    <w:p>
      <w:pPr>
        <w:spacing w:after="0" w:line="237" w:lineRule="exact"/>
        <w:rPr>
          <w:sz w:val="20"/>
          <w:szCs w:val="20"/>
          <w:color w:val="auto"/>
        </w:rPr>
      </w:pPr>
    </w:p>
    <w:p>
      <w:pPr>
        <w:ind w:left="660" w:right="900"/>
        <w:spacing w:after="0" w:line="243" w:lineRule="auto"/>
        <w:rPr>
          <w:sz w:val="20"/>
          <w:szCs w:val="20"/>
          <w:color w:val="auto"/>
        </w:rPr>
      </w:pPr>
      <w:r>
        <w:rPr>
          <w:rFonts w:ascii="Arial" w:cs="Arial" w:eastAsia="Arial" w:hAnsi="Arial"/>
          <w:sz w:val="20"/>
          <w:szCs w:val="20"/>
          <w:color w:val="191919"/>
        </w:rPr>
        <w:t>The Company’s strong long-term performance is demonstrated in our total stockholder return (“TSR”), which has outperformed the S&amp;P 500 benchmark over the past three, five, and ten fiscal year periods, as displayed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1339850</wp:posOffset>
            </wp:positionH>
            <wp:positionV relativeFrom="paragraph">
              <wp:posOffset>55880</wp:posOffset>
            </wp:positionV>
            <wp:extent cx="4131945" cy="32061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131945" cy="3206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60"/>
        <w:spacing w:after="0"/>
        <w:rPr>
          <w:sz w:val="20"/>
          <w:szCs w:val="20"/>
          <w:color w:val="auto"/>
        </w:rPr>
      </w:pPr>
      <w:r>
        <w:rPr>
          <w:rFonts w:ascii="Arial" w:cs="Arial" w:eastAsia="Arial" w:hAnsi="Arial"/>
          <w:sz w:val="29"/>
          <w:szCs w:val="29"/>
          <w:b w:val="1"/>
          <w:bCs w:val="1"/>
          <w:color w:val="auto"/>
        </w:rPr>
        <w:t>Other Accomplishments from Fiscal Year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79375</wp:posOffset>
            </wp:positionV>
            <wp:extent cx="59747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974715" cy="8255"/>
                    </a:xfrm>
                    <a:prstGeom prst="rect">
                      <a:avLst/>
                    </a:prstGeom>
                    <a:noFill/>
                  </pic:spPr>
                </pic:pic>
              </a:graphicData>
            </a:graphic>
          </wp:anchor>
        </w:drawing>
      </w:r>
    </w:p>
    <w:p>
      <w:pPr>
        <w:spacing w:after="0" w:line="223" w:lineRule="exact"/>
        <w:rPr>
          <w:sz w:val="20"/>
          <w:szCs w:val="20"/>
          <w:color w:val="auto"/>
        </w:rPr>
      </w:pPr>
    </w:p>
    <w:p>
      <w:pPr>
        <w:ind w:left="660" w:right="660"/>
        <w:spacing w:after="0" w:line="258" w:lineRule="auto"/>
        <w:rPr>
          <w:sz w:val="20"/>
          <w:szCs w:val="20"/>
          <w:color w:val="auto"/>
        </w:rPr>
      </w:pPr>
      <w:r>
        <w:rPr>
          <w:rFonts w:ascii="Arial" w:cs="Arial" w:eastAsia="Arial" w:hAnsi="Arial"/>
          <w:sz w:val="19"/>
          <w:szCs w:val="19"/>
          <w:color w:val="191919"/>
        </w:rPr>
        <w:t>During fiscal year 2021, we acquired the Infrastructure and Automotive business of Silicon Laboratories Inc. (the “Acquisition”). The Acquisition accelerates our expansion into high-growth market segments, including electric and hybrid vehicles, industrial and motor control, power supply, 5G wireless infrastructure, optical data communication, data center, automotive, smart home, and several other applications.</w:t>
      </w:r>
    </w:p>
    <w:p>
      <w:pPr>
        <w:spacing w:after="0" w:line="6" w:lineRule="exact"/>
        <w:rPr>
          <w:sz w:val="20"/>
          <w:szCs w:val="20"/>
          <w:color w:val="auto"/>
        </w:rPr>
      </w:pPr>
    </w:p>
    <w:p>
      <w:pPr>
        <w:ind w:left="660" w:right="1060"/>
        <w:spacing w:after="0" w:line="246" w:lineRule="auto"/>
        <w:rPr>
          <w:sz w:val="20"/>
          <w:szCs w:val="20"/>
          <w:color w:val="auto"/>
        </w:rPr>
      </w:pPr>
      <w:r>
        <w:rPr>
          <w:rFonts w:ascii="Arial" w:cs="Arial" w:eastAsia="Arial" w:hAnsi="Arial"/>
          <w:sz w:val="20"/>
          <w:szCs w:val="20"/>
          <w:color w:val="191919"/>
        </w:rPr>
        <w:t>In addition, we broadened our customer set and expanded our suite of applications. Highlights from the year include:</w:t>
      </w:r>
    </w:p>
    <w:p>
      <w:pPr>
        <w:spacing w:after="0" w:line="14" w:lineRule="exact"/>
        <w:rPr>
          <w:sz w:val="20"/>
          <w:szCs w:val="20"/>
          <w:color w:val="auto"/>
        </w:rPr>
      </w:pPr>
    </w:p>
    <w:p>
      <w:pPr>
        <w:ind w:left="1200" w:right="1520" w:hanging="186"/>
        <w:spacing w:after="0" w:line="233" w:lineRule="auto"/>
        <w:tabs>
          <w:tab w:leader="none" w:pos="1200" w:val="left"/>
        </w:tabs>
        <w:numPr>
          <w:ilvl w:val="0"/>
          <w:numId w:val="13"/>
        </w:numPr>
        <w:rPr>
          <w:rFonts w:ascii="Arial" w:cs="Arial" w:eastAsia="Arial" w:hAnsi="Arial"/>
          <w:sz w:val="20"/>
          <w:szCs w:val="20"/>
          <w:color w:val="auto"/>
        </w:rPr>
      </w:pPr>
      <w:r>
        <w:rPr>
          <w:rFonts w:ascii="Arial" w:cs="Arial" w:eastAsia="Arial" w:hAnsi="Arial"/>
          <w:sz w:val="20"/>
          <w:szCs w:val="20"/>
          <w:color w:val="auto"/>
        </w:rPr>
        <w:t xml:space="preserve">Expanded the comprehensive coverage of our </w:t>
      </w:r>
      <w:r>
        <w:rPr>
          <w:rFonts w:ascii="Arial" w:cs="Arial" w:eastAsia="Arial" w:hAnsi="Arial"/>
          <w:sz w:val="20"/>
          <w:szCs w:val="20"/>
          <w:b w:val="1"/>
          <w:bCs w:val="1"/>
          <w:color w:val="auto"/>
        </w:rPr>
        <w:t>Sky5</w:t>
      </w:r>
      <w:r>
        <w:rPr>
          <w:rFonts w:ascii="Arial" w:cs="Arial" w:eastAsia="Arial" w:hAnsi="Arial"/>
          <w:sz w:val="29"/>
          <w:szCs w:val="29"/>
          <w:b w:val="1"/>
          <w:bCs w:val="1"/>
          <w:color w:val="auto"/>
          <w:vertAlign w:val="superscript"/>
        </w:rPr>
        <w:t>®</w:t>
      </w:r>
      <w:r>
        <w:rPr>
          <w:rFonts w:ascii="Arial" w:cs="Arial" w:eastAsia="Arial" w:hAnsi="Arial"/>
          <w:sz w:val="20"/>
          <w:szCs w:val="20"/>
          <w:color w:val="auto"/>
        </w:rPr>
        <w:t xml:space="preserve"> portfolio, supporting more than 20 5G smartphone platforms of the leading Tier-1 OEMs</w:t>
      </w:r>
    </w:p>
    <w:p>
      <w:pPr>
        <w:ind w:left="1200" w:hanging="186"/>
        <w:spacing w:after="0"/>
        <w:tabs>
          <w:tab w:leader="none" w:pos="1200" w:val="left"/>
        </w:tabs>
        <w:numPr>
          <w:ilvl w:val="0"/>
          <w:numId w:val="13"/>
        </w:numPr>
        <w:rPr>
          <w:rFonts w:ascii="Arial" w:cs="Arial" w:eastAsia="Arial" w:hAnsi="Arial"/>
          <w:sz w:val="20"/>
          <w:szCs w:val="20"/>
          <w:color w:val="auto"/>
        </w:rPr>
      </w:pPr>
      <w:r>
        <w:rPr>
          <w:rFonts w:ascii="Arial" w:cs="Arial" w:eastAsia="Arial" w:hAnsi="Arial"/>
          <w:sz w:val="20"/>
          <w:szCs w:val="20"/>
          <w:color w:val="auto"/>
        </w:rPr>
        <w:t xml:space="preserve">Extended market leadership in </w:t>
      </w:r>
      <w:r>
        <w:rPr>
          <w:rFonts w:ascii="Arial" w:cs="Arial" w:eastAsia="Arial" w:hAnsi="Arial"/>
          <w:sz w:val="20"/>
          <w:szCs w:val="20"/>
          <w:b w:val="1"/>
          <w:bCs w:val="1"/>
          <w:color w:val="auto"/>
        </w:rPr>
        <w:t>Wi-Fi 6 and 6E</w:t>
      </w:r>
      <w:r>
        <w:rPr>
          <w:rFonts w:ascii="Arial" w:cs="Arial" w:eastAsia="Arial" w:hAnsi="Arial"/>
          <w:sz w:val="20"/>
          <w:szCs w:val="20"/>
          <w:color w:val="auto"/>
        </w:rPr>
        <w:t xml:space="preserve"> connectivity platforms</w:t>
      </w:r>
    </w:p>
    <w:p>
      <w:pPr>
        <w:spacing w:after="0" w:line="5" w:lineRule="exact"/>
        <w:rPr>
          <w:rFonts w:ascii="Arial" w:cs="Arial" w:eastAsia="Arial" w:hAnsi="Arial"/>
          <w:sz w:val="20"/>
          <w:szCs w:val="20"/>
          <w:color w:val="auto"/>
        </w:rPr>
      </w:pPr>
    </w:p>
    <w:p>
      <w:pPr>
        <w:ind w:left="1200" w:right="1140" w:hanging="186"/>
        <w:spacing w:after="0" w:line="250" w:lineRule="auto"/>
        <w:tabs>
          <w:tab w:leader="none" w:pos="1200" w:val="left"/>
        </w:tabs>
        <w:numPr>
          <w:ilvl w:val="0"/>
          <w:numId w:val="13"/>
        </w:numPr>
        <w:rPr>
          <w:rFonts w:ascii="Arial" w:cs="Arial" w:eastAsia="Arial" w:hAnsi="Arial"/>
          <w:sz w:val="20"/>
          <w:szCs w:val="20"/>
          <w:color w:val="auto"/>
        </w:rPr>
      </w:pPr>
      <w:r>
        <w:rPr>
          <w:rFonts w:ascii="Arial" w:cs="Arial" w:eastAsia="Arial" w:hAnsi="Arial"/>
          <w:sz w:val="20"/>
          <w:szCs w:val="20"/>
          <w:color w:val="auto"/>
        </w:rPr>
        <w:t xml:space="preserve">Enhanced </w:t>
      </w:r>
      <w:r>
        <w:rPr>
          <w:rFonts w:ascii="Arial" w:cs="Arial" w:eastAsia="Arial" w:hAnsi="Arial"/>
          <w:sz w:val="20"/>
          <w:szCs w:val="20"/>
          <w:b w:val="1"/>
          <w:bCs w:val="1"/>
          <w:color w:val="auto"/>
        </w:rPr>
        <w:t>IoT connected home and security</w:t>
      </w:r>
      <w:r>
        <w:rPr>
          <w:rFonts w:ascii="Arial" w:cs="Arial" w:eastAsia="Arial" w:hAnsi="Arial"/>
          <w:sz w:val="20"/>
          <w:szCs w:val="20"/>
          <w:color w:val="auto"/>
        </w:rPr>
        <w:t xml:space="preserve"> solutions extending range and maximized power efficiency</w:t>
      </w:r>
    </w:p>
    <w:p>
      <w:pPr>
        <w:ind w:left="1200" w:hanging="186"/>
        <w:spacing w:after="0"/>
        <w:tabs>
          <w:tab w:leader="none" w:pos="1200" w:val="left"/>
        </w:tabs>
        <w:numPr>
          <w:ilvl w:val="0"/>
          <w:numId w:val="13"/>
        </w:numPr>
        <w:rPr>
          <w:rFonts w:ascii="Arial" w:cs="Arial" w:eastAsia="Arial" w:hAnsi="Arial"/>
          <w:sz w:val="20"/>
          <w:szCs w:val="20"/>
          <w:color w:val="auto"/>
        </w:rPr>
      </w:pPr>
      <w:r>
        <w:rPr>
          <w:rFonts w:ascii="Arial" w:cs="Arial" w:eastAsia="Arial" w:hAnsi="Arial"/>
          <w:sz w:val="20"/>
          <w:szCs w:val="20"/>
          <w:color w:val="auto"/>
        </w:rPr>
        <w:t xml:space="preserve">Captured design wins supporting </w:t>
      </w:r>
      <w:r>
        <w:rPr>
          <w:rFonts w:ascii="Arial" w:cs="Arial" w:eastAsia="Arial" w:hAnsi="Arial"/>
          <w:sz w:val="20"/>
          <w:szCs w:val="20"/>
          <w:b w:val="1"/>
          <w:bCs w:val="1"/>
          <w:color w:val="auto"/>
        </w:rPr>
        <w:t>home fitness</w:t>
      </w:r>
      <w:r>
        <w:rPr>
          <w:rFonts w:ascii="Arial" w:cs="Arial" w:eastAsia="Arial" w:hAnsi="Arial"/>
          <w:sz w:val="20"/>
          <w:szCs w:val="20"/>
          <w:color w:val="auto"/>
        </w:rPr>
        <w:t xml:space="preserve"> applications</w:t>
      </w:r>
    </w:p>
    <w:p>
      <w:pPr>
        <w:spacing w:after="0" w:line="13" w:lineRule="exact"/>
        <w:rPr>
          <w:rFonts w:ascii="Arial" w:cs="Arial" w:eastAsia="Arial" w:hAnsi="Arial"/>
          <w:sz w:val="20"/>
          <w:szCs w:val="20"/>
          <w:color w:val="auto"/>
        </w:rPr>
      </w:pPr>
    </w:p>
    <w:p>
      <w:pPr>
        <w:ind w:left="1200" w:hanging="186"/>
        <w:spacing w:after="0"/>
        <w:tabs>
          <w:tab w:leader="none" w:pos="1200" w:val="left"/>
        </w:tabs>
        <w:numPr>
          <w:ilvl w:val="0"/>
          <w:numId w:val="13"/>
        </w:numPr>
        <w:rPr>
          <w:rFonts w:ascii="Arial" w:cs="Arial" w:eastAsia="Arial" w:hAnsi="Arial"/>
          <w:sz w:val="20"/>
          <w:szCs w:val="20"/>
          <w:color w:val="auto"/>
        </w:rPr>
      </w:pPr>
      <w:r>
        <w:rPr>
          <w:rFonts w:ascii="Arial" w:cs="Arial" w:eastAsia="Arial" w:hAnsi="Arial"/>
          <w:sz w:val="20"/>
          <w:szCs w:val="20"/>
          <w:color w:val="auto"/>
        </w:rPr>
        <w:t xml:space="preserve">Provided power isolation solutions for </w:t>
      </w:r>
      <w:r>
        <w:rPr>
          <w:rFonts w:ascii="Arial" w:cs="Arial" w:eastAsia="Arial" w:hAnsi="Arial"/>
          <w:sz w:val="20"/>
          <w:szCs w:val="20"/>
          <w:b w:val="1"/>
          <w:bCs w:val="1"/>
          <w:color w:val="auto"/>
        </w:rPr>
        <w:t>EV</w:t>
      </w:r>
      <w:r>
        <w:rPr>
          <w:rFonts w:ascii="Arial" w:cs="Arial" w:eastAsia="Arial" w:hAnsi="Arial"/>
          <w:sz w:val="20"/>
          <w:szCs w:val="20"/>
          <w:color w:val="auto"/>
        </w:rPr>
        <w:t xml:space="preserve">, </w:t>
      </w:r>
      <w:r>
        <w:rPr>
          <w:rFonts w:ascii="Arial" w:cs="Arial" w:eastAsia="Arial" w:hAnsi="Arial"/>
          <w:sz w:val="20"/>
          <w:szCs w:val="20"/>
          <w:b w:val="1"/>
          <w:bCs w:val="1"/>
          <w:color w:val="auto"/>
        </w:rPr>
        <w:t>residential solar</w:t>
      </w:r>
      <w:r>
        <w:rPr>
          <w:rFonts w:ascii="Arial" w:cs="Arial" w:eastAsia="Arial" w:hAnsi="Arial"/>
          <w:sz w:val="20"/>
          <w:szCs w:val="20"/>
          <w:color w:val="auto"/>
        </w:rPr>
        <w:t xml:space="preserve">, and </w:t>
      </w:r>
      <w:r>
        <w:rPr>
          <w:rFonts w:ascii="Arial" w:cs="Arial" w:eastAsia="Arial" w:hAnsi="Arial"/>
          <w:sz w:val="20"/>
          <w:szCs w:val="20"/>
          <w:b w:val="1"/>
          <w:bCs w:val="1"/>
          <w:color w:val="auto"/>
        </w:rPr>
        <w:t>energy storage</w:t>
      </w:r>
      <w:r>
        <w:rPr>
          <w:rFonts w:ascii="Arial" w:cs="Arial" w:eastAsia="Arial" w:hAnsi="Arial"/>
          <w:sz w:val="20"/>
          <w:szCs w:val="20"/>
          <w:color w:val="auto"/>
        </w:rPr>
        <w:t xml:space="preserve"> systems</w:t>
      </w:r>
    </w:p>
    <w:p>
      <w:pPr>
        <w:spacing w:after="0" w:line="13" w:lineRule="exact"/>
        <w:rPr>
          <w:rFonts w:ascii="Arial" w:cs="Arial" w:eastAsia="Arial" w:hAnsi="Arial"/>
          <w:sz w:val="20"/>
          <w:szCs w:val="20"/>
          <w:color w:val="auto"/>
        </w:rPr>
      </w:pPr>
    </w:p>
    <w:p>
      <w:pPr>
        <w:ind w:left="1200" w:right="1140" w:hanging="186"/>
        <w:spacing w:after="0" w:line="249" w:lineRule="auto"/>
        <w:tabs>
          <w:tab w:leader="none" w:pos="1200" w:val="left"/>
        </w:tabs>
        <w:numPr>
          <w:ilvl w:val="0"/>
          <w:numId w:val="13"/>
        </w:numPr>
        <w:rPr>
          <w:rFonts w:ascii="Arial" w:cs="Arial" w:eastAsia="Arial" w:hAnsi="Arial"/>
          <w:sz w:val="20"/>
          <w:szCs w:val="20"/>
          <w:color w:val="auto"/>
        </w:rPr>
      </w:pPr>
      <w:r>
        <w:rPr>
          <w:rFonts w:ascii="Arial" w:cs="Arial" w:eastAsia="Arial" w:hAnsi="Arial"/>
          <w:sz w:val="20"/>
          <w:szCs w:val="20"/>
          <w:color w:val="auto"/>
        </w:rPr>
        <w:t xml:space="preserve">Ramped innovative, </w:t>
      </w:r>
      <w:r>
        <w:rPr>
          <w:rFonts w:ascii="Arial" w:cs="Arial" w:eastAsia="Arial" w:hAnsi="Arial"/>
          <w:sz w:val="20"/>
          <w:szCs w:val="20"/>
          <w:b w:val="1"/>
          <w:bCs w:val="1"/>
          <w:color w:val="auto"/>
        </w:rPr>
        <w:t>cognitive wireless</w:t>
      </w:r>
      <w:r>
        <w:rPr>
          <w:rFonts w:ascii="Arial" w:cs="Arial" w:eastAsia="Arial" w:hAnsi="Arial"/>
          <w:sz w:val="20"/>
          <w:szCs w:val="20"/>
          <w:color w:val="auto"/>
        </w:rPr>
        <w:t xml:space="preserve"> audio solutions powering leading gaming headsets and home theater systems</w:t>
      </w:r>
    </w:p>
    <w:p>
      <w:pPr>
        <w:spacing w:after="0" w:line="1" w:lineRule="exact"/>
        <w:rPr>
          <w:rFonts w:ascii="Arial" w:cs="Arial" w:eastAsia="Arial" w:hAnsi="Arial"/>
          <w:sz w:val="20"/>
          <w:szCs w:val="20"/>
          <w:color w:val="auto"/>
        </w:rPr>
      </w:pPr>
    </w:p>
    <w:p>
      <w:pPr>
        <w:ind w:left="1200" w:right="1420" w:hanging="186"/>
        <w:spacing w:after="0" w:line="250" w:lineRule="auto"/>
        <w:tabs>
          <w:tab w:leader="none" w:pos="1200" w:val="left"/>
        </w:tabs>
        <w:numPr>
          <w:ilvl w:val="0"/>
          <w:numId w:val="13"/>
        </w:numPr>
        <w:rPr>
          <w:rFonts w:ascii="Arial" w:cs="Arial" w:eastAsia="Arial" w:hAnsi="Arial"/>
          <w:sz w:val="20"/>
          <w:szCs w:val="20"/>
          <w:color w:val="auto"/>
        </w:rPr>
      </w:pPr>
      <w:r>
        <w:rPr>
          <w:rFonts w:ascii="Arial" w:cs="Arial" w:eastAsia="Arial" w:hAnsi="Arial"/>
          <w:sz w:val="20"/>
          <w:szCs w:val="20"/>
          <w:color w:val="auto"/>
        </w:rPr>
        <w:t xml:space="preserve">Leveraged wireless infrastructure and small cell portfolio to deploy </w:t>
      </w:r>
      <w:r>
        <w:rPr>
          <w:rFonts w:ascii="Arial" w:cs="Arial" w:eastAsia="Arial" w:hAnsi="Arial"/>
          <w:sz w:val="20"/>
          <w:szCs w:val="20"/>
          <w:b w:val="1"/>
          <w:bCs w:val="1"/>
          <w:color w:val="auto"/>
        </w:rPr>
        <w:t>MIMO base stations</w:t>
      </w:r>
      <w:r>
        <w:rPr>
          <w:rFonts w:ascii="Arial" w:cs="Arial" w:eastAsia="Arial" w:hAnsi="Arial"/>
          <w:sz w:val="20"/>
          <w:szCs w:val="20"/>
          <w:color w:val="auto"/>
        </w:rPr>
        <w:t xml:space="preserve"> with European and Asian OEMs</w:t>
      </w:r>
    </w:p>
    <w:p>
      <w:pPr>
        <w:ind w:left="1200" w:right="1700" w:hanging="186"/>
        <w:spacing w:after="0" w:line="253" w:lineRule="auto"/>
        <w:tabs>
          <w:tab w:leader="none" w:pos="1200" w:val="left"/>
        </w:tabs>
        <w:numPr>
          <w:ilvl w:val="0"/>
          <w:numId w:val="13"/>
        </w:numPr>
        <w:rPr>
          <w:rFonts w:ascii="Arial" w:cs="Arial" w:eastAsia="Arial" w:hAnsi="Arial"/>
          <w:sz w:val="20"/>
          <w:szCs w:val="20"/>
          <w:color w:val="auto"/>
        </w:rPr>
      </w:pPr>
      <w:r>
        <w:rPr>
          <w:rFonts w:ascii="Arial" w:cs="Arial" w:eastAsia="Arial" w:hAnsi="Arial"/>
          <w:sz w:val="20"/>
          <w:szCs w:val="20"/>
          <w:color w:val="auto"/>
        </w:rPr>
        <w:t xml:space="preserve">Enabled </w:t>
      </w:r>
      <w:r>
        <w:rPr>
          <w:rFonts w:ascii="Arial" w:cs="Arial" w:eastAsia="Arial" w:hAnsi="Arial"/>
          <w:sz w:val="20"/>
          <w:szCs w:val="20"/>
          <w:b w:val="1"/>
          <w:bCs w:val="1"/>
          <w:color w:val="auto"/>
        </w:rPr>
        <w:t>advanced telematics</w:t>
      </w:r>
      <w:r>
        <w:rPr>
          <w:rFonts w:ascii="Arial" w:cs="Arial" w:eastAsia="Arial" w:hAnsi="Arial"/>
          <w:sz w:val="20"/>
          <w:szCs w:val="20"/>
          <w:color w:val="auto"/>
        </w:rPr>
        <w:t xml:space="preserve"> systems and infotainment solutions for the world’s leading automakers</w:t>
      </w:r>
    </w:p>
    <w:p>
      <w:pPr>
        <w:spacing w:after="0" w:line="1" w:lineRule="exact"/>
        <w:rPr>
          <w:rFonts w:ascii="Arial" w:cs="Arial" w:eastAsia="Arial" w:hAnsi="Arial"/>
          <w:sz w:val="20"/>
          <w:szCs w:val="20"/>
          <w:color w:val="auto"/>
        </w:rPr>
      </w:pPr>
    </w:p>
    <w:p>
      <w:pPr>
        <w:ind w:left="1200" w:hanging="186"/>
        <w:spacing w:after="0"/>
        <w:tabs>
          <w:tab w:leader="none" w:pos="1200" w:val="left"/>
        </w:tabs>
        <w:numPr>
          <w:ilvl w:val="0"/>
          <w:numId w:val="13"/>
        </w:numPr>
        <w:rPr>
          <w:rFonts w:ascii="Arial" w:cs="Arial" w:eastAsia="Arial" w:hAnsi="Arial"/>
          <w:sz w:val="20"/>
          <w:szCs w:val="20"/>
          <w:color w:val="auto"/>
        </w:rPr>
      </w:pPr>
      <w:r>
        <w:rPr>
          <w:rFonts w:ascii="Arial" w:cs="Arial" w:eastAsia="Arial" w:hAnsi="Arial"/>
          <w:sz w:val="20"/>
          <w:szCs w:val="20"/>
          <w:color w:val="auto"/>
        </w:rPr>
        <w:t xml:space="preserve">Integrated more than </w:t>
      </w:r>
      <w:r>
        <w:rPr>
          <w:rFonts w:ascii="Arial" w:cs="Arial" w:eastAsia="Arial" w:hAnsi="Arial"/>
          <w:sz w:val="20"/>
          <w:szCs w:val="20"/>
          <w:b w:val="1"/>
          <w:bCs w:val="1"/>
          <w:color w:val="auto"/>
        </w:rPr>
        <w:t>1 billion BAW filters</w:t>
      </w:r>
      <w:r>
        <w:rPr>
          <w:rFonts w:ascii="Arial" w:cs="Arial" w:eastAsia="Arial" w:hAnsi="Arial"/>
          <w:sz w:val="20"/>
          <w:szCs w:val="20"/>
          <w:color w:val="auto"/>
        </w:rPr>
        <w:t xml:space="preserve"> into transmit and receive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3080385</wp:posOffset>
            </wp:positionH>
            <wp:positionV relativeFrom="paragraph">
              <wp:posOffset>237490</wp:posOffset>
            </wp:positionV>
            <wp:extent cx="779780" cy="2571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9780" cy="25717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920" w:type="dxa"/>
            <w:vAlign w:val="bottom"/>
          </w:tcPr>
          <w:p>
            <w:pPr>
              <w:ind w:left="660"/>
              <w:spacing w:after="0"/>
              <w:rPr>
                <w:sz w:val="20"/>
                <w:szCs w:val="20"/>
                <w:color w:val="auto"/>
              </w:rPr>
            </w:pPr>
            <w:r>
              <w:rPr>
                <w:rFonts w:ascii="Arial" w:cs="Arial" w:eastAsia="Arial" w:hAnsi="Arial"/>
                <w:sz w:val="16"/>
                <w:szCs w:val="16"/>
                <w:color w:val="auto"/>
              </w:rPr>
              <w:t>Proxy Statement</w:t>
            </w:r>
          </w:p>
        </w:tc>
        <w:tc>
          <w:tcPr>
            <w:tcW w:w="4800" w:type="dxa"/>
            <w:vAlign w:val="bottom"/>
          </w:tcPr>
          <w:p>
            <w:pPr>
              <w:jc w:val="right"/>
              <w:ind w:right="579"/>
              <w:spacing w:after="0"/>
              <w:rPr>
                <w:sz w:val="20"/>
                <w:szCs w:val="20"/>
                <w:color w:val="auto"/>
              </w:rPr>
            </w:pPr>
            <w:r>
              <w:rPr>
                <w:rFonts w:ascii="Arial" w:cs="Arial" w:eastAsia="Arial" w:hAnsi="Arial"/>
                <w:sz w:val="16"/>
                <w:szCs w:val="16"/>
                <w:color w:val="auto"/>
              </w:rPr>
              <w:t>3</w:t>
            </w:r>
          </w:p>
        </w:tc>
      </w:tr>
      <w:tr>
        <w:trPr>
          <w:trHeight w:val="310"/>
        </w:trPr>
        <w:tc>
          <w:tcPr>
            <w:tcW w:w="5920" w:type="dxa"/>
            <w:vAlign w:val="bottom"/>
            <w:tcBorders>
              <w:bottom w:val="single" w:sz="8" w:color="9A9A9A"/>
            </w:tcBorders>
          </w:tcPr>
          <w:p>
            <w:pPr>
              <w:spacing w:after="0"/>
              <w:rPr>
                <w:sz w:val="24"/>
                <w:szCs w:val="24"/>
                <w:color w:val="auto"/>
              </w:rPr>
            </w:pPr>
          </w:p>
        </w:tc>
        <w:tc>
          <w:tcPr>
            <w:tcW w:w="4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8" w:name="page9"/>
    <w:bookmarkEnd w:id="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Arial" w:cs="Arial" w:eastAsia="Arial" w:hAnsi="Arial"/>
          <w:sz w:val="29"/>
          <w:szCs w:val="29"/>
          <w:b w:val="1"/>
          <w:bCs w:val="1"/>
          <w:color w:val="auto"/>
        </w:rPr>
        <w:t>Our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79375</wp:posOffset>
            </wp:positionV>
            <wp:extent cx="59747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974715"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660" w:right="120"/>
        <w:spacing w:after="0" w:line="254" w:lineRule="auto"/>
        <w:rPr>
          <w:sz w:val="20"/>
          <w:szCs w:val="20"/>
          <w:color w:val="auto"/>
        </w:rPr>
      </w:pPr>
      <w:r>
        <w:rPr>
          <w:rFonts w:ascii="Arial" w:cs="Arial" w:eastAsia="Arial" w:hAnsi="Arial"/>
          <w:sz w:val="20"/>
          <w:szCs w:val="20"/>
          <w:color w:val="191919"/>
        </w:rPr>
        <w:t>Eight of our currently serving directors have been nominated for election to our Board of Directors (the “Board”) to serve until the 2023 Annual Meeting of Stockholders and until their successors are elected and qualified or until their earlier resignation or removal. Additional information on each nominee may be found below under “</w:t>
      </w:r>
      <w:r>
        <w:rPr>
          <w:rFonts w:ascii="Arial" w:cs="Arial" w:eastAsia="Arial" w:hAnsi="Arial"/>
          <w:sz w:val="20"/>
          <w:szCs w:val="20"/>
          <w:i w:val="1"/>
          <w:iCs w:val="1"/>
          <w:color w:val="191919"/>
        </w:rPr>
        <w:t>Election of Directors</w:t>
      </w:r>
      <w:r>
        <w:rPr>
          <w:rFonts w:ascii="Arial" w:cs="Arial" w:eastAsia="Arial" w:hAnsi="Arial"/>
          <w:sz w:val="20"/>
          <w:szCs w:val="20"/>
          <w:color w:val="191919"/>
        </w:rPr>
        <w:t>.” The following table lists the eight nominees, their age, the year such nominees were first elected as directors of the Company, their principal occupation, their independence status, their Board committee memberships as of March 1, 2022, and the number of other public company boards on which they serve.</w:t>
      </w:r>
    </w:p>
    <w:p>
      <w:pPr>
        <w:spacing w:after="0" w:line="244" w:lineRule="exact"/>
        <w:rPr>
          <w:sz w:val="20"/>
          <w:szCs w:val="20"/>
          <w:color w:val="auto"/>
        </w:rPr>
      </w:pPr>
    </w:p>
    <w:tbl>
      <w:tblPr>
        <w:tblLayout w:type="fixed"/>
        <w:tblInd w:w="660" w:type="dxa"/>
        <w:tblCellMar>
          <w:top w:w="0" w:type="dxa"/>
          <w:left w:w="0" w:type="dxa"/>
          <w:bottom w:w="0" w:type="dxa"/>
          <w:right w:w="0" w:type="dxa"/>
        </w:tblCellMar>
      </w:tblPr>
      <w:tr>
        <w:trPr>
          <w:trHeight w:val="215"/>
        </w:trPr>
        <w:tc>
          <w:tcPr>
            <w:tcW w:w="2060" w:type="dxa"/>
            <w:vAlign w:val="bottom"/>
            <w:shd w:val="clear" w:color="auto" w:fill="0076A8"/>
          </w:tcPr>
          <w:p>
            <w:pPr>
              <w:spacing w:after="0"/>
              <w:rPr>
                <w:sz w:val="18"/>
                <w:szCs w:val="18"/>
                <w:color w:val="auto"/>
              </w:rPr>
            </w:pPr>
          </w:p>
        </w:tc>
        <w:tc>
          <w:tcPr>
            <w:tcW w:w="500" w:type="dxa"/>
            <w:vAlign w:val="bottom"/>
            <w:shd w:val="clear" w:color="auto" w:fill="0076A8"/>
          </w:tcPr>
          <w:p>
            <w:pPr>
              <w:spacing w:after="0"/>
              <w:rPr>
                <w:sz w:val="18"/>
                <w:szCs w:val="18"/>
                <w:color w:val="auto"/>
              </w:rPr>
            </w:pPr>
          </w:p>
        </w:tc>
        <w:tc>
          <w:tcPr>
            <w:tcW w:w="740" w:type="dxa"/>
            <w:vAlign w:val="bottom"/>
            <w:shd w:val="clear" w:color="auto" w:fill="0076A8"/>
          </w:tcPr>
          <w:p>
            <w:pPr>
              <w:spacing w:after="0"/>
              <w:rPr>
                <w:sz w:val="18"/>
                <w:szCs w:val="18"/>
                <w:color w:val="auto"/>
              </w:rPr>
            </w:pPr>
          </w:p>
        </w:tc>
        <w:tc>
          <w:tcPr>
            <w:tcW w:w="2460" w:type="dxa"/>
            <w:vAlign w:val="bottom"/>
            <w:shd w:val="clear" w:color="auto" w:fill="0076A8"/>
          </w:tcPr>
          <w:p>
            <w:pPr>
              <w:spacing w:after="0"/>
              <w:rPr>
                <w:sz w:val="18"/>
                <w:szCs w:val="18"/>
                <w:color w:val="auto"/>
              </w:rPr>
            </w:pPr>
          </w:p>
        </w:tc>
        <w:tc>
          <w:tcPr>
            <w:tcW w:w="1180" w:type="dxa"/>
            <w:vAlign w:val="bottom"/>
            <w:shd w:val="clear" w:color="auto" w:fill="0076A8"/>
          </w:tcPr>
          <w:p>
            <w:pPr>
              <w:spacing w:after="0"/>
              <w:rPr>
                <w:sz w:val="18"/>
                <w:szCs w:val="18"/>
                <w:color w:val="auto"/>
              </w:rPr>
            </w:pPr>
          </w:p>
        </w:tc>
        <w:tc>
          <w:tcPr>
            <w:tcW w:w="1240" w:type="dxa"/>
            <w:vAlign w:val="bottom"/>
            <w:shd w:val="clear" w:color="auto" w:fill="0076A8"/>
          </w:tcPr>
          <w:p>
            <w:pPr>
              <w:spacing w:after="0"/>
              <w:rPr>
                <w:sz w:val="18"/>
                <w:szCs w:val="18"/>
                <w:color w:val="auto"/>
              </w:rPr>
            </w:pPr>
          </w:p>
        </w:tc>
        <w:tc>
          <w:tcPr>
            <w:tcW w:w="1220" w:type="dxa"/>
            <w:vAlign w:val="bottom"/>
            <w:shd w:val="clear" w:color="auto" w:fill="0076A8"/>
          </w:tcPr>
          <w:p>
            <w:pPr>
              <w:jc w:val="right"/>
              <w:ind w:right="57"/>
              <w:spacing w:after="0"/>
              <w:rPr>
                <w:sz w:val="20"/>
                <w:szCs w:val="20"/>
                <w:color w:val="auto"/>
              </w:rPr>
            </w:pPr>
            <w:r>
              <w:rPr>
                <w:rFonts w:ascii="Arial" w:cs="Arial" w:eastAsia="Arial" w:hAnsi="Arial"/>
                <w:sz w:val="18"/>
                <w:szCs w:val="18"/>
                <w:color w:val="FFFFFF"/>
              </w:rPr>
              <w:t>Other Public</w:t>
            </w:r>
          </w:p>
        </w:tc>
      </w:tr>
      <w:tr>
        <w:trPr>
          <w:trHeight w:val="189"/>
        </w:trPr>
        <w:tc>
          <w:tcPr>
            <w:tcW w:w="2060" w:type="dxa"/>
            <w:vAlign w:val="bottom"/>
            <w:shd w:val="clear" w:color="auto" w:fill="0076A8"/>
          </w:tcPr>
          <w:p>
            <w:pPr>
              <w:spacing w:after="0"/>
              <w:rPr>
                <w:sz w:val="16"/>
                <w:szCs w:val="16"/>
                <w:color w:val="auto"/>
              </w:rPr>
            </w:pPr>
          </w:p>
        </w:tc>
        <w:tc>
          <w:tcPr>
            <w:tcW w:w="500" w:type="dxa"/>
            <w:vAlign w:val="bottom"/>
            <w:shd w:val="clear" w:color="auto" w:fill="0076A8"/>
          </w:tcPr>
          <w:p>
            <w:pPr>
              <w:spacing w:after="0"/>
              <w:rPr>
                <w:sz w:val="16"/>
                <w:szCs w:val="16"/>
                <w:color w:val="auto"/>
              </w:rPr>
            </w:pPr>
          </w:p>
        </w:tc>
        <w:tc>
          <w:tcPr>
            <w:tcW w:w="740" w:type="dxa"/>
            <w:vAlign w:val="bottom"/>
            <w:shd w:val="clear" w:color="auto" w:fill="0076A8"/>
          </w:tcPr>
          <w:p>
            <w:pPr>
              <w:jc w:val="center"/>
              <w:spacing w:after="0" w:line="189" w:lineRule="exact"/>
              <w:rPr>
                <w:sz w:val="20"/>
                <w:szCs w:val="20"/>
                <w:color w:val="auto"/>
              </w:rPr>
            </w:pPr>
            <w:r>
              <w:rPr>
                <w:rFonts w:ascii="Arial" w:cs="Arial" w:eastAsia="Arial" w:hAnsi="Arial"/>
                <w:sz w:val="18"/>
                <w:szCs w:val="18"/>
                <w:color w:val="FFFFFF"/>
                <w:w w:val="98"/>
              </w:rPr>
              <w:t>Director</w:t>
            </w:r>
          </w:p>
        </w:tc>
        <w:tc>
          <w:tcPr>
            <w:tcW w:w="2460" w:type="dxa"/>
            <w:vAlign w:val="bottom"/>
            <w:shd w:val="clear" w:color="auto" w:fill="0076A8"/>
          </w:tcPr>
          <w:p>
            <w:pPr>
              <w:spacing w:after="0"/>
              <w:rPr>
                <w:sz w:val="16"/>
                <w:szCs w:val="16"/>
                <w:color w:val="auto"/>
              </w:rPr>
            </w:pPr>
          </w:p>
        </w:tc>
        <w:tc>
          <w:tcPr>
            <w:tcW w:w="1180" w:type="dxa"/>
            <w:vAlign w:val="bottom"/>
            <w:shd w:val="clear" w:color="auto" w:fill="0076A8"/>
          </w:tcPr>
          <w:p>
            <w:pPr>
              <w:spacing w:after="0"/>
              <w:rPr>
                <w:sz w:val="16"/>
                <w:szCs w:val="16"/>
                <w:color w:val="auto"/>
              </w:rPr>
            </w:pPr>
          </w:p>
        </w:tc>
        <w:tc>
          <w:tcPr>
            <w:tcW w:w="1240" w:type="dxa"/>
            <w:vAlign w:val="bottom"/>
            <w:shd w:val="clear" w:color="auto" w:fill="0076A8"/>
          </w:tcPr>
          <w:p>
            <w:pPr>
              <w:ind w:left="160"/>
              <w:spacing w:after="0" w:line="189" w:lineRule="exact"/>
              <w:rPr>
                <w:sz w:val="20"/>
                <w:szCs w:val="20"/>
                <w:color w:val="auto"/>
              </w:rPr>
            </w:pPr>
            <w:r>
              <w:rPr>
                <w:rFonts w:ascii="Arial" w:cs="Arial" w:eastAsia="Arial" w:hAnsi="Arial"/>
                <w:sz w:val="18"/>
                <w:szCs w:val="18"/>
                <w:color w:val="FFFFFF"/>
              </w:rPr>
              <w:t>Committee</w:t>
            </w:r>
          </w:p>
        </w:tc>
        <w:tc>
          <w:tcPr>
            <w:tcW w:w="1220" w:type="dxa"/>
            <w:vAlign w:val="bottom"/>
            <w:shd w:val="clear" w:color="auto" w:fill="0076A8"/>
          </w:tcPr>
          <w:p>
            <w:pPr>
              <w:jc w:val="right"/>
              <w:ind w:right="177"/>
              <w:spacing w:after="0" w:line="189" w:lineRule="exact"/>
              <w:rPr>
                <w:sz w:val="20"/>
                <w:szCs w:val="20"/>
                <w:color w:val="auto"/>
              </w:rPr>
            </w:pPr>
            <w:r>
              <w:rPr>
                <w:rFonts w:ascii="Arial" w:cs="Arial" w:eastAsia="Arial" w:hAnsi="Arial"/>
                <w:sz w:val="18"/>
                <w:szCs w:val="18"/>
                <w:color w:val="FFFFFF"/>
              </w:rPr>
              <w:t>Company</w:t>
            </w:r>
          </w:p>
        </w:tc>
      </w:tr>
      <w:tr>
        <w:trPr>
          <w:trHeight w:val="230"/>
        </w:trPr>
        <w:tc>
          <w:tcPr>
            <w:tcW w:w="2060" w:type="dxa"/>
            <w:vAlign w:val="bottom"/>
            <w:shd w:val="clear" w:color="auto" w:fill="0076A8"/>
          </w:tcPr>
          <w:p>
            <w:pPr>
              <w:ind w:left="20"/>
              <w:spacing w:after="0"/>
              <w:rPr>
                <w:sz w:val="20"/>
                <w:szCs w:val="20"/>
                <w:color w:val="auto"/>
              </w:rPr>
            </w:pPr>
            <w:r>
              <w:rPr>
                <w:rFonts w:ascii="Arial" w:cs="Arial" w:eastAsia="Arial" w:hAnsi="Arial"/>
                <w:sz w:val="18"/>
                <w:szCs w:val="18"/>
                <w:color w:val="FFFFFF"/>
              </w:rPr>
              <w:t>Name</w:t>
            </w:r>
          </w:p>
        </w:tc>
        <w:tc>
          <w:tcPr>
            <w:tcW w:w="500" w:type="dxa"/>
            <w:vAlign w:val="bottom"/>
            <w:shd w:val="clear" w:color="auto" w:fill="0076A8"/>
          </w:tcPr>
          <w:p>
            <w:pPr>
              <w:jc w:val="center"/>
              <w:spacing w:after="0"/>
              <w:rPr>
                <w:sz w:val="20"/>
                <w:szCs w:val="20"/>
                <w:color w:val="auto"/>
              </w:rPr>
            </w:pPr>
            <w:r>
              <w:rPr>
                <w:rFonts w:ascii="Arial" w:cs="Arial" w:eastAsia="Arial" w:hAnsi="Arial"/>
                <w:sz w:val="18"/>
                <w:szCs w:val="18"/>
                <w:color w:val="FFFFFF"/>
              </w:rPr>
              <w:t>Age</w:t>
            </w:r>
          </w:p>
        </w:tc>
        <w:tc>
          <w:tcPr>
            <w:tcW w:w="740" w:type="dxa"/>
            <w:vAlign w:val="bottom"/>
            <w:shd w:val="clear" w:color="auto" w:fill="0076A8"/>
          </w:tcPr>
          <w:p>
            <w:pPr>
              <w:jc w:val="center"/>
              <w:spacing w:after="0"/>
              <w:rPr>
                <w:sz w:val="20"/>
                <w:szCs w:val="20"/>
                <w:color w:val="auto"/>
              </w:rPr>
            </w:pPr>
            <w:r>
              <w:rPr>
                <w:rFonts w:ascii="Arial" w:cs="Arial" w:eastAsia="Arial" w:hAnsi="Arial"/>
                <w:sz w:val="18"/>
                <w:szCs w:val="18"/>
                <w:color w:val="FFFFFF"/>
              </w:rPr>
              <w:t>Since</w:t>
            </w:r>
          </w:p>
        </w:tc>
        <w:tc>
          <w:tcPr>
            <w:tcW w:w="2460" w:type="dxa"/>
            <w:vAlign w:val="bottom"/>
            <w:shd w:val="clear" w:color="auto" w:fill="0076A8"/>
          </w:tcPr>
          <w:p>
            <w:pPr>
              <w:ind w:left="400"/>
              <w:spacing w:after="0"/>
              <w:rPr>
                <w:sz w:val="20"/>
                <w:szCs w:val="20"/>
                <w:color w:val="auto"/>
              </w:rPr>
            </w:pPr>
            <w:r>
              <w:rPr>
                <w:rFonts w:ascii="Arial" w:cs="Arial" w:eastAsia="Arial" w:hAnsi="Arial"/>
                <w:sz w:val="18"/>
                <w:szCs w:val="18"/>
                <w:color w:val="FFFFFF"/>
              </w:rPr>
              <w:t>Principal Occupation</w:t>
            </w:r>
          </w:p>
        </w:tc>
        <w:tc>
          <w:tcPr>
            <w:tcW w:w="1180" w:type="dxa"/>
            <w:vAlign w:val="bottom"/>
            <w:shd w:val="clear" w:color="auto" w:fill="0076A8"/>
          </w:tcPr>
          <w:p>
            <w:pPr>
              <w:jc w:val="center"/>
              <w:spacing w:after="0"/>
              <w:rPr>
                <w:sz w:val="20"/>
                <w:szCs w:val="20"/>
                <w:color w:val="auto"/>
              </w:rPr>
            </w:pPr>
            <w:r>
              <w:rPr>
                <w:rFonts w:ascii="Arial" w:cs="Arial" w:eastAsia="Arial" w:hAnsi="Arial"/>
                <w:sz w:val="18"/>
                <w:szCs w:val="18"/>
                <w:color w:val="FFFFFF"/>
                <w:w w:val="99"/>
              </w:rPr>
              <w:t>Independent</w:t>
            </w:r>
          </w:p>
        </w:tc>
        <w:tc>
          <w:tcPr>
            <w:tcW w:w="1240" w:type="dxa"/>
            <w:vAlign w:val="bottom"/>
            <w:shd w:val="clear" w:color="auto" w:fill="0076A8"/>
          </w:tcPr>
          <w:p>
            <w:pPr>
              <w:jc w:val="center"/>
              <w:spacing w:after="0"/>
              <w:rPr>
                <w:sz w:val="20"/>
                <w:szCs w:val="20"/>
                <w:color w:val="auto"/>
              </w:rPr>
            </w:pPr>
            <w:r>
              <w:rPr>
                <w:rFonts w:ascii="Arial" w:cs="Arial" w:eastAsia="Arial" w:hAnsi="Arial"/>
                <w:sz w:val="18"/>
                <w:szCs w:val="18"/>
                <w:color w:val="FFFFFF"/>
                <w:w w:val="99"/>
              </w:rPr>
              <w:t>Memberships</w:t>
            </w:r>
          </w:p>
        </w:tc>
        <w:tc>
          <w:tcPr>
            <w:tcW w:w="1220" w:type="dxa"/>
            <w:vAlign w:val="bottom"/>
            <w:shd w:val="clear" w:color="auto" w:fill="0076A8"/>
          </w:tcPr>
          <w:p>
            <w:pPr>
              <w:jc w:val="right"/>
              <w:ind w:right="237"/>
              <w:spacing w:after="0"/>
              <w:rPr>
                <w:sz w:val="20"/>
                <w:szCs w:val="20"/>
                <w:color w:val="auto"/>
              </w:rPr>
            </w:pPr>
            <w:r>
              <w:rPr>
                <w:rFonts w:ascii="Arial" w:cs="Arial" w:eastAsia="Arial" w:hAnsi="Arial"/>
                <w:sz w:val="18"/>
                <w:szCs w:val="18"/>
                <w:color w:val="FFFFFF"/>
              </w:rPr>
              <w:t>Boards</w:t>
            </w:r>
          </w:p>
        </w:tc>
      </w:tr>
      <w:tr>
        <w:trPr>
          <w:trHeight w:val="215"/>
        </w:trPr>
        <w:tc>
          <w:tcPr>
            <w:tcW w:w="2060" w:type="dxa"/>
            <w:vAlign w:val="bottom"/>
            <w:shd w:val="clear" w:color="auto" w:fill="E5E5E5"/>
          </w:tcPr>
          <w:p>
            <w:pPr>
              <w:ind w:left="20"/>
              <w:spacing w:after="0"/>
              <w:rPr>
                <w:sz w:val="20"/>
                <w:szCs w:val="20"/>
                <w:color w:val="auto"/>
              </w:rPr>
            </w:pPr>
            <w:r>
              <w:rPr>
                <w:rFonts w:ascii="Arial" w:cs="Arial" w:eastAsia="Arial" w:hAnsi="Arial"/>
                <w:sz w:val="16"/>
                <w:szCs w:val="16"/>
                <w:color w:val="auto"/>
              </w:rPr>
              <w:t>Liam K. Griffin</w:t>
            </w:r>
          </w:p>
        </w:tc>
        <w:tc>
          <w:tcPr>
            <w:tcW w:w="50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55</w:t>
            </w:r>
          </w:p>
        </w:tc>
        <w:tc>
          <w:tcPr>
            <w:tcW w:w="74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2016</w:t>
            </w:r>
          </w:p>
        </w:tc>
        <w:tc>
          <w:tcPr>
            <w:tcW w:w="2460" w:type="dxa"/>
            <w:vAlign w:val="bottom"/>
            <w:shd w:val="clear" w:color="auto" w:fill="E5E5E5"/>
          </w:tcPr>
          <w:p>
            <w:pPr>
              <w:ind w:left="60"/>
              <w:spacing w:after="0"/>
              <w:rPr>
                <w:sz w:val="20"/>
                <w:szCs w:val="20"/>
                <w:color w:val="auto"/>
              </w:rPr>
            </w:pPr>
            <w:r>
              <w:rPr>
                <w:rFonts w:ascii="Arial" w:cs="Arial" w:eastAsia="Arial" w:hAnsi="Arial"/>
                <w:sz w:val="16"/>
                <w:szCs w:val="16"/>
                <w:color w:val="auto"/>
              </w:rPr>
              <w:t>Chairman, CEO and President,</w:t>
            </w:r>
          </w:p>
        </w:tc>
        <w:tc>
          <w:tcPr>
            <w:tcW w:w="1180" w:type="dxa"/>
            <w:vAlign w:val="bottom"/>
            <w:shd w:val="clear" w:color="auto" w:fill="E5E5E5"/>
          </w:tcPr>
          <w:p>
            <w:pPr>
              <w:spacing w:after="0"/>
              <w:rPr>
                <w:sz w:val="18"/>
                <w:szCs w:val="18"/>
                <w:color w:val="auto"/>
              </w:rPr>
            </w:pPr>
          </w:p>
        </w:tc>
        <w:tc>
          <w:tcPr>
            <w:tcW w:w="1240" w:type="dxa"/>
            <w:vAlign w:val="bottom"/>
            <w:shd w:val="clear" w:color="auto" w:fill="E5E5E5"/>
          </w:tcPr>
          <w:p>
            <w:pPr>
              <w:jc w:val="center"/>
              <w:spacing w:after="0"/>
              <w:rPr>
                <w:sz w:val="20"/>
                <w:szCs w:val="20"/>
                <w:color w:val="auto"/>
              </w:rPr>
            </w:pPr>
            <w:r>
              <w:rPr>
                <w:rFonts w:ascii="Arial" w:cs="Arial" w:eastAsia="Arial" w:hAnsi="Arial"/>
                <w:sz w:val="16"/>
                <w:szCs w:val="16"/>
                <w:color w:val="auto"/>
                <w:w w:val="99"/>
              </w:rPr>
              <w:t>—</w:t>
            </w:r>
          </w:p>
        </w:tc>
        <w:tc>
          <w:tcPr>
            <w:tcW w:w="1220" w:type="dxa"/>
            <w:vAlign w:val="bottom"/>
            <w:shd w:val="clear" w:color="auto" w:fill="E5E5E5"/>
          </w:tcPr>
          <w:p>
            <w:pPr>
              <w:jc w:val="right"/>
              <w:ind w:right="417"/>
              <w:spacing w:after="0"/>
              <w:rPr>
                <w:sz w:val="20"/>
                <w:szCs w:val="20"/>
                <w:color w:val="auto"/>
              </w:rPr>
            </w:pPr>
            <w:r>
              <w:rPr>
                <w:rFonts w:ascii="Arial" w:cs="Arial" w:eastAsia="Arial" w:hAnsi="Arial"/>
                <w:sz w:val="16"/>
                <w:szCs w:val="16"/>
                <w:color w:val="auto"/>
              </w:rPr>
              <w:t>1</w:t>
            </w:r>
          </w:p>
        </w:tc>
      </w:tr>
      <w:tr>
        <w:trPr>
          <w:trHeight w:val="217"/>
        </w:trPr>
        <w:tc>
          <w:tcPr>
            <w:tcW w:w="2060" w:type="dxa"/>
            <w:vAlign w:val="bottom"/>
            <w:shd w:val="clear" w:color="auto" w:fill="E5E5E5"/>
          </w:tcPr>
          <w:p>
            <w:pPr>
              <w:ind w:left="20"/>
              <w:spacing w:after="0"/>
              <w:rPr>
                <w:sz w:val="20"/>
                <w:szCs w:val="20"/>
                <w:color w:val="auto"/>
              </w:rPr>
            </w:pPr>
            <w:r>
              <w:rPr>
                <w:rFonts w:ascii="Arial" w:cs="Arial" w:eastAsia="Arial" w:hAnsi="Arial"/>
                <w:sz w:val="16"/>
                <w:szCs w:val="16"/>
                <w:i w:val="1"/>
                <w:iCs w:val="1"/>
                <w:color w:val="auto"/>
              </w:rPr>
              <w:t>Chairman of the Board</w:t>
            </w:r>
          </w:p>
        </w:tc>
        <w:tc>
          <w:tcPr>
            <w:tcW w:w="50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460" w:type="dxa"/>
            <w:vAlign w:val="bottom"/>
            <w:shd w:val="clear" w:color="auto" w:fill="E5E5E5"/>
          </w:tcPr>
          <w:p>
            <w:pPr>
              <w:ind w:left="60"/>
              <w:spacing w:after="0"/>
              <w:rPr>
                <w:sz w:val="20"/>
                <w:szCs w:val="20"/>
                <w:color w:val="auto"/>
              </w:rPr>
            </w:pPr>
            <w:r>
              <w:rPr>
                <w:rFonts w:ascii="Arial" w:cs="Arial" w:eastAsia="Arial" w:hAnsi="Arial"/>
                <w:sz w:val="16"/>
                <w:szCs w:val="16"/>
                <w:color w:val="auto"/>
              </w:rPr>
              <w:t>Skyworks Solutions</w:t>
            </w:r>
          </w:p>
        </w:tc>
        <w:tc>
          <w:tcPr>
            <w:tcW w:w="1180" w:type="dxa"/>
            <w:vAlign w:val="bottom"/>
            <w:shd w:val="clear" w:color="auto" w:fill="E5E5E5"/>
          </w:tcPr>
          <w:p>
            <w:pPr>
              <w:spacing w:after="0"/>
              <w:rPr>
                <w:sz w:val="18"/>
                <w:szCs w:val="18"/>
                <w:color w:val="auto"/>
              </w:rPr>
            </w:pPr>
          </w:p>
        </w:tc>
        <w:tc>
          <w:tcPr>
            <w:tcW w:w="1240" w:type="dxa"/>
            <w:vAlign w:val="bottom"/>
            <w:shd w:val="clear" w:color="auto" w:fill="E5E5E5"/>
          </w:tcPr>
          <w:p>
            <w:pPr>
              <w:spacing w:after="0"/>
              <w:rPr>
                <w:sz w:val="18"/>
                <w:szCs w:val="18"/>
                <w:color w:val="auto"/>
              </w:rPr>
            </w:pPr>
          </w:p>
        </w:tc>
        <w:tc>
          <w:tcPr>
            <w:tcW w:w="1220" w:type="dxa"/>
            <w:vAlign w:val="bottom"/>
            <w:shd w:val="clear" w:color="auto" w:fill="E5E5E5"/>
          </w:tcPr>
          <w:p>
            <w:pPr>
              <w:spacing w:after="0"/>
              <w:rPr>
                <w:sz w:val="18"/>
                <w:szCs w:val="18"/>
                <w:color w:val="auto"/>
              </w:rPr>
            </w:pPr>
          </w:p>
        </w:tc>
      </w:tr>
      <w:tr>
        <w:trPr>
          <w:trHeight w:val="215"/>
        </w:trPr>
        <w:tc>
          <w:tcPr>
            <w:tcW w:w="2060" w:type="dxa"/>
            <w:vAlign w:val="bottom"/>
          </w:tcPr>
          <w:p>
            <w:pPr>
              <w:ind w:left="20"/>
              <w:spacing w:after="0"/>
              <w:rPr>
                <w:sz w:val="20"/>
                <w:szCs w:val="20"/>
                <w:color w:val="auto"/>
              </w:rPr>
            </w:pPr>
            <w:r>
              <w:rPr>
                <w:rFonts w:ascii="Arial" w:cs="Arial" w:eastAsia="Arial" w:hAnsi="Arial"/>
                <w:sz w:val="16"/>
                <w:szCs w:val="16"/>
                <w:color w:val="auto"/>
              </w:rPr>
              <w:t>Christine King</w:t>
            </w:r>
          </w:p>
        </w:tc>
        <w:tc>
          <w:tcPr>
            <w:tcW w:w="500" w:type="dxa"/>
            <w:vAlign w:val="bottom"/>
          </w:tcPr>
          <w:p>
            <w:pPr>
              <w:jc w:val="center"/>
              <w:spacing w:after="0"/>
              <w:rPr>
                <w:sz w:val="20"/>
                <w:szCs w:val="20"/>
                <w:color w:val="auto"/>
              </w:rPr>
            </w:pPr>
            <w:r>
              <w:rPr>
                <w:rFonts w:ascii="Arial" w:cs="Arial" w:eastAsia="Arial" w:hAnsi="Arial"/>
                <w:sz w:val="16"/>
                <w:szCs w:val="16"/>
                <w:color w:val="auto"/>
              </w:rPr>
              <w:t>72</w:t>
            </w:r>
          </w:p>
        </w:tc>
        <w:tc>
          <w:tcPr>
            <w:tcW w:w="740" w:type="dxa"/>
            <w:vAlign w:val="bottom"/>
          </w:tcPr>
          <w:p>
            <w:pPr>
              <w:jc w:val="center"/>
              <w:spacing w:after="0"/>
              <w:rPr>
                <w:sz w:val="20"/>
                <w:szCs w:val="20"/>
                <w:color w:val="auto"/>
              </w:rPr>
            </w:pPr>
            <w:r>
              <w:rPr>
                <w:rFonts w:ascii="Arial" w:cs="Arial" w:eastAsia="Arial" w:hAnsi="Arial"/>
                <w:sz w:val="16"/>
                <w:szCs w:val="16"/>
                <w:color w:val="auto"/>
              </w:rPr>
              <w:t>2014</w:t>
            </w:r>
          </w:p>
        </w:tc>
        <w:tc>
          <w:tcPr>
            <w:tcW w:w="2460" w:type="dxa"/>
            <w:vAlign w:val="bottom"/>
          </w:tcPr>
          <w:p>
            <w:pPr>
              <w:ind w:left="60"/>
              <w:spacing w:after="0"/>
              <w:rPr>
                <w:sz w:val="20"/>
                <w:szCs w:val="20"/>
                <w:color w:val="auto"/>
              </w:rPr>
            </w:pPr>
            <w:r>
              <w:rPr>
                <w:rFonts w:ascii="Arial" w:cs="Arial" w:eastAsia="Arial" w:hAnsi="Arial"/>
                <w:sz w:val="16"/>
                <w:szCs w:val="16"/>
                <w:color w:val="auto"/>
              </w:rPr>
              <w:t>Retired Executive Chairman,</w:t>
            </w:r>
          </w:p>
        </w:tc>
        <w:tc>
          <w:tcPr>
            <w:tcW w:w="1180" w:type="dxa"/>
            <w:vAlign w:val="bottom"/>
          </w:tcPr>
          <w:p>
            <w:pPr>
              <w:jc w:val="center"/>
              <w:spacing w:after="0"/>
              <w:rPr>
                <w:sz w:val="20"/>
                <w:szCs w:val="20"/>
                <w:color w:val="auto"/>
              </w:rPr>
            </w:pPr>
            <w:r>
              <w:rPr>
                <w:rFonts w:ascii="Arial" w:cs="Arial" w:eastAsia="Arial" w:hAnsi="Arial"/>
                <w:sz w:val="16"/>
                <w:szCs w:val="16"/>
                <w:color w:val="auto"/>
              </w:rPr>
              <w:t>•</w:t>
            </w:r>
          </w:p>
        </w:tc>
        <w:tc>
          <w:tcPr>
            <w:tcW w:w="1240" w:type="dxa"/>
            <w:vAlign w:val="bottom"/>
          </w:tcPr>
          <w:p>
            <w:pPr>
              <w:jc w:val="center"/>
              <w:spacing w:after="0"/>
              <w:rPr>
                <w:sz w:val="20"/>
                <w:szCs w:val="20"/>
                <w:color w:val="auto"/>
              </w:rPr>
            </w:pPr>
            <w:r>
              <w:rPr>
                <w:rFonts w:ascii="Arial" w:cs="Arial" w:eastAsia="Arial" w:hAnsi="Arial"/>
                <w:sz w:val="16"/>
                <w:szCs w:val="16"/>
                <w:color w:val="auto"/>
              </w:rPr>
              <w:t>AC, CC (C)</w:t>
            </w:r>
          </w:p>
        </w:tc>
        <w:tc>
          <w:tcPr>
            <w:tcW w:w="1220" w:type="dxa"/>
            <w:vAlign w:val="bottom"/>
          </w:tcPr>
          <w:p>
            <w:pPr>
              <w:jc w:val="right"/>
              <w:ind w:right="417"/>
              <w:spacing w:after="0"/>
              <w:rPr>
                <w:sz w:val="20"/>
                <w:szCs w:val="20"/>
                <w:color w:val="auto"/>
              </w:rPr>
            </w:pPr>
            <w:r>
              <w:rPr>
                <w:rFonts w:ascii="Arial" w:cs="Arial" w:eastAsia="Arial" w:hAnsi="Arial"/>
                <w:sz w:val="16"/>
                <w:szCs w:val="16"/>
                <w:color w:val="auto"/>
              </w:rPr>
              <w:t>—</w:t>
            </w:r>
          </w:p>
        </w:tc>
      </w:tr>
      <w:tr>
        <w:trPr>
          <w:trHeight w:val="220"/>
        </w:trPr>
        <w:tc>
          <w:tcPr>
            <w:tcW w:w="2060" w:type="dxa"/>
            <w:vAlign w:val="bottom"/>
          </w:tcPr>
          <w:p>
            <w:pPr>
              <w:ind w:left="20"/>
              <w:spacing w:after="0"/>
              <w:rPr>
                <w:sz w:val="20"/>
                <w:szCs w:val="20"/>
                <w:color w:val="auto"/>
              </w:rPr>
            </w:pPr>
            <w:r>
              <w:rPr>
                <w:rFonts w:ascii="Arial" w:cs="Arial" w:eastAsia="Arial" w:hAnsi="Arial"/>
                <w:sz w:val="16"/>
                <w:szCs w:val="16"/>
                <w:i w:val="1"/>
                <w:iCs w:val="1"/>
                <w:color w:val="auto"/>
              </w:rPr>
              <w:t>Lead Independent Director</w:t>
            </w: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60" w:type="dxa"/>
            <w:vAlign w:val="bottom"/>
          </w:tcPr>
          <w:p>
            <w:pPr>
              <w:ind w:left="60"/>
              <w:spacing w:after="0"/>
              <w:rPr>
                <w:sz w:val="20"/>
                <w:szCs w:val="20"/>
                <w:color w:val="auto"/>
              </w:rPr>
            </w:pPr>
            <w:r>
              <w:rPr>
                <w:rFonts w:ascii="Arial" w:cs="Arial" w:eastAsia="Arial" w:hAnsi="Arial"/>
                <w:sz w:val="16"/>
                <w:szCs w:val="16"/>
                <w:color w:val="auto"/>
              </w:rPr>
              <w:t>QLogic</w:t>
            </w:r>
          </w:p>
        </w:tc>
        <w:tc>
          <w:tcPr>
            <w:tcW w:w="1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41"/>
        </w:trPr>
        <w:tc>
          <w:tcPr>
            <w:tcW w:w="2060" w:type="dxa"/>
            <w:vAlign w:val="bottom"/>
            <w:shd w:val="clear" w:color="auto" w:fill="E5E5E5"/>
          </w:tcPr>
          <w:p>
            <w:pPr>
              <w:ind w:left="20"/>
              <w:spacing w:after="0"/>
              <w:rPr>
                <w:sz w:val="20"/>
                <w:szCs w:val="20"/>
                <w:color w:val="auto"/>
              </w:rPr>
            </w:pPr>
            <w:r>
              <w:rPr>
                <w:rFonts w:ascii="Arial" w:cs="Arial" w:eastAsia="Arial" w:hAnsi="Arial"/>
                <w:sz w:val="16"/>
                <w:szCs w:val="16"/>
                <w:color w:val="auto"/>
              </w:rPr>
              <w:t>Alan S. Batey</w:t>
            </w:r>
          </w:p>
        </w:tc>
        <w:tc>
          <w:tcPr>
            <w:tcW w:w="50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59</w:t>
            </w:r>
          </w:p>
        </w:tc>
        <w:tc>
          <w:tcPr>
            <w:tcW w:w="74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2019</w:t>
            </w:r>
          </w:p>
        </w:tc>
        <w:tc>
          <w:tcPr>
            <w:tcW w:w="2460" w:type="dxa"/>
            <w:vAlign w:val="bottom"/>
            <w:shd w:val="clear" w:color="auto" w:fill="E5E5E5"/>
          </w:tcPr>
          <w:p>
            <w:pPr>
              <w:ind w:left="60"/>
              <w:spacing w:after="0"/>
              <w:rPr>
                <w:sz w:val="20"/>
                <w:szCs w:val="20"/>
                <w:color w:val="auto"/>
              </w:rPr>
            </w:pPr>
            <w:r>
              <w:rPr>
                <w:rFonts w:ascii="Arial" w:cs="Arial" w:eastAsia="Arial" w:hAnsi="Arial"/>
                <w:sz w:val="16"/>
                <w:szCs w:val="16"/>
                <w:color w:val="auto"/>
              </w:rPr>
              <w:t>Retired EVP and President of</w:t>
            </w:r>
          </w:p>
        </w:tc>
        <w:tc>
          <w:tcPr>
            <w:tcW w:w="118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w:t>
            </w:r>
          </w:p>
        </w:tc>
        <w:tc>
          <w:tcPr>
            <w:tcW w:w="124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NCGC</w:t>
            </w:r>
          </w:p>
        </w:tc>
        <w:tc>
          <w:tcPr>
            <w:tcW w:w="1220" w:type="dxa"/>
            <w:vAlign w:val="bottom"/>
            <w:shd w:val="clear" w:color="auto" w:fill="E5E5E5"/>
          </w:tcPr>
          <w:p>
            <w:pPr>
              <w:jc w:val="right"/>
              <w:ind w:right="417"/>
              <w:spacing w:after="0"/>
              <w:rPr>
                <w:sz w:val="20"/>
                <w:szCs w:val="20"/>
                <w:color w:val="auto"/>
              </w:rPr>
            </w:pPr>
            <w:r>
              <w:rPr>
                <w:rFonts w:ascii="Arial" w:cs="Arial" w:eastAsia="Arial" w:hAnsi="Arial"/>
                <w:sz w:val="16"/>
                <w:szCs w:val="16"/>
                <w:color w:val="auto"/>
              </w:rPr>
              <w:t>—</w:t>
            </w:r>
          </w:p>
        </w:tc>
      </w:tr>
      <w:tr>
        <w:trPr>
          <w:trHeight w:val="214"/>
        </w:trPr>
        <w:tc>
          <w:tcPr>
            <w:tcW w:w="206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460" w:type="dxa"/>
            <w:vAlign w:val="bottom"/>
            <w:shd w:val="clear" w:color="auto" w:fill="E5E5E5"/>
          </w:tcPr>
          <w:p>
            <w:pPr>
              <w:ind w:left="60"/>
              <w:spacing w:after="0"/>
              <w:rPr>
                <w:sz w:val="20"/>
                <w:szCs w:val="20"/>
                <w:color w:val="auto"/>
              </w:rPr>
            </w:pPr>
            <w:r>
              <w:rPr>
                <w:rFonts w:ascii="Arial" w:cs="Arial" w:eastAsia="Arial" w:hAnsi="Arial"/>
                <w:sz w:val="16"/>
                <w:szCs w:val="16"/>
                <w:color w:val="auto"/>
              </w:rPr>
              <w:t>North America, General Motors</w:t>
            </w:r>
          </w:p>
        </w:tc>
        <w:tc>
          <w:tcPr>
            <w:tcW w:w="1180" w:type="dxa"/>
            <w:vAlign w:val="bottom"/>
            <w:shd w:val="clear" w:color="auto" w:fill="E5E5E5"/>
          </w:tcPr>
          <w:p>
            <w:pPr>
              <w:spacing w:after="0"/>
              <w:rPr>
                <w:sz w:val="18"/>
                <w:szCs w:val="18"/>
                <w:color w:val="auto"/>
              </w:rPr>
            </w:pPr>
          </w:p>
        </w:tc>
        <w:tc>
          <w:tcPr>
            <w:tcW w:w="1240" w:type="dxa"/>
            <w:vAlign w:val="bottom"/>
            <w:shd w:val="clear" w:color="auto" w:fill="E5E5E5"/>
          </w:tcPr>
          <w:p>
            <w:pPr>
              <w:spacing w:after="0"/>
              <w:rPr>
                <w:sz w:val="18"/>
                <w:szCs w:val="18"/>
                <w:color w:val="auto"/>
              </w:rPr>
            </w:pPr>
          </w:p>
        </w:tc>
        <w:tc>
          <w:tcPr>
            <w:tcW w:w="1220" w:type="dxa"/>
            <w:vAlign w:val="bottom"/>
            <w:shd w:val="clear" w:color="auto" w:fill="E5E5E5"/>
          </w:tcPr>
          <w:p>
            <w:pPr>
              <w:spacing w:after="0"/>
              <w:rPr>
                <w:sz w:val="18"/>
                <w:szCs w:val="18"/>
                <w:color w:val="auto"/>
              </w:rPr>
            </w:pPr>
          </w:p>
        </w:tc>
      </w:tr>
      <w:tr>
        <w:trPr>
          <w:trHeight w:val="260"/>
        </w:trPr>
        <w:tc>
          <w:tcPr>
            <w:tcW w:w="2060" w:type="dxa"/>
            <w:vAlign w:val="bottom"/>
          </w:tcPr>
          <w:p>
            <w:pPr>
              <w:ind w:left="20"/>
              <w:spacing w:after="0"/>
              <w:rPr>
                <w:sz w:val="20"/>
                <w:szCs w:val="20"/>
                <w:color w:val="auto"/>
              </w:rPr>
            </w:pPr>
            <w:r>
              <w:rPr>
                <w:rFonts w:ascii="Arial" w:cs="Arial" w:eastAsia="Arial" w:hAnsi="Arial"/>
                <w:sz w:val="16"/>
                <w:szCs w:val="16"/>
                <w:color w:val="auto"/>
              </w:rPr>
              <w:t>Kevin L. Beebe</w:t>
            </w:r>
          </w:p>
        </w:tc>
        <w:tc>
          <w:tcPr>
            <w:tcW w:w="500" w:type="dxa"/>
            <w:vAlign w:val="bottom"/>
          </w:tcPr>
          <w:p>
            <w:pPr>
              <w:jc w:val="center"/>
              <w:spacing w:after="0"/>
              <w:rPr>
                <w:sz w:val="20"/>
                <w:szCs w:val="20"/>
                <w:color w:val="auto"/>
              </w:rPr>
            </w:pPr>
            <w:r>
              <w:rPr>
                <w:rFonts w:ascii="Arial" w:cs="Arial" w:eastAsia="Arial" w:hAnsi="Arial"/>
                <w:sz w:val="16"/>
                <w:szCs w:val="16"/>
                <w:color w:val="auto"/>
              </w:rPr>
              <w:t>63</w:t>
            </w:r>
          </w:p>
        </w:tc>
        <w:tc>
          <w:tcPr>
            <w:tcW w:w="740" w:type="dxa"/>
            <w:vAlign w:val="bottom"/>
          </w:tcPr>
          <w:p>
            <w:pPr>
              <w:jc w:val="center"/>
              <w:spacing w:after="0"/>
              <w:rPr>
                <w:sz w:val="20"/>
                <w:szCs w:val="20"/>
                <w:color w:val="auto"/>
              </w:rPr>
            </w:pPr>
            <w:r>
              <w:rPr>
                <w:rFonts w:ascii="Arial" w:cs="Arial" w:eastAsia="Arial" w:hAnsi="Arial"/>
                <w:sz w:val="16"/>
                <w:szCs w:val="16"/>
                <w:color w:val="auto"/>
              </w:rPr>
              <w:t>2004</w:t>
            </w:r>
          </w:p>
        </w:tc>
        <w:tc>
          <w:tcPr>
            <w:tcW w:w="2460" w:type="dxa"/>
            <w:vAlign w:val="bottom"/>
          </w:tcPr>
          <w:p>
            <w:pPr>
              <w:ind w:left="60"/>
              <w:spacing w:after="0"/>
              <w:rPr>
                <w:sz w:val="20"/>
                <w:szCs w:val="20"/>
                <w:color w:val="auto"/>
              </w:rPr>
            </w:pPr>
            <w:r>
              <w:rPr>
                <w:rFonts w:ascii="Arial" w:cs="Arial" w:eastAsia="Arial" w:hAnsi="Arial"/>
                <w:sz w:val="16"/>
                <w:szCs w:val="16"/>
                <w:color w:val="auto"/>
              </w:rPr>
              <w:t>President and CEO, 2BPartners</w:t>
            </w:r>
          </w:p>
        </w:tc>
        <w:tc>
          <w:tcPr>
            <w:tcW w:w="1180" w:type="dxa"/>
            <w:vAlign w:val="bottom"/>
          </w:tcPr>
          <w:p>
            <w:pPr>
              <w:jc w:val="center"/>
              <w:spacing w:after="0"/>
              <w:rPr>
                <w:sz w:val="20"/>
                <w:szCs w:val="20"/>
                <w:color w:val="auto"/>
              </w:rPr>
            </w:pPr>
            <w:r>
              <w:rPr>
                <w:rFonts w:ascii="Arial" w:cs="Arial" w:eastAsia="Arial" w:hAnsi="Arial"/>
                <w:sz w:val="16"/>
                <w:szCs w:val="16"/>
                <w:color w:val="auto"/>
              </w:rPr>
              <w:t>•</w:t>
            </w:r>
          </w:p>
        </w:tc>
        <w:tc>
          <w:tcPr>
            <w:tcW w:w="1240" w:type="dxa"/>
            <w:vAlign w:val="bottom"/>
          </w:tcPr>
          <w:p>
            <w:pPr>
              <w:jc w:val="center"/>
              <w:spacing w:after="0"/>
              <w:rPr>
                <w:sz w:val="20"/>
                <w:szCs w:val="20"/>
                <w:color w:val="auto"/>
              </w:rPr>
            </w:pPr>
            <w:r>
              <w:rPr>
                <w:rFonts w:ascii="Arial" w:cs="Arial" w:eastAsia="Arial" w:hAnsi="Arial"/>
                <w:sz w:val="16"/>
                <w:szCs w:val="16"/>
                <w:color w:val="auto"/>
              </w:rPr>
              <w:t>NCGC (C)</w:t>
            </w:r>
          </w:p>
        </w:tc>
        <w:tc>
          <w:tcPr>
            <w:tcW w:w="1220" w:type="dxa"/>
            <w:vAlign w:val="bottom"/>
          </w:tcPr>
          <w:p>
            <w:pPr>
              <w:jc w:val="right"/>
              <w:ind w:right="417"/>
              <w:spacing w:after="0"/>
              <w:rPr>
                <w:sz w:val="20"/>
                <w:szCs w:val="20"/>
                <w:color w:val="auto"/>
              </w:rPr>
            </w:pPr>
            <w:r>
              <w:rPr>
                <w:rFonts w:ascii="Arial" w:cs="Arial" w:eastAsia="Arial" w:hAnsi="Arial"/>
                <w:sz w:val="16"/>
                <w:szCs w:val="16"/>
                <w:color w:val="auto"/>
              </w:rPr>
              <w:t>2</w:t>
            </w:r>
          </w:p>
        </w:tc>
      </w:tr>
      <w:tr>
        <w:trPr>
          <w:trHeight w:val="280"/>
        </w:trPr>
        <w:tc>
          <w:tcPr>
            <w:tcW w:w="2060" w:type="dxa"/>
            <w:vAlign w:val="bottom"/>
            <w:shd w:val="clear" w:color="auto" w:fill="E5E5E5"/>
          </w:tcPr>
          <w:p>
            <w:pPr>
              <w:ind w:left="20"/>
              <w:spacing w:after="0"/>
              <w:rPr>
                <w:sz w:val="20"/>
                <w:szCs w:val="20"/>
                <w:color w:val="auto"/>
              </w:rPr>
            </w:pPr>
            <w:r>
              <w:rPr>
                <w:rFonts w:ascii="Arial" w:cs="Arial" w:eastAsia="Arial" w:hAnsi="Arial"/>
                <w:sz w:val="16"/>
                <w:szCs w:val="16"/>
                <w:color w:val="auto"/>
              </w:rPr>
              <w:t>Eric J. Guerin</w:t>
            </w:r>
          </w:p>
        </w:tc>
        <w:tc>
          <w:tcPr>
            <w:tcW w:w="50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50</w:t>
            </w:r>
          </w:p>
        </w:tc>
        <w:tc>
          <w:tcPr>
            <w:tcW w:w="74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2022</w:t>
            </w:r>
          </w:p>
        </w:tc>
        <w:tc>
          <w:tcPr>
            <w:tcW w:w="2460" w:type="dxa"/>
            <w:vAlign w:val="bottom"/>
            <w:shd w:val="clear" w:color="auto" w:fill="E5E5E5"/>
          </w:tcPr>
          <w:p>
            <w:pPr>
              <w:ind w:left="60"/>
              <w:spacing w:after="0"/>
              <w:rPr>
                <w:sz w:val="20"/>
                <w:szCs w:val="20"/>
                <w:color w:val="auto"/>
              </w:rPr>
            </w:pPr>
            <w:r>
              <w:rPr>
                <w:rFonts w:ascii="Arial" w:cs="Arial" w:eastAsia="Arial" w:hAnsi="Arial"/>
                <w:sz w:val="16"/>
                <w:szCs w:val="16"/>
                <w:color w:val="auto"/>
              </w:rPr>
              <w:t>CFO, CDK Global</w:t>
            </w:r>
          </w:p>
        </w:tc>
        <w:tc>
          <w:tcPr>
            <w:tcW w:w="118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w:t>
            </w:r>
          </w:p>
        </w:tc>
        <w:tc>
          <w:tcPr>
            <w:tcW w:w="1240" w:type="dxa"/>
            <w:vAlign w:val="bottom"/>
            <w:shd w:val="clear" w:color="auto" w:fill="E5E5E5"/>
          </w:tcPr>
          <w:p>
            <w:pPr>
              <w:jc w:val="center"/>
              <w:spacing w:after="0"/>
              <w:rPr>
                <w:sz w:val="20"/>
                <w:szCs w:val="20"/>
                <w:color w:val="auto"/>
              </w:rPr>
            </w:pPr>
            <w:r>
              <w:rPr>
                <w:rFonts w:ascii="Arial" w:cs="Arial" w:eastAsia="Arial" w:hAnsi="Arial"/>
                <w:sz w:val="16"/>
                <w:szCs w:val="16"/>
                <w:color w:val="auto"/>
                <w:w w:val="99"/>
              </w:rPr>
              <w:t>—</w:t>
            </w:r>
          </w:p>
        </w:tc>
        <w:tc>
          <w:tcPr>
            <w:tcW w:w="1220" w:type="dxa"/>
            <w:vAlign w:val="bottom"/>
            <w:shd w:val="clear" w:color="auto" w:fill="E5E5E5"/>
          </w:tcPr>
          <w:p>
            <w:pPr>
              <w:jc w:val="right"/>
              <w:ind w:right="417"/>
              <w:spacing w:after="0"/>
              <w:rPr>
                <w:sz w:val="20"/>
                <w:szCs w:val="20"/>
                <w:color w:val="auto"/>
              </w:rPr>
            </w:pPr>
            <w:r>
              <w:rPr>
                <w:rFonts w:ascii="Arial" w:cs="Arial" w:eastAsia="Arial" w:hAnsi="Arial"/>
                <w:sz w:val="16"/>
                <w:szCs w:val="16"/>
                <w:color w:val="auto"/>
              </w:rPr>
              <w:t>1</w:t>
            </w:r>
          </w:p>
        </w:tc>
      </w:tr>
      <w:tr>
        <w:trPr>
          <w:trHeight w:val="260"/>
        </w:trPr>
        <w:tc>
          <w:tcPr>
            <w:tcW w:w="2060" w:type="dxa"/>
            <w:vAlign w:val="bottom"/>
          </w:tcPr>
          <w:p>
            <w:pPr>
              <w:ind w:left="20"/>
              <w:spacing w:after="0"/>
              <w:rPr>
                <w:sz w:val="20"/>
                <w:szCs w:val="20"/>
                <w:color w:val="auto"/>
              </w:rPr>
            </w:pPr>
            <w:r>
              <w:rPr>
                <w:rFonts w:ascii="Arial" w:cs="Arial" w:eastAsia="Arial" w:hAnsi="Arial"/>
                <w:sz w:val="16"/>
                <w:szCs w:val="16"/>
                <w:color w:val="auto"/>
              </w:rPr>
              <w:t>Suzanne E. McBride</w:t>
            </w:r>
          </w:p>
        </w:tc>
        <w:tc>
          <w:tcPr>
            <w:tcW w:w="500" w:type="dxa"/>
            <w:vAlign w:val="bottom"/>
          </w:tcPr>
          <w:p>
            <w:pPr>
              <w:jc w:val="center"/>
              <w:spacing w:after="0"/>
              <w:rPr>
                <w:sz w:val="20"/>
                <w:szCs w:val="20"/>
                <w:color w:val="auto"/>
              </w:rPr>
            </w:pPr>
            <w:r>
              <w:rPr>
                <w:rFonts w:ascii="Arial" w:cs="Arial" w:eastAsia="Arial" w:hAnsi="Arial"/>
                <w:sz w:val="16"/>
                <w:szCs w:val="16"/>
                <w:color w:val="auto"/>
              </w:rPr>
              <w:t>53</w:t>
            </w:r>
          </w:p>
        </w:tc>
        <w:tc>
          <w:tcPr>
            <w:tcW w:w="740" w:type="dxa"/>
            <w:vAlign w:val="bottom"/>
          </w:tcPr>
          <w:p>
            <w:pPr>
              <w:jc w:val="center"/>
              <w:spacing w:after="0"/>
              <w:rPr>
                <w:sz w:val="20"/>
                <w:szCs w:val="20"/>
                <w:color w:val="auto"/>
              </w:rPr>
            </w:pPr>
            <w:r>
              <w:rPr>
                <w:rFonts w:ascii="Arial" w:cs="Arial" w:eastAsia="Arial" w:hAnsi="Arial"/>
                <w:sz w:val="16"/>
                <w:szCs w:val="16"/>
                <w:color w:val="auto"/>
              </w:rPr>
              <w:t>2022</w:t>
            </w:r>
          </w:p>
        </w:tc>
        <w:tc>
          <w:tcPr>
            <w:tcW w:w="2460" w:type="dxa"/>
            <w:vAlign w:val="bottom"/>
          </w:tcPr>
          <w:p>
            <w:pPr>
              <w:ind w:left="60"/>
              <w:spacing w:after="0"/>
              <w:rPr>
                <w:sz w:val="20"/>
                <w:szCs w:val="20"/>
                <w:color w:val="auto"/>
              </w:rPr>
            </w:pPr>
            <w:r>
              <w:rPr>
                <w:rFonts w:ascii="Arial" w:cs="Arial" w:eastAsia="Arial" w:hAnsi="Arial"/>
                <w:sz w:val="16"/>
                <w:szCs w:val="16"/>
                <w:color w:val="auto"/>
              </w:rPr>
              <w:t>COO, Iridium Communications</w:t>
            </w:r>
          </w:p>
        </w:tc>
        <w:tc>
          <w:tcPr>
            <w:tcW w:w="1180" w:type="dxa"/>
            <w:vAlign w:val="bottom"/>
          </w:tcPr>
          <w:p>
            <w:pPr>
              <w:jc w:val="center"/>
              <w:spacing w:after="0"/>
              <w:rPr>
                <w:sz w:val="20"/>
                <w:szCs w:val="20"/>
                <w:color w:val="auto"/>
              </w:rPr>
            </w:pPr>
            <w:r>
              <w:rPr>
                <w:rFonts w:ascii="Arial" w:cs="Arial" w:eastAsia="Arial" w:hAnsi="Arial"/>
                <w:sz w:val="16"/>
                <w:szCs w:val="16"/>
                <w:color w:val="auto"/>
              </w:rPr>
              <w:t>•</w:t>
            </w:r>
          </w:p>
        </w:tc>
        <w:tc>
          <w:tcPr>
            <w:tcW w:w="12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220" w:type="dxa"/>
            <w:vAlign w:val="bottom"/>
          </w:tcPr>
          <w:p>
            <w:pPr>
              <w:jc w:val="right"/>
              <w:ind w:right="417"/>
              <w:spacing w:after="0"/>
              <w:rPr>
                <w:sz w:val="20"/>
                <w:szCs w:val="20"/>
                <w:color w:val="auto"/>
              </w:rPr>
            </w:pPr>
            <w:r>
              <w:rPr>
                <w:rFonts w:ascii="Arial" w:cs="Arial" w:eastAsia="Arial" w:hAnsi="Arial"/>
                <w:sz w:val="16"/>
                <w:szCs w:val="16"/>
                <w:color w:val="auto"/>
              </w:rPr>
              <w:t>1</w:t>
            </w:r>
          </w:p>
        </w:tc>
      </w:tr>
      <w:tr>
        <w:trPr>
          <w:trHeight w:val="241"/>
        </w:trPr>
        <w:tc>
          <w:tcPr>
            <w:tcW w:w="2060" w:type="dxa"/>
            <w:vAlign w:val="bottom"/>
            <w:shd w:val="clear" w:color="auto" w:fill="E5E5E5"/>
          </w:tcPr>
          <w:p>
            <w:pPr>
              <w:ind w:left="20"/>
              <w:spacing w:after="0"/>
              <w:rPr>
                <w:sz w:val="20"/>
                <w:szCs w:val="20"/>
                <w:color w:val="auto"/>
              </w:rPr>
            </w:pPr>
            <w:r>
              <w:rPr>
                <w:rFonts w:ascii="Arial" w:cs="Arial" w:eastAsia="Arial" w:hAnsi="Arial"/>
                <w:sz w:val="16"/>
                <w:szCs w:val="16"/>
                <w:color w:val="auto"/>
              </w:rPr>
              <w:t>David P. McGlade</w:t>
            </w:r>
          </w:p>
        </w:tc>
        <w:tc>
          <w:tcPr>
            <w:tcW w:w="50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61</w:t>
            </w:r>
          </w:p>
        </w:tc>
        <w:tc>
          <w:tcPr>
            <w:tcW w:w="74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2005</w:t>
            </w:r>
          </w:p>
        </w:tc>
        <w:tc>
          <w:tcPr>
            <w:tcW w:w="2460" w:type="dxa"/>
            <w:vAlign w:val="bottom"/>
            <w:shd w:val="clear" w:color="auto" w:fill="E5E5E5"/>
          </w:tcPr>
          <w:p>
            <w:pPr>
              <w:ind w:left="60"/>
              <w:spacing w:after="0"/>
              <w:rPr>
                <w:sz w:val="20"/>
                <w:szCs w:val="20"/>
                <w:color w:val="auto"/>
              </w:rPr>
            </w:pPr>
            <w:r>
              <w:rPr>
                <w:rFonts w:ascii="Arial" w:cs="Arial" w:eastAsia="Arial" w:hAnsi="Arial"/>
                <w:sz w:val="16"/>
                <w:szCs w:val="16"/>
                <w:color w:val="auto"/>
              </w:rPr>
              <w:t>Retired Executive Chairman,</w:t>
            </w:r>
          </w:p>
        </w:tc>
        <w:tc>
          <w:tcPr>
            <w:tcW w:w="118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w:t>
            </w:r>
          </w:p>
        </w:tc>
        <w:tc>
          <w:tcPr>
            <w:tcW w:w="124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AC (C), CC</w:t>
            </w:r>
          </w:p>
        </w:tc>
        <w:tc>
          <w:tcPr>
            <w:tcW w:w="1220" w:type="dxa"/>
            <w:vAlign w:val="bottom"/>
            <w:shd w:val="clear" w:color="auto" w:fill="E5E5E5"/>
          </w:tcPr>
          <w:p>
            <w:pPr>
              <w:jc w:val="right"/>
              <w:ind w:right="417"/>
              <w:spacing w:after="0"/>
              <w:rPr>
                <w:sz w:val="20"/>
                <w:szCs w:val="20"/>
                <w:color w:val="auto"/>
              </w:rPr>
            </w:pPr>
            <w:r>
              <w:rPr>
                <w:rFonts w:ascii="Arial" w:cs="Arial" w:eastAsia="Arial" w:hAnsi="Arial"/>
                <w:sz w:val="16"/>
                <w:szCs w:val="16"/>
                <w:color w:val="auto"/>
              </w:rPr>
              <w:t>—</w:t>
            </w:r>
          </w:p>
        </w:tc>
      </w:tr>
      <w:tr>
        <w:trPr>
          <w:trHeight w:val="214"/>
        </w:trPr>
        <w:tc>
          <w:tcPr>
            <w:tcW w:w="2060" w:type="dxa"/>
            <w:vAlign w:val="bottom"/>
            <w:shd w:val="clear" w:color="auto" w:fill="E5E5E5"/>
          </w:tcPr>
          <w:p>
            <w:pPr>
              <w:spacing w:after="0"/>
              <w:rPr>
                <w:sz w:val="18"/>
                <w:szCs w:val="18"/>
                <w:color w:val="auto"/>
              </w:rPr>
            </w:pPr>
          </w:p>
        </w:tc>
        <w:tc>
          <w:tcPr>
            <w:tcW w:w="50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460" w:type="dxa"/>
            <w:vAlign w:val="bottom"/>
            <w:shd w:val="clear" w:color="auto" w:fill="E5E5E5"/>
          </w:tcPr>
          <w:p>
            <w:pPr>
              <w:ind w:left="60"/>
              <w:spacing w:after="0"/>
              <w:rPr>
                <w:sz w:val="20"/>
                <w:szCs w:val="20"/>
                <w:color w:val="auto"/>
              </w:rPr>
            </w:pPr>
            <w:r>
              <w:rPr>
                <w:rFonts w:ascii="Arial" w:cs="Arial" w:eastAsia="Arial" w:hAnsi="Arial"/>
                <w:sz w:val="16"/>
                <w:szCs w:val="16"/>
                <w:color w:val="auto"/>
              </w:rPr>
              <w:t>Intelsat</w:t>
            </w:r>
          </w:p>
        </w:tc>
        <w:tc>
          <w:tcPr>
            <w:tcW w:w="1180" w:type="dxa"/>
            <w:vAlign w:val="bottom"/>
            <w:shd w:val="clear" w:color="auto" w:fill="E5E5E5"/>
          </w:tcPr>
          <w:p>
            <w:pPr>
              <w:spacing w:after="0"/>
              <w:rPr>
                <w:sz w:val="18"/>
                <w:szCs w:val="18"/>
                <w:color w:val="auto"/>
              </w:rPr>
            </w:pPr>
          </w:p>
        </w:tc>
        <w:tc>
          <w:tcPr>
            <w:tcW w:w="1240" w:type="dxa"/>
            <w:vAlign w:val="bottom"/>
            <w:shd w:val="clear" w:color="auto" w:fill="E5E5E5"/>
          </w:tcPr>
          <w:p>
            <w:pPr>
              <w:spacing w:after="0"/>
              <w:rPr>
                <w:sz w:val="18"/>
                <w:szCs w:val="18"/>
                <w:color w:val="auto"/>
              </w:rPr>
            </w:pPr>
          </w:p>
        </w:tc>
        <w:tc>
          <w:tcPr>
            <w:tcW w:w="1220" w:type="dxa"/>
            <w:vAlign w:val="bottom"/>
            <w:shd w:val="clear" w:color="auto" w:fill="E5E5E5"/>
          </w:tcPr>
          <w:p>
            <w:pPr>
              <w:spacing w:after="0"/>
              <w:rPr>
                <w:sz w:val="18"/>
                <w:szCs w:val="18"/>
                <w:color w:val="auto"/>
              </w:rPr>
            </w:pPr>
          </w:p>
        </w:tc>
      </w:tr>
      <w:tr>
        <w:trPr>
          <w:trHeight w:val="250"/>
        </w:trPr>
        <w:tc>
          <w:tcPr>
            <w:tcW w:w="2060" w:type="dxa"/>
            <w:vAlign w:val="bottom"/>
          </w:tcPr>
          <w:p>
            <w:pPr>
              <w:ind w:left="20"/>
              <w:spacing w:after="0"/>
              <w:rPr>
                <w:sz w:val="20"/>
                <w:szCs w:val="20"/>
                <w:color w:val="auto"/>
              </w:rPr>
            </w:pPr>
            <w:r>
              <w:rPr>
                <w:rFonts w:ascii="Arial" w:cs="Arial" w:eastAsia="Arial" w:hAnsi="Arial"/>
                <w:sz w:val="16"/>
                <w:szCs w:val="16"/>
                <w:color w:val="auto"/>
              </w:rPr>
              <w:t>Robert A. Schriesheim</w:t>
            </w:r>
          </w:p>
        </w:tc>
        <w:tc>
          <w:tcPr>
            <w:tcW w:w="500" w:type="dxa"/>
            <w:vAlign w:val="bottom"/>
          </w:tcPr>
          <w:p>
            <w:pPr>
              <w:jc w:val="center"/>
              <w:spacing w:after="0"/>
              <w:rPr>
                <w:sz w:val="20"/>
                <w:szCs w:val="20"/>
                <w:color w:val="auto"/>
              </w:rPr>
            </w:pPr>
            <w:r>
              <w:rPr>
                <w:rFonts w:ascii="Arial" w:cs="Arial" w:eastAsia="Arial" w:hAnsi="Arial"/>
                <w:sz w:val="16"/>
                <w:szCs w:val="16"/>
                <w:color w:val="auto"/>
              </w:rPr>
              <w:t>61</w:t>
            </w:r>
          </w:p>
        </w:tc>
        <w:tc>
          <w:tcPr>
            <w:tcW w:w="740" w:type="dxa"/>
            <w:vAlign w:val="bottom"/>
          </w:tcPr>
          <w:p>
            <w:pPr>
              <w:jc w:val="center"/>
              <w:spacing w:after="0"/>
              <w:rPr>
                <w:sz w:val="20"/>
                <w:szCs w:val="20"/>
                <w:color w:val="auto"/>
              </w:rPr>
            </w:pPr>
            <w:r>
              <w:rPr>
                <w:rFonts w:ascii="Arial" w:cs="Arial" w:eastAsia="Arial" w:hAnsi="Arial"/>
                <w:sz w:val="16"/>
                <w:szCs w:val="16"/>
                <w:color w:val="auto"/>
              </w:rPr>
              <w:t>2006</w:t>
            </w:r>
          </w:p>
        </w:tc>
        <w:tc>
          <w:tcPr>
            <w:tcW w:w="2460" w:type="dxa"/>
            <w:vAlign w:val="bottom"/>
          </w:tcPr>
          <w:p>
            <w:pPr>
              <w:ind w:left="60"/>
              <w:spacing w:after="0"/>
              <w:rPr>
                <w:sz w:val="20"/>
                <w:szCs w:val="20"/>
                <w:color w:val="auto"/>
              </w:rPr>
            </w:pPr>
            <w:r>
              <w:rPr>
                <w:rFonts w:ascii="Arial" w:cs="Arial" w:eastAsia="Arial" w:hAnsi="Arial"/>
                <w:sz w:val="16"/>
                <w:szCs w:val="16"/>
                <w:color w:val="auto"/>
              </w:rPr>
              <w:t>Chairman, Truax Partners</w:t>
            </w:r>
          </w:p>
        </w:tc>
        <w:tc>
          <w:tcPr>
            <w:tcW w:w="1180" w:type="dxa"/>
            <w:vAlign w:val="bottom"/>
          </w:tcPr>
          <w:p>
            <w:pPr>
              <w:jc w:val="center"/>
              <w:spacing w:after="0"/>
              <w:rPr>
                <w:sz w:val="20"/>
                <w:szCs w:val="20"/>
                <w:color w:val="auto"/>
              </w:rPr>
            </w:pPr>
            <w:r>
              <w:rPr>
                <w:rFonts w:ascii="Arial" w:cs="Arial" w:eastAsia="Arial" w:hAnsi="Arial"/>
                <w:sz w:val="16"/>
                <w:szCs w:val="16"/>
                <w:color w:val="auto"/>
              </w:rPr>
              <w:t>•</w:t>
            </w:r>
          </w:p>
        </w:tc>
        <w:tc>
          <w:tcPr>
            <w:tcW w:w="1240" w:type="dxa"/>
            <w:vAlign w:val="bottom"/>
          </w:tcPr>
          <w:p>
            <w:pPr>
              <w:jc w:val="center"/>
              <w:spacing w:after="0"/>
              <w:rPr>
                <w:sz w:val="20"/>
                <w:szCs w:val="20"/>
                <w:color w:val="auto"/>
              </w:rPr>
            </w:pPr>
            <w:r>
              <w:rPr>
                <w:rFonts w:ascii="Arial" w:cs="Arial" w:eastAsia="Arial" w:hAnsi="Arial"/>
                <w:sz w:val="16"/>
                <w:szCs w:val="16"/>
                <w:color w:val="auto"/>
              </w:rPr>
              <w:t>AC, CC</w:t>
            </w:r>
          </w:p>
        </w:tc>
        <w:tc>
          <w:tcPr>
            <w:tcW w:w="1220" w:type="dxa"/>
            <w:vAlign w:val="bottom"/>
          </w:tcPr>
          <w:p>
            <w:pPr>
              <w:jc w:val="right"/>
              <w:ind w:right="417"/>
              <w:spacing w:after="0"/>
              <w:rPr>
                <w:sz w:val="20"/>
                <w:szCs w:val="20"/>
                <w:color w:val="auto"/>
              </w:rPr>
            </w:pPr>
            <w:r>
              <w:rPr>
                <w:rFonts w:ascii="Arial" w:cs="Arial" w:eastAsia="Arial" w:hAnsi="Arial"/>
                <w:sz w:val="16"/>
                <w:szCs w:val="16"/>
                <w:color w:val="auto"/>
              </w:rPr>
              <w:t>1</w:t>
            </w:r>
          </w:p>
        </w:tc>
      </w:tr>
      <w:tr>
        <w:trPr>
          <w:trHeight w:val="47"/>
        </w:trPr>
        <w:tc>
          <w:tcPr>
            <w:tcW w:w="2060" w:type="dxa"/>
            <w:vAlign w:val="bottom"/>
            <w:tcBorders>
              <w:bottom w:val="single" w:sz="8" w:color="BFBFBF"/>
            </w:tcBorders>
          </w:tcPr>
          <w:p>
            <w:pPr>
              <w:spacing w:after="0"/>
              <w:rPr>
                <w:sz w:val="4"/>
                <w:szCs w:val="4"/>
                <w:color w:val="auto"/>
              </w:rPr>
            </w:pPr>
          </w:p>
        </w:tc>
        <w:tc>
          <w:tcPr>
            <w:tcW w:w="500" w:type="dxa"/>
            <w:vAlign w:val="bottom"/>
            <w:tcBorders>
              <w:bottom w:val="single" w:sz="8" w:color="BFBFBF"/>
            </w:tcBorders>
          </w:tcPr>
          <w:p>
            <w:pPr>
              <w:spacing w:after="0"/>
              <w:rPr>
                <w:sz w:val="4"/>
                <w:szCs w:val="4"/>
                <w:color w:val="auto"/>
              </w:rPr>
            </w:pPr>
          </w:p>
        </w:tc>
        <w:tc>
          <w:tcPr>
            <w:tcW w:w="740" w:type="dxa"/>
            <w:vAlign w:val="bottom"/>
            <w:tcBorders>
              <w:bottom w:val="single" w:sz="8" w:color="BFBFBF"/>
            </w:tcBorders>
          </w:tcPr>
          <w:p>
            <w:pPr>
              <w:spacing w:after="0"/>
              <w:rPr>
                <w:sz w:val="4"/>
                <w:szCs w:val="4"/>
                <w:color w:val="auto"/>
              </w:rPr>
            </w:pPr>
          </w:p>
        </w:tc>
        <w:tc>
          <w:tcPr>
            <w:tcW w:w="2460" w:type="dxa"/>
            <w:vAlign w:val="bottom"/>
            <w:tcBorders>
              <w:bottom w:val="single" w:sz="8" w:color="BFBFBF"/>
            </w:tcBorders>
          </w:tcPr>
          <w:p>
            <w:pPr>
              <w:spacing w:after="0"/>
              <w:rPr>
                <w:sz w:val="4"/>
                <w:szCs w:val="4"/>
                <w:color w:val="auto"/>
              </w:rPr>
            </w:pPr>
          </w:p>
        </w:tc>
        <w:tc>
          <w:tcPr>
            <w:tcW w:w="1180" w:type="dxa"/>
            <w:vAlign w:val="bottom"/>
            <w:tcBorders>
              <w:bottom w:val="single" w:sz="8" w:color="BFBFBF"/>
            </w:tcBorders>
          </w:tcPr>
          <w:p>
            <w:pPr>
              <w:spacing w:after="0"/>
              <w:rPr>
                <w:sz w:val="4"/>
                <w:szCs w:val="4"/>
                <w:color w:val="auto"/>
              </w:rPr>
            </w:pPr>
          </w:p>
        </w:tc>
        <w:tc>
          <w:tcPr>
            <w:tcW w:w="1240" w:type="dxa"/>
            <w:vAlign w:val="bottom"/>
            <w:tcBorders>
              <w:bottom w:val="single" w:sz="8" w:color="BFBFBF"/>
            </w:tcBorders>
          </w:tcPr>
          <w:p>
            <w:pPr>
              <w:spacing w:after="0"/>
              <w:rPr>
                <w:sz w:val="4"/>
                <w:szCs w:val="4"/>
                <w:color w:val="auto"/>
              </w:rPr>
            </w:pPr>
          </w:p>
        </w:tc>
        <w:tc>
          <w:tcPr>
            <w:tcW w:w="1220" w:type="dxa"/>
            <w:vAlign w:val="bottom"/>
            <w:tcBorders>
              <w:bottom w:val="single" w:sz="8" w:color="BFBFBF"/>
            </w:tcBorders>
          </w:tcPr>
          <w:p>
            <w:pPr>
              <w:spacing w:after="0"/>
              <w:rPr>
                <w:sz w:val="4"/>
                <w:szCs w:val="4"/>
                <w:color w:val="auto"/>
              </w:rPr>
            </w:pPr>
          </w:p>
        </w:tc>
      </w:tr>
    </w:tbl>
    <w:p>
      <w:pPr>
        <w:spacing w:after="0" w:line="134" w:lineRule="exact"/>
        <w:rPr>
          <w:sz w:val="20"/>
          <w:szCs w:val="20"/>
          <w:color w:val="auto"/>
        </w:rPr>
      </w:pPr>
    </w:p>
    <w:p>
      <w:pPr>
        <w:ind w:left="720" w:right="740"/>
        <w:spacing w:after="0" w:line="281" w:lineRule="auto"/>
        <w:rPr>
          <w:sz w:val="20"/>
          <w:szCs w:val="20"/>
          <w:color w:val="auto"/>
        </w:rPr>
      </w:pPr>
      <w:r>
        <w:rPr>
          <w:rFonts w:ascii="Arial" w:cs="Arial" w:eastAsia="Arial" w:hAnsi="Arial"/>
          <w:sz w:val="16"/>
          <w:szCs w:val="16"/>
          <w:i w:val="1"/>
          <w:iCs w:val="1"/>
          <w:color w:val="auto"/>
        </w:rPr>
        <w:t>“AC” indicates Audit Committee, “CC” indicates Compensation Committee, “NCGC” indicates Nominating and Corporate Governance Committee, and “(C)” indicates Committee Chair</w:t>
      </w:r>
    </w:p>
    <w:p>
      <w:pPr>
        <w:spacing w:after="0" w:line="187" w:lineRule="exact"/>
        <w:rPr>
          <w:sz w:val="20"/>
          <w:szCs w:val="20"/>
          <w:color w:val="auto"/>
        </w:rPr>
      </w:pPr>
    </w:p>
    <w:p>
      <w:pPr>
        <w:ind w:left="660"/>
        <w:spacing w:after="0" w:line="257" w:lineRule="auto"/>
        <w:rPr>
          <w:sz w:val="20"/>
          <w:szCs w:val="20"/>
          <w:color w:val="auto"/>
        </w:rPr>
      </w:pPr>
      <w:r>
        <w:rPr>
          <w:rFonts w:ascii="Arial" w:cs="Arial" w:eastAsia="Arial" w:hAnsi="Arial"/>
          <w:sz w:val="20"/>
          <w:szCs w:val="20"/>
          <w:color w:val="191919"/>
        </w:rPr>
        <w:t>The eight director nominees standing for reelection to the Board have diverse backgrounds, skills, and experiences. We believe their varied backgrounds contribute to an effective and well-balanced Board that is able to provide valuable insight to, and effective oversight of, our senior management 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150495</wp:posOffset>
            </wp:positionV>
            <wp:extent cx="5212080" cy="1671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212080" cy="1671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60"/>
        <w:spacing w:after="0"/>
        <w:tabs>
          <w:tab w:leader="none" w:pos="4817" w:val="left"/>
        </w:tabs>
        <w:rPr>
          <w:sz w:val="20"/>
          <w:szCs w:val="20"/>
          <w:color w:val="auto"/>
        </w:rPr>
      </w:pPr>
      <w:r>
        <w:rPr>
          <w:rFonts w:ascii="Arial" w:cs="Arial" w:eastAsia="Arial" w:hAnsi="Arial"/>
          <w:sz w:val="16"/>
          <w:szCs w:val="16"/>
          <w:color w:val="auto"/>
        </w:rPr>
        <w:t>4</w:t>
      </w:r>
      <w:r>
        <w:rPr>
          <w:sz w:val="20"/>
          <w:szCs w:val="20"/>
          <w:color w:val="auto"/>
        </w:rPr>
        <w:tab/>
      </w:r>
      <w:r>
        <w:rPr>
          <w:sz w:val="1"/>
          <w:szCs w:val="1"/>
          <w:color w:val="auto"/>
        </w:rPr>
        <w:drawing>
          <wp:inline distT="0" distB="0" distL="0" distR="0">
            <wp:extent cx="779780" cy="25717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131" w:right="1259" w:bottom="1440" w:gutter="0" w:footer="0" w:header="0"/>
        </w:sectPr>
      </w:pPr>
    </w:p>
    <w:bookmarkStart w:id="9" w:name="page10"/>
    <w:bookmarkEnd w:id="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Arial" w:cs="Arial" w:eastAsia="Arial" w:hAnsi="Arial"/>
          <w:sz w:val="29"/>
          <w:szCs w:val="29"/>
          <w:b w:val="1"/>
          <w:bCs w:val="1"/>
          <w:color w:val="auto"/>
        </w:rPr>
        <w:t>Corporate Governance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79375</wp:posOffset>
            </wp:positionV>
            <wp:extent cx="59747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974715"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660" w:right="1320"/>
        <w:spacing w:after="0" w:line="261" w:lineRule="auto"/>
        <w:rPr>
          <w:sz w:val="20"/>
          <w:szCs w:val="20"/>
          <w:color w:val="auto"/>
        </w:rPr>
      </w:pPr>
      <w:r>
        <w:rPr>
          <w:rFonts w:ascii="Arial" w:cs="Arial" w:eastAsia="Arial" w:hAnsi="Arial"/>
          <w:sz w:val="20"/>
          <w:szCs w:val="20"/>
          <w:color w:val="191919"/>
        </w:rPr>
        <w:t>The Company has a proven track record of sound and effective corporate governance practices and policies, including those highlighted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78740</wp:posOffset>
            </wp:positionV>
            <wp:extent cx="5974715" cy="5143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974715" cy="514350"/>
                    </a:xfrm>
                    <a:prstGeom prst="rect">
                      <a:avLst/>
                    </a:prstGeom>
                    <a:noFill/>
                  </pic:spPr>
                </pic:pic>
              </a:graphicData>
            </a:graphic>
          </wp:anchor>
        </w:drawing>
      </w:r>
    </w:p>
    <w:p>
      <w:pPr>
        <w:spacing w:after="0" w:line="198" w:lineRule="exact"/>
        <w:rPr>
          <w:sz w:val="20"/>
          <w:szCs w:val="20"/>
          <w:color w:val="auto"/>
        </w:rPr>
      </w:pPr>
    </w:p>
    <w:p>
      <w:pPr>
        <w:ind w:left="740"/>
        <w:spacing w:after="0"/>
        <w:rPr>
          <w:sz w:val="20"/>
          <w:szCs w:val="20"/>
          <w:color w:val="auto"/>
        </w:rPr>
      </w:pPr>
      <w:r>
        <w:rPr>
          <w:rFonts w:ascii="Arial" w:cs="Arial" w:eastAsia="Arial" w:hAnsi="Arial"/>
          <w:sz w:val="18"/>
          <w:szCs w:val="18"/>
          <w:color w:val="FFFFFF"/>
        </w:rPr>
        <w:t>Corporate Governance Best Practices</w:t>
      </w:r>
    </w:p>
    <w:p>
      <w:pPr>
        <w:sectPr>
          <w:pgSz w:w="11900" w:h="16838" w:orient="portrait"/>
          <w:cols w:equalWidth="0" w:num="1">
            <w:col w:w="10720"/>
          </w:cols>
          <w:pgMar w:left="580" w:top="131" w:right="599" w:bottom="1440" w:gutter="0" w:footer="0" w:header="0"/>
        </w:sectPr>
      </w:pPr>
    </w:p>
    <w:p>
      <w:pPr>
        <w:spacing w:after="0" w:line="194"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0076A8"/>
        </w:rPr>
        <w:t>Annually Elected Directors</w:t>
      </w:r>
    </w:p>
    <w:p>
      <w:pPr>
        <w:spacing w:after="0" w:line="208"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0076A8"/>
        </w:rPr>
        <w:t>Majority Vote Standard</w:t>
      </w:r>
    </w:p>
    <w:p>
      <w:pPr>
        <w:spacing w:after="0" w:line="262"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0076A8"/>
        </w:rPr>
        <w:t>Lead Independent Director</w:t>
      </w:r>
    </w:p>
    <w:p>
      <w:pPr>
        <w:spacing w:after="0" w:line="316"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0076A8"/>
        </w:rPr>
        <w:t>Executive Sessions</w:t>
      </w:r>
    </w:p>
    <w:p>
      <w:pPr>
        <w:spacing w:after="0" w:line="262"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0076A8"/>
        </w:rPr>
        <w:t>Independent Board Committees</w:t>
      </w:r>
    </w:p>
    <w:p>
      <w:pPr>
        <w:spacing w:after="0" w:line="262"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0076A8"/>
        </w:rPr>
        <w:t>Board Refreshment</w:t>
      </w:r>
    </w:p>
    <w:p>
      <w:pPr>
        <w:spacing w:after="0" w:line="316"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0076A8"/>
        </w:rPr>
        <w:t>Risk Assessment</w:t>
      </w:r>
    </w:p>
    <w:p>
      <w:pPr>
        <w:spacing w:after="0" w:line="200" w:lineRule="exact"/>
        <w:rPr>
          <w:sz w:val="20"/>
          <w:szCs w:val="20"/>
          <w:color w:val="auto"/>
        </w:rPr>
      </w:pPr>
    </w:p>
    <w:p>
      <w:pPr>
        <w:spacing w:after="0" w:line="210"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0076A8"/>
        </w:rPr>
        <w:t>Annual Board Assessment</w:t>
      </w:r>
    </w:p>
    <w:p>
      <w:pPr>
        <w:spacing w:after="0" w:line="200" w:lineRule="exact"/>
        <w:rPr>
          <w:sz w:val="20"/>
          <w:szCs w:val="20"/>
          <w:color w:val="auto"/>
        </w:rPr>
      </w:pPr>
    </w:p>
    <w:p>
      <w:pPr>
        <w:spacing w:after="0" w:line="210" w:lineRule="exact"/>
        <w:rPr>
          <w:sz w:val="20"/>
          <w:szCs w:val="20"/>
          <w:color w:val="auto"/>
        </w:rPr>
      </w:pPr>
    </w:p>
    <w:p>
      <w:pPr>
        <w:ind w:left="740" w:right="520"/>
        <w:spacing w:after="0" w:line="572" w:lineRule="auto"/>
        <w:rPr>
          <w:sz w:val="20"/>
          <w:szCs w:val="20"/>
          <w:color w:val="auto"/>
        </w:rPr>
      </w:pPr>
      <w:r>
        <w:rPr>
          <w:rFonts w:ascii="Arial" w:cs="Arial" w:eastAsia="Arial" w:hAnsi="Arial"/>
          <w:sz w:val="16"/>
          <w:szCs w:val="16"/>
          <w:b w:val="1"/>
          <w:bCs w:val="1"/>
          <w:color w:val="0076A8"/>
        </w:rPr>
        <w:t>Executive Succession Plan No “Poison Pill”</w:t>
      </w:r>
    </w:p>
    <w:p>
      <w:pPr>
        <w:spacing w:after="0" w:line="1" w:lineRule="exact"/>
        <w:rPr>
          <w:sz w:val="20"/>
          <w:szCs w:val="20"/>
          <w:color w:val="auto"/>
        </w:rPr>
      </w:pPr>
    </w:p>
    <w:p>
      <w:pPr>
        <w:ind w:left="740" w:right="160"/>
        <w:spacing w:after="0" w:line="601" w:lineRule="auto"/>
        <w:rPr>
          <w:sz w:val="20"/>
          <w:szCs w:val="20"/>
          <w:color w:val="auto"/>
        </w:rPr>
      </w:pPr>
      <w:r>
        <w:rPr>
          <w:rFonts w:ascii="Arial" w:cs="Arial" w:eastAsia="Arial" w:hAnsi="Arial"/>
          <w:sz w:val="16"/>
          <w:szCs w:val="16"/>
          <w:b w:val="1"/>
          <w:bCs w:val="1"/>
          <w:color w:val="0076A8"/>
        </w:rPr>
        <w:t>Stock Ownership Requirements Prohibition on Pledging Special Meeting Right</w:t>
      </w:r>
    </w:p>
    <w:p>
      <w:pPr>
        <w:spacing w:after="0" w:line="8"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0076A8"/>
        </w:rPr>
        <w:t>Proxy Access</w:t>
      </w:r>
    </w:p>
    <w:p>
      <w:pPr>
        <w:spacing w:after="0" w:line="316"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0076A8"/>
        </w:rPr>
        <w:t>Regular Stockholder Engagement</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All of our directors are elected annually</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In uncontested elections, directors are elected by a majority of votes 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-1985645</wp:posOffset>
            </wp:positionH>
            <wp:positionV relativeFrom="paragraph">
              <wp:posOffset>70485</wp:posOffset>
            </wp:positionV>
            <wp:extent cx="5974715" cy="3175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974715" cy="317500"/>
                    </a:xfrm>
                    <a:prstGeom prst="rect">
                      <a:avLst/>
                    </a:prstGeom>
                    <a:noFill/>
                  </pic:spPr>
                </pic:pic>
              </a:graphicData>
            </a:graphic>
          </wp:anchor>
        </w:drawing>
      </w:r>
    </w:p>
    <w:p>
      <w:pPr>
        <w:spacing w:after="0" w:line="161" w:lineRule="exact"/>
        <w:rPr>
          <w:sz w:val="20"/>
          <w:szCs w:val="20"/>
          <w:color w:val="auto"/>
        </w:rPr>
      </w:pPr>
    </w:p>
    <w:p>
      <w:pPr>
        <w:ind w:right="1040"/>
        <w:spacing w:after="0" w:line="278" w:lineRule="auto"/>
        <w:rPr>
          <w:sz w:val="20"/>
          <w:szCs w:val="20"/>
          <w:color w:val="auto"/>
        </w:rPr>
      </w:pPr>
      <w:r>
        <w:rPr>
          <w:rFonts w:ascii="Arial" w:cs="Arial" w:eastAsia="Arial" w:hAnsi="Arial"/>
          <w:sz w:val="16"/>
          <w:szCs w:val="16"/>
          <w:color w:val="auto"/>
        </w:rPr>
        <w:t>Initially established in 2014, the Lead Independent Director role has a robust set of duties set forth in our corporate governance guidelines</w:t>
      </w:r>
    </w:p>
    <w:p>
      <w:pPr>
        <w:spacing w:after="0" w:line="73" w:lineRule="exact"/>
        <w:rPr>
          <w:sz w:val="20"/>
          <w:szCs w:val="20"/>
          <w:color w:val="auto"/>
        </w:rPr>
      </w:pPr>
    </w:p>
    <w:p>
      <w:pPr>
        <w:ind w:right="840"/>
        <w:spacing w:after="0" w:line="278" w:lineRule="auto"/>
        <w:rPr>
          <w:sz w:val="20"/>
          <w:szCs w:val="20"/>
          <w:color w:val="auto"/>
        </w:rPr>
      </w:pPr>
      <w:r>
        <w:rPr>
          <w:rFonts w:ascii="Arial" w:cs="Arial" w:eastAsia="Arial" w:hAnsi="Arial"/>
          <w:sz w:val="16"/>
          <w:szCs w:val="16"/>
          <w:color w:val="auto"/>
        </w:rPr>
        <w:t>Our independent directors regularly meet in executive sessions without management, with the Lead Independent Director presiding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-1985645</wp:posOffset>
            </wp:positionH>
            <wp:positionV relativeFrom="paragraph">
              <wp:posOffset>2540</wp:posOffset>
            </wp:positionV>
            <wp:extent cx="5974715" cy="2489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974715" cy="248920"/>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All members of the Board’s three standing committees are independent directors</w:t>
      </w:r>
    </w:p>
    <w:p>
      <w:pPr>
        <w:spacing w:after="0" w:line="181" w:lineRule="exact"/>
        <w:rPr>
          <w:sz w:val="20"/>
          <w:szCs w:val="20"/>
          <w:color w:val="auto"/>
        </w:rPr>
      </w:pPr>
    </w:p>
    <w:p>
      <w:pPr>
        <w:ind w:right="960"/>
        <w:spacing w:after="0" w:line="278" w:lineRule="auto"/>
        <w:rPr>
          <w:sz w:val="20"/>
          <w:szCs w:val="20"/>
          <w:color w:val="auto"/>
        </w:rPr>
      </w:pPr>
      <w:r>
        <w:rPr>
          <w:rFonts w:ascii="Arial" w:cs="Arial" w:eastAsia="Arial" w:hAnsi="Arial"/>
          <w:sz w:val="16"/>
          <w:szCs w:val="16"/>
          <w:color w:val="auto"/>
        </w:rPr>
        <w:t>Our Board regularly takes steps to refresh its membership, most recently appointing Mr. Guerin and Ms. McBride in early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-1985645</wp:posOffset>
            </wp:positionH>
            <wp:positionV relativeFrom="paragraph">
              <wp:posOffset>2540</wp:posOffset>
            </wp:positionV>
            <wp:extent cx="5974715" cy="3175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974715" cy="317500"/>
                    </a:xfrm>
                    <a:prstGeom prst="rect">
                      <a:avLst/>
                    </a:prstGeom>
                    <a:noFill/>
                  </pic:spPr>
                </pic:pic>
              </a:graphicData>
            </a:graphic>
          </wp:anchor>
        </w:drawing>
      </w:r>
    </w:p>
    <w:p>
      <w:pPr>
        <w:spacing w:after="0" w:line="53" w:lineRule="exact"/>
        <w:rPr>
          <w:sz w:val="20"/>
          <w:szCs w:val="20"/>
          <w:color w:val="auto"/>
        </w:rPr>
      </w:pPr>
    </w:p>
    <w:p>
      <w:pPr>
        <w:ind w:right="1500"/>
        <w:spacing w:after="0" w:line="278" w:lineRule="auto"/>
        <w:rPr>
          <w:sz w:val="20"/>
          <w:szCs w:val="20"/>
          <w:color w:val="auto"/>
        </w:rPr>
      </w:pPr>
      <w:r>
        <w:rPr>
          <w:rFonts w:ascii="Arial" w:cs="Arial" w:eastAsia="Arial" w:hAnsi="Arial"/>
          <w:sz w:val="16"/>
          <w:szCs w:val="16"/>
          <w:color w:val="auto"/>
        </w:rPr>
        <w:t>Our Board and its committees regularly review management’s processes for identifying, assessing, and managing risks</w:t>
      </w:r>
    </w:p>
    <w:p>
      <w:pPr>
        <w:spacing w:after="0" w:line="168" w:lineRule="exact"/>
        <w:rPr>
          <w:sz w:val="20"/>
          <w:szCs w:val="20"/>
          <w:color w:val="auto"/>
        </w:rPr>
      </w:pPr>
    </w:p>
    <w:p>
      <w:pPr>
        <w:ind w:right="860"/>
        <w:spacing w:after="0" w:line="278" w:lineRule="auto"/>
        <w:rPr>
          <w:sz w:val="20"/>
          <w:szCs w:val="20"/>
          <w:color w:val="auto"/>
        </w:rPr>
      </w:pPr>
      <w:r>
        <w:rPr>
          <w:rFonts w:ascii="Arial" w:cs="Arial" w:eastAsia="Arial" w:hAnsi="Arial"/>
          <w:sz w:val="16"/>
          <w:szCs w:val="16"/>
          <w:color w:val="auto"/>
        </w:rPr>
        <w:t>The Nominating and Corporate Governance Committee oversees an annual evaluation of the effectiveness of the Board, each committee, and individual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-1985645</wp:posOffset>
            </wp:positionH>
            <wp:positionV relativeFrom="paragraph">
              <wp:posOffset>62230</wp:posOffset>
            </wp:positionV>
            <wp:extent cx="5974715" cy="3168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974715" cy="316865"/>
                    </a:xfrm>
                    <a:prstGeom prst="rect">
                      <a:avLst/>
                    </a:prstGeom>
                    <a:noFill/>
                  </pic:spPr>
                </pic:pic>
              </a:graphicData>
            </a:graphic>
          </wp:anchor>
        </w:drawing>
      </w:r>
    </w:p>
    <w:p>
      <w:pPr>
        <w:spacing w:after="0" w:line="148" w:lineRule="exact"/>
        <w:rPr>
          <w:sz w:val="20"/>
          <w:szCs w:val="20"/>
          <w:color w:val="auto"/>
        </w:rPr>
      </w:pPr>
    </w:p>
    <w:p>
      <w:pPr>
        <w:ind w:right="1280"/>
        <w:spacing w:after="0" w:line="278" w:lineRule="auto"/>
        <w:rPr>
          <w:sz w:val="20"/>
          <w:szCs w:val="20"/>
          <w:color w:val="auto"/>
        </w:rPr>
      </w:pPr>
      <w:r>
        <w:rPr>
          <w:rFonts w:ascii="Arial" w:cs="Arial" w:eastAsia="Arial" w:hAnsi="Arial"/>
          <w:sz w:val="16"/>
          <w:szCs w:val="16"/>
          <w:color w:val="auto"/>
        </w:rPr>
        <w:t>The Board periodically reviews and approves the executive succession plan in consultation with the Compensation Committee and the Chief Executive Officer</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The Board has not adopted a “poison pill”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-1985645</wp:posOffset>
            </wp:positionH>
            <wp:positionV relativeFrom="paragraph">
              <wp:posOffset>70485</wp:posOffset>
            </wp:positionV>
            <wp:extent cx="5974715" cy="3086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974715" cy="308610"/>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All directors and executive officers are subject to robust stock ownership requirements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We prohibit our directors and employees from pledging Company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-1985645</wp:posOffset>
            </wp:positionH>
            <wp:positionV relativeFrom="paragraph">
              <wp:posOffset>70485</wp:posOffset>
            </wp:positionV>
            <wp:extent cx="5974715" cy="3168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974715" cy="316865"/>
                    </a:xfrm>
                    <a:prstGeom prst="rect">
                      <a:avLst/>
                    </a:prstGeom>
                    <a:noFill/>
                  </pic:spPr>
                </pic:pic>
              </a:graphicData>
            </a:graphic>
          </wp:anchor>
        </w:drawing>
      </w:r>
    </w:p>
    <w:p>
      <w:pPr>
        <w:spacing w:after="0" w:line="161" w:lineRule="exact"/>
        <w:rPr>
          <w:sz w:val="20"/>
          <w:szCs w:val="20"/>
          <w:color w:val="auto"/>
        </w:rPr>
      </w:pPr>
    </w:p>
    <w:p>
      <w:pPr>
        <w:ind w:right="1620"/>
        <w:spacing w:after="0" w:line="278" w:lineRule="auto"/>
        <w:rPr>
          <w:sz w:val="20"/>
          <w:szCs w:val="20"/>
          <w:color w:val="auto"/>
        </w:rPr>
      </w:pPr>
      <w:r>
        <w:rPr>
          <w:rFonts w:ascii="Arial" w:cs="Arial" w:eastAsia="Arial" w:hAnsi="Arial"/>
          <w:sz w:val="16"/>
          <w:szCs w:val="16"/>
          <w:color w:val="auto"/>
        </w:rPr>
        <w:t>Our stockholders have the right to call a special meeting of the Company’s stockholders</w:t>
      </w:r>
    </w:p>
    <w:p>
      <w:pPr>
        <w:spacing w:after="0" w:line="73" w:lineRule="exact"/>
        <w:rPr>
          <w:sz w:val="20"/>
          <w:szCs w:val="20"/>
          <w:color w:val="auto"/>
        </w:rPr>
      </w:pPr>
    </w:p>
    <w:p>
      <w:pPr>
        <w:ind w:right="880"/>
        <w:spacing w:after="0" w:line="278" w:lineRule="auto"/>
        <w:rPr>
          <w:sz w:val="20"/>
          <w:szCs w:val="20"/>
          <w:color w:val="auto"/>
        </w:rPr>
      </w:pPr>
      <w:r>
        <w:rPr>
          <w:rFonts w:ascii="Arial" w:cs="Arial" w:eastAsia="Arial" w:hAnsi="Arial"/>
          <w:sz w:val="16"/>
          <w:szCs w:val="16"/>
          <w:color w:val="auto"/>
        </w:rPr>
        <w:t>Eligible stockholders may nominate their own director nominees to be included in the Company’s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-1985645</wp:posOffset>
            </wp:positionH>
            <wp:positionV relativeFrom="paragraph">
              <wp:posOffset>2540</wp:posOffset>
            </wp:positionV>
            <wp:extent cx="5974715" cy="3175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974715" cy="317500"/>
                    </a:xfrm>
                    <a:prstGeom prst="rect">
                      <a:avLst/>
                    </a:prstGeom>
                    <a:noFill/>
                  </pic:spPr>
                </pic:pic>
              </a:graphicData>
            </a:graphic>
          </wp:anchor>
        </w:drawing>
      </w:r>
    </w:p>
    <w:p>
      <w:pPr>
        <w:spacing w:after="0" w:line="53" w:lineRule="exact"/>
        <w:rPr>
          <w:sz w:val="20"/>
          <w:szCs w:val="20"/>
          <w:color w:val="auto"/>
        </w:rPr>
      </w:pPr>
    </w:p>
    <w:p>
      <w:pPr>
        <w:ind w:right="980"/>
        <w:spacing w:after="0" w:line="278" w:lineRule="auto"/>
        <w:rPr>
          <w:sz w:val="20"/>
          <w:szCs w:val="20"/>
          <w:color w:val="auto"/>
        </w:rPr>
      </w:pPr>
      <w:r>
        <w:rPr>
          <w:rFonts w:ascii="Arial" w:cs="Arial" w:eastAsia="Arial" w:hAnsi="Arial"/>
          <w:sz w:val="16"/>
          <w:szCs w:val="16"/>
          <w:color w:val="auto"/>
        </w:rPr>
        <w:t>We regularly conduct outreach to our stockholders to understand their perspectives on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680085</wp:posOffset>
            </wp:positionH>
            <wp:positionV relativeFrom="paragraph">
              <wp:posOffset>1819910</wp:posOffset>
            </wp:positionV>
            <wp:extent cx="779780" cy="2571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9780" cy="2571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60" w:space="420"/>
            <w:col w:w="6940"/>
          </w:cols>
          <w:pgMar w:left="580" w:top="131" w:right="5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920" w:type="dxa"/>
            <w:vAlign w:val="bottom"/>
          </w:tcPr>
          <w:p>
            <w:pPr>
              <w:ind w:left="660"/>
              <w:spacing w:after="0"/>
              <w:rPr>
                <w:sz w:val="20"/>
                <w:szCs w:val="20"/>
                <w:color w:val="auto"/>
              </w:rPr>
            </w:pPr>
            <w:r>
              <w:rPr>
                <w:rFonts w:ascii="Arial" w:cs="Arial" w:eastAsia="Arial" w:hAnsi="Arial"/>
                <w:sz w:val="16"/>
                <w:szCs w:val="16"/>
                <w:color w:val="auto"/>
              </w:rPr>
              <w:t>Proxy Statement</w:t>
            </w:r>
          </w:p>
        </w:tc>
        <w:tc>
          <w:tcPr>
            <w:tcW w:w="4800" w:type="dxa"/>
            <w:vAlign w:val="bottom"/>
          </w:tcPr>
          <w:p>
            <w:pPr>
              <w:jc w:val="right"/>
              <w:ind w:right="579"/>
              <w:spacing w:after="0"/>
              <w:rPr>
                <w:sz w:val="20"/>
                <w:szCs w:val="20"/>
                <w:color w:val="auto"/>
              </w:rPr>
            </w:pPr>
            <w:r>
              <w:rPr>
                <w:rFonts w:ascii="Arial" w:cs="Arial" w:eastAsia="Arial" w:hAnsi="Arial"/>
                <w:sz w:val="16"/>
                <w:szCs w:val="16"/>
                <w:color w:val="auto"/>
              </w:rPr>
              <w:t>5</w:t>
            </w:r>
          </w:p>
        </w:tc>
      </w:tr>
      <w:tr>
        <w:trPr>
          <w:trHeight w:val="297"/>
        </w:trPr>
        <w:tc>
          <w:tcPr>
            <w:tcW w:w="5920" w:type="dxa"/>
            <w:vAlign w:val="bottom"/>
            <w:tcBorders>
              <w:bottom w:val="single" w:sz="8" w:color="9A9A9A"/>
            </w:tcBorders>
          </w:tcPr>
          <w:p>
            <w:pPr>
              <w:spacing w:after="0"/>
              <w:rPr>
                <w:sz w:val="24"/>
                <w:szCs w:val="24"/>
                <w:color w:val="auto"/>
              </w:rPr>
            </w:pPr>
          </w:p>
        </w:tc>
        <w:tc>
          <w:tcPr>
            <w:tcW w:w="4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type w:val="continuous"/>
        </w:sectPr>
      </w:pPr>
    </w:p>
    <w:bookmarkStart w:id="10" w:name="page11"/>
    <w:bookmarkEnd w:id="1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Arial" w:cs="Arial" w:eastAsia="Arial" w:hAnsi="Arial"/>
          <w:sz w:val="29"/>
          <w:szCs w:val="29"/>
          <w:b w:val="1"/>
          <w:bCs w:val="1"/>
          <w:color w:val="auto"/>
        </w:rPr>
        <w:t>Compensation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79375</wp:posOffset>
            </wp:positionV>
            <wp:extent cx="597471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974715"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660" w:right="40"/>
        <w:spacing w:after="0" w:line="271" w:lineRule="auto"/>
        <w:rPr>
          <w:sz w:val="20"/>
          <w:szCs w:val="20"/>
          <w:color w:val="auto"/>
        </w:rPr>
      </w:pPr>
      <w:r>
        <w:rPr>
          <w:rFonts w:ascii="Arial" w:cs="Arial" w:eastAsia="Arial" w:hAnsi="Arial"/>
          <w:sz w:val="19"/>
          <w:szCs w:val="19"/>
          <w:color w:val="191919"/>
        </w:rPr>
        <w:t>Under our pay-for-performance philosophy, we believe that executive compensation should be strongly aligned with the interests of our long-term stockholders. As a result, a substantial portion of each Named Executive Officer’s annual compensation is tied to Company performance and stock price performance. The charts below show the target total direct compensation mix for fiscal year 2021 for our Chief Executive Officer and the average for the other Named Executive Officers, in each case reflecting actual salary, target short-term incentive award, and the grant date fair value of long-term stock-based compensation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wp:posOffset>
            </wp:positionH>
            <wp:positionV relativeFrom="paragraph">
              <wp:posOffset>142240</wp:posOffset>
            </wp:positionV>
            <wp:extent cx="5949315" cy="27260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949315" cy="2726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60"/>
        <w:spacing w:after="0"/>
        <w:tabs>
          <w:tab w:leader="none" w:pos="4817" w:val="left"/>
        </w:tabs>
        <w:rPr>
          <w:sz w:val="20"/>
          <w:szCs w:val="20"/>
          <w:color w:val="auto"/>
        </w:rPr>
      </w:pPr>
      <w:r>
        <w:rPr>
          <w:rFonts w:ascii="Arial" w:cs="Arial" w:eastAsia="Arial" w:hAnsi="Arial"/>
          <w:sz w:val="16"/>
          <w:szCs w:val="16"/>
          <w:color w:val="auto"/>
        </w:rPr>
        <w:t>6</w:t>
      </w:r>
      <w:r>
        <w:rPr>
          <w:sz w:val="20"/>
          <w:szCs w:val="20"/>
          <w:color w:val="auto"/>
        </w:rPr>
        <w:tab/>
      </w:r>
      <w:r>
        <w:rPr>
          <w:sz w:val="1"/>
          <w:szCs w:val="1"/>
          <w:color w:val="auto"/>
        </w:rPr>
        <w:drawing>
          <wp:inline distT="0" distB="0" distL="0" distR="0">
            <wp:extent cx="779780" cy="257175"/>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116205</wp:posOffset>
            </wp:positionV>
            <wp:extent cx="68319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132" w:right="1259" w:bottom="1440" w:gutter="0" w:footer="0" w:header="0"/>
        </w:sectPr>
      </w:pPr>
    </w:p>
    <w:bookmarkStart w:id="11" w:name="page12"/>
    <w:bookmarkEnd w:id="1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Arial" w:cs="Arial" w:eastAsia="Arial" w:hAnsi="Arial"/>
          <w:sz w:val="29"/>
          <w:szCs w:val="29"/>
          <w:b w:val="1"/>
          <w:bCs w:val="1"/>
          <w:color w:val="auto"/>
        </w:rPr>
        <w:t>Stockholder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79375</wp:posOffset>
            </wp:positionV>
            <wp:extent cx="597471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974715"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660" w:right="740"/>
        <w:spacing w:after="0" w:line="255" w:lineRule="auto"/>
        <w:rPr>
          <w:sz w:val="20"/>
          <w:szCs w:val="20"/>
          <w:color w:val="auto"/>
        </w:rPr>
      </w:pPr>
      <w:r>
        <w:rPr>
          <w:rFonts w:ascii="Arial" w:cs="Arial" w:eastAsia="Arial" w:hAnsi="Arial"/>
          <w:sz w:val="20"/>
          <w:szCs w:val="20"/>
          <w:color w:val="191919"/>
        </w:rPr>
        <w:t>Responsiveness to the Company’s stockholders is a critical part of our commitment to good corporate governance. As noted in the list of best practices above, we regularly conduct outreach to our stockholders to understand their perspectives on governance matters. Most recently, we engaged in formal stockholder outreach following the 2021 Annual Meeting. We solicited feedback from more than thirty of our largest institutional stockholders representing approximately 51% of the Company’s shares outstanding, and held engagement meetings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577215</wp:posOffset>
            </wp:positionH>
            <wp:positionV relativeFrom="paragraph">
              <wp:posOffset>151130</wp:posOffset>
            </wp:positionV>
            <wp:extent cx="5648960" cy="15855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48960" cy="1585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660" w:right="740"/>
        <w:spacing w:after="0" w:line="254" w:lineRule="auto"/>
        <w:rPr>
          <w:sz w:val="20"/>
          <w:szCs w:val="20"/>
          <w:color w:val="auto"/>
        </w:rPr>
      </w:pPr>
      <w:r>
        <w:rPr>
          <w:rFonts w:ascii="Arial" w:cs="Arial" w:eastAsia="Arial" w:hAnsi="Arial"/>
          <w:sz w:val="20"/>
          <w:szCs w:val="20"/>
          <w:color w:val="191919"/>
        </w:rPr>
        <w:t>The primary topic of conversation in most engagement meetings was the Company’s executive compensation program. Many stockholders, while supporting the majority of the Company’s compensation policies, nonetheless suggested modifications to specific plan designs, including to the metrics, performance periods, and vesting periods under the Company’s long-term stock-based compensation program. After considering this input from our stockholders, as well as evaluating practices related to executive compensation by public companies generally, and our peer group specifically, our Compensation Committee committed to several key responsive changes to the Company’s compensation program. The following changes were adopted after the conclusion of the Company’s fiscal year 2021 and therefore generally apply beginning with the compensation program for the Company’s fiscal year ending September 30, 2022 (“fiscal year 2022”):</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60" w:type="dxa"/>
            <w:vAlign w:val="bottom"/>
          </w:tcPr>
          <w:p>
            <w:pPr>
              <w:spacing w:after="0"/>
              <w:rPr>
                <w:sz w:val="20"/>
                <w:szCs w:val="20"/>
                <w:color w:val="auto"/>
              </w:rPr>
            </w:pPr>
          </w:p>
        </w:tc>
        <w:tc>
          <w:tcPr>
            <w:tcW w:w="3400" w:type="dxa"/>
            <w:vAlign w:val="bottom"/>
            <w:shd w:val="clear" w:color="auto" w:fill="E5E5E5"/>
          </w:tcPr>
          <w:p>
            <w:pPr>
              <w:ind w:left="100"/>
              <w:spacing w:after="0"/>
              <w:rPr>
                <w:sz w:val="20"/>
                <w:szCs w:val="20"/>
                <w:color w:val="auto"/>
              </w:rPr>
            </w:pPr>
            <w:r>
              <w:rPr>
                <w:rFonts w:ascii="Arial" w:cs="Arial" w:eastAsia="Arial" w:hAnsi="Arial"/>
                <w:sz w:val="16"/>
                <w:szCs w:val="16"/>
                <w:b w:val="1"/>
                <w:bCs w:val="1"/>
                <w:color w:val="0076A8"/>
              </w:rPr>
              <w:t>November 2019 One-Time Awards</w:t>
            </w:r>
          </w:p>
        </w:tc>
        <w:tc>
          <w:tcPr>
            <w:tcW w:w="6000" w:type="dxa"/>
            <w:vAlign w:val="bottom"/>
            <w:shd w:val="clear" w:color="auto" w:fill="E5E5E5"/>
          </w:tcPr>
          <w:p>
            <w:pPr>
              <w:ind w:left="160"/>
              <w:spacing w:after="0"/>
              <w:rPr>
                <w:sz w:val="20"/>
                <w:szCs w:val="20"/>
                <w:color w:val="auto"/>
              </w:rPr>
            </w:pPr>
            <w:r>
              <w:rPr>
                <w:rFonts w:ascii="Arial" w:cs="Arial" w:eastAsia="Arial" w:hAnsi="Arial"/>
                <w:sz w:val="16"/>
                <w:szCs w:val="16"/>
                <w:color w:val="auto"/>
              </w:rPr>
              <w:t>No one-time awards granted to Named Executive Officers in 2020 or 2021 and</w:t>
            </w:r>
          </w:p>
        </w:tc>
        <w:tc>
          <w:tcPr>
            <w:tcW w:w="660" w:type="dxa"/>
            <w:vAlign w:val="bottom"/>
          </w:tcPr>
          <w:p>
            <w:pPr>
              <w:spacing w:after="0"/>
              <w:rPr>
                <w:sz w:val="20"/>
                <w:szCs w:val="20"/>
                <w:color w:val="auto"/>
              </w:rPr>
            </w:pPr>
          </w:p>
        </w:tc>
      </w:tr>
      <w:tr>
        <w:trPr>
          <w:trHeight w:val="215"/>
        </w:trPr>
        <w:tc>
          <w:tcPr>
            <w:tcW w:w="660" w:type="dxa"/>
            <w:vAlign w:val="bottom"/>
          </w:tcPr>
          <w:p>
            <w:pPr>
              <w:spacing w:after="0"/>
              <w:rPr>
                <w:sz w:val="18"/>
                <w:szCs w:val="18"/>
                <w:color w:val="auto"/>
              </w:rPr>
            </w:pPr>
          </w:p>
        </w:tc>
        <w:tc>
          <w:tcPr>
            <w:tcW w:w="3400" w:type="dxa"/>
            <w:vAlign w:val="bottom"/>
            <w:tcBorders>
              <w:bottom w:val="single" w:sz="8" w:color="E5E5E5"/>
            </w:tcBorders>
            <w:shd w:val="clear" w:color="auto" w:fill="E5E5E5"/>
          </w:tcPr>
          <w:p>
            <w:pPr>
              <w:spacing w:after="0"/>
              <w:rPr>
                <w:sz w:val="18"/>
                <w:szCs w:val="18"/>
                <w:color w:val="auto"/>
              </w:rPr>
            </w:pPr>
          </w:p>
        </w:tc>
        <w:tc>
          <w:tcPr>
            <w:tcW w:w="6000" w:type="dxa"/>
            <w:vAlign w:val="bottom"/>
            <w:tcBorders>
              <w:bottom w:val="single" w:sz="8" w:color="E5E5E5"/>
            </w:tcBorders>
            <w:shd w:val="clear" w:color="auto" w:fill="E5E5E5"/>
          </w:tcPr>
          <w:p>
            <w:pPr>
              <w:ind w:left="160"/>
              <w:spacing w:after="0"/>
              <w:rPr>
                <w:sz w:val="20"/>
                <w:szCs w:val="20"/>
                <w:color w:val="auto"/>
              </w:rPr>
            </w:pPr>
            <w:r>
              <w:rPr>
                <w:rFonts w:ascii="Arial" w:cs="Arial" w:eastAsia="Arial" w:hAnsi="Arial"/>
                <w:sz w:val="16"/>
                <w:szCs w:val="16"/>
                <w:color w:val="auto"/>
              </w:rPr>
              <w:t>no future one-time grants anticipated</w:t>
            </w:r>
          </w:p>
        </w:tc>
        <w:tc>
          <w:tcPr>
            <w:tcW w:w="660" w:type="dxa"/>
            <w:vAlign w:val="bottom"/>
          </w:tcPr>
          <w:p>
            <w:pPr>
              <w:spacing w:after="0"/>
              <w:rPr>
                <w:sz w:val="18"/>
                <w:szCs w:val="18"/>
                <w:color w:val="auto"/>
              </w:rPr>
            </w:pPr>
          </w:p>
        </w:tc>
      </w:tr>
      <w:tr>
        <w:trPr>
          <w:trHeight w:val="225"/>
        </w:trPr>
        <w:tc>
          <w:tcPr>
            <w:tcW w:w="660" w:type="dxa"/>
            <w:vAlign w:val="bottom"/>
          </w:tcPr>
          <w:p>
            <w:pPr>
              <w:spacing w:after="0"/>
              <w:rPr>
                <w:sz w:val="19"/>
                <w:szCs w:val="19"/>
                <w:color w:val="auto"/>
              </w:rPr>
            </w:pPr>
          </w:p>
        </w:tc>
        <w:tc>
          <w:tcPr>
            <w:tcW w:w="3400" w:type="dxa"/>
            <w:vAlign w:val="bottom"/>
          </w:tcPr>
          <w:p>
            <w:pPr>
              <w:ind w:left="100"/>
              <w:spacing w:after="0"/>
              <w:rPr>
                <w:sz w:val="20"/>
                <w:szCs w:val="20"/>
                <w:color w:val="auto"/>
              </w:rPr>
            </w:pPr>
            <w:r>
              <w:rPr>
                <w:rFonts w:ascii="Arial" w:cs="Arial" w:eastAsia="Arial" w:hAnsi="Arial"/>
                <w:sz w:val="16"/>
                <w:szCs w:val="16"/>
                <w:b w:val="1"/>
                <w:bCs w:val="1"/>
                <w:color w:val="0076A8"/>
              </w:rPr>
              <w:t>Long-Term Equity: FY 2022 Performance</w:t>
            </w:r>
          </w:p>
        </w:tc>
        <w:tc>
          <w:tcPr>
            <w:tcW w:w="6000" w:type="dxa"/>
            <w:vAlign w:val="bottom"/>
          </w:tcPr>
          <w:p>
            <w:pPr>
              <w:ind w:left="160"/>
              <w:spacing w:after="0"/>
              <w:rPr>
                <w:sz w:val="20"/>
                <w:szCs w:val="20"/>
                <w:color w:val="auto"/>
              </w:rPr>
            </w:pPr>
            <w:r>
              <w:rPr>
                <w:rFonts w:ascii="Arial" w:cs="Arial" w:eastAsia="Arial" w:hAnsi="Arial"/>
                <w:sz w:val="16"/>
                <w:szCs w:val="16"/>
                <w:color w:val="auto"/>
              </w:rPr>
              <w:t>Transitioned from design win metric (non-disclosable) to relative EBITDA</w:t>
            </w:r>
          </w:p>
        </w:tc>
        <w:tc>
          <w:tcPr>
            <w:tcW w:w="660" w:type="dxa"/>
            <w:vAlign w:val="bottom"/>
          </w:tcPr>
          <w:p>
            <w:pPr>
              <w:spacing w:after="0"/>
              <w:rPr>
                <w:sz w:val="19"/>
                <w:szCs w:val="19"/>
                <w:color w:val="auto"/>
              </w:rPr>
            </w:pPr>
          </w:p>
        </w:tc>
      </w:tr>
      <w:tr>
        <w:trPr>
          <w:trHeight w:val="215"/>
        </w:trPr>
        <w:tc>
          <w:tcPr>
            <w:tcW w:w="660" w:type="dxa"/>
            <w:vAlign w:val="bottom"/>
          </w:tcPr>
          <w:p>
            <w:pPr>
              <w:spacing w:after="0"/>
              <w:rPr>
                <w:sz w:val="18"/>
                <w:szCs w:val="18"/>
                <w:color w:val="auto"/>
              </w:rPr>
            </w:pPr>
          </w:p>
        </w:tc>
        <w:tc>
          <w:tcPr>
            <w:tcW w:w="3400" w:type="dxa"/>
            <w:vAlign w:val="bottom"/>
          </w:tcPr>
          <w:p>
            <w:pPr>
              <w:ind w:left="100"/>
              <w:spacing w:after="0"/>
              <w:rPr>
                <w:sz w:val="20"/>
                <w:szCs w:val="20"/>
                <w:color w:val="auto"/>
              </w:rPr>
            </w:pPr>
            <w:r>
              <w:rPr>
                <w:rFonts w:ascii="Arial" w:cs="Arial" w:eastAsia="Arial" w:hAnsi="Arial"/>
                <w:sz w:val="16"/>
                <w:szCs w:val="16"/>
                <w:b w:val="1"/>
                <w:bCs w:val="1"/>
                <w:color w:val="0076A8"/>
              </w:rPr>
              <w:t>Share Award Design</w:t>
            </w:r>
          </w:p>
        </w:tc>
        <w:tc>
          <w:tcPr>
            <w:tcW w:w="6000" w:type="dxa"/>
            <w:vAlign w:val="bottom"/>
          </w:tcPr>
          <w:p>
            <w:pPr>
              <w:ind w:left="160"/>
              <w:spacing w:after="0"/>
              <w:rPr>
                <w:sz w:val="20"/>
                <w:szCs w:val="20"/>
                <w:color w:val="auto"/>
              </w:rPr>
            </w:pPr>
            <w:r>
              <w:rPr>
                <w:rFonts w:ascii="Arial" w:cs="Arial" w:eastAsia="Arial" w:hAnsi="Arial"/>
                <w:sz w:val="16"/>
                <w:szCs w:val="16"/>
                <w:color w:val="auto"/>
              </w:rPr>
              <w:t>margin metric (disclosable)</w:t>
            </w:r>
          </w:p>
        </w:tc>
        <w:tc>
          <w:tcPr>
            <w:tcW w:w="660" w:type="dxa"/>
            <w:vAlign w:val="bottom"/>
          </w:tcPr>
          <w:p>
            <w:pPr>
              <w:spacing w:after="0"/>
              <w:rPr>
                <w:sz w:val="18"/>
                <w:szCs w:val="18"/>
                <w:color w:val="auto"/>
              </w:rPr>
            </w:pPr>
          </w:p>
        </w:tc>
      </w:tr>
      <w:tr>
        <w:trPr>
          <w:trHeight w:val="283"/>
        </w:trPr>
        <w:tc>
          <w:tcPr>
            <w:tcW w:w="6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6000" w:type="dxa"/>
            <w:vAlign w:val="bottom"/>
          </w:tcPr>
          <w:p>
            <w:pPr>
              <w:ind w:left="160"/>
              <w:spacing w:after="0"/>
              <w:rPr>
                <w:sz w:val="20"/>
                <w:szCs w:val="20"/>
                <w:color w:val="auto"/>
              </w:rPr>
            </w:pPr>
            <w:r>
              <w:rPr>
                <w:rFonts w:ascii="Arial" w:cs="Arial" w:eastAsia="Arial" w:hAnsi="Arial"/>
                <w:sz w:val="16"/>
                <w:szCs w:val="16"/>
                <w:color w:val="auto"/>
              </w:rPr>
              <w:t>Extended performance period to two years for relative EBITDA margin metric</w:t>
            </w:r>
          </w:p>
        </w:tc>
        <w:tc>
          <w:tcPr>
            <w:tcW w:w="660" w:type="dxa"/>
            <w:vAlign w:val="bottom"/>
          </w:tcPr>
          <w:p>
            <w:pPr>
              <w:spacing w:after="0"/>
              <w:rPr>
                <w:sz w:val="24"/>
                <w:szCs w:val="24"/>
                <w:color w:val="auto"/>
              </w:rPr>
            </w:pPr>
          </w:p>
        </w:tc>
      </w:tr>
      <w:tr>
        <w:trPr>
          <w:trHeight w:val="270"/>
        </w:trPr>
        <w:tc>
          <w:tcPr>
            <w:tcW w:w="660" w:type="dxa"/>
            <w:vAlign w:val="bottom"/>
          </w:tcPr>
          <w:p>
            <w:pPr>
              <w:spacing w:after="0"/>
              <w:rPr>
                <w:sz w:val="23"/>
                <w:szCs w:val="23"/>
                <w:color w:val="auto"/>
              </w:rPr>
            </w:pPr>
          </w:p>
        </w:tc>
        <w:tc>
          <w:tcPr>
            <w:tcW w:w="3400" w:type="dxa"/>
            <w:vAlign w:val="bottom"/>
          </w:tcPr>
          <w:p>
            <w:pPr>
              <w:spacing w:after="0"/>
              <w:rPr>
                <w:sz w:val="23"/>
                <w:szCs w:val="23"/>
                <w:color w:val="auto"/>
              </w:rPr>
            </w:pPr>
          </w:p>
        </w:tc>
        <w:tc>
          <w:tcPr>
            <w:tcW w:w="6000" w:type="dxa"/>
            <w:vAlign w:val="bottom"/>
          </w:tcPr>
          <w:p>
            <w:pPr>
              <w:ind w:left="160"/>
              <w:spacing w:after="0"/>
              <w:rPr>
                <w:sz w:val="20"/>
                <w:szCs w:val="20"/>
                <w:color w:val="auto"/>
              </w:rPr>
            </w:pPr>
            <w:r>
              <w:rPr>
                <w:rFonts w:ascii="Arial" w:cs="Arial" w:eastAsia="Arial" w:hAnsi="Arial"/>
                <w:sz w:val="16"/>
                <w:szCs w:val="16"/>
                <w:color w:val="auto"/>
              </w:rPr>
              <w:t>Extended vesting period to two years for one-year emerging revenue growth</w:t>
            </w:r>
          </w:p>
        </w:tc>
        <w:tc>
          <w:tcPr>
            <w:tcW w:w="660" w:type="dxa"/>
            <w:vAlign w:val="bottom"/>
          </w:tcPr>
          <w:p>
            <w:pPr>
              <w:spacing w:after="0"/>
              <w:rPr>
                <w:sz w:val="23"/>
                <w:szCs w:val="23"/>
                <w:color w:val="auto"/>
              </w:rPr>
            </w:pPr>
          </w:p>
        </w:tc>
      </w:tr>
      <w:tr>
        <w:trPr>
          <w:trHeight w:val="203"/>
        </w:trPr>
        <w:tc>
          <w:tcPr>
            <w:tcW w:w="66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6000" w:type="dxa"/>
            <w:vAlign w:val="bottom"/>
          </w:tcPr>
          <w:p>
            <w:pPr>
              <w:ind w:left="160"/>
              <w:spacing w:after="0"/>
              <w:rPr>
                <w:sz w:val="20"/>
                <w:szCs w:val="20"/>
                <w:color w:val="auto"/>
              </w:rPr>
            </w:pPr>
            <w:r>
              <w:rPr>
                <w:rFonts w:ascii="Arial" w:cs="Arial" w:eastAsia="Arial" w:hAnsi="Arial"/>
                <w:sz w:val="16"/>
                <w:szCs w:val="16"/>
                <w:color w:val="auto"/>
              </w:rPr>
              <w:t>metric</w:t>
            </w:r>
          </w:p>
        </w:tc>
        <w:tc>
          <w:tcPr>
            <w:tcW w:w="660" w:type="dxa"/>
            <w:vAlign w:val="bottom"/>
          </w:tcPr>
          <w:p>
            <w:pPr>
              <w:spacing w:after="0"/>
              <w:rPr>
                <w:sz w:val="17"/>
                <w:szCs w:val="17"/>
                <w:color w:val="auto"/>
              </w:rPr>
            </w:pPr>
          </w:p>
        </w:tc>
      </w:tr>
      <w:tr>
        <w:trPr>
          <w:trHeight w:val="270"/>
        </w:trPr>
        <w:tc>
          <w:tcPr>
            <w:tcW w:w="660" w:type="dxa"/>
            <w:vAlign w:val="bottom"/>
          </w:tcPr>
          <w:p>
            <w:pPr>
              <w:spacing w:after="0"/>
              <w:rPr>
                <w:sz w:val="23"/>
                <w:szCs w:val="23"/>
                <w:color w:val="auto"/>
              </w:rPr>
            </w:pPr>
          </w:p>
        </w:tc>
        <w:tc>
          <w:tcPr>
            <w:tcW w:w="3400" w:type="dxa"/>
            <w:vAlign w:val="bottom"/>
          </w:tcPr>
          <w:p>
            <w:pPr>
              <w:spacing w:after="0"/>
              <w:rPr>
                <w:sz w:val="23"/>
                <w:szCs w:val="23"/>
                <w:color w:val="auto"/>
              </w:rPr>
            </w:pPr>
          </w:p>
        </w:tc>
        <w:tc>
          <w:tcPr>
            <w:tcW w:w="6000" w:type="dxa"/>
            <w:vAlign w:val="bottom"/>
          </w:tcPr>
          <w:p>
            <w:pPr>
              <w:ind w:left="160"/>
              <w:spacing w:after="0"/>
              <w:rPr>
                <w:sz w:val="20"/>
                <w:szCs w:val="20"/>
                <w:color w:val="auto"/>
              </w:rPr>
            </w:pPr>
            <w:r>
              <w:rPr>
                <w:rFonts w:ascii="Arial" w:cs="Arial" w:eastAsia="Arial" w:hAnsi="Arial"/>
                <w:sz w:val="16"/>
                <w:szCs w:val="16"/>
                <w:color w:val="auto"/>
              </w:rPr>
              <w:t>Set target performance at 55th percentile of peer group for both relative</w:t>
            </w:r>
          </w:p>
        </w:tc>
        <w:tc>
          <w:tcPr>
            <w:tcW w:w="660" w:type="dxa"/>
            <w:vAlign w:val="bottom"/>
          </w:tcPr>
          <w:p>
            <w:pPr>
              <w:spacing w:after="0"/>
              <w:rPr>
                <w:sz w:val="23"/>
                <w:szCs w:val="23"/>
                <w:color w:val="auto"/>
              </w:rPr>
            </w:pPr>
          </w:p>
        </w:tc>
      </w:tr>
      <w:tr>
        <w:trPr>
          <w:trHeight w:val="203"/>
        </w:trPr>
        <w:tc>
          <w:tcPr>
            <w:tcW w:w="66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6000" w:type="dxa"/>
            <w:vAlign w:val="bottom"/>
          </w:tcPr>
          <w:p>
            <w:pPr>
              <w:ind w:left="160"/>
              <w:spacing w:after="0"/>
              <w:rPr>
                <w:sz w:val="20"/>
                <w:szCs w:val="20"/>
                <w:color w:val="auto"/>
              </w:rPr>
            </w:pPr>
            <w:r>
              <w:rPr>
                <w:rFonts w:ascii="Arial" w:cs="Arial" w:eastAsia="Arial" w:hAnsi="Arial"/>
                <w:sz w:val="16"/>
                <w:szCs w:val="16"/>
                <w:color w:val="auto"/>
              </w:rPr>
              <w:t>EBITDA margin and TSR metrics</w:t>
            </w:r>
          </w:p>
        </w:tc>
        <w:tc>
          <w:tcPr>
            <w:tcW w:w="660" w:type="dxa"/>
            <w:vAlign w:val="bottom"/>
          </w:tcPr>
          <w:p>
            <w:pPr>
              <w:spacing w:after="0"/>
              <w:rPr>
                <w:sz w:val="17"/>
                <w:szCs w:val="17"/>
                <w:color w:val="auto"/>
              </w:rPr>
            </w:pPr>
          </w:p>
        </w:tc>
      </w:tr>
      <w:tr>
        <w:trPr>
          <w:trHeight w:val="74"/>
        </w:trPr>
        <w:tc>
          <w:tcPr>
            <w:tcW w:w="660" w:type="dxa"/>
            <w:vAlign w:val="bottom"/>
          </w:tcPr>
          <w:p>
            <w:pPr>
              <w:spacing w:after="0"/>
              <w:rPr>
                <w:sz w:val="6"/>
                <w:szCs w:val="6"/>
                <w:color w:val="auto"/>
              </w:rPr>
            </w:pPr>
          </w:p>
        </w:tc>
        <w:tc>
          <w:tcPr>
            <w:tcW w:w="3400" w:type="dxa"/>
            <w:vAlign w:val="bottom"/>
          </w:tcPr>
          <w:p>
            <w:pPr>
              <w:spacing w:after="0"/>
              <w:rPr>
                <w:sz w:val="6"/>
                <w:szCs w:val="6"/>
                <w:color w:val="auto"/>
              </w:rPr>
            </w:pPr>
          </w:p>
        </w:tc>
        <w:tc>
          <w:tcPr>
            <w:tcW w:w="6000" w:type="dxa"/>
            <w:vAlign w:val="bottom"/>
          </w:tcPr>
          <w:p>
            <w:pPr>
              <w:spacing w:after="0"/>
              <w:rPr>
                <w:sz w:val="6"/>
                <w:szCs w:val="6"/>
                <w:color w:val="auto"/>
              </w:rPr>
            </w:pPr>
          </w:p>
        </w:tc>
        <w:tc>
          <w:tcPr>
            <w:tcW w:w="660" w:type="dxa"/>
            <w:vAlign w:val="bottom"/>
          </w:tcPr>
          <w:p>
            <w:pPr>
              <w:spacing w:after="0"/>
              <w:rPr>
                <w:sz w:val="6"/>
                <w:szCs w:val="6"/>
                <w:color w:val="auto"/>
              </w:rPr>
            </w:pPr>
          </w:p>
        </w:tc>
      </w:tr>
      <w:tr>
        <w:trPr>
          <w:trHeight w:val="237"/>
        </w:trPr>
        <w:tc>
          <w:tcPr>
            <w:tcW w:w="660" w:type="dxa"/>
            <w:vAlign w:val="bottom"/>
          </w:tcPr>
          <w:p>
            <w:pPr>
              <w:spacing w:after="0"/>
              <w:rPr>
                <w:sz w:val="20"/>
                <w:szCs w:val="20"/>
                <w:color w:val="auto"/>
              </w:rPr>
            </w:pPr>
          </w:p>
        </w:tc>
        <w:tc>
          <w:tcPr>
            <w:tcW w:w="3400" w:type="dxa"/>
            <w:vAlign w:val="bottom"/>
            <w:shd w:val="clear" w:color="auto" w:fill="E5E5E5"/>
          </w:tcPr>
          <w:p>
            <w:pPr>
              <w:ind w:left="100"/>
              <w:spacing w:after="0"/>
              <w:rPr>
                <w:sz w:val="20"/>
                <w:szCs w:val="20"/>
                <w:color w:val="auto"/>
              </w:rPr>
            </w:pPr>
            <w:r>
              <w:rPr>
                <w:rFonts w:ascii="Arial" w:cs="Arial" w:eastAsia="Arial" w:hAnsi="Arial"/>
                <w:sz w:val="16"/>
                <w:szCs w:val="16"/>
                <w:b w:val="1"/>
                <w:bCs w:val="1"/>
                <w:color w:val="0076A8"/>
              </w:rPr>
              <w:t>Compensation Peer Group</w:t>
            </w:r>
          </w:p>
        </w:tc>
        <w:tc>
          <w:tcPr>
            <w:tcW w:w="6000" w:type="dxa"/>
            <w:vAlign w:val="bottom"/>
            <w:shd w:val="clear" w:color="auto" w:fill="E5E5E5"/>
          </w:tcPr>
          <w:p>
            <w:pPr>
              <w:ind w:left="160"/>
              <w:spacing w:after="0"/>
              <w:rPr>
                <w:sz w:val="20"/>
                <w:szCs w:val="20"/>
                <w:color w:val="auto"/>
              </w:rPr>
            </w:pPr>
            <w:r>
              <w:rPr>
                <w:rFonts w:ascii="Arial" w:cs="Arial" w:eastAsia="Arial" w:hAnsi="Arial"/>
                <w:sz w:val="16"/>
                <w:szCs w:val="16"/>
                <w:color w:val="auto"/>
              </w:rPr>
              <w:t>Adjusted peer group to remove certain large comparator companies and</w:t>
            </w:r>
          </w:p>
        </w:tc>
        <w:tc>
          <w:tcPr>
            <w:tcW w:w="660" w:type="dxa"/>
            <w:vAlign w:val="bottom"/>
          </w:tcPr>
          <w:p>
            <w:pPr>
              <w:spacing w:after="0"/>
              <w:rPr>
                <w:sz w:val="20"/>
                <w:szCs w:val="20"/>
                <w:color w:val="auto"/>
              </w:rPr>
            </w:pPr>
          </w:p>
        </w:tc>
      </w:tr>
      <w:tr>
        <w:trPr>
          <w:trHeight w:val="216"/>
        </w:trPr>
        <w:tc>
          <w:tcPr>
            <w:tcW w:w="660" w:type="dxa"/>
            <w:vAlign w:val="bottom"/>
          </w:tcPr>
          <w:p>
            <w:pPr>
              <w:spacing w:after="0"/>
              <w:rPr>
                <w:sz w:val="18"/>
                <w:szCs w:val="18"/>
                <w:color w:val="auto"/>
              </w:rPr>
            </w:pPr>
          </w:p>
        </w:tc>
        <w:tc>
          <w:tcPr>
            <w:tcW w:w="3400" w:type="dxa"/>
            <w:vAlign w:val="bottom"/>
            <w:tcBorders>
              <w:bottom w:val="single" w:sz="8" w:color="E5E5E5"/>
            </w:tcBorders>
            <w:shd w:val="clear" w:color="auto" w:fill="E5E5E5"/>
          </w:tcPr>
          <w:p>
            <w:pPr>
              <w:spacing w:after="0"/>
              <w:rPr>
                <w:sz w:val="18"/>
                <w:szCs w:val="18"/>
                <w:color w:val="auto"/>
              </w:rPr>
            </w:pPr>
          </w:p>
        </w:tc>
        <w:tc>
          <w:tcPr>
            <w:tcW w:w="6000" w:type="dxa"/>
            <w:vAlign w:val="bottom"/>
            <w:tcBorders>
              <w:bottom w:val="single" w:sz="8" w:color="E5E5E5"/>
            </w:tcBorders>
            <w:shd w:val="clear" w:color="auto" w:fill="E5E5E5"/>
          </w:tcPr>
          <w:p>
            <w:pPr>
              <w:ind w:left="160"/>
              <w:spacing w:after="0"/>
              <w:rPr>
                <w:sz w:val="20"/>
                <w:szCs w:val="20"/>
                <w:color w:val="auto"/>
              </w:rPr>
            </w:pPr>
            <w:r>
              <w:rPr>
                <w:rFonts w:ascii="Arial" w:cs="Arial" w:eastAsia="Arial" w:hAnsi="Arial"/>
                <w:sz w:val="16"/>
                <w:szCs w:val="16"/>
                <w:color w:val="auto"/>
              </w:rPr>
              <w:t>improve comparability</w:t>
            </w:r>
          </w:p>
        </w:tc>
        <w:tc>
          <w:tcPr>
            <w:tcW w:w="660" w:type="dxa"/>
            <w:vAlign w:val="bottom"/>
          </w:tcPr>
          <w:p>
            <w:pPr>
              <w:spacing w:after="0"/>
              <w:rPr>
                <w:sz w:val="18"/>
                <w:szCs w:val="18"/>
                <w:color w:val="auto"/>
              </w:rPr>
            </w:pPr>
          </w:p>
        </w:tc>
      </w:tr>
      <w:tr>
        <w:trPr>
          <w:trHeight w:val="237"/>
        </w:trPr>
        <w:tc>
          <w:tcPr>
            <w:tcW w:w="660" w:type="dxa"/>
            <w:vAlign w:val="bottom"/>
          </w:tcPr>
          <w:p>
            <w:pPr>
              <w:spacing w:after="0"/>
              <w:rPr>
                <w:sz w:val="20"/>
                <w:szCs w:val="20"/>
                <w:color w:val="auto"/>
              </w:rPr>
            </w:pPr>
          </w:p>
        </w:tc>
        <w:tc>
          <w:tcPr>
            <w:tcW w:w="3400" w:type="dxa"/>
            <w:vAlign w:val="bottom"/>
          </w:tcPr>
          <w:p>
            <w:pPr>
              <w:ind w:left="100"/>
              <w:spacing w:after="0"/>
              <w:rPr>
                <w:sz w:val="20"/>
                <w:szCs w:val="20"/>
                <w:color w:val="auto"/>
              </w:rPr>
            </w:pPr>
            <w:r>
              <w:rPr>
                <w:rFonts w:ascii="Arial" w:cs="Arial" w:eastAsia="Arial" w:hAnsi="Arial"/>
                <w:sz w:val="16"/>
                <w:szCs w:val="16"/>
                <w:b w:val="1"/>
                <w:bCs w:val="1"/>
                <w:color w:val="0076A8"/>
              </w:rPr>
              <w:t>Clawback Policy</w:t>
            </w:r>
          </w:p>
        </w:tc>
        <w:tc>
          <w:tcPr>
            <w:tcW w:w="6000" w:type="dxa"/>
            <w:vAlign w:val="bottom"/>
          </w:tcPr>
          <w:p>
            <w:pPr>
              <w:ind w:left="160"/>
              <w:spacing w:after="0"/>
              <w:rPr>
                <w:sz w:val="20"/>
                <w:szCs w:val="20"/>
                <w:color w:val="auto"/>
              </w:rPr>
            </w:pPr>
            <w:r>
              <w:rPr>
                <w:rFonts w:ascii="Arial" w:cs="Arial" w:eastAsia="Arial" w:hAnsi="Arial"/>
                <w:sz w:val="16"/>
                <w:szCs w:val="16"/>
                <w:color w:val="auto"/>
              </w:rPr>
              <w:t>Adopted a clawback policy that provides for recovery of incentive compensation</w:t>
            </w:r>
          </w:p>
        </w:tc>
        <w:tc>
          <w:tcPr>
            <w:tcW w:w="660" w:type="dxa"/>
            <w:vAlign w:val="bottom"/>
          </w:tcPr>
          <w:p>
            <w:pPr>
              <w:spacing w:after="0"/>
              <w:rPr>
                <w:sz w:val="20"/>
                <w:szCs w:val="20"/>
                <w:color w:val="auto"/>
              </w:rPr>
            </w:pPr>
          </w:p>
        </w:tc>
      </w:tr>
      <w:tr>
        <w:trPr>
          <w:trHeight w:val="203"/>
        </w:trPr>
        <w:tc>
          <w:tcPr>
            <w:tcW w:w="66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6000" w:type="dxa"/>
            <w:vAlign w:val="bottom"/>
          </w:tcPr>
          <w:p>
            <w:pPr>
              <w:ind w:left="160"/>
              <w:spacing w:after="0"/>
              <w:rPr>
                <w:sz w:val="20"/>
                <w:szCs w:val="20"/>
                <w:color w:val="auto"/>
              </w:rPr>
            </w:pPr>
            <w:r>
              <w:rPr>
                <w:rFonts w:ascii="Arial" w:cs="Arial" w:eastAsia="Arial" w:hAnsi="Arial"/>
                <w:sz w:val="16"/>
                <w:szCs w:val="16"/>
                <w:color w:val="auto"/>
              </w:rPr>
              <w:t>from executive officers in the event of a financial restatement</w:t>
            </w:r>
          </w:p>
        </w:tc>
        <w:tc>
          <w:tcPr>
            <w:tcW w:w="660" w:type="dxa"/>
            <w:vAlign w:val="bottom"/>
          </w:tcPr>
          <w:p>
            <w:pPr>
              <w:spacing w:after="0"/>
              <w:rPr>
                <w:sz w:val="17"/>
                <w:szCs w:val="17"/>
                <w:color w:val="auto"/>
              </w:rPr>
            </w:pPr>
          </w:p>
        </w:tc>
      </w:tr>
      <w:tr>
        <w:trPr>
          <w:trHeight w:val="878"/>
        </w:trPr>
        <w:tc>
          <w:tcPr>
            <w:tcW w:w="660" w:type="dxa"/>
            <w:vAlign w:val="bottom"/>
          </w:tcPr>
          <w:p>
            <w:pPr>
              <w:spacing w:after="0"/>
              <w:rPr>
                <w:sz w:val="24"/>
                <w:szCs w:val="24"/>
                <w:color w:val="auto"/>
              </w:rPr>
            </w:pPr>
          </w:p>
        </w:tc>
        <w:tc>
          <w:tcPr>
            <w:tcW w:w="3400" w:type="dxa"/>
            <w:vAlign w:val="bottom"/>
          </w:tcPr>
          <w:p>
            <w:pPr>
              <w:spacing w:after="0"/>
              <w:rPr>
                <w:sz w:val="20"/>
                <w:szCs w:val="20"/>
                <w:color w:val="auto"/>
              </w:rPr>
            </w:pPr>
            <w:r>
              <w:rPr>
                <w:rFonts w:ascii="Arial" w:cs="Arial" w:eastAsia="Arial" w:hAnsi="Arial"/>
                <w:sz w:val="16"/>
                <w:szCs w:val="16"/>
                <w:color w:val="auto"/>
              </w:rPr>
              <w:t>Proxy Statement</w:t>
            </w:r>
          </w:p>
        </w:tc>
        <w:tc>
          <w:tcPr>
            <w:tcW w:w="6000" w:type="dxa"/>
            <w:vAlign w:val="bottom"/>
          </w:tcPr>
          <w:p>
            <w:pPr>
              <w:ind w:left="5900"/>
              <w:spacing w:after="0"/>
              <w:rPr>
                <w:sz w:val="20"/>
                <w:szCs w:val="20"/>
                <w:color w:val="auto"/>
              </w:rPr>
            </w:pPr>
            <w:r>
              <w:rPr>
                <w:rFonts w:ascii="Arial" w:cs="Arial" w:eastAsia="Arial" w:hAnsi="Arial"/>
                <w:sz w:val="16"/>
                <w:szCs w:val="16"/>
                <w:color w:val="auto"/>
                <w:w w:val="89"/>
              </w:rPr>
              <w:t>7</w:t>
            </w:r>
          </w:p>
        </w:tc>
        <w:tc>
          <w:tcPr>
            <w:tcW w:w="660" w:type="dxa"/>
            <w:vAlign w:val="bottom"/>
          </w:tcPr>
          <w:p>
            <w:pPr>
              <w:spacing w:after="0"/>
              <w:rPr>
                <w:sz w:val="24"/>
                <w:szCs w:val="24"/>
                <w:color w:val="auto"/>
              </w:rPr>
            </w:pPr>
          </w:p>
        </w:tc>
      </w:tr>
      <w:tr>
        <w:trPr>
          <w:trHeight w:val="310"/>
        </w:trPr>
        <w:tc>
          <w:tcPr>
            <w:tcW w:w="660" w:type="dxa"/>
            <w:vAlign w:val="bottom"/>
            <w:tcBorders>
              <w:bottom w:val="single" w:sz="8" w:color="9A9A9A"/>
            </w:tcBorders>
          </w:tcPr>
          <w:p>
            <w:pPr>
              <w:spacing w:after="0"/>
              <w:rPr>
                <w:sz w:val="24"/>
                <w:szCs w:val="24"/>
                <w:color w:val="auto"/>
              </w:rPr>
            </w:pPr>
          </w:p>
        </w:tc>
        <w:tc>
          <w:tcPr>
            <w:tcW w:w="3400" w:type="dxa"/>
            <w:vAlign w:val="bottom"/>
            <w:tcBorders>
              <w:bottom w:val="single" w:sz="8" w:color="9A9A9A"/>
            </w:tcBorders>
          </w:tcPr>
          <w:p>
            <w:pPr>
              <w:spacing w:after="0"/>
              <w:rPr>
                <w:sz w:val="24"/>
                <w:szCs w:val="24"/>
                <w:color w:val="auto"/>
              </w:rPr>
            </w:pPr>
          </w:p>
        </w:tc>
        <w:tc>
          <w:tcPr>
            <w:tcW w:w="60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3080385</wp:posOffset>
            </wp:positionH>
            <wp:positionV relativeFrom="paragraph">
              <wp:posOffset>-402590</wp:posOffset>
            </wp:positionV>
            <wp:extent cx="779780" cy="2571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9780" cy="25717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12" w:name="page13"/>
    <w:bookmarkEnd w:id="1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57150</wp:posOffset>
            </wp:positionV>
            <wp:extent cx="6480810" cy="4114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480810" cy="411480"/>
                    </a:xfrm>
                    <a:prstGeom prst="rect">
                      <a:avLst/>
                    </a:prstGeom>
                    <a:noFill/>
                  </pic:spPr>
                </pic:pic>
              </a:graphicData>
            </a:graphic>
          </wp:anchor>
        </w:drawing>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25"/>
          <w:szCs w:val="25"/>
          <w:b w:val="1"/>
          <w:bCs w:val="1"/>
          <w:color w:val="FFFFFF"/>
        </w:rPr>
        <w:t>PROPOSAL 1:</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right"/>
        <w:ind w:right="5240"/>
        <w:spacing w:after="0"/>
        <w:rPr>
          <w:sz w:val="20"/>
          <w:szCs w:val="20"/>
          <w:color w:val="auto"/>
        </w:rPr>
      </w:pPr>
      <w:r>
        <w:rPr>
          <w:rFonts w:ascii="Arial" w:cs="Arial" w:eastAsia="Arial" w:hAnsi="Arial"/>
          <w:sz w:val="32"/>
          <w:szCs w:val="32"/>
          <w:b w:val="1"/>
          <w:bCs w:val="1"/>
          <w:color w:val="0076A8"/>
        </w:rPr>
        <w:t>ELECTION OF DIRECTORS</w:t>
      </w:r>
    </w:p>
    <w:p>
      <w:pPr>
        <w:sectPr>
          <w:pgSz w:w="11900" w:h="16838" w:orient="portrait"/>
          <w:cols w:equalWidth="0" w:num="1">
            <w:col w:w="10060"/>
          </w:cols>
          <w:pgMar w:left="580" w:top="132" w:right="1259" w:bottom="1440" w:gutter="0" w:footer="0" w:header="0"/>
        </w:sectPr>
      </w:pPr>
    </w:p>
    <w:p>
      <w:pPr>
        <w:spacing w:after="0" w:line="299" w:lineRule="exact"/>
        <w:rPr>
          <w:sz w:val="20"/>
          <w:szCs w:val="20"/>
          <w:color w:val="auto"/>
        </w:rPr>
      </w:pPr>
    </w:p>
    <w:p>
      <w:pPr>
        <w:ind w:left="660"/>
        <w:spacing w:after="0" w:line="253" w:lineRule="auto"/>
        <w:rPr>
          <w:sz w:val="20"/>
          <w:szCs w:val="20"/>
          <w:color w:val="auto"/>
        </w:rPr>
      </w:pPr>
      <w:r>
        <w:rPr>
          <w:rFonts w:ascii="Arial" w:cs="Arial" w:eastAsia="Arial" w:hAnsi="Arial"/>
          <w:sz w:val="20"/>
          <w:szCs w:val="20"/>
          <w:color w:val="191919"/>
        </w:rPr>
        <w:t>Under this Proposal 1, you are being asked to consider eight nominees for election to our Board of Directors to serve until the 2023 Annual Meeting of Stockholders and until their successors are elected and qualified or until their earlier resignation or removal. Each nominee for election has agreed to serve if elected, and the Board knows of no reason why any nominee should be unable or unwilling to serve. If a nominee is unable or unwilling to serve, the attorneys-in-fact named in this Proxy Statement will vote any shares represented at the meeting by proxy for the election of another individual nominated by the Board, if any. No nominee or executive officer is related by blood, marriage, or adoption to any other director, nominee, or executive officer. No arrangements or understandings exist between any director or person nominated for election as a director and any other person pursuant to which such person is to be selected as a director or nominee for election as a director.</w:t>
      </w:r>
    </w:p>
    <w:p>
      <w:pPr>
        <w:spacing w:after="0" w:line="20" w:lineRule="exact"/>
        <w:rPr>
          <w:sz w:val="20"/>
          <w:szCs w:val="20"/>
          <w:color w:val="auto"/>
        </w:rPr>
      </w:pPr>
      <w:r>
        <w:rPr>
          <w:sz w:val="20"/>
          <w:szCs w:val="20"/>
          <w:color w:val="auto"/>
        </w:rPr>
        <w:br w:type="column"/>
      </w:r>
    </w:p>
    <w:p>
      <w:pPr>
        <w:spacing w:after="0" w:line="279" w:lineRule="exact"/>
        <w:rPr>
          <w:sz w:val="20"/>
          <w:szCs w:val="20"/>
          <w:color w:val="auto"/>
        </w:rPr>
      </w:pPr>
    </w:p>
    <w:p>
      <w:pPr>
        <w:ind w:left="3" w:right="20"/>
        <w:spacing w:after="0" w:line="266" w:lineRule="auto"/>
        <w:rPr>
          <w:sz w:val="20"/>
          <w:szCs w:val="20"/>
          <w:color w:val="auto"/>
        </w:rPr>
      </w:pPr>
      <w:r>
        <w:rPr>
          <w:rFonts w:ascii="Arial" w:cs="Arial" w:eastAsia="Arial" w:hAnsi="Arial"/>
          <w:sz w:val="19"/>
          <w:szCs w:val="19"/>
          <w:color w:val="191919"/>
        </w:rPr>
        <w:t>Timothy R. Furey, age 63, and Kimberly S. Stevenson, age 59, have served as directors since 1998 and 2018, respectively, and are not director nominees up for reelection at the Annual Meeting. As a result, the number of directors constituting the Board will be reduced from ten (10) to eight</w:t>
      </w:r>
    </w:p>
    <w:p>
      <w:pPr>
        <w:spacing w:after="0" w:line="5" w:lineRule="exact"/>
        <w:rPr>
          <w:sz w:val="20"/>
          <w:szCs w:val="20"/>
          <w:color w:val="auto"/>
        </w:rPr>
      </w:pPr>
    </w:p>
    <w:p>
      <w:pPr>
        <w:ind w:left="3" w:right="20" w:hanging="3"/>
        <w:spacing w:after="0" w:line="254" w:lineRule="auto"/>
        <w:tabs>
          <w:tab w:leader="none" w:pos="300" w:val="left"/>
        </w:tabs>
        <w:numPr>
          <w:ilvl w:val="0"/>
          <w:numId w:val="14"/>
        </w:numPr>
        <w:rPr>
          <w:rFonts w:ascii="Arial" w:cs="Arial" w:eastAsia="Arial" w:hAnsi="Arial"/>
          <w:sz w:val="20"/>
          <w:szCs w:val="20"/>
          <w:color w:val="191919"/>
        </w:rPr>
      </w:pPr>
      <w:r>
        <w:rPr>
          <w:rFonts w:ascii="Arial" w:cs="Arial" w:eastAsia="Arial" w:hAnsi="Arial"/>
          <w:sz w:val="20"/>
          <w:szCs w:val="20"/>
          <w:color w:val="191919"/>
        </w:rPr>
        <w:t>effective upon the election of directors at the Annual Meeting. Proxies cannot be voted for a greater number of individuals than the number of nominees named in this Proxy Statement. The Nominating and Corporate Governance Committee is currently conducting a search for another director with the current intention of increasing the size of the Board to nine (9) directors as soon as practicable.</w:t>
      </w:r>
    </w:p>
    <w:p>
      <w:pPr>
        <w:spacing w:after="0" w:line="212" w:lineRule="exact"/>
        <w:rPr>
          <w:sz w:val="20"/>
          <w:szCs w:val="20"/>
          <w:color w:val="auto"/>
        </w:rPr>
      </w:pPr>
    </w:p>
    <w:p>
      <w:pPr>
        <w:ind w:left="3" w:right="20"/>
        <w:spacing w:after="0" w:line="271" w:lineRule="auto"/>
        <w:rPr>
          <w:sz w:val="20"/>
          <w:szCs w:val="20"/>
          <w:color w:val="auto"/>
        </w:rPr>
      </w:pPr>
      <w:r>
        <w:rPr>
          <w:rFonts w:ascii="Arial" w:cs="Arial" w:eastAsia="Arial" w:hAnsi="Arial"/>
          <w:sz w:val="19"/>
          <w:szCs w:val="19"/>
          <w:color w:val="191919"/>
        </w:rPr>
        <w:t>The following table lists the eight nominees for election as directors, the year such nominees were first elected as directors of the Company, and their Board committee memberships as of March 1, 2022. The table also lists the number of meetings held by each committee during fiscal year 2021.</w:t>
      </w:r>
    </w:p>
    <w:p>
      <w:pPr>
        <w:spacing w:after="0" w:line="200" w:lineRule="exact"/>
        <w:rPr>
          <w:sz w:val="20"/>
          <w:szCs w:val="20"/>
          <w:color w:val="auto"/>
        </w:rPr>
      </w:pPr>
    </w:p>
    <w:p>
      <w:pPr>
        <w:sectPr>
          <w:pgSz w:w="11900" w:h="16838" w:orient="portrait"/>
          <w:cols w:equalWidth="0" w:num="2">
            <w:col w:w="5140" w:space="437"/>
            <w:col w:w="4483"/>
          </w:cols>
          <w:pgMar w:left="580" w:top="132" w:right="1259" w:bottom="1440" w:gutter="0" w:footer="0" w:header="0"/>
          <w:type w:val="continuous"/>
        </w:sectPr>
      </w:pPr>
    </w:p>
    <w:p>
      <w:pPr>
        <w:spacing w:after="0" w:line="24" w:lineRule="exact"/>
        <w:rPr>
          <w:sz w:val="20"/>
          <w:szCs w:val="20"/>
          <w:color w:val="auto"/>
        </w:rPr>
      </w:pPr>
    </w:p>
    <w:tbl>
      <w:tblPr>
        <w:tblLayout w:type="fixed"/>
        <w:tblInd w:w="660" w:type="dxa"/>
        <w:tblCellMar>
          <w:top w:w="0" w:type="dxa"/>
          <w:left w:w="0" w:type="dxa"/>
          <w:bottom w:w="0" w:type="dxa"/>
          <w:right w:w="0" w:type="dxa"/>
        </w:tblCellMar>
      </w:tblPr>
      <w:tr>
        <w:trPr>
          <w:trHeight w:val="289"/>
        </w:trPr>
        <w:tc>
          <w:tcPr>
            <w:tcW w:w="3560" w:type="dxa"/>
            <w:vAlign w:val="bottom"/>
            <w:tcBorders>
              <w:bottom w:val="single" w:sz="8" w:color="0076A8"/>
            </w:tcBorders>
            <w:shd w:val="clear" w:color="auto" w:fill="0076A8"/>
          </w:tcPr>
          <w:p>
            <w:pPr>
              <w:spacing w:after="0"/>
              <w:rPr>
                <w:sz w:val="24"/>
                <w:szCs w:val="24"/>
                <w:color w:val="auto"/>
              </w:rPr>
            </w:pPr>
          </w:p>
        </w:tc>
        <w:tc>
          <w:tcPr>
            <w:tcW w:w="1180" w:type="dxa"/>
            <w:vAlign w:val="bottom"/>
            <w:tcBorders>
              <w:bottom w:val="single" w:sz="8" w:color="0076A8"/>
            </w:tcBorders>
            <w:vMerge w:val="restart"/>
            <w:shd w:val="clear" w:color="auto" w:fill="0076A8"/>
          </w:tcPr>
          <w:p>
            <w:pPr>
              <w:jc w:val="center"/>
              <w:spacing w:after="0"/>
              <w:rPr>
                <w:sz w:val="20"/>
                <w:szCs w:val="20"/>
                <w:color w:val="auto"/>
              </w:rPr>
            </w:pPr>
            <w:r>
              <w:rPr>
                <w:rFonts w:ascii="Arial" w:cs="Arial" w:eastAsia="Arial" w:hAnsi="Arial"/>
                <w:sz w:val="18"/>
                <w:szCs w:val="18"/>
                <w:color w:val="FFFFFF"/>
              </w:rPr>
              <w:t>Director</w:t>
            </w:r>
          </w:p>
        </w:tc>
        <w:tc>
          <w:tcPr>
            <w:tcW w:w="1600" w:type="dxa"/>
            <w:vAlign w:val="bottom"/>
            <w:tcBorders>
              <w:bottom w:val="single" w:sz="8" w:color="0076A8"/>
            </w:tcBorders>
            <w:shd w:val="clear" w:color="auto" w:fill="0076A8"/>
          </w:tcPr>
          <w:p>
            <w:pPr>
              <w:spacing w:after="0"/>
              <w:rPr>
                <w:sz w:val="24"/>
                <w:szCs w:val="24"/>
                <w:color w:val="auto"/>
              </w:rPr>
            </w:pPr>
          </w:p>
        </w:tc>
        <w:tc>
          <w:tcPr>
            <w:tcW w:w="620" w:type="dxa"/>
            <w:vAlign w:val="bottom"/>
            <w:tcBorders>
              <w:bottom w:val="single" w:sz="8" w:color="0076A8"/>
            </w:tcBorders>
            <w:shd w:val="clear" w:color="auto" w:fill="0076A8"/>
          </w:tcPr>
          <w:p>
            <w:pPr>
              <w:spacing w:after="0"/>
              <w:rPr>
                <w:sz w:val="24"/>
                <w:szCs w:val="24"/>
                <w:color w:val="auto"/>
              </w:rPr>
            </w:pPr>
          </w:p>
        </w:tc>
        <w:tc>
          <w:tcPr>
            <w:tcW w:w="2440" w:type="dxa"/>
            <w:vAlign w:val="bottom"/>
            <w:tcBorders>
              <w:bottom w:val="single" w:sz="8" w:color="0076A8"/>
            </w:tcBorders>
            <w:gridSpan w:val="2"/>
            <w:shd w:val="clear" w:color="auto" w:fill="0076A8"/>
          </w:tcPr>
          <w:p>
            <w:pPr>
              <w:spacing w:after="0"/>
              <w:rPr>
                <w:sz w:val="20"/>
                <w:szCs w:val="20"/>
                <w:color w:val="auto"/>
              </w:rPr>
            </w:pPr>
            <w:r>
              <w:rPr>
                <w:rFonts w:ascii="Arial" w:cs="Arial" w:eastAsia="Arial" w:hAnsi="Arial"/>
                <w:sz w:val="18"/>
                <w:szCs w:val="18"/>
                <w:color w:val="FFFFFF"/>
              </w:rPr>
              <w:t>Committee Memberships</w:t>
            </w:r>
          </w:p>
        </w:tc>
        <w:tc>
          <w:tcPr>
            <w:tcW w:w="0" w:type="dxa"/>
            <w:vAlign w:val="bottom"/>
          </w:tcPr>
          <w:p>
            <w:pPr>
              <w:spacing w:after="0"/>
              <w:rPr>
                <w:sz w:val="1"/>
                <w:szCs w:val="1"/>
                <w:color w:val="auto"/>
              </w:rPr>
            </w:pPr>
          </w:p>
        </w:tc>
      </w:tr>
      <w:tr>
        <w:trPr>
          <w:trHeight w:val="47"/>
        </w:trPr>
        <w:tc>
          <w:tcPr>
            <w:tcW w:w="3560" w:type="dxa"/>
            <w:vAlign w:val="bottom"/>
            <w:tcBorders>
              <w:top w:val="single" w:sz="8" w:color="0076A8"/>
            </w:tcBorders>
            <w:shd w:val="clear" w:color="auto" w:fill="0076A8"/>
          </w:tcPr>
          <w:p>
            <w:pPr>
              <w:spacing w:after="0"/>
              <w:rPr>
                <w:sz w:val="4"/>
                <w:szCs w:val="4"/>
                <w:color w:val="auto"/>
              </w:rPr>
            </w:pPr>
          </w:p>
        </w:tc>
        <w:tc>
          <w:tcPr>
            <w:tcW w:w="1180" w:type="dxa"/>
            <w:vAlign w:val="bottom"/>
            <w:tcBorders>
              <w:top w:val="single" w:sz="8" w:color="0076A8"/>
            </w:tcBorders>
            <w:vMerge w:val="continue"/>
            <w:shd w:val="clear" w:color="auto" w:fill="0076A8"/>
          </w:tcPr>
          <w:p>
            <w:pPr>
              <w:spacing w:after="0"/>
              <w:rPr>
                <w:sz w:val="4"/>
                <w:szCs w:val="4"/>
                <w:color w:val="auto"/>
              </w:rPr>
            </w:pPr>
          </w:p>
        </w:tc>
        <w:tc>
          <w:tcPr>
            <w:tcW w:w="1600" w:type="dxa"/>
            <w:vAlign w:val="bottom"/>
            <w:tcBorders>
              <w:top w:val="single" w:sz="8" w:color="0076A8"/>
            </w:tcBorders>
            <w:shd w:val="clear" w:color="auto" w:fill="0076A8"/>
          </w:tcPr>
          <w:p>
            <w:pPr>
              <w:spacing w:after="0"/>
              <w:rPr>
                <w:sz w:val="4"/>
                <w:szCs w:val="4"/>
                <w:color w:val="auto"/>
              </w:rPr>
            </w:pPr>
          </w:p>
        </w:tc>
        <w:tc>
          <w:tcPr>
            <w:tcW w:w="620" w:type="dxa"/>
            <w:vAlign w:val="bottom"/>
            <w:tcBorders>
              <w:top w:val="single" w:sz="8" w:color="FEFEFE"/>
            </w:tcBorders>
            <w:shd w:val="clear" w:color="auto" w:fill="0076A8"/>
          </w:tcPr>
          <w:p>
            <w:pPr>
              <w:spacing w:after="0"/>
              <w:rPr>
                <w:sz w:val="4"/>
                <w:szCs w:val="4"/>
                <w:color w:val="auto"/>
              </w:rPr>
            </w:pPr>
          </w:p>
        </w:tc>
        <w:tc>
          <w:tcPr>
            <w:tcW w:w="1460" w:type="dxa"/>
            <w:vAlign w:val="bottom"/>
            <w:tcBorders>
              <w:top w:val="single" w:sz="8" w:color="FEFEFE"/>
            </w:tcBorders>
            <w:shd w:val="clear" w:color="auto" w:fill="0076A8"/>
          </w:tcPr>
          <w:p>
            <w:pPr>
              <w:spacing w:after="0"/>
              <w:rPr>
                <w:sz w:val="4"/>
                <w:szCs w:val="4"/>
                <w:color w:val="auto"/>
              </w:rPr>
            </w:pPr>
          </w:p>
        </w:tc>
        <w:tc>
          <w:tcPr>
            <w:tcW w:w="980" w:type="dxa"/>
            <w:vAlign w:val="bottom"/>
            <w:tcBorders>
              <w:top w:val="single" w:sz="8" w:color="FEFEFE"/>
            </w:tcBorders>
            <w:shd w:val="clear" w:color="auto" w:fill="0076A8"/>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3560" w:type="dxa"/>
            <w:vAlign w:val="bottom"/>
            <w:shd w:val="clear" w:color="auto" w:fill="0076A8"/>
          </w:tcPr>
          <w:p>
            <w:pPr>
              <w:ind w:left="40"/>
              <w:spacing w:after="0"/>
              <w:rPr>
                <w:sz w:val="20"/>
                <w:szCs w:val="20"/>
                <w:color w:val="auto"/>
              </w:rPr>
            </w:pPr>
            <w:r>
              <w:rPr>
                <w:rFonts w:ascii="Arial" w:cs="Arial" w:eastAsia="Arial" w:hAnsi="Arial"/>
                <w:sz w:val="18"/>
                <w:szCs w:val="18"/>
                <w:color w:val="FFFFFF"/>
              </w:rPr>
              <w:t>Name</w:t>
            </w:r>
          </w:p>
        </w:tc>
        <w:tc>
          <w:tcPr>
            <w:tcW w:w="1180" w:type="dxa"/>
            <w:vAlign w:val="bottom"/>
            <w:shd w:val="clear" w:color="auto" w:fill="0076A8"/>
          </w:tcPr>
          <w:p>
            <w:pPr>
              <w:jc w:val="center"/>
              <w:spacing w:after="0"/>
              <w:rPr>
                <w:sz w:val="20"/>
                <w:szCs w:val="20"/>
                <w:color w:val="auto"/>
              </w:rPr>
            </w:pPr>
            <w:r>
              <w:rPr>
                <w:rFonts w:ascii="Arial" w:cs="Arial" w:eastAsia="Arial" w:hAnsi="Arial"/>
                <w:sz w:val="18"/>
                <w:szCs w:val="18"/>
                <w:color w:val="FFFFFF"/>
                <w:w w:val="97"/>
              </w:rPr>
              <w:t>Since</w:t>
            </w:r>
          </w:p>
        </w:tc>
        <w:tc>
          <w:tcPr>
            <w:tcW w:w="1600" w:type="dxa"/>
            <w:vAlign w:val="bottom"/>
            <w:shd w:val="clear" w:color="auto" w:fill="0076A8"/>
          </w:tcPr>
          <w:p>
            <w:pPr>
              <w:jc w:val="center"/>
              <w:spacing w:after="0"/>
              <w:rPr>
                <w:sz w:val="20"/>
                <w:szCs w:val="20"/>
                <w:color w:val="auto"/>
              </w:rPr>
            </w:pPr>
            <w:r>
              <w:rPr>
                <w:rFonts w:ascii="Arial" w:cs="Arial" w:eastAsia="Arial" w:hAnsi="Arial"/>
                <w:sz w:val="18"/>
                <w:szCs w:val="18"/>
                <w:color w:val="FFFFFF"/>
                <w:w w:val="99"/>
              </w:rPr>
              <w:t>Independent</w:t>
            </w:r>
          </w:p>
        </w:tc>
        <w:tc>
          <w:tcPr>
            <w:tcW w:w="620" w:type="dxa"/>
            <w:vAlign w:val="bottom"/>
            <w:shd w:val="clear" w:color="auto" w:fill="0076A8"/>
          </w:tcPr>
          <w:p>
            <w:pPr>
              <w:jc w:val="center"/>
              <w:ind w:left="297"/>
              <w:spacing w:after="0"/>
              <w:rPr>
                <w:sz w:val="20"/>
                <w:szCs w:val="20"/>
                <w:color w:val="auto"/>
              </w:rPr>
            </w:pPr>
            <w:r>
              <w:rPr>
                <w:rFonts w:ascii="Arial" w:cs="Arial" w:eastAsia="Arial" w:hAnsi="Arial"/>
                <w:sz w:val="18"/>
                <w:szCs w:val="18"/>
                <w:color w:val="FFFFFF"/>
                <w:w w:val="95"/>
              </w:rPr>
              <w:t>AC</w:t>
            </w:r>
          </w:p>
        </w:tc>
        <w:tc>
          <w:tcPr>
            <w:tcW w:w="1460" w:type="dxa"/>
            <w:vAlign w:val="bottom"/>
            <w:shd w:val="clear" w:color="auto" w:fill="0076A8"/>
          </w:tcPr>
          <w:p>
            <w:pPr>
              <w:jc w:val="center"/>
              <w:ind w:left="356"/>
              <w:spacing w:after="0"/>
              <w:rPr>
                <w:sz w:val="20"/>
                <w:szCs w:val="20"/>
                <w:color w:val="auto"/>
              </w:rPr>
            </w:pPr>
            <w:r>
              <w:rPr>
                <w:rFonts w:ascii="Arial" w:cs="Arial" w:eastAsia="Arial" w:hAnsi="Arial"/>
                <w:sz w:val="18"/>
                <w:szCs w:val="18"/>
                <w:color w:val="FFFFFF"/>
                <w:w w:val="99"/>
              </w:rPr>
              <w:t>CC</w:t>
            </w:r>
          </w:p>
        </w:tc>
        <w:tc>
          <w:tcPr>
            <w:tcW w:w="980" w:type="dxa"/>
            <w:vAlign w:val="bottom"/>
            <w:shd w:val="clear" w:color="auto" w:fill="0076A8"/>
          </w:tcPr>
          <w:p>
            <w:pPr>
              <w:jc w:val="center"/>
              <w:ind w:left="197"/>
              <w:spacing w:after="0"/>
              <w:rPr>
                <w:sz w:val="20"/>
                <w:szCs w:val="20"/>
                <w:color w:val="auto"/>
              </w:rPr>
            </w:pPr>
            <w:r>
              <w:rPr>
                <w:rFonts w:ascii="Arial" w:cs="Arial" w:eastAsia="Arial" w:hAnsi="Arial"/>
                <w:sz w:val="18"/>
                <w:szCs w:val="18"/>
                <w:color w:val="FFFFFF"/>
              </w:rPr>
              <w:t>NCGC</w:t>
            </w:r>
          </w:p>
        </w:tc>
        <w:tc>
          <w:tcPr>
            <w:tcW w:w="0" w:type="dxa"/>
            <w:vAlign w:val="bottom"/>
          </w:tcPr>
          <w:p>
            <w:pPr>
              <w:spacing w:after="0"/>
              <w:rPr>
                <w:sz w:val="1"/>
                <w:szCs w:val="1"/>
                <w:color w:val="auto"/>
              </w:rPr>
            </w:pPr>
          </w:p>
        </w:tc>
      </w:tr>
      <w:tr>
        <w:trPr>
          <w:trHeight w:val="256"/>
        </w:trPr>
        <w:tc>
          <w:tcPr>
            <w:tcW w:w="3560" w:type="dxa"/>
            <w:vAlign w:val="bottom"/>
            <w:shd w:val="clear" w:color="auto" w:fill="E5E5E5"/>
          </w:tcPr>
          <w:p>
            <w:pPr>
              <w:ind w:left="40"/>
              <w:spacing w:after="0"/>
              <w:rPr>
                <w:sz w:val="20"/>
                <w:szCs w:val="20"/>
                <w:color w:val="auto"/>
              </w:rPr>
            </w:pPr>
            <w:r>
              <w:rPr>
                <w:rFonts w:ascii="Arial" w:cs="Arial" w:eastAsia="Arial" w:hAnsi="Arial"/>
                <w:sz w:val="16"/>
                <w:szCs w:val="16"/>
                <w:color w:val="auto"/>
              </w:rPr>
              <w:t>Liam K. Griffin, Chairman of the Board</w:t>
            </w:r>
          </w:p>
        </w:tc>
        <w:tc>
          <w:tcPr>
            <w:tcW w:w="118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2016</w:t>
            </w:r>
          </w:p>
        </w:tc>
        <w:tc>
          <w:tcPr>
            <w:tcW w:w="1600" w:type="dxa"/>
            <w:vAlign w:val="bottom"/>
            <w:shd w:val="clear" w:color="auto" w:fill="E5E5E5"/>
          </w:tcPr>
          <w:p>
            <w:pPr>
              <w:spacing w:after="0"/>
              <w:rPr>
                <w:sz w:val="22"/>
                <w:szCs w:val="22"/>
                <w:color w:val="auto"/>
              </w:rPr>
            </w:pPr>
          </w:p>
        </w:tc>
        <w:tc>
          <w:tcPr>
            <w:tcW w:w="620" w:type="dxa"/>
            <w:vAlign w:val="bottom"/>
            <w:shd w:val="clear" w:color="auto" w:fill="E5E5E5"/>
          </w:tcPr>
          <w:p>
            <w:pPr>
              <w:spacing w:after="0"/>
              <w:rPr>
                <w:sz w:val="22"/>
                <w:szCs w:val="22"/>
                <w:color w:val="auto"/>
              </w:rPr>
            </w:pPr>
          </w:p>
        </w:tc>
        <w:tc>
          <w:tcPr>
            <w:tcW w:w="1460" w:type="dxa"/>
            <w:vAlign w:val="bottom"/>
            <w:shd w:val="clear" w:color="auto" w:fill="E5E5E5"/>
          </w:tcPr>
          <w:p>
            <w:pPr>
              <w:spacing w:after="0"/>
              <w:rPr>
                <w:sz w:val="22"/>
                <w:szCs w:val="22"/>
                <w:color w:val="auto"/>
              </w:rPr>
            </w:pPr>
          </w:p>
        </w:tc>
        <w:tc>
          <w:tcPr>
            <w:tcW w:w="980" w:type="dxa"/>
            <w:vAlign w:val="bottom"/>
            <w:shd w:val="clear" w:color="auto" w:fill="E5E5E5"/>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3560" w:type="dxa"/>
            <w:vAlign w:val="bottom"/>
          </w:tcPr>
          <w:p>
            <w:pPr>
              <w:ind w:left="40"/>
              <w:spacing w:after="0"/>
              <w:rPr>
                <w:sz w:val="20"/>
                <w:szCs w:val="20"/>
                <w:color w:val="auto"/>
              </w:rPr>
            </w:pPr>
            <w:r>
              <w:rPr>
                <w:rFonts w:ascii="Arial" w:cs="Arial" w:eastAsia="Arial" w:hAnsi="Arial"/>
                <w:sz w:val="16"/>
                <w:szCs w:val="16"/>
                <w:color w:val="auto"/>
              </w:rPr>
              <w:t>Christine King, Lead Independent Director</w:t>
            </w:r>
          </w:p>
        </w:tc>
        <w:tc>
          <w:tcPr>
            <w:tcW w:w="1180" w:type="dxa"/>
            <w:vAlign w:val="bottom"/>
          </w:tcPr>
          <w:p>
            <w:pPr>
              <w:jc w:val="center"/>
              <w:spacing w:after="0"/>
              <w:rPr>
                <w:sz w:val="20"/>
                <w:szCs w:val="20"/>
                <w:color w:val="auto"/>
              </w:rPr>
            </w:pPr>
            <w:r>
              <w:rPr>
                <w:rFonts w:ascii="Arial" w:cs="Arial" w:eastAsia="Arial" w:hAnsi="Arial"/>
                <w:sz w:val="16"/>
                <w:szCs w:val="16"/>
                <w:color w:val="auto"/>
              </w:rPr>
              <w:t>2014</w:t>
            </w:r>
          </w:p>
        </w:tc>
        <w:tc>
          <w:tcPr>
            <w:tcW w:w="1600" w:type="dxa"/>
            <w:vAlign w:val="bottom"/>
          </w:tcPr>
          <w:p>
            <w:pPr>
              <w:jc w:val="center"/>
              <w:spacing w:after="0"/>
              <w:rPr>
                <w:sz w:val="20"/>
                <w:szCs w:val="20"/>
                <w:color w:val="auto"/>
              </w:rPr>
            </w:pPr>
            <w:r>
              <w:rPr>
                <w:rFonts w:ascii="Arial" w:cs="Arial" w:eastAsia="Arial" w:hAnsi="Arial"/>
                <w:sz w:val="16"/>
                <w:szCs w:val="16"/>
                <w:color w:val="auto"/>
              </w:rPr>
              <w:t>•</w:t>
            </w:r>
          </w:p>
        </w:tc>
        <w:tc>
          <w:tcPr>
            <w:tcW w:w="620" w:type="dxa"/>
            <w:vAlign w:val="bottom"/>
          </w:tcPr>
          <w:p>
            <w:pPr>
              <w:jc w:val="center"/>
              <w:ind w:left="297"/>
              <w:spacing w:after="0"/>
              <w:rPr>
                <w:sz w:val="20"/>
                <w:szCs w:val="20"/>
                <w:color w:val="auto"/>
              </w:rPr>
            </w:pPr>
            <w:r>
              <w:rPr>
                <w:rFonts w:ascii="Arial" w:cs="Arial" w:eastAsia="Arial" w:hAnsi="Arial"/>
                <w:sz w:val="16"/>
                <w:szCs w:val="16"/>
                <w:color w:val="auto"/>
                <w:w w:val="70"/>
              </w:rPr>
              <w:t>•</w:t>
            </w:r>
          </w:p>
        </w:tc>
        <w:tc>
          <w:tcPr>
            <w:tcW w:w="1460" w:type="dxa"/>
            <w:vAlign w:val="bottom"/>
          </w:tcPr>
          <w:p>
            <w:pPr>
              <w:jc w:val="center"/>
              <w:ind w:left="376"/>
              <w:spacing w:after="0"/>
              <w:rPr>
                <w:sz w:val="20"/>
                <w:szCs w:val="20"/>
                <w:color w:val="auto"/>
              </w:rPr>
            </w:pPr>
            <w:r>
              <w:rPr>
                <w:rFonts w:ascii="Arial" w:cs="Arial" w:eastAsia="Arial" w:hAnsi="Arial"/>
                <w:sz w:val="16"/>
                <w:szCs w:val="16"/>
                <w:color w:val="auto"/>
              </w:rPr>
              <w:t>C</w:t>
            </w: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3560" w:type="dxa"/>
            <w:vAlign w:val="bottom"/>
            <w:shd w:val="clear" w:color="auto" w:fill="E5E5E5"/>
          </w:tcPr>
          <w:p>
            <w:pPr>
              <w:ind w:left="40"/>
              <w:spacing w:after="0"/>
              <w:rPr>
                <w:sz w:val="20"/>
                <w:szCs w:val="20"/>
                <w:color w:val="auto"/>
              </w:rPr>
            </w:pPr>
            <w:r>
              <w:rPr>
                <w:rFonts w:ascii="Arial" w:cs="Arial" w:eastAsia="Arial" w:hAnsi="Arial"/>
                <w:sz w:val="16"/>
                <w:szCs w:val="16"/>
                <w:color w:val="auto"/>
              </w:rPr>
              <w:t>Alan S. Batey</w:t>
            </w:r>
          </w:p>
        </w:tc>
        <w:tc>
          <w:tcPr>
            <w:tcW w:w="118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2019</w:t>
            </w:r>
          </w:p>
        </w:tc>
        <w:tc>
          <w:tcPr>
            <w:tcW w:w="160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w:t>
            </w:r>
          </w:p>
        </w:tc>
        <w:tc>
          <w:tcPr>
            <w:tcW w:w="620" w:type="dxa"/>
            <w:vAlign w:val="bottom"/>
            <w:shd w:val="clear" w:color="auto" w:fill="E5E5E5"/>
          </w:tcPr>
          <w:p>
            <w:pPr>
              <w:spacing w:after="0"/>
              <w:rPr>
                <w:sz w:val="22"/>
                <w:szCs w:val="22"/>
                <w:color w:val="auto"/>
              </w:rPr>
            </w:pPr>
          </w:p>
        </w:tc>
        <w:tc>
          <w:tcPr>
            <w:tcW w:w="1460" w:type="dxa"/>
            <w:vAlign w:val="bottom"/>
            <w:shd w:val="clear" w:color="auto" w:fill="E5E5E5"/>
          </w:tcPr>
          <w:p>
            <w:pPr>
              <w:spacing w:after="0"/>
              <w:rPr>
                <w:sz w:val="22"/>
                <w:szCs w:val="22"/>
                <w:color w:val="auto"/>
              </w:rPr>
            </w:pPr>
          </w:p>
        </w:tc>
        <w:tc>
          <w:tcPr>
            <w:tcW w:w="980" w:type="dxa"/>
            <w:vAlign w:val="bottom"/>
            <w:shd w:val="clear" w:color="auto" w:fill="E5E5E5"/>
          </w:tcPr>
          <w:p>
            <w:pPr>
              <w:jc w:val="center"/>
              <w:ind w:left="197"/>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4"/>
        </w:trPr>
        <w:tc>
          <w:tcPr>
            <w:tcW w:w="3560" w:type="dxa"/>
            <w:vAlign w:val="bottom"/>
          </w:tcPr>
          <w:p>
            <w:pPr>
              <w:ind w:left="40"/>
              <w:spacing w:after="0"/>
              <w:rPr>
                <w:sz w:val="20"/>
                <w:szCs w:val="20"/>
                <w:color w:val="auto"/>
              </w:rPr>
            </w:pPr>
            <w:r>
              <w:rPr>
                <w:rFonts w:ascii="Arial" w:cs="Arial" w:eastAsia="Arial" w:hAnsi="Arial"/>
                <w:sz w:val="16"/>
                <w:szCs w:val="16"/>
                <w:color w:val="auto"/>
              </w:rPr>
              <w:t>Kevin L. Beebe</w:t>
            </w:r>
          </w:p>
        </w:tc>
        <w:tc>
          <w:tcPr>
            <w:tcW w:w="1180" w:type="dxa"/>
            <w:vAlign w:val="bottom"/>
          </w:tcPr>
          <w:p>
            <w:pPr>
              <w:jc w:val="center"/>
              <w:spacing w:after="0"/>
              <w:rPr>
                <w:sz w:val="20"/>
                <w:szCs w:val="20"/>
                <w:color w:val="auto"/>
              </w:rPr>
            </w:pPr>
            <w:r>
              <w:rPr>
                <w:rFonts w:ascii="Arial" w:cs="Arial" w:eastAsia="Arial" w:hAnsi="Arial"/>
                <w:sz w:val="16"/>
                <w:szCs w:val="16"/>
                <w:color w:val="auto"/>
              </w:rPr>
              <w:t>2004</w:t>
            </w:r>
          </w:p>
        </w:tc>
        <w:tc>
          <w:tcPr>
            <w:tcW w:w="1600" w:type="dxa"/>
            <w:vAlign w:val="bottom"/>
          </w:tcPr>
          <w:p>
            <w:pPr>
              <w:jc w:val="center"/>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980" w:type="dxa"/>
            <w:vAlign w:val="bottom"/>
          </w:tcPr>
          <w:p>
            <w:pPr>
              <w:jc w:val="center"/>
              <w:ind w:left="217"/>
              <w:spacing w:after="0"/>
              <w:rPr>
                <w:sz w:val="20"/>
                <w:szCs w:val="20"/>
                <w:color w:val="auto"/>
              </w:rPr>
            </w:pPr>
            <w:r>
              <w:rPr>
                <w:rFonts w:ascii="Arial" w:cs="Arial" w:eastAsia="Arial" w:hAnsi="Arial"/>
                <w:sz w:val="16"/>
                <w:szCs w:val="16"/>
                <w:color w:val="auto"/>
              </w:rPr>
              <w:t>C</w:t>
            </w:r>
          </w:p>
        </w:tc>
        <w:tc>
          <w:tcPr>
            <w:tcW w:w="0" w:type="dxa"/>
            <w:vAlign w:val="bottom"/>
          </w:tcPr>
          <w:p>
            <w:pPr>
              <w:spacing w:after="0"/>
              <w:rPr>
                <w:sz w:val="1"/>
                <w:szCs w:val="1"/>
                <w:color w:val="auto"/>
              </w:rPr>
            </w:pPr>
          </w:p>
        </w:tc>
      </w:tr>
      <w:tr>
        <w:trPr>
          <w:trHeight w:val="259"/>
        </w:trPr>
        <w:tc>
          <w:tcPr>
            <w:tcW w:w="3560" w:type="dxa"/>
            <w:vAlign w:val="bottom"/>
            <w:shd w:val="clear" w:color="auto" w:fill="E5E5E5"/>
          </w:tcPr>
          <w:p>
            <w:pPr>
              <w:ind w:left="40"/>
              <w:spacing w:after="0"/>
              <w:rPr>
                <w:sz w:val="20"/>
                <w:szCs w:val="20"/>
                <w:color w:val="auto"/>
              </w:rPr>
            </w:pPr>
            <w:r>
              <w:rPr>
                <w:rFonts w:ascii="Arial" w:cs="Arial" w:eastAsia="Arial" w:hAnsi="Arial"/>
                <w:sz w:val="16"/>
                <w:szCs w:val="16"/>
                <w:color w:val="auto"/>
              </w:rPr>
              <w:t>Eric J. Guerin</w:t>
            </w:r>
          </w:p>
        </w:tc>
        <w:tc>
          <w:tcPr>
            <w:tcW w:w="118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2022</w:t>
            </w:r>
          </w:p>
        </w:tc>
        <w:tc>
          <w:tcPr>
            <w:tcW w:w="160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w:t>
            </w:r>
          </w:p>
        </w:tc>
        <w:tc>
          <w:tcPr>
            <w:tcW w:w="620" w:type="dxa"/>
            <w:vAlign w:val="bottom"/>
            <w:shd w:val="clear" w:color="auto" w:fill="E5E5E5"/>
          </w:tcPr>
          <w:p>
            <w:pPr>
              <w:spacing w:after="0"/>
              <w:rPr>
                <w:sz w:val="22"/>
                <w:szCs w:val="22"/>
                <w:color w:val="auto"/>
              </w:rPr>
            </w:pPr>
          </w:p>
        </w:tc>
        <w:tc>
          <w:tcPr>
            <w:tcW w:w="1460" w:type="dxa"/>
            <w:vAlign w:val="bottom"/>
            <w:shd w:val="clear" w:color="auto" w:fill="E5E5E5"/>
          </w:tcPr>
          <w:p>
            <w:pPr>
              <w:spacing w:after="0"/>
              <w:rPr>
                <w:sz w:val="22"/>
                <w:szCs w:val="22"/>
                <w:color w:val="auto"/>
              </w:rPr>
            </w:pPr>
          </w:p>
        </w:tc>
        <w:tc>
          <w:tcPr>
            <w:tcW w:w="980" w:type="dxa"/>
            <w:vAlign w:val="bottom"/>
            <w:shd w:val="clear" w:color="auto" w:fill="E5E5E5"/>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3560" w:type="dxa"/>
            <w:vAlign w:val="bottom"/>
          </w:tcPr>
          <w:p>
            <w:pPr>
              <w:ind w:left="40"/>
              <w:spacing w:after="0"/>
              <w:rPr>
                <w:sz w:val="20"/>
                <w:szCs w:val="20"/>
                <w:color w:val="auto"/>
              </w:rPr>
            </w:pPr>
            <w:r>
              <w:rPr>
                <w:rFonts w:ascii="Arial" w:cs="Arial" w:eastAsia="Arial" w:hAnsi="Arial"/>
                <w:sz w:val="16"/>
                <w:szCs w:val="16"/>
                <w:color w:val="auto"/>
              </w:rPr>
              <w:t>Suzanne E. McBride</w:t>
            </w:r>
          </w:p>
        </w:tc>
        <w:tc>
          <w:tcPr>
            <w:tcW w:w="1180" w:type="dxa"/>
            <w:vAlign w:val="bottom"/>
          </w:tcPr>
          <w:p>
            <w:pPr>
              <w:jc w:val="center"/>
              <w:spacing w:after="0"/>
              <w:rPr>
                <w:sz w:val="20"/>
                <w:szCs w:val="20"/>
                <w:color w:val="auto"/>
              </w:rPr>
            </w:pPr>
            <w:r>
              <w:rPr>
                <w:rFonts w:ascii="Arial" w:cs="Arial" w:eastAsia="Arial" w:hAnsi="Arial"/>
                <w:sz w:val="16"/>
                <w:szCs w:val="16"/>
                <w:color w:val="auto"/>
              </w:rPr>
              <w:t>2022</w:t>
            </w:r>
          </w:p>
        </w:tc>
        <w:tc>
          <w:tcPr>
            <w:tcW w:w="1600" w:type="dxa"/>
            <w:vAlign w:val="bottom"/>
          </w:tcPr>
          <w:p>
            <w:pPr>
              <w:jc w:val="center"/>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3560" w:type="dxa"/>
            <w:vAlign w:val="bottom"/>
            <w:shd w:val="clear" w:color="auto" w:fill="E5E5E5"/>
          </w:tcPr>
          <w:p>
            <w:pPr>
              <w:ind w:left="40"/>
              <w:spacing w:after="0"/>
              <w:rPr>
                <w:sz w:val="20"/>
                <w:szCs w:val="20"/>
                <w:color w:val="auto"/>
              </w:rPr>
            </w:pPr>
            <w:r>
              <w:rPr>
                <w:rFonts w:ascii="Arial" w:cs="Arial" w:eastAsia="Arial" w:hAnsi="Arial"/>
                <w:sz w:val="16"/>
                <w:szCs w:val="16"/>
                <w:color w:val="auto"/>
              </w:rPr>
              <w:t>David P. McGlade</w:t>
            </w:r>
          </w:p>
        </w:tc>
        <w:tc>
          <w:tcPr>
            <w:tcW w:w="118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2005</w:t>
            </w:r>
          </w:p>
        </w:tc>
        <w:tc>
          <w:tcPr>
            <w:tcW w:w="160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w:t>
            </w:r>
          </w:p>
        </w:tc>
        <w:tc>
          <w:tcPr>
            <w:tcW w:w="620" w:type="dxa"/>
            <w:vAlign w:val="bottom"/>
            <w:shd w:val="clear" w:color="auto" w:fill="E5E5E5"/>
          </w:tcPr>
          <w:p>
            <w:pPr>
              <w:jc w:val="center"/>
              <w:ind w:left="297"/>
              <w:spacing w:after="0"/>
              <w:rPr>
                <w:sz w:val="20"/>
                <w:szCs w:val="20"/>
                <w:color w:val="auto"/>
              </w:rPr>
            </w:pPr>
            <w:r>
              <w:rPr>
                <w:rFonts w:ascii="Arial" w:cs="Arial" w:eastAsia="Arial" w:hAnsi="Arial"/>
                <w:sz w:val="16"/>
                <w:szCs w:val="16"/>
                <w:color w:val="auto"/>
              </w:rPr>
              <w:t>C</w:t>
            </w:r>
          </w:p>
        </w:tc>
        <w:tc>
          <w:tcPr>
            <w:tcW w:w="1460" w:type="dxa"/>
            <w:vAlign w:val="bottom"/>
            <w:shd w:val="clear" w:color="auto" w:fill="E5E5E5"/>
          </w:tcPr>
          <w:p>
            <w:pPr>
              <w:jc w:val="center"/>
              <w:ind w:left="376"/>
              <w:spacing w:after="0"/>
              <w:rPr>
                <w:sz w:val="20"/>
                <w:szCs w:val="20"/>
                <w:color w:val="auto"/>
              </w:rPr>
            </w:pPr>
            <w:r>
              <w:rPr>
                <w:rFonts w:ascii="Arial" w:cs="Arial" w:eastAsia="Arial" w:hAnsi="Arial"/>
                <w:sz w:val="16"/>
                <w:szCs w:val="16"/>
                <w:color w:val="auto"/>
                <w:w w:val="70"/>
              </w:rPr>
              <w:t>•</w:t>
            </w:r>
          </w:p>
        </w:tc>
        <w:tc>
          <w:tcPr>
            <w:tcW w:w="980" w:type="dxa"/>
            <w:vAlign w:val="bottom"/>
            <w:shd w:val="clear" w:color="auto" w:fill="E5E5E5"/>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560" w:type="dxa"/>
            <w:vAlign w:val="bottom"/>
          </w:tcPr>
          <w:p>
            <w:pPr>
              <w:ind w:left="40"/>
              <w:spacing w:after="0"/>
              <w:rPr>
                <w:sz w:val="20"/>
                <w:szCs w:val="20"/>
                <w:color w:val="auto"/>
              </w:rPr>
            </w:pPr>
            <w:r>
              <w:rPr>
                <w:rFonts w:ascii="Arial" w:cs="Arial" w:eastAsia="Arial" w:hAnsi="Arial"/>
                <w:sz w:val="16"/>
                <w:szCs w:val="16"/>
                <w:color w:val="auto"/>
              </w:rPr>
              <w:t>Robert A. Schriesheim</w:t>
            </w:r>
          </w:p>
        </w:tc>
        <w:tc>
          <w:tcPr>
            <w:tcW w:w="1180" w:type="dxa"/>
            <w:vAlign w:val="bottom"/>
          </w:tcPr>
          <w:p>
            <w:pPr>
              <w:jc w:val="center"/>
              <w:spacing w:after="0"/>
              <w:rPr>
                <w:sz w:val="20"/>
                <w:szCs w:val="20"/>
                <w:color w:val="auto"/>
              </w:rPr>
            </w:pPr>
            <w:r>
              <w:rPr>
                <w:rFonts w:ascii="Arial" w:cs="Arial" w:eastAsia="Arial" w:hAnsi="Arial"/>
                <w:sz w:val="16"/>
                <w:szCs w:val="16"/>
                <w:color w:val="auto"/>
              </w:rPr>
              <w:t>2006</w:t>
            </w:r>
          </w:p>
        </w:tc>
        <w:tc>
          <w:tcPr>
            <w:tcW w:w="1600" w:type="dxa"/>
            <w:vAlign w:val="bottom"/>
          </w:tcPr>
          <w:p>
            <w:pPr>
              <w:jc w:val="center"/>
              <w:spacing w:after="0"/>
              <w:rPr>
                <w:sz w:val="20"/>
                <w:szCs w:val="20"/>
                <w:color w:val="auto"/>
              </w:rPr>
            </w:pPr>
            <w:r>
              <w:rPr>
                <w:rFonts w:ascii="Arial" w:cs="Arial" w:eastAsia="Arial" w:hAnsi="Arial"/>
                <w:sz w:val="16"/>
                <w:szCs w:val="16"/>
                <w:color w:val="auto"/>
              </w:rPr>
              <w:t>•</w:t>
            </w:r>
          </w:p>
        </w:tc>
        <w:tc>
          <w:tcPr>
            <w:tcW w:w="620" w:type="dxa"/>
            <w:vAlign w:val="bottom"/>
          </w:tcPr>
          <w:p>
            <w:pPr>
              <w:jc w:val="center"/>
              <w:ind w:left="297"/>
              <w:spacing w:after="0"/>
              <w:rPr>
                <w:sz w:val="20"/>
                <w:szCs w:val="20"/>
                <w:color w:val="auto"/>
              </w:rPr>
            </w:pPr>
            <w:r>
              <w:rPr>
                <w:rFonts w:ascii="Arial" w:cs="Arial" w:eastAsia="Arial" w:hAnsi="Arial"/>
                <w:sz w:val="16"/>
                <w:szCs w:val="16"/>
                <w:color w:val="auto"/>
                <w:w w:val="70"/>
              </w:rPr>
              <w:t>•</w:t>
            </w:r>
          </w:p>
        </w:tc>
        <w:tc>
          <w:tcPr>
            <w:tcW w:w="1460" w:type="dxa"/>
            <w:vAlign w:val="bottom"/>
          </w:tcPr>
          <w:p>
            <w:pPr>
              <w:jc w:val="center"/>
              <w:ind w:left="376"/>
              <w:spacing w:after="0"/>
              <w:rPr>
                <w:sz w:val="20"/>
                <w:szCs w:val="20"/>
                <w:color w:val="auto"/>
              </w:rPr>
            </w:pPr>
            <w:r>
              <w:rPr>
                <w:rFonts w:ascii="Arial" w:cs="Arial" w:eastAsia="Arial" w:hAnsi="Arial"/>
                <w:sz w:val="16"/>
                <w:szCs w:val="16"/>
                <w:color w:val="auto"/>
                <w:w w:val="70"/>
              </w:rPr>
              <w:t>•</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3560" w:type="dxa"/>
            <w:vAlign w:val="bottom"/>
            <w:tcBorders>
              <w:bottom w:val="single" w:sz="8" w:color="BFBFBF"/>
            </w:tcBorders>
          </w:tcPr>
          <w:p>
            <w:pPr>
              <w:spacing w:after="0"/>
              <w:rPr>
                <w:sz w:val="2"/>
                <w:szCs w:val="2"/>
                <w:color w:val="auto"/>
              </w:rPr>
            </w:pPr>
          </w:p>
        </w:tc>
        <w:tc>
          <w:tcPr>
            <w:tcW w:w="1180" w:type="dxa"/>
            <w:vAlign w:val="bottom"/>
            <w:tcBorders>
              <w:bottom w:val="single" w:sz="8" w:color="BFBFBF"/>
            </w:tcBorders>
          </w:tcPr>
          <w:p>
            <w:pPr>
              <w:spacing w:after="0"/>
              <w:rPr>
                <w:sz w:val="2"/>
                <w:szCs w:val="2"/>
                <w:color w:val="auto"/>
              </w:rPr>
            </w:pPr>
          </w:p>
        </w:tc>
        <w:tc>
          <w:tcPr>
            <w:tcW w:w="1600" w:type="dxa"/>
            <w:vAlign w:val="bottom"/>
            <w:tcBorders>
              <w:bottom w:val="single" w:sz="8" w:color="BFBFBF"/>
            </w:tcBorders>
          </w:tcPr>
          <w:p>
            <w:pPr>
              <w:spacing w:after="0"/>
              <w:rPr>
                <w:sz w:val="2"/>
                <w:szCs w:val="2"/>
                <w:color w:val="auto"/>
              </w:rPr>
            </w:pPr>
          </w:p>
        </w:tc>
        <w:tc>
          <w:tcPr>
            <w:tcW w:w="620" w:type="dxa"/>
            <w:vAlign w:val="bottom"/>
            <w:tcBorders>
              <w:bottom w:val="single" w:sz="8" w:color="BFBFBF"/>
            </w:tcBorders>
          </w:tcPr>
          <w:p>
            <w:pPr>
              <w:spacing w:after="0"/>
              <w:rPr>
                <w:sz w:val="2"/>
                <w:szCs w:val="2"/>
                <w:color w:val="auto"/>
              </w:rPr>
            </w:pPr>
          </w:p>
        </w:tc>
        <w:tc>
          <w:tcPr>
            <w:tcW w:w="1460" w:type="dxa"/>
            <w:vAlign w:val="bottom"/>
            <w:tcBorders>
              <w:bottom w:val="single" w:sz="8" w:color="BFBFBF"/>
            </w:tcBorders>
          </w:tcPr>
          <w:p>
            <w:pPr>
              <w:spacing w:after="0"/>
              <w:rPr>
                <w:sz w:val="2"/>
                <w:szCs w:val="2"/>
                <w:color w:val="auto"/>
              </w:rPr>
            </w:pPr>
          </w:p>
        </w:tc>
        <w:tc>
          <w:tcPr>
            <w:tcW w:w="980" w:type="dxa"/>
            <w:vAlign w:val="bottom"/>
            <w:tcBorders>
              <w:bottom w:val="single" w:sz="8" w:color="BFBFB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60" w:type="dxa"/>
            <w:vAlign w:val="bottom"/>
          </w:tcPr>
          <w:p>
            <w:pPr>
              <w:ind w:left="40"/>
              <w:spacing w:after="0"/>
              <w:rPr>
                <w:sz w:val="20"/>
                <w:szCs w:val="20"/>
                <w:color w:val="auto"/>
              </w:rPr>
            </w:pPr>
            <w:r>
              <w:rPr>
                <w:rFonts w:ascii="Arial" w:cs="Arial" w:eastAsia="Arial" w:hAnsi="Arial"/>
                <w:sz w:val="16"/>
                <w:szCs w:val="16"/>
                <w:b w:val="1"/>
                <w:bCs w:val="1"/>
                <w:color w:val="auto"/>
              </w:rPr>
              <w:t>Number of Meetings in FY2021</w:t>
            </w:r>
          </w:p>
        </w:tc>
        <w:tc>
          <w:tcPr>
            <w:tcW w:w="11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620" w:type="dxa"/>
            <w:vAlign w:val="bottom"/>
          </w:tcPr>
          <w:p>
            <w:pPr>
              <w:jc w:val="center"/>
              <w:ind w:left="297"/>
              <w:spacing w:after="0"/>
              <w:rPr>
                <w:sz w:val="20"/>
                <w:szCs w:val="20"/>
                <w:color w:val="auto"/>
              </w:rPr>
            </w:pPr>
            <w:r>
              <w:rPr>
                <w:rFonts w:ascii="Arial" w:cs="Arial" w:eastAsia="Arial" w:hAnsi="Arial"/>
                <w:sz w:val="16"/>
                <w:szCs w:val="16"/>
                <w:b w:val="1"/>
                <w:bCs w:val="1"/>
                <w:color w:val="auto"/>
                <w:w w:val="89"/>
              </w:rPr>
              <w:t>8</w:t>
            </w:r>
          </w:p>
        </w:tc>
        <w:tc>
          <w:tcPr>
            <w:tcW w:w="1460" w:type="dxa"/>
            <w:vAlign w:val="bottom"/>
          </w:tcPr>
          <w:p>
            <w:pPr>
              <w:jc w:val="center"/>
              <w:ind w:left="376"/>
              <w:spacing w:after="0"/>
              <w:rPr>
                <w:sz w:val="20"/>
                <w:szCs w:val="20"/>
                <w:color w:val="auto"/>
              </w:rPr>
            </w:pPr>
            <w:r>
              <w:rPr>
                <w:rFonts w:ascii="Arial" w:cs="Arial" w:eastAsia="Arial" w:hAnsi="Arial"/>
                <w:sz w:val="16"/>
                <w:szCs w:val="16"/>
                <w:b w:val="1"/>
                <w:bCs w:val="1"/>
                <w:color w:val="auto"/>
                <w:w w:val="89"/>
              </w:rPr>
              <w:t>5</w:t>
            </w:r>
          </w:p>
        </w:tc>
        <w:tc>
          <w:tcPr>
            <w:tcW w:w="980" w:type="dxa"/>
            <w:vAlign w:val="bottom"/>
          </w:tcPr>
          <w:p>
            <w:pPr>
              <w:jc w:val="right"/>
              <w:ind w:right="217"/>
              <w:spacing w:after="0"/>
              <w:rPr>
                <w:sz w:val="20"/>
                <w:szCs w:val="20"/>
                <w:color w:val="auto"/>
              </w:rPr>
            </w:pPr>
            <w:r>
              <w:rPr>
                <w:rFonts w:ascii="Arial" w:cs="Arial" w:eastAsia="Arial" w:hAnsi="Arial"/>
                <w:sz w:val="16"/>
                <w:szCs w:val="16"/>
                <w:b w:val="1"/>
                <w:bCs w:val="1"/>
                <w:color w:val="auto"/>
              </w:rPr>
              <w:t>3</w:t>
            </w:r>
          </w:p>
        </w:tc>
        <w:tc>
          <w:tcPr>
            <w:tcW w:w="0" w:type="dxa"/>
            <w:vAlign w:val="bottom"/>
          </w:tcPr>
          <w:p>
            <w:pPr>
              <w:spacing w:after="0"/>
              <w:rPr>
                <w:sz w:val="1"/>
                <w:szCs w:val="1"/>
                <w:color w:val="auto"/>
              </w:rPr>
            </w:pPr>
          </w:p>
        </w:tc>
      </w:tr>
      <w:tr>
        <w:trPr>
          <w:trHeight w:val="33"/>
        </w:trPr>
        <w:tc>
          <w:tcPr>
            <w:tcW w:w="3560" w:type="dxa"/>
            <w:vAlign w:val="bottom"/>
            <w:tcBorders>
              <w:bottom w:val="single" w:sz="8" w:color="0076A8"/>
            </w:tcBorders>
          </w:tcPr>
          <w:p>
            <w:pPr>
              <w:spacing w:after="0"/>
              <w:rPr>
                <w:sz w:val="2"/>
                <w:szCs w:val="2"/>
                <w:color w:val="auto"/>
              </w:rPr>
            </w:pPr>
          </w:p>
        </w:tc>
        <w:tc>
          <w:tcPr>
            <w:tcW w:w="1180" w:type="dxa"/>
            <w:vAlign w:val="bottom"/>
            <w:tcBorders>
              <w:bottom w:val="single" w:sz="8" w:color="0076A8"/>
            </w:tcBorders>
          </w:tcPr>
          <w:p>
            <w:pPr>
              <w:spacing w:after="0"/>
              <w:rPr>
                <w:sz w:val="2"/>
                <w:szCs w:val="2"/>
                <w:color w:val="auto"/>
              </w:rPr>
            </w:pPr>
          </w:p>
        </w:tc>
        <w:tc>
          <w:tcPr>
            <w:tcW w:w="1600" w:type="dxa"/>
            <w:vAlign w:val="bottom"/>
            <w:tcBorders>
              <w:bottom w:val="single" w:sz="8" w:color="0076A8"/>
            </w:tcBorders>
          </w:tcPr>
          <w:p>
            <w:pPr>
              <w:spacing w:after="0"/>
              <w:rPr>
                <w:sz w:val="2"/>
                <w:szCs w:val="2"/>
                <w:color w:val="auto"/>
              </w:rPr>
            </w:pPr>
          </w:p>
        </w:tc>
        <w:tc>
          <w:tcPr>
            <w:tcW w:w="620" w:type="dxa"/>
            <w:vAlign w:val="bottom"/>
            <w:tcBorders>
              <w:bottom w:val="single" w:sz="8" w:color="0076A8"/>
            </w:tcBorders>
          </w:tcPr>
          <w:p>
            <w:pPr>
              <w:spacing w:after="0"/>
              <w:rPr>
                <w:sz w:val="2"/>
                <w:szCs w:val="2"/>
                <w:color w:val="auto"/>
              </w:rPr>
            </w:pPr>
          </w:p>
        </w:tc>
        <w:tc>
          <w:tcPr>
            <w:tcW w:w="1460" w:type="dxa"/>
            <w:vAlign w:val="bottom"/>
            <w:tcBorders>
              <w:bottom w:val="single" w:sz="8" w:color="0076A8"/>
            </w:tcBorders>
          </w:tcPr>
          <w:p>
            <w:pPr>
              <w:spacing w:after="0"/>
              <w:rPr>
                <w:sz w:val="2"/>
                <w:szCs w:val="2"/>
                <w:color w:val="auto"/>
              </w:rPr>
            </w:pPr>
          </w:p>
        </w:tc>
        <w:tc>
          <w:tcPr>
            <w:tcW w:w="980" w:type="dxa"/>
            <w:vAlign w:val="bottom"/>
            <w:tcBorders>
              <w:bottom w:val="single" w:sz="8" w:color="0076A8"/>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720" w:right="740"/>
        <w:spacing w:after="0" w:line="281" w:lineRule="auto"/>
        <w:rPr>
          <w:sz w:val="20"/>
          <w:szCs w:val="20"/>
          <w:color w:val="auto"/>
        </w:rPr>
      </w:pPr>
      <w:r>
        <w:rPr>
          <w:rFonts w:ascii="Arial" w:cs="Arial" w:eastAsia="Arial" w:hAnsi="Arial"/>
          <w:sz w:val="16"/>
          <w:szCs w:val="16"/>
          <w:i w:val="1"/>
          <w:iCs w:val="1"/>
          <w:color w:val="auto"/>
        </w:rPr>
        <w:t>“AC” indicates Audit Committee, “CC” indicates Compensation Committee, “NCGC” indicates Nominating and Corporate Governance Committee, and “C” indicates Committee Chair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660"/>
        <w:spacing w:after="0"/>
        <w:tabs>
          <w:tab w:leader="none" w:pos="4817" w:val="left"/>
        </w:tabs>
        <w:rPr>
          <w:sz w:val="20"/>
          <w:szCs w:val="20"/>
          <w:color w:val="auto"/>
        </w:rPr>
      </w:pPr>
      <w:r>
        <w:rPr>
          <w:rFonts w:ascii="Arial" w:cs="Arial" w:eastAsia="Arial" w:hAnsi="Arial"/>
          <w:sz w:val="16"/>
          <w:szCs w:val="16"/>
          <w:color w:val="auto"/>
        </w:rPr>
        <w:t>8</w:t>
      </w:r>
      <w:r>
        <w:rPr>
          <w:sz w:val="20"/>
          <w:szCs w:val="20"/>
          <w:color w:val="auto"/>
        </w:rPr>
        <w:tab/>
      </w:r>
      <w:r>
        <w:rPr>
          <w:sz w:val="1"/>
          <w:szCs w:val="1"/>
          <w:color w:val="auto"/>
        </w:rPr>
        <w:drawing>
          <wp:inline distT="0" distB="0" distL="0" distR="0">
            <wp:extent cx="779780" cy="257175"/>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116205</wp:posOffset>
            </wp:positionV>
            <wp:extent cx="68319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132" w:right="1259" w:bottom="1440" w:gutter="0" w:footer="0" w:header="0"/>
          <w:type w:val="continuous"/>
        </w:sectPr>
      </w:pPr>
    </w:p>
    <w:bookmarkStart w:id="13" w:name="page14"/>
    <w:bookmarkEnd w:id="1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ectPr>
          <w:pgSz w:w="11900" w:h="16838" w:orient="portrait"/>
          <w:cols w:equalWidth="0" w:num="1">
            <w:col w:w="10720"/>
          </w:cols>
          <w:pgMar w:left="580" w:top="132" w:right="599" w:bottom="1440" w:gutter="0" w:footer="0" w:header="0"/>
        </w:sectPr>
      </w:pPr>
    </w:p>
    <w:p>
      <w:pPr>
        <w:spacing w:after="0" w:line="200" w:lineRule="exact"/>
        <w:rPr>
          <w:sz w:val="20"/>
          <w:szCs w:val="20"/>
          <w:color w:val="auto"/>
        </w:rPr>
      </w:pPr>
    </w:p>
    <w:p>
      <w:pPr>
        <w:spacing w:after="0" w:line="278" w:lineRule="exact"/>
        <w:rPr>
          <w:sz w:val="20"/>
          <w:szCs w:val="20"/>
          <w:color w:val="auto"/>
        </w:rPr>
      </w:pPr>
    </w:p>
    <w:p>
      <w:pPr>
        <w:ind w:left="660"/>
        <w:spacing w:after="0"/>
        <w:rPr>
          <w:sz w:val="20"/>
          <w:szCs w:val="20"/>
          <w:color w:val="auto"/>
        </w:rPr>
      </w:pPr>
      <w:r>
        <w:rPr>
          <w:rFonts w:ascii="Arial" w:cs="Arial" w:eastAsia="Arial" w:hAnsi="Arial"/>
          <w:sz w:val="20"/>
          <w:szCs w:val="20"/>
          <w:color w:val="191919"/>
        </w:rPr>
        <w:t>Immediately below this proposal is biographical information about each of the director nominees, including information regarding each nominee’s business experience for the past five years, and the names of other public companies for which each nominee has served as a director during the past five years. In addition to the information presented below regarding each nominee’s specific experience, qualifications, attributes, and skills that led our Nominating and Corporate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1" w:lineRule="exact"/>
        <w:rPr>
          <w:sz w:val="20"/>
          <w:szCs w:val="20"/>
          <w:color w:val="auto"/>
        </w:rPr>
      </w:pPr>
    </w:p>
    <w:p>
      <w:pPr>
        <w:ind w:right="660"/>
        <w:spacing w:after="0" w:line="254" w:lineRule="auto"/>
        <w:rPr>
          <w:sz w:val="20"/>
          <w:szCs w:val="20"/>
          <w:color w:val="auto"/>
        </w:rPr>
      </w:pPr>
      <w:r>
        <w:rPr>
          <w:rFonts w:ascii="Arial" w:cs="Arial" w:eastAsia="Arial" w:hAnsi="Arial"/>
          <w:sz w:val="20"/>
          <w:szCs w:val="20"/>
          <w:color w:val="191919"/>
        </w:rPr>
        <w:t>Governance Committee and our Board to conclude that he or she should serve as a director, we also believe that each of our directors has a reputation for integrity, honesty, and adherence to high ethical standards. They have each demonstrated business acumen, an ability to exercise sound judgment, knowledge of our business and industry, and the willingness to devote the time needed to be an effective director.</w:t>
      </w:r>
    </w:p>
    <w:p>
      <w:pPr>
        <w:spacing w:after="0" w:line="295" w:lineRule="exact"/>
        <w:rPr>
          <w:sz w:val="20"/>
          <w:szCs w:val="20"/>
          <w:color w:val="auto"/>
        </w:rPr>
      </w:pPr>
    </w:p>
    <w:p>
      <w:pPr>
        <w:sectPr>
          <w:pgSz w:w="11900" w:h="16838" w:orient="portrait"/>
          <w:cols w:equalWidth="0" w:num="2">
            <w:col w:w="5000" w:space="580"/>
            <w:col w:w="5140"/>
          </w:cols>
          <w:pgMar w:left="580" w:top="132" w:right="599" w:bottom="1440" w:gutter="0" w:footer="0" w:header="0"/>
          <w:type w:val="continuous"/>
        </w:sectPr>
      </w:pPr>
    </w:p>
    <w:p>
      <w:pPr>
        <w:spacing w:after="0" w:line="15" w:lineRule="exact"/>
        <w:rPr>
          <w:sz w:val="20"/>
          <w:szCs w:val="20"/>
          <w:color w:val="auto"/>
        </w:rPr>
      </w:pPr>
    </w:p>
    <w:p>
      <w:pPr>
        <w:ind w:left="660"/>
        <w:spacing w:after="0"/>
        <w:rPr>
          <w:sz w:val="20"/>
          <w:szCs w:val="20"/>
          <w:color w:val="auto"/>
        </w:rPr>
      </w:pPr>
      <w:r>
        <w:rPr>
          <w:rFonts w:ascii="Arial" w:cs="Arial" w:eastAsia="Arial" w:hAnsi="Arial"/>
          <w:sz w:val="28"/>
          <w:szCs w:val="28"/>
          <w:b w:val="1"/>
          <w:bCs w:val="1"/>
          <w:color w:val="auto"/>
        </w:rPr>
        <w:t>Majority Vote Standard for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86995</wp:posOffset>
            </wp:positionV>
            <wp:extent cx="597471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974715" cy="825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type w:val="continuous"/>
        </w:sectPr>
      </w:pPr>
    </w:p>
    <w:p>
      <w:pPr>
        <w:spacing w:after="0" w:line="255" w:lineRule="exact"/>
        <w:rPr>
          <w:sz w:val="20"/>
          <w:szCs w:val="20"/>
          <w:color w:val="auto"/>
        </w:rPr>
      </w:pPr>
    </w:p>
    <w:p>
      <w:pPr>
        <w:ind w:left="660"/>
        <w:spacing w:after="0" w:line="253" w:lineRule="auto"/>
        <w:rPr>
          <w:sz w:val="20"/>
          <w:szCs w:val="20"/>
          <w:color w:val="auto"/>
        </w:rPr>
      </w:pPr>
      <w:r>
        <w:rPr>
          <w:rFonts w:ascii="Arial" w:cs="Arial" w:eastAsia="Arial" w:hAnsi="Arial"/>
          <w:sz w:val="20"/>
          <w:szCs w:val="20"/>
          <w:color w:val="191919"/>
        </w:rPr>
        <w:t>A nominee for election as a director in an uncontested election (an election where the number of nominees for election as directors is equal to or less than the number of directors to be elected) will be elected if the number of votes cast “</w:t>
      </w:r>
      <w:r>
        <w:rPr>
          <w:rFonts w:ascii="Arial" w:cs="Arial" w:eastAsia="Arial" w:hAnsi="Arial"/>
          <w:sz w:val="20"/>
          <w:szCs w:val="20"/>
          <w:b w:val="1"/>
          <w:bCs w:val="1"/>
          <w:color w:val="191919"/>
        </w:rPr>
        <w:t>FOR</w:t>
      </w:r>
      <w:r>
        <w:rPr>
          <w:rFonts w:ascii="Arial" w:cs="Arial" w:eastAsia="Arial" w:hAnsi="Arial"/>
          <w:sz w:val="20"/>
          <w:szCs w:val="20"/>
          <w:color w:val="191919"/>
        </w:rPr>
        <w:t>” such nominee’s election exceeds the number of votes cast “</w:t>
      </w:r>
      <w:r>
        <w:rPr>
          <w:rFonts w:ascii="Arial" w:cs="Arial" w:eastAsia="Arial" w:hAnsi="Arial"/>
          <w:sz w:val="20"/>
          <w:szCs w:val="20"/>
          <w:b w:val="1"/>
          <w:bCs w:val="1"/>
          <w:color w:val="191919"/>
        </w:rPr>
        <w:t>AGAINST</w:t>
      </w:r>
      <w:r>
        <w:rPr>
          <w:rFonts w:ascii="Arial" w:cs="Arial" w:eastAsia="Arial" w:hAnsi="Arial"/>
          <w:sz w:val="20"/>
          <w:szCs w:val="20"/>
          <w:color w:val="191919"/>
        </w:rPr>
        <w:t>” the nominee’s election. In a contested election (in which the number of nominees for election as directors exceeds the number of directors to be elected at such meeting), directors are elected by a plurality of all votes cast in such election. The election of directors at this Annual Meeting is uncontested. As a result, each nominee for election as a director at the Annual Meeting will only be elected if the votes cast “</w:t>
      </w:r>
      <w:r>
        <w:rPr>
          <w:rFonts w:ascii="Arial" w:cs="Arial" w:eastAsia="Arial" w:hAnsi="Arial"/>
          <w:sz w:val="20"/>
          <w:szCs w:val="20"/>
          <w:b w:val="1"/>
          <w:bCs w:val="1"/>
          <w:color w:val="191919"/>
        </w:rPr>
        <w:t>FOR</w:t>
      </w:r>
      <w:r>
        <w:rPr>
          <w:rFonts w:ascii="Arial" w:cs="Arial" w:eastAsia="Arial" w:hAnsi="Arial"/>
          <w:sz w:val="20"/>
          <w:szCs w:val="20"/>
          <w:color w:val="191919"/>
        </w:rPr>
        <w:t>” such nominee exceed the number of votes cast “</w:t>
      </w:r>
      <w:r>
        <w:rPr>
          <w:rFonts w:ascii="Arial" w:cs="Arial" w:eastAsia="Arial" w:hAnsi="Arial"/>
          <w:sz w:val="20"/>
          <w:szCs w:val="20"/>
          <w:b w:val="1"/>
          <w:bCs w:val="1"/>
          <w:color w:val="191919"/>
        </w:rPr>
        <w:t>AGAINST</w:t>
      </w:r>
      <w:r>
        <w:rPr>
          <w:rFonts w:ascii="Arial" w:cs="Arial" w:eastAsia="Arial" w:hAnsi="Arial"/>
          <w:sz w:val="20"/>
          <w:szCs w:val="20"/>
          <w:color w:val="191919"/>
        </w:rPr>
        <w:t>” such nominee. As required by our corporate governance guidelines, which are available on the Investor Relations portion of the Company’s website at www.skyworksinc.com, each incumbent director who is a nominee for election as a director at the Annual Meeting submitted to the Board an irrevocable resignation that would</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ind w:right="660"/>
        <w:spacing w:after="0" w:line="255" w:lineRule="auto"/>
        <w:rPr>
          <w:sz w:val="20"/>
          <w:szCs w:val="20"/>
          <w:color w:val="auto"/>
        </w:rPr>
      </w:pPr>
      <w:r>
        <w:rPr>
          <w:rFonts w:ascii="Arial" w:cs="Arial" w:eastAsia="Arial" w:hAnsi="Arial"/>
          <w:sz w:val="20"/>
          <w:szCs w:val="20"/>
          <w:color w:val="191919"/>
        </w:rPr>
        <w:t>become effective if the votes cast “</w:t>
      </w:r>
      <w:r>
        <w:rPr>
          <w:rFonts w:ascii="Arial" w:cs="Arial" w:eastAsia="Arial" w:hAnsi="Arial"/>
          <w:sz w:val="20"/>
          <w:szCs w:val="20"/>
          <w:b w:val="1"/>
          <w:bCs w:val="1"/>
          <w:color w:val="000000"/>
        </w:rPr>
        <w:t>FOR</w:t>
      </w:r>
      <w:r>
        <w:rPr>
          <w:rFonts w:ascii="Arial" w:cs="Arial" w:eastAsia="Arial" w:hAnsi="Arial"/>
          <w:sz w:val="20"/>
          <w:szCs w:val="20"/>
          <w:color w:val="191919"/>
        </w:rPr>
        <w:t>” such nominee’s election do not exceed the votes cast “</w:t>
      </w:r>
      <w:r>
        <w:rPr>
          <w:rFonts w:ascii="Arial" w:cs="Arial" w:eastAsia="Arial" w:hAnsi="Arial"/>
          <w:sz w:val="20"/>
          <w:szCs w:val="20"/>
          <w:b w:val="1"/>
          <w:bCs w:val="1"/>
          <w:color w:val="000000"/>
        </w:rPr>
        <w:t>AGAINST</w:t>
      </w:r>
      <w:r>
        <w:rPr>
          <w:rFonts w:ascii="Arial" w:cs="Arial" w:eastAsia="Arial" w:hAnsi="Arial"/>
          <w:sz w:val="20"/>
          <w:szCs w:val="20"/>
          <w:color w:val="191919"/>
        </w:rPr>
        <w:t>” such nominee’s election and our Board determines to accept his or her resignation. Upon such resignation by a nominee and pursuant to the procedures set forth in the corporate governance guidelines, the Nominating and Corporate Governance Committee will evaluate the best interests of our Company and stockholders and will recommend to our Board the action to be taken with respect to the resignation. The Board will then decide whether to accept, reject, or modify the Nominating and Corporate Governance Committee’s recommendation, and the Company will publicly disclose such decision by the Board with respect to the director nominee.</w:t>
      </w:r>
    </w:p>
    <w:p>
      <w:pPr>
        <w:spacing w:after="0" w:line="218" w:lineRule="exact"/>
        <w:rPr>
          <w:sz w:val="20"/>
          <w:szCs w:val="20"/>
          <w:color w:val="auto"/>
        </w:rPr>
      </w:pPr>
    </w:p>
    <w:p>
      <w:pPr>
        <w:ind w:right="760"/>
        <w:spacing w:after="0" w:line="255" w:lineRule="auto"/>
        <w:rPr>
          <w:sz w:val="20"/>
          <w:szCs w:val="20"/>
          <w:color w:val="auto"/>
        </w:rPr>
      </w:pPr>
      <w:r>
        <w:rPr>
          <w:rFonts w:ascii="Arial" w:cs="Arial" w:eastAsia="Arial" w:hAnsi="Arial"/>
          <w:sz w:val="20"/>
          <w:szCs w:val="20"/>
          <w:color w:val="191919"/>
        </w:rPr>
        <w:t>Shares represented by all proxies received by the Board that are properly completed, but do not specify a choice as to the election of directors, will be voted “</w:t>
      </w:r>
      <w:r>
        <w:rPr>
          <w:rFonts w:ascii="Arial" w:cs="Arial" w:eastAsia="Arial" w:hAnsi="Arial"/>
          <w:sz w:val="20"/>
          <w:szCs w:val="20"/>
          <w:b w:val="1"/>
          <w:bCs w:val="1"/>
          <w:color w:val="191919"/>
        </w:rPr>
        <w:t>FOR</w:t>
      </w:r>
      <w:r>
        <w:rPr>
          <w:rFonts w:ascii="Arial" w:cs="Arial" w:eastAsia="Arial" w:hAnsi="Arial"/>
          <w:sz w:val="20"/>
          <w:szCs w:val="20"/>
          <w:color w:val="191919"/>
        </w:rPr>
        <w:t>” the election of all eight of the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-2553970</wp:posOffset>
            </wp:positionH>
            <wp:positionV relativeFrom="paragraph">
              <wp:posOffset>478155</wp:posOffset>
            </wp:positionV>
            <wp:extent cx="4834890" cy="6515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834890" cy="651510"/>
                    </a:xfrm>
                    <a:prstGeom prst="rect">
                      <a:avLst/>
                    </a:prstGeom>
                    <a:noFill/>
                  </pic:spPr>
                </pic:pic>
              </a:graphicData>
            </a:graphic>
          </wp:anchor>
        </w:drawing>
      </w:r>
    </w:p>
    <w:p>
      <w:pPr>
        <w:spacing w:after="0" w:line="692" w:lineRule="exact"/>
        <w:rPr>
          <w:sz w:val="20"/>
          <w:szCs w:val="20"/>
          <w:color w:val="auto"/>
        </w:rPr>
      </w:pPr>
    </w:p>
    <w:p>
      <w:pPr>
        <w:sectPr>
          <w:pgSz w:w="11900" w:h="16838" w:orient="portrait"/>
          <w:cols w:equalWidth="0" w:num="2">
            <w:col w:w="5100" w:space="480"/>
            <w:col w:w="5140"/>
          </w:cols>
          <w:pgMar w:left="580" w:top="132" w:right="599" w:bottom="1440" w:gutter="0" w:footer="0" w:header="0"/>
          <w:type w:val="continuous"/>
        </w:sectPr>
      </w:pPr>
    </w:p>
    <w:p>
      <w:pPr>
        <w:spacing w:after="0" w:line="217" w:lineRule="exact"/>
        <w:rPr>
          <w:sz w:val="20"/>
          <w:szCs w:val="20"/>
          <w:color w:val="auto"/>
        </w:rPr>
      </w:pPr>
    </w:p>
    <w:p>
      <w:pPr>
        <w:jc w:val="center"/>
        <w:ind w:left="1660" w:right="1880"/>
        <w:spacing w:after="0" w:line="282" w:lineRule="auto"/>
        <w:rPr>
          <w:sz w:val="20"/>
          <w:szCs w:val="20"/>
          <w:color w:val="auto"/>
        </w:rPr>
      </w:pPr>
      <w:r>
        <w:rPr>
          <w:rFonts w:ascii="Arial" w:cs="Arial" w:eastAsia="Arial" w:hAnsi="Arial"/>
          <w:sz w:val="18"/>
          <w:szCs w:val="18"/>
          <w:i w:val="1"/>
          <w:iCs w:val="1"/>
          <w:color w:val="0076A8"/>
        </w:rPr>
        <w:t>THE BOARD OF DIRECTORS UNANIMOUSLY RECOMMENDS A VOTE “FOR” THE ELECTION OF EACH OF THE EIGHT NOMINEES IN PROPOSAL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3080385</wp:posOffset>
            </wp:positionH>
            <wp:positionV relativeFrom="paragraph">
              <wp:posOffset>885825</wp:posOffset>
            </wp:positionV>
            <wp:extent cx="779780" cy="2571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7978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920" w:type="dxa"/>
            <w:vAlign w:val="bottom"/>
          </w:tcPr>
          <w:p>
            <w:pPr>
              <w:ind w:left="660"/>
              <w:spacing w:after="0"/>
              <w:rPr>
                <w:sz w:val="20"/>
                <w:szCs w:val="20"/>
                <w:color w:val="auto"/>
              </w:rPr>
            </w:pPr>
            <w:r>
              <w:rPr>
                <w:rFonts w:ascii="Arial" w:cs="Arial" w:eastAsia="Arial" w:hAnsi="Arial"/>
                <w:sz w:val="16"/>
                <w:szCs w:val="16"/>
                <w:color w:val="auto"/>
              </w:rPr>
              <w:t>Proxy Statement</w:t>
            </w:r>
          </w:p>
        </w:tc>
        <w:tc>
          <w:tcPr>
            <w:tcW w:w="4800" w:type="dxa"/>
            <w:vAlign w:val="bottom"/>
          </w:tcPr>
          <w:p>
            <w:pPr>
              <w:jc w:val="right"/>
              <w:ind w:right="579"/>
              <w:spacing w:after="0"/>
              <w:rPr>
                <w:sz w:val="20"/>
                <w:szCs w:val="20"/>
                <w:color w:val="auto"/>
              </w:rPr>
            </w:pPr>
            <w:r>
              <w:rPr>
                <w:rFonts w:ascii="Arial" w:cs="Arial" w:eastAsia="Arial" w:hAnsi="Arial"/>
                <w:sz w:val="16"/>
                <w:szCs w:val="16"/>
                <w:color w:val="auto"/>
              </w:rPr>
              <w:t>9</w:t>
            </w:r>
          </w:p>
        </w:tc>
      </w:tr>
      <w:tr>
        <w:trPr>
          <w:trHeight w:val="297"/>
        </w:trPr>
        <w:tc>
          <w:tcPr>
            <w:tcW w:w="5920" w:type="dxa"/>
            <w:vAlign w:val="bottom"/>
            <w:tcBorders>
              <w:bottom w:val="single" w:sz="8" w:color="9A9A9A"/>
            </w:tcBorders>
          </w:tcPr>
          <w:p>
            <w:pPr>
              <w:spacing w:after="0"/>
              <w:rPr>
                <w:sz w:val="24"/>
                <w:szCs w:val="24"/>
                <w:color w:val="auto"/>
              </w:rPr>
            </w:pPr>
          </w:p>
        </w:tc>
        <w:tc>
          <w:tcPr>
            <w:tcW w:w="4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type w:val="continuous"/>
        </w:sectPr>
      </w:pPr>
    </w:p>
    <w:bookmarkStart w:id="14" w:name="page15"/>
    <w:bookmarkEnd w:id="1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Arial" w:cs="Arial" w:eastAsia="Arial" w:hAnsi="Arial"/>
          <w:sz w:val="29"/>
          <w:szCs w:val="29"/>
          <w:b w:val="1"/>
          <w:bCs w:val="1"/>
          <w:color w:val="auto"/>
        </w:rPr>
        <w:t>Nominees for 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79375</wp:posOffset>
            </wp:positionV>
            <wp:extent cx="597471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974715" cy="8255"/>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276860</wp:posOffset>
            </wp:positionV>
            <wp:extent cx="5974715" cy="2743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974715" cy="27432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780"/>
        <w:spacing w:after="0"/>
        <w:tabs>
          <w:tab w:leader="none" w:pos="6920" w:val="left"/>
          <w:tab w:leader="none" w:pos="8680" w:val="left"/>
        </w:tabs>
        <w:rPr>
          <w:sz w:val="20"/>
          <w:szCs w:val="20"/>
          <w:color w:val="auto"/>
        </w:rPr>
      </w:pPr>
      <w:r>
        <w:rPr>
          <w:rFonts w:ascii="Arial" w:cs="Arial" w:eastAsia="Arial" w:hAnsi="Arial"/>
          <w:sz w:val="20"/>
          <w:szCs w:val="20"/>
          <w:b w:val="1"/>
          <w:bCs w:val="1"/>
          <w:color w:val="FFFFFF"/>
        </w:rPr>
        <w:t xml:space="preserve">Liam K. Griffin, </w:t>
      </w:r>
      <w:r>
        <w:rPr>
          <w:rFonts w:ascii="Arial" w:cs="Arial" w:eastAsia="Arial" w:hAnsi="Arial"/>
          <w:sz w:val="20"/>
          <w:szCs w:val="20"/>
          <w:i w:val="1"/>
          <w:iCs w:val="1"/>
          <w:color w:val="FFFFFF"/>
        </w:rPr>
        <w:t>Chairman, Chief Executive Officer and President</w:t>
      </w:r>
      <w:r>
        <w:rPr>
          <w:sz w:val="20"/>
          <w:szCs w:val="20"/>
          <w:color w:val="auto"/>
        </w:rPr>
        <w:tab/>
      </w:r>
      <w:r>
        <w:rPr>
          <w:rFonts w:ascii="Arial" w:cs="Arial" w:eastAsia="Arial" w:hAnsi="Arial"/>
          <w:sz w:val="18"/>
          <w:szCs w:val="18"/>
          <w:color w:val="FFFFFF"/>
        </w:rPr>
        <w:t>Director since: 2016</w:t>
        <w:tab/>
        <w:t>•  Age: 55</w:t>
      </w:r>
    </w:p>
    <w:p>
      <w:pPr>
        <w:sectPr>
          <w:pgSz w:w="11900" w:h="16838" w:orient="portrait"/>
          <w:cols w:equalWidth="0" w:num="1">
            <w:col w:w="10060"/>
          </w:cols>
          <w:pgMar w:left="580" w:top="132" w:right="1259" w:bottom="1440" w:gutter="0" w:footer="0" w:header="0"/>
        </w:sectPr>
      </w:pPr>
    </w:p>
    <w:p>
      <w:pPr>
        <w:spacing w:after="0" w:line="200" w:lineRule="exact"/>
        <w:rPr>
          <w:sz w:val="20"/>
          <w:szCs w:val="20"/>
          <w:color w:val="auto"/>
        </w:rPr>
      </w:pP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Prior to his appointment as Chairman of the Board in May 2021,</w:t>
      </w:r>
    </w:p>
    <w:p>
      <w:pPr>
        <w:spacing w:after="0" w:line="13" w:lineRule="exact"/>
        <w:rPr>
          <w:sz w:val="20"/>
          <w:szCs w:val="20"/>
          <w:color w:val="auto"/>
        </w:rPr>
      </w:pPr>
    </w:p>
    <w:p>
      <w:pPr>
        <w:ind w:left="660"/>
        <w:spacing w:after="0" w:line="254" w:lineRule="auto"/>
        <w:rPr>
          <w:sz w:val="20"/>
          <w:szCs w:val="20"/>
          <w:color w:val="auto"/>
        </w:rPr>
      </w:pPr>
      <w:r>
        <w:rPr>
          <w:rFonts w:ascii="Arial" w:cs="Arial" w:eastAsia="Arial" w:hAnsi="Arial"/>
          <w:sz w:val="20"/>
          <w:szCs w:val="20"/>
          <w:color w:val="auto"/>
        </w:rPr>
        <w:t>Mr. Griffin had served as Chief Executive Officer and a director since May 2016 and as President since May 2014. He served as Executive Vice President and Corporate General Manager from November 2012 to May 2014, Executive Vice President and General Manager, High Performance Analog from May 2011 to November 2012, and Senior Vice President, Sales and Marketing from August 2001 to May 2011. Previously, Mr. Griffin was employed by Vectron International, a division of Dover Corp., as Vice President of Worldwide Sales from 1997 to 2001 and as Vice President of North American Sales from 1995 to 1997.</w:t>
      </w:r>
    </w:p>
    <w:p>
      <w:pPr>
        <w:spacing w:after="0" w:line="134" w:lineRule="exact"/>
        <w:rPr>
          <w:sz w:val="20"/>
          <w:szCs w:val="20"/>
          <w:color w:val="auto"/>
        </w:rPr>
      </w:pPr>
    </w:p>
    <w:p>
      <w:pPr>
        <w:ind w:left="660" w:right="20"/>
        <w:spacing w:after="0" w:line="260" w:lineRule="auto"/>
        <w:rPr>
          <w:sz w:val="20"/>
          <w:szCs w:val="20"/>
          <w:color w:val="auto"/>
        </w:rPr>
      </w:pPr>
      <w:r>
        <w:rPr>
          <w:rFonts w:ascii="Arial" w:cs="Arial" w:eastAsia="Arial" w:hAnsi="Arial"/>
          <w:sz w:val="20"/>
          <w:szCs w:val="20"/>
          <w:b w:val="1"/>
          <w:bCs w:val="1"/>
          <w:color w:val="0076A8"/>
        </w:rPr>
        <w:t xml:space="preserve">Qualifications: </w:t>
      </w:r>
      <w:r>
        <w:rPr>
          <w:rFonts w:ascii="Arial" w:cs="Arial" w:eastAsia="Arial" w:hAnsi="Arial"/>
          <w:sz w:val="20"/>
          <w:szCs w:val="20"/>
          <w:color w:val="0076A8"/>
        </w:rPr>
        <w:t>We believe that Mr. Griffin’s qualifications to serve</w:t>
      </w:r>
      <w:r>
        <w:rPr>
          <w:rFonts w:ascii="Arial" w:cs="Arial" w:eastAsia="Arial" w:hAnsi="Arial"/>
          <w:sz w:val="20"/>
          <w:szCs w:val="20"/>
          <w:b w:val="1"/>
          <w:bCs w:val="1"/>
          <w:color w:val="0076A8"/>
        </w:rPr>
        <w:t xml:space="preserve"> </w:t>
      </w:r>
      <w:r>
        <w:rPr>
          <w:rFonts w:ascii="Arial" w:cs="Arial" w:eastAsia="Arial" w:hAnsi="Arial"/>
          <w:sz w:val="20"/>
          <w:szCs w:val="20"/>
          <w:color w:val="0076A8"/>
        </w:rPr>
        <w:t>as a director include his strong relationships with Skyworks’ key customers, investors, employees, and other stakeholders, as well as his deep understanding of the semiconductor industry and its competitive landscape gained through serving in several different executive positions at Skyworks.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259715</wp:posOffset>
            </wp:positionV>
            <wp:extent cx="5974715" cy="2743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974715" cy="2743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0076A8"/>
        </w:rPr>
        <w:t>Committee(s)</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 None</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0076A8"/>
        </w:rPr>
        <w:t>Other Public Company Boards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Current</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 National Instruments Corporation</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Past 5 Years</w:t>
      </w: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color w:val="auto"/>
        </w:rPr>
        <w:t>• Vicor Corporation (until 2019)</w:t>
      </w:r>
    </w:p>
    <w:p>
      <w:pPr>
        <w:spacing w:after="0" w:line="2696" w:lineRule="exact"/>
        <w:rPr>
          <w:sz w:val="20"/>
          <w:szCs w:val="20"/>
          <w:color w:val="auto"/>
        </w:rPr>
      </w:pPr>
    </w:p>
    <w:p>
      <w:pPr>
        <w:sectPr>
          <w:pgSz w:w="11900" w:h="16838" w:orient="portrait"/>
          <w:cols w:equalWidth="0" w:num="2">
            <w:col w:w="6660" w:space="280"/>
            <w:col w:w="3120"/>
          </w:cols>
          <w:pgMar w:left="580" w:top="132" w:right="1259" w:bottom="1440" w:gutter="0" w:footer="0" w:header="0"/>
          <w:type w:val="continuous"/>
        </w:sectPr>
      </w:pPr>
    </w:p>
    <w:p>
      <w:pPr>
        <w:spacing w:after="0" w:line="290" w:lineRule="exact"/>
        <w:rPr>
          <w:sz w:val="20"/>
          <w:szCs w:val="20"/>
          <w:color w:val="auto"/>
        </w:rPr>
      </w:pPr>
    </w:p>
    <w:p>
      <w:pPr>
        <w:ind w:left="780"/>
        <w:spacing w:after="0"/>
        <w:tabs>
          <w:tab w:leader="none" w:pos="6900" w:val="left"/>
          <w:tab w:leader="none" w:pos="8640" w:val="left"/>
        </w:tabs>
        <w:rPr>
          <w:sz w:val="20"/>
          <w:szCs w:val="20"/>
          <w:color w:val="auto"/>
        </w:rPr>
      </w:pPr>
      <w:r>
        <w:rPr>
          <w:rFonts w:ascii="Arial" w:cs="Arial" w:eastAsia="Arial" w:hAnsi="Arial"/>
          <w:sz w:val="20"/>
          <w:szCs w:val="20"/>
          <w:b w:val="1"/>
          <w:bCs w:val="1"/>
          <w:color w:val="FFFFFF"/>
        </w:rPr>
        <w:t xml:space="preserve">Christine King, </w:t>
      </w:r>
      <w:r>
        <w:rPr>
          <w:rFonts w:ascii="Arial" w:cs="Arial" w:eastAsia="Arial" w:hAnsi="Arial"/>
          <w:sz w:val="20"/>
          <w:szCs w:val="20"/>
          <w:i w:val="1"/>
          <w:iCs w:val="1"/>
          <w:color w:val="FFFFFF"/>
        </w:rPr>
        <w:t>Lead Independent Director</w:t>
      </w:r>
      <w:r>
        <w:rPr>
          <w:sz w:val="20"/>
          <w:szCs w:val="20"/>
          <w:color w:val="auto"/>
        </w:rPr>
        <w:tab/>
      </w:r>
      <w:r>
        <w:rPr>
          <w:rFonts w:ascii="Arial" w:cs="Arial" w:eastAsia="Arial" w:hAnsi="Arial"/>
          <w:sz w:val="18"/>
          <w:szCs w:val="18"/>
          <w:color w:val="FFFFFF"/>
        </w:rPr>
        <w:t>Director since: 2014</w:t>
        <w:tab/>
        <w:t>•  Age: 72</w:t>
      </w:r>
    </w:p>
    <w:p>
      <w:pPr>
        <w:sectPr>
          <w:pgSz w:w="11900" w:h="16838" w:orient="portrait"/>
          <w:cols w:equalWidth="0" w:num="1">
            <w:col w:w="10060"/>
          </w:cols>
          <w:pgMar w:left="580" w:top="132" w:right="1259" w:bottom="1440" w:gutter="0" w:footer="0" w:header="0"/>
          <w:type w:val="continuous"/>
        </w:sectPr>
      </w:pPr>
    </w:p>
    <w:p>
      <w:pPr>
        <w:spacing w:after="0" w:line="200" w:lineRule="exact"/>
        <w:rPr>
          <w:sz w:val="20"/>
          <w:szCs w:val="20"/>
          <w:color w:val="auto"/>
        </w:rPr>
      </w:pPr>
    </w:p>
    <w:p>
      <w:pPr>
        <w:spacing w:after="0" w:line="202" w:lineRule="exact"/>
        <w:rPr>
          <w:sz w:val="20"/>
          <w:szCs w:val="20"/>
          <w:color w:val="auto"/>
        </w:rPr>
      </w:pPr>
    </w:p>
    <w:p>
      <w:pPr>
        <w:ind w:left="660" w:right="340"/>
        <w:spacing w:after="0" w:line="266" w:lineRule="auto"/>
        <w:rPr>
          <w:sz w:val="20"/>
          <w:szCs w:val="20"/>
          <w:color w:val="auto"/>
        </w:rPr>
      </w:pPr>
      <w:r>
        <w:rPr>
          <w:rFonts w:ascii="Arial" w:cs="Arial" w:eastAsia="Arial" w:hAnsi="Arial"/>
          <w:sz w:val="19"/>
          <w:szCs w:val="19"/>
          <w:color w:val="auto"/>
        </w:rPr>
        <w:t>Ms. King has been Lead Independent Director since 2019. She served as Executive Chairman of QLogic Corporation (a publicly traded developer of high-performance server and storage networking connectivity products) from August 2015 until</w:t>
      </w:r>
    </w:p>
    <w:p>
      <w:pPr>
        <w:spacing w:after="0" w:line="3" w:lineRule="exact"/>
        <w:rPr>
          <w:sz w:val="20"/>
          <w:szCs w:val="20"/>
          <w:color w:val="auto"/>
        </w:rPr>
      </w:pPr>
    </w:p>
    <w:p>
      <w:pPr>
        <w:ind w:left="660" w:right="60"/>
        <w:spacing w:after="0" w:line="269" w:lineRule="auto"/>
        <w:rPr>
          <w:sz w:val="20"/>
          <w:szCs w:val="20"/>
          <w:color w:val="auto"/>
        </w:rPr>
      </w:pPr>
      <w:r>
        <w:rPr>
          <w:rFonts w:ascii="Arial" w:cs="Arial" w:eastAsia="Arial" w:hAnsi="Arial"/>
          <w:sz w:val="19"/>
          <w:szCs w:val="19"/>
          <w:color w:val="auto"/>
        </w:rPr>
        <w:t>August 2016, when it was acquired by Cavium, Inc. Previously, she served as Chief Executive Officer of Standard Microsystems Corporation (a publicly traded developer of silicon-based integrated circuits utilizing analog and mixed-signal technologies) from 2008 until the company’s acquisition in 2012 by Microchip Technology, Inc. Prior to Standard Microsystems, Ms. King was Chief Executive Officer of AMI Semiconductor, Inc., a publicly traded company, from 2001 until it was acquired by ON Semiconductor Corp. in 2008.</w:t>
      </w:r>
    </w:p>
    <w:p>
      <w:pPr>
        <w:spacing w:after="0" w:line="123" w:lineRule="exact"/>
        <w:rPr>
          <w:sz w:val="20"/>
          <w:szCs w:val="20"/>
          <w:color w:val="auto"/>
        </w:rPr>
      </w:pPr>
    </w:p>
    <w:p>
      <w:pPr>
        <w:ind w:left="660"/>
        <w:spacing w:after="0" w:line="264" w:lineRule="auto"/>
        <w:rPr>
          <w:sz w:val="20"/>
          <w:szCs w:val="20"/>
          <w:color w:val="auto"/>
        </w:rPr>
      </w:pPr>
      <w:r>
        <w:rPr>
          <w:rFonts w:ascii="Arial" w:cs="Arial" w:eastAsia="Arial" w:hAnsi="Arial"/>
          <w:sz w:val="20"/>
          <w:szCs w:val="20"/>
          <w:b w:val="1"/>
          <w:bCs w:val="1"/>
          <w:color w:val="0076A8"/>
        </w:rPr>
        <w:t xml:space="preserve">Qualifications: </w:t>
      </w:r>
      <w:r>
        <w:rPr>
          <w:rFonts w:ascii="Arial" w:cs="Arial" w:eastAsia="Arial" w:hAnsi="Arial"/>
          <w:sz w:val="20"/>
          <w:szCs w:val="20"/>
          <w:color w:val="0076A8"/>
        </w:rPr>
        <w:t>We believe that Ms. King’s qualifications to serve as</w:t>
      </w:r>
      <w:r>
        <w:rPr>
          <w:rFonts w:ascii="Arial" w:cs="Arial" w:eastAsia="Arial" w:hAnsi="Arial"/>
          <w:sz w:val="20"/>
          <w:szCs w:val="20"/>
          <w:b w:val="1"/>
          <w:bCs w:val="1"/>
          <w:color w:val="0076A8"/>
        </w:rPr>
        <w:t xml:space="preserve"> </w:t>
      </w:r>
      <w:r>
        <w:rPr>
          <w:rFonts w:ascii="Arial" w:cs="Arial" w:eastAsia="Arial" w:hAnsi="Arial"/>
          <w:sz w:val="20"/>
          <w:szCs w:val="20"/>
          <w:color w:val="0076A8"/>
        </w:rPr>
        <w:t>a director include her extensive management and operational experience in the high-tech and semiconductor industries as well as her significant strategic and financial expertise.</w:t>
      </w:r>
    </w:p>
    <w:p>
      <w:pPr>
        <w:spacing w:after="0" w:line="20" w:lineRule="exact"/>
        <w:rPr>
          <w:sz w:val="20"/>
          <w:szCs w:val="20"/>
          <w:color w:val="auto"/>
        </w:rPr>
      </w:pPr>
      <w:r>
        <w:rPr>
          <w:sz w:val="20"/>
          <w:szCs w:val="20"/>
          <w:color w:val="auto"/>
        </w:rPr>
        <w:br w:type="column"/>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0076A8"/>
        </w:rPr>
        <w:t>Committee(s)</w:t>
      </w:r>
    </w:p>
    <w:p>
      <w:pPr>
        <w:spacing w:after="0" w:line="74" w:lineRule="exact"/>
        <w:rPr>
          <w:sz w:val="20"/>
          <w:szCs w:val="20"/>
          <w:color w:val="auto"/>
        </w:rPr>
      </w:pPr>
    </w:p>
    <w:p>
      <w:pPr>
        <w:ind w:left="160" w:hanging="155"/>
        <w:spacing w:after="0"/>
        <w:tabs>
          <w:tab w:leader="none" w:pos="1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Audit</w:t>
      </w:r>
    </w:p>
    <w:p>
      <w:pPr>
        <w:spacing w:after="0" w:line="18" w:lineRule="exact"/>
        <w:rPr>
          <w:rFonts w:ascii="Arial" w:cs="Arial" w:eastAsia="Arial" w:hAnsi="Arial"/>
          <w:sz w:val="16"/>
          <w:szCs w:val="16"/>
          <w:color w:val="auto"/>
        </w:rPr>
      </w:pPr>
    </w:p>
    <w:p>
      <w:pPr>
        <w:ind w:left="160" w:hanging="155"/>
        <w:spacing w:after="0"/>
        <w:tabs>
          <w:tab w:leader="none" w:pos="1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Compensation (Chair)</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0076A8"/>
        </w:rPr>
        <w:t>Other Public Company Boards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Current</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 None</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Past 5 Years</w:t>
      </w:r>
    </w:p>
    <w:p>
      <w:pPr>
        <w:spacing w:after="0" w:line="39" w:lineRule="exact"/>
        <w:rPr>
          <w:sz w:val="20"/>
          <w:szCs w:val="20"/>
          <w:color w:val="auto"/>
        </w:rPr>
      </w:pPr>
    </w:p>
    <w:p>
      <w:pPr>
        <w:ind w:left="160" w:hanging="155"/>
        <w:spacing w:after="0"/>
        <w:tabs>
          <w:tab w:leader="none" w:pos="1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Allegro MicroSystems, Inc. (until 2021)</w:t>
      </w:r>
    </w:p>
    <w:p>
      <w:pPr>
        <w:spacing w:after="0" w:line="32" w:lineRule="exact"/>
        <w:rPr>
          <w:rFonts w:ascii="Arial" w:cs="Arial" w:eastAsia="Arial" w:hAnsi="Arial"/>
          <w:sz w:val="16"/>
          <w:szCs w:val="16"/>
          <w:color w:val="auto"/>
        </w:rPr>
      </w:pPr>
    </w:p>
    <w:p>
      <w:pPr>
        <w:ind w:left="160" w:hanging="155"/>
        <w:spacing w:after="0"/>
        <w:tabs>
          <w:tab w:leader="none" w:pos="1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IDACORP, Inc. (until 2021)</w:t>
      </w:r>
    </w:p>
    <w:p>
      <w:pPr>
        <w:spacing w:after="0" w:line="18" w:lineRule="exact"/>
        <w:rPr>
          <w:rFonts w:ascii="Arial" w:cs="Arial" w:eastAsia="Arial" w:hAnsi="Arial"/>
          <w:sz w:val="16"/>
          <w:szCs w:val="16"/>
          <w:color w:val="auto"/>
        </w:rPr>
      </w:pPr>
    </w:p>
    <w:p>
      <w:pPr>
        <w:ind w:left="160" w:hanging="155"/>
        <w:spacing w:after="0"/>
        <w:tabs>
          <w:tab w:leader="none" w:pos="1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Cirrus Logic, Inc. (until 2018)</w:t>
      </w:r>
    </w:p>
    <w:p>
      <w:pPr>
        <w:spacing w:after="0" w:line="1835" w:lineRule="exact"/>
        <w:rPr>
          <w:sz w:val="20"/>
          <w:szCs w:val="20"/>
          <w:color w:val="auto"/>
        </w:rPr>
      </w:pPr>
    </w:p>
    <w:p>
      <w:pPr>
        <w:sectPr>
          <w:pgSz w:w="11900" w:h="16838" w:orient="portrait"/>
          <w:cols w:equalWidth="0" w:num="2">
            <w:col w:w="6620" w:space="280"/>
            <w:col w:w="3160"/>
          </w:cols>
          <w:pgMar w:left="580" w:top="132" w:right="1259" w:bottom="1440" w:gutter="0" w:footer="0" w:header="0"/>
          <w:type w:val="continuous"/>
        </w:sectPr>
      </w:pPr>
    </w:p>
    <w:p>
      <w:pPr>
        <w:spacing w:after="0" w:line="294" w:lineRule="exact"/>
        <w:rPr>
          <w:sz w:val="20"/>
          <w:szCs w:val="20"/>
          <w:color w:val="auto"/>
        </w:rPr>
      </w:pPr>
    </w:p>
    <w:p>
      <w:pPr>
        <w:ind w:left="660"/>
        <w:spacing w:after="0"/>
        <w:tabs>
          <w:tab w:leader="none" w:pos="4817" w:val="left"/>
        </w:tabs>
        <w:rPr>
          <w:sz w:val="20"/>
          <w:szCs w:val="20"/>
          <w:color w:val="auto"/>
        </w:rPr>
      </w:pPr>
      <w:r>
        <w:rPr>
          <w:rFonts w:ascii="Arial" w:cs="Arial" w:eastAsia="Arial" w:hAnsi="Arial"/>
          <w:sz w:val="16"/>
          <w:szCs w:val="16"/>
          <w:color w:val="auto"/>
        </w:rPr>
        <w:t>10</w:t>
      </w:r>
      <w:r>
        <w:rPr>
          <w:sz w:val="20"/>
          <w:szCs w:val="20"/>
          <w:color w:val="auto"/>
        </w:rPr>
        <w:tab/>
      </w:r>
      <w:r>
        <w:rPr>
          <w:sz w:val="1"/>
          <w:szCs w:val="1"/>
          <w:color w:val="auto"/>
        </w:rPr>
        <w:drawing>
          <wp:inline distT="0" distB="0" distL="0" distR="0">
            <wp:extent cx="779780" cy="257175"/>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132" w:right="1259" w:bottom="1440" w:gutter="0" w:footer="0" w:header="0"/>
          <w:type w:val="continuous"/>
        </w:sectPr>
      </w:pPr>
    </w:p>
    <w:bookmarkStart w:id="15" w:name="page16"/>
    <w:bookmarkEnd w:id="1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382905</wp:posOffset>
            </wp:positionV>
            <wp:extent cx="5974715" cy="2743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97471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780"/>
        <w:spacing w:after="0"/>
        <w:rPr>
          <w:sz w:val="20"/>
          <w:szCs w:val="20"/>
          <w:color w:val="auto"/>
        </w:rPr>
      </w:pPr>
      <w:r>
        <w:rPr>
          <w:rFonts w:ascii="Arial" w:cs="Arial" w:eastAsia="Arial" w:hAnsi="Arial"/>
          <w:sz w:val="20"/>
          <w:szCs w:val="20"/>
          <w:b w:val="1"/>
          <w:bCs w:val="1"/>
          <w:color w:val="FFFFFF"/>
        </w:rPr>
        <w:t>Alan S. Batey</w:t>
      </w:r>
    </w:p>
    <w:p>
      <w:pPr>
        <w:spacing w:after="0" w:line="200" w:lineRule="exact"/>
        <w:rPr>
          <w:sz w:val="20"/>
          <w:szCs w:val="20"/>
          <w:color w:val="auto"/>
        </w:rPr>
      </w:pPr>
    </w:p>
    <w:p>
      <w:pPr>
        <w:spacing w:after="0" w:line="202" w:lineRule="exact"/>
        <w:rPr>
          <w:sz w:val="20"/>
          <w:szCs w:val="20"/>
          <w:color w:val="auto"/>
        </w:rPr>
      </w:pPr>
    </w:p>
    <w:p>
      <w:pPr>
        <w:ind w:left="660" w:right="120"/>
        <w:spacing w:after="0" w:line="254" w:lineRule="auto"/>
        <w:rPr>
          <w:sz w:val="20"/>
          <w:szCs w:val="20"/>
          <w:color w:val="auto"/>
        </w:rPr>
      </w:pPr>
      <w:r>
        <w:rPr>
          <w:rFonts w:ascii="Arial" w:cs="Arial" w:eastAsia="Arial" w:hAnsi="Arial"/>
          <w:sz w:val="20"/>
          <w:szCs w:val="20"/>
          <w:color w:val="auto"/>
        </w:rPr>
        <w:t>Mr. Batey served as Executive Vice President and President of North America for General Motors Company (a publicly traded automotive manufacturer), as well as the Global Brand Chief for Chevrolet, a division of General Motors Company, from 2014 until 2019. His career spans more than 39 years with General Motors where he held various senior management positions in operations, marketing, and sales around the world.</w:t>
      </w:r>
    </w:p>
    <w:p>
      <w:pPr>
        <w:spacing w:after="0" w:line="135" w:lineRule="exact"/>
        <w:rPr>
          <w:sz w:val="20"/>
          <w:szCs w:val="20"/>
          <w:color w:val="auto"/>
        </w:rPr>
      </w:pPr>
    </w:p>
    <w:p>
      <w:pPr>
        <w:jc w:val="both"/>
        <w:ind w:left="660" w:right="80"/>
        <w:spacing w:after="0" w:line="260" w:lineRule="auto"/>
        <w:rPr>
          <w:sz w:val="20"/>
          <w:szCs w:val="20"/>
          <w:color w:val="auto"/>
        </w:rPr>
      </w:pPr>
      <w:r>
        <w:rPr>
          <w:rFonts w:ascii="Arial" w:cs="Arial" w:eastAsia="Arial" w:hAnsi="Arial"/>
          <w:sz w:val="20"/>
          <w:szCs w:val="20"/>
          <w:b w:val="1"/>
          <w:bCs w:val="1"/>
          <w:color w:val="0076A8"/>
        </w:rPr>
        <w:t xml:space="preserve">Qualifications: </w:t>
      </w:r>
      <w:r>
        <w:rPr>
          <w:rFonts w:ascii="Arial" w:cs="Arial" w:eastAsia="Arial" w:hAnsi="Arial"/>
          <w:sz w:val="20"/>
          <w:szCs w:val="20"/>
          <w:color w:val="0076A8"/>
        </w:rPr>
        <w:t>We believe that Mr. Batey’s qualifications to serve</w:t>
      </w:r>
      <w:r>
        <w:rPr>
          <w:rFonts w:ascii="Arial" w:cs="Arial" w:eastAsia="Arial" w:hAnsi="Arial"/>
          <w:sz w:val="20"/>
          <w:szCs w:val="20"/>
          <w:b w:val="1"/>
          <w:bCs w:val="1"/>
          <w:color w:val="0076A8"/>
        </w:rPr>
        <w:t xml:space="preserve"> </w:t>
      </w:r>
      <w:r>
        <w:rPr>
          <w:rFonts w:ascii="Arial" w:cs="Arial" w:eastAsia="Arial" w:hAnsi="Arial"/>
          <w:sz w:val="20"/>
          <w:szCs w:val="20"/>
          <w:color w:val="0076A8"/>
        </w:rPr>
        <w:t>as a director include his extensive senior management experience at General Motors, where he developed expertise on a broad set of complex strategic, operational, and technological matters involving the automotive industry, an industry that is expected to be a growth market for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122555</wp:posOffset>
            </wp:positionV>
            <wp:extent cx="5974715" cy="2743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974715" cy="274320"/>
                    </a:xfrm>
                    <a:prstGeom prst="rect">
                      <a:avLst/>
                    </a:prstGeom>
                    <a:noFill/>
                  </pic:spPr>
                </pic:pic>
              </a:graphicData>
            </a:graphic>
          </wp:anchor>
        </w:drawing>
      </w:r>
    </w:p>
    <w:p>
      <w:pPr>
        <w:spacing w:after="0" w:line="254" w:lineRule="exact"/>
        <w:rPr>
          <w:sz w:val="20"/>
          <w:szCs w:val="20"/>
          <w:color w:val="auto"/>
        </w:rPr>
      </w:pPr>
    </w:p>
    <w:p>
      <w:pPr>
        <w:ind w:left="780"/>
        <w:spacing w:after="0"/>
        <w:rPr>
          <w:sz w:val="20"/>
          <w:szCs w:val="20"/>
          <w:color w:val="auto"/>
        </w:rPr>
      </w:pPr>
      <w:r>
        <w:rPr>
          <w:rFonts w:ascii="Arial" w:cs="Arial" w:eastAsia="Arial" w:hAnsi="Arial"/>
          <w:sz w:val="20"/>
          <w:szCs w:val="20"/>
          <w:b w:val="1"/>
          <w:bCs w:val="1"/>
          <w:color w:val="FFFFFF"/>
        </w:rPr>
        <w:t>Kevin L. Beebe</w:t>
      </w:r>
    </w:p>
    <w:p>
      <w:pPr>
        <w:spacing w:after="0" w:line="200" w:lineRule="exact"/>
        <w:rPr>
          <w:sz w:val="20"/>
          <w:szCs w:val="20"/>
          <w:color w:val="auto"/>
        </w:rPr>
      </w:pPr>
    </w:p>
    <w:p>
      <w:pPr>
        <w:spacing w:after="0" w:line="202" w:lineRule="exact"/>
        <w:rPr>
          <w:sz w:val="20"/>
          <w:szCs w:val="20"/>
          <w:color w:val="auto"/>
        </w:rPr>
      </w:pPr>
    </w:p>
    <w:p>
      <w:pPr>
        <w:ind w:left="660"/>
        <w:spacing w:after="0" w:line="254" w:lineRule="auto"/>
        <w:rPr>
          <w:sz w:val="20"/>
          <w:szCs w:val="20"/>
          <w:color w:val="auto"/>
        </w:rPr>
      </w:pPr>
      <w:r>
        <w:rPr>
          <w:rFonts w:ascii="Arial" w:cs="Arial" w:eastAsia="Arial" w:hAnsi="Arial"/>
          <w:sz w:val="20"/>
          <w:szCs w:val="20"/>
          <w:color w:val="auto"/>
        </w:rPr>
        <w:t>Mr. Beebe has been President and Chief Executive Officer of 2BPartners, LLC (a partnership that provides strategic, financial, and operational advice to private equity investors and management) since 2007. In 2014, Mr. Beebe became a founding partner of Astra Capital Management (a private equity firm based in Washington, D.C.). Previously, beginning in 1998, he was Group President of Operations at ALLTEL Corporation (a telecommunications services company).</w:t>
      </w:r>
    </w:p>
    <w:p>
      <w:pPr>
        <w:spacing w:after="0" w:line="135" w:lineRule="exact"/>
        <w:rPr>
          <w:sz w:val="20"/>
          <w:szCs w:val="20"/>
          <w:color w:val="auto"/>
        </w:rPr>
      </w:pPr>
    </w:p>
    <w:p>
      <w:pPr>
        <w:ind w:left="660" w:right="20"/>
        <w:spacing w:after="0" w:line="260" w:lineRule="auto"/>
        <w:rPr>
          <w:sz w:val="20"/>
          <w:szCs w:val="20"/>
          <w:color w:val="auto"/>
        </w:rPr>
      </w:pPr>
      <w:r>
        <w:rPr>
          <w:rFonts w:ascii="Arial" w:cs="Arial" w:eastAsia="Arial" w:hAnsi="Arial"/>
          <w:sz w:val="20"/>
          <w:szCs w:val="20"/>
          <w:b w:val="1"/>
          <w:bCs w:val="1"/>
          <w:color w:val="0076A8"/>
        </w:rPr>
        <w:t xml:space="preserve">Qualifications: </w:t>
      </w:r>
      <w:r>
        <w:rPr>
          <w:rFonts w:ascii="Arial" w:cs="Arial" w:eastAsia="Arial" w:hAnsi="Arial"/>
          <w:sz w:val="20"/>
          <w:szCs w:val="20"/>
          <w:color w:val="0076A8"/>
        </w:rPr>
        <w:t>We believe that Mr. Beebe’s qualifications to serve</w:t>
      </w:r>
      <w:r>
        <w:rPr>
          <w:rFonts w:ascii="Arial" w:cs="Arial" w:eastAsia="Arial" w:hAnsi="Arial"/>
          <w:sz w:val="20"/>
          <w:szCs w:val="20"/>
          <w:b w:val="1"/>
          <w:bCs w:val="1"/>
          <w:color w:val="0076A8"/>
        </w:rPr>
        <w:t xml:space="preserve"> </w:t>
      </w:r>
      <w:r>
        <w:rPr>
          <w:rFonts w:ascii="Arial" w:cs="Arial" w:eastAsia="Arial" w:hAnsi="Arial"/>
          <w:sz w:val="20"/>
          <w:szCs w:val="20"/>
          <w:color w:val="0076A8"/>
        </w:rPr>
        <w:t>as a director include his two decades of experience as an operating executive in the wireless telecommunications industry as well as his experience and relationships gained from advising leading private equity firms that are transacting business in the global capital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3080385</wp:posOffset>
            </wp:positionH>
            <wp:positionV relativeFrom="paragraph">
              <wp:posOffset>1965960</wp:posOffset>
            </wp:positionV>
            <wp:extent cx="779780" cy="2571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7978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186690</wp:posOffset>
            </wp:positionV>
            <wp:extent cx="68319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0"/>
        <w:spacing w:after="0"/>
        <w:tabs>
          <w:tab w:leader="none" w:pos="1740" w:val="left"/>
        </w:tabs>
        <w:rPr>
          <w:sz w:val="20"/>
          <w:szCs w:val="20"/>
          <w:color w:val="auto"/>
        </w:rPr>
      </w:pPr>
      <w:r>
        <w:rPr>
          <w:rFonts w:ascii="Arial" w:cs="Arial" w:eastAsia="Arial" w:hAnsi="Arial"/>
          <w:sz w:val="18"/>
          <w:szCs w:val="18"/>
          <w:color w:val="FFFFFF"/>
        </w:rPr>
        <w:t>Director since: 2019</w:t>
        <w:tab/>
        <w:t>•  Age: 59</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0076A8"/>
        </w:rPr>
        <w:t>Committee(s)</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 Nominating and Corporate Governance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0076A8"/>
        </w:rPr>
        <w:t>Other Public Company Boards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Current</w:t>
      </w: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color w:val="auto"/>
        </w:rPr>
        <w:t>• None</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Past 5 Years</w:t>
      </w: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color w:val="auto"/>
        </w:rPr>
        <w:t>• 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0"/>
        <w:spacing w:after="0"/>
        <w:tabs>
          <w:tab w:leader="none" w:pos="1740" w:val="left"/>
        </w:tabs>
        <w:rPr>
          <w:sz w:val="20"/>
          <w:szCs w:val="20"/>
          <w:color w:val="auto"/>
        </w:rPr>
      </w:pPr>
      <w:r>
        <w:rPr>
          <w:rFonts w:ascii="Arial" w:cs="Arial" w:eastAsia="Arial" w:hAnsi="Arial"/>
          <w:sz w:val="18"/>
          <w:szCs w:val="18"/>
          <w:color w:val="FFFFFF"/>
        </w:rPr>
        <w:t>Director since: 2004</w:t>
        <w:tab/>
        <w:t>•  Age: 63</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0076A8"/>
        </w:rPr>
        <w:t>Committee(s)</w:t>
      </w:r>
    </w:p>
    <w:p>
      <w:pPr>
        <w:spacing w:after="0" w:line="74" w:lineRule="exact"/>
        <w:rPr>
          <w:sz w:val="20"/>
          <w:szCs w:val="20"/>
          <w:color w:val="auto"/>
        </w:rPr>
      </w:pPr>
    </w:p>
    <w:p>
      <w:pPr>
        <w:ind w:left="160" w:right="160" w:hanging="155"/>
        <w:spacing w:after="0" w:line="278" w:lineRule="auto"/>
        <w:tabs>
          <w:tab w:leader="none" w:pos="1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Nominating and Corporate Governance (Chair)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0076A8"/>
        </w:rPr>
        <w:t>Other Public Company Boards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Current</w:t>
      </w:r>
    </w:p>
    <w:p>
      <w:pPr>
        <w:spacing w:after="0" w:line="52" w:lineRule="exact"/>
        <w:rPr>
          <w:sz w:val="20"/>
          <w:szCs w:val="20"/>
          <w:color w:val="auto"/>
        </w:rPr>
      </w:pPr>
    </w:p>
    <w:p>
      <w:pPr>
        <w:ind w:left="160" w:hanging="155"/>
        <w:spacing w:after="0"/>
        <w:tabs>
          <w:tab w:leader="none" w:pos="1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SBA Communications Corporation</w:t>
      </w:r>
    </w:p>
    <w:p>
      <w:pPr>
        <w:spacing w:after="0" w:line="32" w:lineRule="exact"/>
        <w:rPr>
          <w:rFonts w:ascii="Arial" w:cs="Arial" w:eastAsia="Arial" w:hAnsi="Arial"/>
          <w:sz w:val="16"/>
          <w:szCs w:val="16"/>
          <w:color w:val="auto"/>
        </w:rPr>
      </w:pPr>
    </w:p>
    <w:p>
      <w:pPr>
        <w:ind w:left="160" w:right="320" w:hanging="155"/>
        <w:spacing w:after="0" w:line="271" w:lineRule="auto"/>
        <w:tabs>
          <w:tab w:leader="none" w:pos="1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Frontier Communications Parent, Inc. (formerly Frontier Communications Corporation)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Past 5 Years</w:t>
      </w:r>
    </w:p>
    <w:p>
      <w:pPr>
        <w:spacing w:after="0" w:line="52" w:lineRule="exact"/>
        <w:rPr>
          <w:sz w:val="20"/>
          <w:szCs w:val="20"/>
          <w:color w:val="auto"/>
        </w:rPr>
      </w:pPr>
    </w:p>
    <w:p>
      <w:pPr>
        <w:ind w:left="160" w:right="380" w:hanging="155"/>
        <w:spacing w:after="0" w:line="278" w:lineRule="auto"/>
        <w:tabs>
          <w:tab w:leader="none" w:pos="1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Altimar Acquisition Corporation (until 2021)</w:t>
      </w:r>
    </w:p>
    <w:p>
      <w:pPr>
        <w:spacing w:after="0" w:line="19" w:lineRule="exact"/>
        <w:rPr>
          <w:rFonts w:ascii="Arial" w:cs="Arial" w:eastAsia="Arial" w:hAnsi="Arial"/>
          <w:sz w:val="16"/>
          <w:szCs w:val="16"/>
          <w:color w:val="auto"/>
        </w:rPr>
      </w:pPr>
    </w:p>
    <w:p>
      <w:pPr>
        <w:ind w:left="160" w:hanging="155"/>
        <w:spacing w:after="0"/>
        <w:tabs>
          <w:tab w:leader="none" w:pos="1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Altimar Acquisition Corp. II (until 2021)</w:t>
      </w:r>
    </w:p>
    <w:p>
      <w:pPr>
        <w:spacing w:after="0" w:line="18" w:lineRule="exact"/>
        <w:rPr>
          <w:rFonts w:ascii="Arial" w:cs="Arial" w:eastAsia="Arial" w:hAnsi="Arial"/>
          <w:sz w:val="16"/>
          <w:szCs w:val="16"/>
          <w:color w:val="auto"/>
        </w:rPr>
      </w:pPr>
    </w:p>
    <w:p>
      <w:pPr>
        <w:ind w:left="160" w:hanging="155"/>
        <w:spacing w:after="0"/>
        <w:tabs>
          <w:tab w:leader="none" w:pos="1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NII Holdings, Inc. (until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11</w:t>
      </w:r>
    </w:p>
    <w:p>
      <w:pPr>
        <w:sectPr>
          <w:pgSz w:w="11900" w:h="16838" w:orient="portrait"/>
          <w:cols w:equalWidth="0" w:num="2">
            <w:col w:w="6600" w:space="300"/>
            <w:col w:w="3160"/>
          </w:cols>
          <w:pgMar w:left="580" w:top="132" w:right="1259" w:bottom="1440" w:gutter="0" w:footer="0" w:header="0"/>
        </w:sectPr>
      </w:pPr>
    </w:p>
    <w:bookmarkStart w:id="16" w:name="page17"/>
    <w:bookmarkEnd w:id="1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382905</wp:posOffset>
            </wp:positionV>
            <wp:extent cx="5974715" cy="2743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97471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780"/>
        <w:spacing w:after="0"/>
        <w:tabs>
          <w:tab w:leader="none" w:pos="6900" w:val="left"/>
          <w:tab w:leader="none" w:pos="8640" w:val="left"/>
        </w:tabs>
        <w:rPr>
          <w:sz w:val="20"/>
          <w:szCs w:val="20"/>
          <w:color w:val="auto"/>
        </w:rPr>
      </w:pPr>
      <w:r>
        <w:rPr>
          <w:rFonts w:ascii="Arial" w:cs="Arial" w:eastAsia="Arial" w:hAnsi="Arial"/>
          <w:sz w:val="20"/>
          <w:szCs w:val="20"/>
          <w:b w:val="1"/>
          <w:bCs w:val="1"/>
          <w:color w:val="FFFFFF"/>
        </w:rPr>
        <w:t>Eric J. Guerin</w:t>
      </w:r>
      <w:r>
        <w:rPr>
          <w:sz w:val="20"/>
          <w:szCs w:val="20"/>
          <w:color w:val="auto"/>
        </w:rPr>
        <w:tab/>
      </w:r>
      <w:r>
        <w:rPr>
          <w:rFonts w:ascii="Arial" w:cs="Arial" w:eastAsia="Arial" w:hAnsi="Arial"/>
          <w:sz w:val="18"/>
          <w:szCs w:val="18"/>
          <w:color w:val="FFFFFF"/>
        </w:rPr>
        <w:t>Director since: 2022</w:t>
        <w:tab/>
        <w:t>•  Age: 50</w:t>
      </w:r>
    </w:p>
    <w:p>
      <w:pPr>
        <w:sectPr>
          <w:pgSz w:w="11900" w:h="16838" w:orient="portrait"/>
          <w:cols w:equalWidth="0" w:num="1">
            <w:col w:w="10060"/>
          </w:cols>
          <w:pgMar w:left="580" w:top="132" w:right="1259" w:bottom="1440" w:gutter="0" w:footer="0" w:header="0"/>
        </w:sectPr>
      </w:pPr>
    </w:p>
    <w:p>
      <w:pPr>
        <w:spacing w:after="0" w:line="200" w:lineRule="exact"/>
        <w:rPr>
          <w:sz w:val="20"/>
          <w:szCs w:val="20"/>
          <w:color w:val="auto"/>
        </w:rPr>
      </w:pPr>
    </w:p>
    <w:p>
      <w:pPr>
        <w:spacing w:after="0" w:line="202" w:lineRule="exact"/>
        <w:rPr>
          <w:sz w:val="20"/>
          <w:szCs w:val="20"/>
          <w:color w:val="auto"/>
        </w:rPr>
      </w:pPr>
    </w:p>
    <w:p>
      <w:pPr>
        <w:ind w:left="660" w:right="40"/>
        <w:spacing w:after="0" w:line="254" w:lineRule="auto"/>
        <w:rPr>
          <w:sz w:val="20"/>
          <w:szCs w:val="20"/>
          <w:color w:val="auto"/>
        </w:rPr>
      </w:pPr>
      <w:r>
        <w:rPr>
          <w:rFonts w:ascii="Arial" w:cs="Arial" w:eastAsia="Arial" w:hAnsi="Arial"/>
          <w:sz w:val="20"/>
          <w:szCs w:val="20"/>
          <w:color w:val="auto"/>
        </w:rPr>
        <w:t>Mr. Guerin serves as Executive Vice President and Chief Financial Officer of CDK Global, Inc. (a publicly traded provider of integrated technology solutions to the automotive industry), a position he has held since January 2021. From 2016 to 2021, he served as Division Vice President and sector Chief Financial Officer at Corning Glass Technologies, a division of Corning Inc. (a publicly traded innovator in materials science). Previously, he served in financial leadership roles at Flowserve Corporation, Novartis Corporation, Johnson &amp; Johnson Services Inc., and AstraZeneca PLC, each a publicly traded company or subsidiary thereof.</w:t>
      </w:r>
    </w:p>
    <w:p>
      <w:pPr>
        <w:spacing w:after="0" w:line="134" w:lineRule="exact"/>
        <w:rPr>
          <w:sz w:val="20"/>
          <w:szCs w:val="20"/>
          <w:color w:val="auto"/>
        </w:rPr>
      </w:pPr>
    </w:p>
    <w:p>
      <w:pPr>
        <w:jc w:val="both"/>
        <w:ind w:left="660"/>
        <w:spacing w:after="0" w:line="290" w:lineRule="auto"/>
        <w:rPr>
          <w:sz w:val="20"/>
          <w:szCs w:val="20"/>
          <w:color w:val="auto"/>
        </w:rPr>
      </w:pPr>
      <w:r>
        <w:rPr>
          <w:rFonts w:ascii="Arial" w:cs="Arial" w:eastAsia="Arial" w:hAnsi="Arial"/>
          <w:sz w:val="19"/>
          <w:szCs w:val="19"/>
          <w:b w:val="1"/>
          <w:bCs w:val="1"/>
          <w:color w:val="0076A8"/>
        </w:rPr>
        <w:t xml:space="preserve">Qualifications: </w:t>
      </w:r>
      <w:r>
        <w:rPr>
          <w:rFonts w:ascii="Arial" w:cs="Arial" w:eastAsia="Arial" w:hAnsi="Arial"/>
          <w:sz w:val="19"/>
          <w:szCs w:val="19"/>
          <w:color w:val="0076A8"/>
        </w:rPr>
        <w:t>We believe that Mr. Guerin’s qualifications to serve</w:t>
      </w:r>
      <w:r>
        <w:rPr>
          <w:rFonts w:ascii="Arial" w:cs="Arial" w:eastAsia="Arial" w:hAnsi="Arial"/>
          <w:sz w:val="19"/>
          <w:szCs w:val="19"/>
          <w:b w:val="1"/>
          <w:bCs w:val="1"/>
          <w:color w:val="0076A8"/>
        </w:rPr>
        <w:t xml:space="preserve"> </w:t>
      </w:r>
      <w:r>
        <w:rPr>
          <w:rFonts w:ascii="Arial" w:cs="Arial" w:eastAsia="Arial" w:hAnsi="Arial"/>
          <w:sz w:val="19"/>
          <w:szCs w:val="19"/>
          <w:color w:val="0076A8"/>
        </w:rPr>
        <w:t>as a director include his financial and operational expertise, together with his extensive engagements within Asia-Pacific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243205</wp:posOffset>
            </wp:positionV>
            <wp:extent cx="5974715" cy="2743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974715" cy="2743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0076A8"/>
        </w:rPr>
        <w:t>Committee(s)</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 None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0076A8"/>
        </w:rPr>
        <w:t>Other Public Company Boards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Current</w:t>
      </w: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color w:val="auto"/>
        </w:rPr>
        <w:t>• Natus Medical Incorporated</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Past 5 Years</w:t>
      </w: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color w:val="auto"/>
        </w:rPr>
        <w:t>• None</w:t>
      </w:r>
    </w:p>
    <w:p>
      <w:pPr>
        <w:spacing w:after="0" w:line="1750" w:lineRule="exact"/>
        <w:rPr>
          <w:sz w:val="20"/>
          <w:szCs w:val="20"/>
          <w:color w:val="auto"/>
        </w:rPr>
      </w:pPr>
    </w:p>
    <w:p>
      <w:pPr>
        <w:sectPr>
          <w:pgSz w:w="11900" w:h="16838" w:orient="portrait"/>
          <w:cols w:equalWidth="0" w:num="2">
            <w:col w:w="6620" w:space="280"/>
            <w:col w:w="3160"/>
          </w:cols>
          <w:pgMar w:left="580" w:top="132" w:right="1259" w:bottom="1440" w:gutter="0" w:footer="0" w:header="0"/>
          <w:type w:val="continuous"/>
        </w:sectPr>
      </w:pPr>
    </w:p>
    <w:p>
      <w:pPr>
        <w:spacing w:after="0" w:line="263" w:lineRule="exact"/>
        <w:rPr>
          <w:sz w:val="20"/>
          <w:szCs w:val="20"/>
          <w:color w:val="auto"/>
        </w:rPr>
      </w:pPr>
    </w:p>
    <w:p>
      <w:pPr>
        <w:ind w:left="780"/>
        <w:spacing w:after="0"/>
        <w:tabs>
          <w:tab w:leader="none" w:pos="6900" w:val="left"/>
          <w:tab w:leader="none" w:pos="8640" w:val="left"/>
        </w:tabs>
        <w:rPr>
          <w:sz w:val="20"/>
          <w:szCs w:val="20"/>
          <w:color w:val="auto"/>
        </w:rPr>
      </w:pPr>
      <w:r>
        <w:rPr>
          <w:rFonts w:ascii="Arial" w:cs="Arial" w:eastAsia="Arial" w:hAnsi="Arial"/>
          <w:sz w:val="20"/>
          <w:szCs w:val="20"/>
          <w:b w:val="1"/>
          <w:bCs w:val="1"/>
          <w:color w:val="FFFFFF"/>
        </w:rPr>
        <w:t>Suzanne E. McBride</w:t>
      </w:r>
      <w:r>
        <w:rPr>
          <w:sz w:val="20"/>
          <w:szCs w:val="20"/>
          <w:color w:val="auto"/>
        </w:rPr>
        <w:tab/>
      </w:r>
      <w:r>
        <w:rPr>
          <w:rFonts w:ascii="Arial" w:cs="Arial" w:eastAsia="Arial" w:hAnsi="Arial"/>
          <w:sz w:val="18"/>
          <w:szCs w:val="18"/>
          <w:color w:val="FFFFFF"/>
        </w:rPr>
        <w:t>Director since: 2022</w:t>
        <w:tab/>
        <w:t>•  Age: 53</w:t>
      </w:r>
    </w:p>
    <w:p>
      <w:pPr>
        <w:sectPr>
          <w:pgSz w:w="11900" w:h="16838" w:orient="portrait"/>
          <w:cols w:equalWidth="0" w:num="1">
            <w:col w:w="10060"/>
          </w:cols>
          <w:pgMar w:left="580" w:top="132" w:right="1259" w:bottom="1440" w:gutter="0" w:footer="0" w:header="0"/>
          <w:type w:val="continuous"/>
        </w:sectPr>
      </w:pPr>
    </w:p>
    <w:p>
      <w:pPr>
        <w:spacing w:after="0" w:line="200" w:lineRule="exact"/>
        <w:rPr>
          <w:sz w:val="20"/>
          <w:szCs w:val="20"/>
          <w:color w:val="auto"/>
        </w:rPr>
      </w:pPr>
    </w:p>
    <w:p>
      <w:pPr>
        <w:spacing w:after="0" w:line="202" w:lineRule="exact"/>
        <w:rPr>
          <w:sz w:val="20"/>
          <w:szCs w:val="20"/>
          <w:color w:val="auto"/>
        </w:rPr>
      </w:pPr>
    </w:p>
    <w:p>
      <w:pPr>
        <w:ind w:left="660"/>
        <w:spacing w:after="0" w:line="268" w:lineRule="auto"/>
        <w:rPr>
          <w:sz w:val="20"/>
          <w:szCs w:val="20"/>
          <w:color w:val="auto"/>
        </w:rPr>
      </w:pPr>
      <w:r>
        <w:rPr>
          <w:rFonts w:ascii="Arial" w:cs="Arial" w:eastAsia="Arial" w:hAnsi="Arial"/>
          <w:sz w:val="19"/>
          <w:szCs w:val="19"/>
          <w:color w:val="auto"/>
        </w:rPr>
        <w:t>Ms. McBride serves as Chief Operations Officer for Iridium Communications, Inc. (a publicly traded operator of a satellite-based global communications network). Prior to rejoining Iridium in February 2019, where she had previously served from 2007 to 2016 in various leadership roles, Ms. McBride was Senior Vice President and Chief Operations Officer for OneWeb (a privately held company building a space-based global communications network that filed a voluntary petition for Chapter 11 bankruptcy protection on March 27, 2020) from June 2016 to January 2019. Earlier in her career, she held a series of increasingly senior positions in technology and operations with Motorola Solutions, Inc. (a publicly traded telecommunications company), and General Dynamics Corporation (a publicly traded aerospace and defense company).</w:t>
      </w:r>
    </w:p>
    <w:p>
      <w:pPr>
        <w:spacing w:after="0" w:line="125" w:lineRule="exact"/>
        <w:rPr>
          <w:sz w:val="20"/>
          <w:szCs w:val="20"/>
          <w:color w:val="auto"/>
        </w:rPr>
      </w:pPr>
    </w:p>
    <w:p>
      <w:pPr>
        <w:ind w:left="660" w:right="120"/>
        <w:spacing w:after="0" w:line="264" w:lineRule="auto"/>
        <w:rPr>
          <w:sz w:val="20"/>
          <w:szCs w:val="20"/>
          <w:color w:val="auto"/>
        </w:rPr>
      </w:pPr>
      <w:r>
        <w:rPr>
          <w:rFonts w:ascii="Arial" w:cs="Arial" w:eastAsia="Arial" w:hAnsi="Arial"/>
          <w:sz w:val="20"/>
          <w:szCs w:val="20"/>
          <w:b w:val="1"/>
          <w:bCs w:val="1"/>
          <w:color w:val="0076A8"/>
        </w:rPr>
        <w:t xml:space="preserve">Qualifications: </w:t>
      </w:r>
      <w:r>
        <w:rPr>
          <w:rFonts w:ascii="Arial" w:cs="Arial" w:eastAsia="Arial" w:hAnsi="Arial"/>
          <w:sz w:val="20"/>
          <w:szCs w:val="20"/>
          <w:color w:val="0076A8"/>
        </w:rPr>
        <w:t>We believe that Ms. McBride’s qualifications to</w:t>
      </w:r>
      <w:r>
        <w:rPr>
          <w:rFonts w:ascii="Arial" w:cs="Arial" w:eastAsia="Arial" w:hAnsi="Arial"/>
          <w:sz w:val="20"/>
          <w:szCs w:val="20"/>
          <w:b w:val="1"/>
          <w:bCs w:val="1"/>
          <w:color w:val="0076A8"/>
        </w:rPr>
        <w:t xml:space="preserve"> </w:t>
      </w:r>
      <w:r>
        <w:rPr>
          <w:rFonts w:ascii="Arial" w:cs="Arial" w:eastAsia="Arial" w:hAnsi="Arial"/>
          <w:sz w:val="20"/>
          <w:szCs w:val="20"/>
          <w:color w:val="0076A8"/>
        </w:rPr>
        <w:t>serve as a director include her extensive strategy and operations expertise developed through twenty-five years of experience within the wireless technology industry.</w:t>
      </w:r>
    </w:p>
    <w:p>
      <w:pPr>
        <w:spacing w:after="0" w:line="20" w:lineRule="exact"/>
        <w:rPr>
          <w:sz w:val="20"/>
          <w:szCs w:val="20"/>
          <w:color w:val="auto"/>
        </w:rPr>
      </w:pPr>
      <w:r>
        <w:rPr>
          <w:sz w:val="20"/>
          <w:szCs w:val="20"/>
          <w:color w:val="auto"/>
        </w:rPr>
        <w:br w:type="column"/>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0076A8"/>
        </w:rPr>
        <w:t>Committee(s)</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 None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0076A8"/>
        </w:rPr>
        <w:t>Other Public Company Boards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Current</w:t>
      </w: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color w:val="auto"/>
        </w:rPr>
        <w:t>• Iridium Communications, Inc.</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Past 5 Years</w:t>
      </w: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color w:val="auto"/>
        </w:rPr>
        <w:t>• None</w:t>
      </w:r>
    </w:p>
    <w:p>
      <w:pPr>
        <w:spacing w:after="0" w:line="2699" w:lineRule="exact"/>
        <w:rPr>
          <w:sz w:val="20"/>
          <w:szCs w:val="20"/>
          <w:color w:val="auto"/>
        </w:rPr>
      </w:pPr>
    </w:p>
    <w:p>
      <w:pPr>
        <w:sectPr>
          <w:pgSz w:w="11900" w:h="16838" w:orient="portrait"/>
          <w:cols w:equalWidth="0" w:num="2">
            <w:col w:w="6620" w:space="280"/>
            <w:col w:w="3160"/>
          </w:cols>
          <w:pgMar w:left="580" w:top="132" w:right="1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660"/>
        <w:spacing w:after="0"/>
        <w:tabs>
          <w:tab w:leader="none" w:pos="4817" w:val="left"/>
        </w:tabs>
        <w:rPr>
          <w:sz w:val="20"/>
          <w:szCs w:val="20"/>
          <w:color w:val="auto"/>
        </w:rPr>
      </w:pPr>
      <w:r>
        <w:rPr>
          <w:rFonts w:ascii="Arial" w:cs="Arial" w:eastAsia="Arial" w:hAnsi="Arial"/>
          <w:sz w:val="16"/>
          <w:szCs w:val="16"/>
          <w:color w:val="auto"/>
        </w:rPr>
        <w:t>12</w:t>
      </w:r>
      <w:r>
        <w:rPr>
          <w:sz w:val="20"/>
          <w:szCs w:val="20"/>
          <w:color w:val="auto"/>
        </w:rPr>
        <w:tab/>
      </w:r>
      <w:r>
        <w:rPr>
          <w:sz w:val="1"/>
          <w:szCs w:val="1"/>
          <w:color w:val="auto"/>
        </w:rPr>
        <w:drawing>
          <wp:inline distT="0" distB="0" distL="0" distR="0">
            <wp:extent cx="779780" cy="257175"/>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132" w:right="1259" w:bottom="1440" w:gutter="0" w:footer="0" w:header="0"/>
          <w:type w:val="continuous"/>
        </w:sectPr>
      </w:pPr>
    </w:p>
    <w:bookmarkStart w:id="17" w:name="page18"/>
    <w:bookmarkEnd w:id="1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382905</wp:posOffset>
            </wp:positionV>
            <wp:extent cx="5974715" cy="2743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974715" cy="274320"/>
                    </a:xfrm>
                    <a:prstGeom prst="rect">
                      <a:avLst/>
                    </a:prstGeom>
                    <a:noFill/>
                  </pic:spPr>
                </pic:pic>
              </a:graphicData>
            </a:graphic>
          </wp:anchor>
        </w:drawing>
      </w:r>
    </w:p>
    <w:p>
      <w:pPr>
        <w:sectPr>
          <w:pgSz w:w="11900" w:h="16838" w:orient="portrait"/>
          <w:cols w:equalWidth="0" w:num="1">
            <w:col w:w="10060"/>
          </w:cols>
          <w:pgMar w:left="580" w:top="132"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780"/>
        <w:spacing w:after="0"/>
        <w:rPr>
          <w:sz w:val="20"/>
          <w:szCs w:val="20"/>
          <w:color w:val="auto"/>
        </w:rPr>
      </w:pPr>
      <w:r>
        <w:rPr>
          <w:rFonts w:ascii="Arial" w:cs="Arial" w:eastAsia="Arial" w:hAnsi="Arial"/>
          <w:sz w:val="20"/>
          <w:szCs w:val="20"/>
          <w:b w:val="1"/>
          <w:bCs w:val="1"/>
          <w:color w:val="FFFFFF"/>
        </w:rPr>
        <w:t>David P. McGlade</w:t>
      </w:r>
    </w:p>
    <w:p>
      <w:pPr>
        <w:spacing w:after="0" w:line="200" w:lineRule="exact"/>
        <w:rPr>
          <w:sz w:val="20"/>
          <w:szCs w:val="20"/>
          <w:color w:val="auto"/>
        </w:rPr>
      </w:pPr>
    </w:p>
    <w:p>
      <w:pPr>
        <w:spacing w:after="0" w:line="202" w:lineRule="exact"/>
        <w:rPr>
          <w:sz w:val="20"/>
          <w:szCs w:val="20"/>
          <w:color w:val="auto"/>
        </w:rPr>
      </w:pPr>
    </w:p>
    <w:p>
      <w:pPr>
        <w:ind w:left="660" w:right="140"/>
        <w:spacing w:after="0" w:line="254" w:lineRule="auto"/>
        <w:rPr>
          <w:sz w:val="20"/>
          <w:szCs w:val="20"/>
          <w:color w:val="auto"/>
        </w:rPr>
      </w:pPr>
      <w:r>
        <w:rPr>
          <w:rFonts w:ascii="Arial" w:cs="Arial" w:eastAsia="Arial" w:hAnsi="Arial"/>
          <w:sz w:val="20"/>
          <w:szCs w:val="20"/>
          <w:color w:val="auto"/>
        </w:rPr>
        <w:t>Mr. McGlade served as Executive Chairman of Intelsat S.A. (a publicly traded worldwide provider of satellite communication services) from April 2015 to March 2018, prior to which he had served as Chairman since April 2013 and Chief Executive Officer since April 2005. He retired as Chairman of Intelsat in February 2022. Previously, Mr. McGlade served as an Executive Director of mmO2 PLC and as the Chief Executive Officer of O2 UK (a subsidiary of mmO2), a position he held from October 2000 until March 2005.</w:t>
      </w:r>
    </w:p>
    <w:p>
      <w:pPr>
        <w:spacing w:after="0" w:line="134" w:lineRule="exact"/>
        <w:rPr>
          <w:sz w:val="20"/>
          <w:szCs w:val="20"/>
          <w:color w:val="auto"/>
        </w:rPr>
      </w:pPr>
    </w:p>
    <w:p>
      <w:pPr>
        <w:ind w:left="660"/>
        <w:spacing w:after="0" w:line="261" w:lineRule="auto"/>
        <w:rPr>
          <w:sz w:val="20"/>
          <w:szCs w:val="20"/>
          <w:color w:val="auto"/>
        </w:rPr>
      </w:pPr>
      <w:r>
        <w:rPr>
          <w:rFonts w:ascii="Arial" w:cs="Arial" w:eastAsia="Arial" w:hAnsi="Arial"/>
          <w:sz w:val="20"/>
          <w:szCs w:val="20"/>
          <w:b w:val="1"/>
          <w:bCs w:val="1"/>
          <w:color w:val="0076A8"/>
        </w:rPr>
        <w:t xml:space="preserve">Qualifications: </w:t>
      </w:r>
      <w:r>
        <w:rPr>
          <w:rFonts w:ascii="Arial" w:cs="Arial" w:eastAsia="Arial" w:hAnsi="Arial"/>
          <w:sz w:val="20"/>
          <w:szCs w:val="20"/>
          <w:color w:val="0076A8"/>
        </w:rPr>
        <w:t>We believe that Mr. McGlade’s qualifications to</w:t>
      </w:r>
      <w:r>
        <w:rPr>
          <w:rFonts w:ascii="Arial" w:cs="Arial" w:eastAsia="Arial" w:hAnsi="Arial"/>
          <w:sz w:val="20"/>
          <w:szCs w:val="20"/>
          <w:b w:val="1"/>
          <w:bCs w:val="1"/>
          <w:color w:val="0076A8"/>
        </w:rPr>
        <w:t xml:space="preserve"> </w:t>
      </w:r>
      <w:r>
        <w:rPr>
          <w:rFonts w:ascii="Arial" w:cs="Arial" w:eastAsia="Arial" w:hAnsi="Arial"/>
          <w:sz w:val="20"/>
          <w:szCs w:val="20"/>
          <w:color w:val="0076A8"/>
        </w:rPr>
        <w:t>serve as a director include his significant operational, strategic, and financial acumen, as well as his knowledge about global capital markets, developed over more than three decades of experience in the telecommunications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260985</wp:posOffset>
            </wp:positionV>
            <wp:extent cx="5974715" cy="2743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974715" cy="2743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0"/>
        <w:spacing w:after="0"/>
        <w:tabs>
          <w:tab w:leader="none" w:pos="1740" w:val="left"/>
        </w:tabs>
        <w:rPr>
          <w:sz w:val="20"/>
          <w:szCs w:val="20"/>
          <w:color w:val="auto"/>
        </w:rPr>
      </w:pPr>
      <w:r>
        <w:rPr>
          <w:rFonts w:ascii="Arial" w:cs="Arial" w:eastAsia="Arial" w:hAnsi="Arial"/>
          <w:sz w:val="18"/>
          <w:szCs w:val="18"/>
          <w:color w:val="FFFFFF"/>
        </w:rPr>
        <w:t>Director since: 2005</w:t>
        <w:tab/>
        <w:t>•  Age: 61</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0076A8"/>
        </w:rPr>
        <w:t>Committee(s)</w:t>
      </w:r>
    </w:p>
    <w:p>
      <w:pPr>
        <w:spacing w:after="0" w:line="61" w:lineRule="exact"/>
        <w:rPr>
          <w:sz w:val="20"/>
          <w:szCs w:val="20"/>
          <w:color w:val="auto"/>
        </w:rPr>
      </w:pPr>
    </w:p>
    <w:p>
      <w:pPr>
        <w:ind w:left="160" w:hanging="155"/>
        <w:spacing w:after="0"/>
        <w:tabs>
          <w:tab w:leader="none" w:pos="1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Audit (Chair)</w:t>
      </w:r>
    </w:p>
    <w:p>
      <w:pPr>
        <w:spacing w:after="0" w:line="32" w:lineRule="exact"/>
        <w:rPr>
          <w:rFonts w:ascii="Arial" w:cs="Arial" w:eastAsia="Arial" w:hAnsi="Arial"/>
          <w:sz w:val="16"/>
          <w:szCs w:val="16"/>
          <w:color w:val="auto"/>
        </w:rPr>
      </w:pPr>
    </w:p>
    <w:p>
      <w:pPr>
        <w:ind w:left="160" w:hanging="155"/>
        <w:spacing w:after="0"/>
        <w:tabs>
          <w:tab w:leader="none" w:pos="1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Compensation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0076A8"/>
        </w:rPr>
        <w:t>Other Public Company Boards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Current</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 None</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Past 5 Years</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 Intelsat S.A. (until 2022)</w:t>
      </w:r>
    </w:p>
    <w:p>
      <w:pPr>
        <w:spacing w:after="0" w:line="1763" w:lineRule="exact"/>
        <w:rPr>
          <w:sz w:val="20"/>
          <w:szCs w:val="20"/>
          <w:color w:val="auto"/>
        </w:rPr>
      </w:pPr>
    </w:p>
    <w:p>
      <w:pPr>
        <w:sectPr>
          <w:pgSz w:w="11900" w:h="16838" w:orient="portrait"/>
          <w:cols w:equalWidth="0" w:num="2">
            <w:col w:w="6540" w:space="360"/>
            <w:col w:w="3160"/>
          </w:cols>
          <w:pgMar w:left="580" w:top="132" w:right="1259" w:bottom="1440" w:gutter="0" w:footer="0" w:header="0"/>
          <w:type w:val="continuous"/>
        </w:sectPr>
      </w:pPr>
    </w:p>
    <w:p>
      <w:pPr>
        <w:spacing w:after="0" w:line="291" w:lineRule="exact"/>
        <w:rPr>
          <w:sz w:val="20"/>
          <w:szCs w:val="20"/>
          <w:color w:val="auto"/>
        </w:rPr>
      </w:pPr>
    </w:p>
    <w:p>
      <w:pPr>
        <w:ind w:left="780"/>
        <w:spacing w:after="0"/>
        <w:rPr>
          <w:sz w:val="20"/>
          <w:szCs w:val="20"/>
          <w:color w:val="auto"/>
        </w:rPr>
      </w:pPr>
      <w:r>
        <w:rPr>
          <w:rFonts w:ascii="Arial" w:cs="Arial" w:eastAsia="Arial" w:hAnsi="Arial"/>
          <w:sz w:val="20"/>
          <w:szCs w:val="20"/>
          <w:b w:val="1"/>
          <w:bCs w:val="1"/>
          <w:color w:val="FFFFFF"/>
        </w:rPr>
        <w:t>Robert A. Schriesheim</w:t>
      </w:r>
    </w:p>
    <w:p>
      <w:pPr>
        <w:spacing w:after="0" w:line="200" w:lineRule="exact"/>
        <w:rPr>
          <w:sz w:val="20"/>
          <w:szCs w:val="20"/>
          <w:color w:val="auto"/>
        </w:rPr>
      </w:pPr>
    </w:p>
    <w:p>
      <w:pPr>
        <w:spacing w:after="0" w:line="202" w:lineRule="exact"/>
        <w:rPr>
          <w:sz w:val="20"/>
          <w:szCs w:val="20"/>
          <w:color w:val="auto"/>
        </w:rPr>
      </w:pPr>
    </w:p>
    <w:p>
      <w:pPr>
        <w:ind w:left="660"/>
        <w:spacing w:after="0" w:line="254" w:lineRule="auto"/>
        <w:rPr>
          <w:sz w:val="20"/>
          <w:szCs w:val="20"/>
          <w:color w:val="auto"/>
        </w:rPr>
      </w:pPr>
      <w:r>
        <w:rPr>
          <w:rFonts w:ascii="Arial" w:cs="Arial" w:eastAsia="Arial" w:hAnsi="Arial"/>
          <w:sz w:val="20"/>
          <w:szCs w:val="20"/>
          <w:color w:val="auto"/>
        </w:rPr>
        <w:t>Mr. Schriesheim currently serves as chairman of Truax Partners LLC (a consulting firm). He served as Executive Vice President and Chief Financial Officer of Sears Holdings Corporation (a publicly traded nationwide retailer) from August 2011 to October 2016. From January 2010 to October 2010, Mr. Schriesheim was Chief Financial Officer of Hewitt Associates, Inc. (a global human resources consulting and outsourcing company that was acquired by Aon Corporation). From October 2006 until December 2009, he was the Executive Vice President and Chief Financial Officer of Lawson Software, Inc. (a publicly traded ERP software provider).</w:t>
      </w:r>
    </w:p>
    <w:p>
      <w:pPr>
        <w:spacing w:after="0" w:line="134" w:lineRule="exact"/>
        <w:rPr>
          <w:sz w:val="20"/>
          <w:szCs w:val="20"/>
          <w:color w:val="auto"/>
        </w:rPr>
      </w:pPr>
    </w:p>
    <w:p>
      <w:pPr>
        <w:ind w:left="660" w:right="140"/>
        <w:spacing w:after="0" w:line="259" w:lineRule="auto"/>
        <w:rPr>
          <w:sz w:val="20"/>
          <w:szCs w:val="20"/>
          <w:color w:val="auto"/>
        </w:rPr>
      </w:pPr>
      <w:r>
        <w:rPr>
          <w:rFonts w:ascii="Arial" w:cs="Arial" w:eastAsia="Arial" w:hAnsi="Arial"/>
          <w:sz w:val="20"/>
          <w:szCs w:val="20"/>
          <w:b w:val="1"/>
          <w:bCs w:val="1"/>
          <w:color w:val="0076A8"/>
        </w:rPr>
        <w:t xml:space="preserve">Qualifications: </w:t>
      </w:r>
      <w:r>
        <w:rPr>
          <w:rFonts w:ascii="Arial" w:cs="Arial" w:eastAsia="Arial" w:hAnsi="Arial"/>
          <w:sz w:val="20"/>
          <w:szCs w:val="20"/>
          <w:color w:val="0076A8"/>
        </w:rPr>
        <w:t>We believe that Mr. Schriesheim’s qualifications to</w:t>
      </w:r>
      <w:r>
        <w:rPr>
          <w:rFonts w:ascii="Arial" w:cs="Arial" w:eastAsia="Arial" w:hAnsi="Arial"/>
          <w:sz w:val="20"/>
          <w:szCs w:val="20"/>
          <w:b w:val="1"/>
          <w:bCs w:val="1"/>
          <w:color w:val="0076A8"/>
        </w:rPr>
        <w:t xml:space="preserve"> </w:t>
      </w:r>
      <w:r>
        <w:rPr>
          <w:rFonts w:ascii="Arial" w:cs="Arial" w:eastAsia="Arial" w:hAnsi="Arial"/>
          <w:sz w:val="20"/>
          <w:szCs w:val="20"/>
          <w:color w:val="0076A8"/>
        </w:rPr>
        <w:t>serve as a director include his extensive knowledge of the capital markets and corporate financial capital structures, his expertise evaluating and structuring merger and acquisition transactions within the technology sector, and his experience gained through leading companies through major strategic and financial corporate transformations.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3080385</wp:posOffset>
            </wp:positionH>
            <wp:positionV relativeFrom="paragraph">
              <wp:posOffset>1211580</wp:posOffset>
            </wp:positionV>
            <wp:extent cx="779780" cy="2571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7978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177800</wp:posOffset>
            </wp:positionV>
            <wp:extent cx="68319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ind w:left="20"/>
        <w:spacing w:after="0"/>
        <w:tabs>
          <w:tab w:leader="none" w:pos="1740" w:val="left"/>
        </w:tabs>
        <w:rPr>
          <w:sz w:val="20"/>
          <w:szCs w:val="20"/>
          <w:color w:val="auto"/>
        </w:rPr>
      </w:pPr>
      <w:r>
        <w:rPr>
          <w:rFonts w:ascii="Arial" w:cs="Arial" w:eastAsia="Arial" w:hAnsi="Arial"/>
          <w:sz w:val="18"/>
          <w:szCs w:val="18"/>
          <w:color w:val="FFFFFF"/>
        </w:rPr>
        <w:t>Director since: 2006</w:t>
        <w:tab/>
        <w:t>•  Age: 61</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0076A8"/>
        </w:rPr>
        <w:t>Committee(s)</w:t>
      </w:r>
    </w:p>
    <w:p>
      <w:pPr>
        <w:spacing w:after="0" w:line="61" w:lineRule="exact"/>
        <w:rPr>
          <w:sz w:val="20"/>
          <w:szCs w:val="20"/>
          <w:color w:val="auto"/>
        </w:rPr>
      </w:pPr>
    </w:p>
    <w:p>
      <w:pPr>
        <w:ind w:left="160" w:hanging="155"/>
        <w:spacing w:after="0"/>
        <w:tabs>
          <w:tab w:leader="none" w:pos="1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Audit</w:t>
      </w:r>
    </w:p>
    <w:p>
      <w:pPr>
        <w:spacing w:after="0" w:line="32" w:lineRule="exact"/>
        <w:rPr>
          <w:rFonts w:ascii="Arial" w:cs="Arial" w:eastAsia="Arial" w:hAnsi="Arial"/>
          <w:sz w:val="16"/>
          <w:szCs w:val="16"/>
          <w:color w:val="auto"/>
        </w:rPr>
      </w:pPr>
    </w:p>
    <w:p>
      <w:pPr>
        <w:ind w:left="160" w:hanging="155"/>
        <w:spacing w:after="0"/>
        <w:tabs>
          <w:tab w:leader="none" w:pos="1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Compensation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0076A8"/>
        </w:rPr>
        <w:t>Other Public Company Boards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Current</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 Houlihan Lokey, Inc.</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Past 5 Years</w:t>
      </w:r>
    </w:p>
    <w:p>
      <w:pPr>
        <w:spacing w:after="0" w:line="52" w:lineRule="exact"/>
        <w:rPr>
          <w:sz w:val="20"/>
          <w:szCs w:val="20"/>
          <w:color w:val="auto"/>
        </w:rPr>
      </w:pPr>
    </w:p>
    <w:p>
      <w:pPr>
        <w:ind w:left="160" w:right="300" w:hanging="155"/>
        <w:spacing w:after="0" w:line="278" w:lineRule="auto"/>
        <w:tabs>
          <w:tab w:leader="none" w:pos="1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Frontier Communications Corporation (until 2021)</w:t>
      </w:r>
    </w:p>
    <w:p>
      <w:pPr>
        <w:spacing w:after="0" w:line="19" w:lineRule="exact"/>
        <w:rPr>
          <w:rFonts w:ascii="Arial" w:cs="Arial" w:eastAsia="Arial" w:hAnsi="Arial"/>
          <w:sz w:val="16"/>
          <w:szCs w:val="16"/>
          <w:color w:val="auto"/>
        </w:rPr>
      </w:pPr>
    </w:p>
    <w:p>
      <w:pPr>
        <w:ind w:left="160" w:hanging="155"/>
        <w:spacing w:after="0"/>
        <w:tabs>
          <w:tab w:leader="none" w:pos="1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NII Holdings, Inc. (until 2019)</w:t>
      </w:r>
    </w:p>
    <w:p>
      <w:pPr>
        <w:spacing w:after="0" w:line="18" w:lineRule="exact"/>
        <w:rPr>
          <w:rFonts w:ascii="Arial" w:cs="Arial" w:eastAsia="Arial" w:hAnsi="Arial"/>
          <w:sz w:val="16"/>
          <w:szCs w:val="16"/>
          <w:color w:val="auto"/>
        </w:rPr>
      </w:pPr>
    </w:p>
    <w:p>
      <w:pPr>
        <w:ind w:left="160" w:hanging="155"/>
        <w:spacing w:after="0"/>
        <w:tabs>
          <w:tab w:leader="none" w:pos="1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Forest City Realty Trust (until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13</w:t>
      </w:r>
    </w:p>
    <w:p>
      <w:pPr>
        <w:sectPr>
          <w:pgSz w:w="11900" w:h="16838" w:orient="portrait"/>
          <w:cols w:equalWidth="0" w:num="2">
            <w:col w:w="6620" w:space="280"/>
            <w:col w:w="3160"/>
          </w:cols>
          <w:pgMar w:left="580" w:top="132" w:right="1259" w:bottom="1440" w:gutter="0" w:footer="0" w:header="0"/>
          <w:type w:val="continuous"/>
        </w:sectPr>
      </w:pPr>
    </w:p>
    <w:bookmarkStart w:id="18" w:name="page19"/>
    <w:bookmarkEnd w:id="1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91" w:lineRule="exact"/>
        <w:rPr>
          <w:sz w:val="20"/>
          <w:szCs w:val="20"/>
          <w:color w:val="auto"/>
        </w:rPr>
      </w:pPr>
    </w:p>
    <w:p>
      <w:pPr>
        <w:ind w:left="660"/>
        <w:spacing w:after="0" w:line="273" w:lineRule="auto"/>
        <w:rPr>
          <w:sz w:val="20"/>
          <w:szCs w:val="20"/>
          <w:color w:val="auto"/>
        </w:rPr>
      </w:pPr>
      <w:r>
        <w:rPr>
          <w:rFonts w:ascii="Arial" w:cs="Arial" w:eastAsia="Arial" w:hAnsi="Arial"/>
          <w:sz w:val="19"/>
          <w:szCs w:val="19"/>
          <w:color w:val="191919"/>
        </w:rPr>
        <w:t>The table below summarizes the key qualifications and attributes relied upon by the Board in nominating eight of our current directors for election. Marks indicate specific areas of focus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440"/>
        <w:spacing w:after="0" w:line="256" w:lineRule="auto"/>
        <w:rPr>
          <w:sz w:val="20"/>
          <w:szCs w:val="20"/>
          <w:color w:val="auto"/>
        </w:rPr>
      </w:pPr>
      <w:r>
        <w:rPr>
          <w:rFonts w:ascii="Arial" w:cs="Arial" w:eastAsia="Arial" w:hAnsi="Arial"/>
          <w:sz w:val="20"/>
          <w:szCs w:val="20"/>
          <w:color w:val="191919"/>
        </w:rPr>
        <w:t>expertise relied on by the Board. The lack of a mark in a particular area does not necessarily signify a director’s lack of qualification or experience in such area.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-3034030</wp:posOffset>
            </wp:positionH>
            <wp:positionV relativeFrom="paragraph">
              <wp:posOffset>150495</wp:posOffset>
            </wp:positionV>
            <wp:extent cx="5786120" cy="68408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786120" cy="6840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-3552190</wp:posOffset>
            </wp:positionH>
            <wp:positionV relativeFrom="paragraph">
              <wp:posOffset>177800</wp:posOffset>
            </wp:positionV>
            <wp:extent cx="68319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2">
            <w:col w:w="5060" w:space="520"/>
            <w:col w:w="4480"/>
          </w:cols>
          <w:pgMar w:left="580" w:top="132" w:right="1259" w:bottom="1440" w:gutter="0" w:footer="0" w:header="0"/>
        </w:sectPr>
      </w:pPr>
    </w:p>
    <w:bookmarkStart w:id="19" w:name="page20"/>
    <w:bookmarkEnd w:id="1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Arial" w:cs="Arial" w:eastAsia="Arial" w:hAnsi="Arial"/>
          <w:sz w:val="29"/>
          <w:szCs w:val="29"/>
          <w:b w:val="1"/>
          <w:bCs w:val="1"/>
          <w:color w:val="auto"/>
        </w:rPr>
        <w:t>Board Diversity Matrix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79375</wp:posOffset>
            </wp:positionV>
            <wp:extent cx="597471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974715"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660"/>
        <w:spacing w:after="0"/>
        <w:rPr>
          <w:sz w:val="20"/>
          <w:szCs w:val="20"/>
          <w:color w:val="auto"/>
        </w:rPr>
      </w:pPr>
      <w:r>
        <w:rPr>
          <w:rFonts w:ascii="Arial" w:cs="Arial" w:eastAsia="Arial" w:hAnsi="Arial"/>
          <w:sz w:val="20"/>
          <w:szCs w:val="20"/>
          <w:color w:val="191919"/>
        </w:rPr>
        <w:t>The following matrix includes all directors serving as of March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wp:posOffset>
            </wp:positionH>
            <wp:positionV relativeFrom="paragraph">
              <wp:posOffset>165100</wp:posOffset>
            </wp:positionV>
            <wp:extent cx="5949315" cy="35744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949315" cy="3574415"/>
                    </a:xfrm>
                    <a:prstGeom prst="rect">
                      <a:avLst/>
                    </a:prstGeom>
                    <a:noFill/>
                  </pic:spPr>
                </pic:pic>
              </a:graphicData>
            </a:graphic>
          </wp:anchor>
        </w:drawing>
        <w:drawing>
          <wp:anchor simplePos="0" relativeHeight="251657728" behindDoc="1" locked="0" layoutInCell="0" allowOverlap="1">
            <wp:simplePos x="0" y="0"/>
            <wp:positionH relativeFrom="column">
              <wp:posOffset>3080385</wp:posOffset>
            </wp:positionH>
            <wp:positionV relativeFrom="paragraph">
              <wp:posOffset>6714490</wp:posOffset>
            </wp:positionV>
            <wp:extent cx="779780" cy="2571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7978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860" w:type="dxa"/>
            <w:vAlign w:val="bottom"/>
          </w:tcPr>
          <w:p>
            <w:pPr>
              <w:ind w:left="660"/>
              <w:spacing w:after="0"/>
              <w:rPr>
                <w:sz w:val="20"/>
                <w:szCs w:val="20"/>
                <w:color w:val="auto"/>
              </w:rPr>
            </w:pPr>
            <w:r>
              <w:rPr>
                <w:rFonts w:ascii="Arial" w:cs="Arial" w:eastAsia="Arial" w:hAnsi="Arial"/>
                <w:sz w:val="16"/>
                <w:szCs w:val="16"/>
                <w:color w:val="auto"/>
              </w:rPr>
              <w:t>Proxy Statement</w:t>
            </w:r>
          </w:p>
        </w:tc>
        <w:tc>
          <w:tcPr>
            <w:tcW w:w="4860" w:type="dxa"/>
            <w:vAlign w:val="bottom"/>
          </w:tcPr>
          <w:p>
            <w:pPr>
              <w:jc w:val="right"/>
              <w:ind w:right="579"/>
              <w:spacing w:after="0"/>
              <w:rPr>
                <w:sz w:val="20"/>
                <w:szCs w:val="20"/>
                <w:color w:val="auto"/>
              </w:rPr>
            </w:pPr>
            <w:r>
              <w:rPr>
                <w:rFonts w:ascii="Arial" w:cs="Arial" w:eastAsia="Arial" w:hAnsi="Arial"/>
                <w:sz w:val="16"/>
                <w:szCs w:val="16"/>
                <w:color w:val="auto"/>
              </w:rPr>
              <w:t>15</w:t>
            </w:r>
          </w:p>
        </w:tc>
      </w:tr>
      <w:tr>
        <w:trPr>
          <w:trHeight w:val="296"/>
        </w:trPr>
        <w:tc>
          <w:tcPr>
            <w:tcW w:w="5860" w:type="dxa"/>
            <w:vAlign w:val="bottom"/>
            <w:tcBorders>
              <w:bottom w:val="single" w:sz="8" w:color="9A9A9A"/>
            </w:tcBorders>
          </w:tcPr>
          <w:p>
            <w:pPr>
              <w:spacing w:after="0"/>
              <w:rPr>
                <w:sz w:val="24"/>
                <w:szCs w:val="24"/>
                <w:color w:val="auto"/>
              </w:rPr>
            </w:pPr>
          </w:p>
        </w:tc>
        <w:tc>
          <w:tcPr>
            <w:tcW w:w="4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20" w:name="page21"/>
    <w:bookmarkEnd w:id="2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363" w:lineRule="exact"/>
        <w:rPr>
          <w:sz w:val="20"/>
          <w:szCs w:val="20"/>
          <w:color w:val="auto"/>
        </w:rPr>
      </w:pPr>
    </w:p>
    <w:p>
      <w:pPr>
        <w:jc w:val="right"/>
        <w:ind w:right="6280"/>
        <w:spacing w:after="0"/>
        <w:rPr>
          <w:sz w:val="20"/>
          <w:szCs w:val="20"/>
          <w:color w:val="auto"/>
        </w:rPr>
      </w:pPr>
      <w:r>
        <w:rPr>
          <w:rFonts w:ascii="Arial" w:cs="Arial" w:eastAsia="Arial" w:hAnsi="Arial"/>
          <w:sz w:val="29"/>
          <w:szCs w:val="29"/>
          <w:b w:val="1"/>
          <w:bCs w:val="1"/>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79375</wp:posOffset>
            </wp:positionV>
            <wp:extent cx="597471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974715" cy="8255"/>
                    </a:xfrm>
                    <a:prstGeom prst="rect">
                      <a:avLst/>
                    </a:prstGeom>
                    <a:noFill/>
                  </pic:spPr>
                </pic:pic>
              </a:graphicData>
            </a:graphic>
          </wp:anchor>
        </w:drawing>
      </w:r>
    </w:p>
    <w:p>
      <w:pPr>
        <w:sectPr>
          <w:pgSz w:w="11900" w:h="16838" w:orient="portrait"/>
          <w:cols w:equalWidth="0" w:num="1">
            <w:col w:w="10060"/>
          </w:cols>
          <w:pgMar w:left="580" w:top="131" w:right="1259" w:bottom="1440" w:gutter="0" w:footer="0" w:header="0"/>
        </w:sectPr>
      </w:pPr>
    </w:p>
    <w:p>
      <w:pPr>
        <w:spacing w:after="0" w:line="200" w:lineRule="exact"/>
        <w:rPr>
          <w:sz w:val="20"/>
          <w:szCs w:val="20"/>
          <w:color w:val="auto"/>
        </w:rPr>
      </w:pPr>
    </w:p>
    <w:p>
      <w:pPr>
        <w:spacing w:after="0" w:line="279" w:lineRule="exact"/>
        <w:rPr>
          <w:sz w:val="20"/>
          <w:szCs w:val="20"/>
          <w:color w:val="auto"/>
        </w:rPr>
      </w:pPr>
    </w:p>
    <w:p>
      <w:pPr>
        <w:ind w:left="660"/>
        <w:spacing w:after="0"/>
        <w:rPr>
          <w:sz w:val="20"/>
          <w:szCs w:val="20"/>
          <w:color w:val="auto"/>
        </w:rPr>
      </w:pPr>
      <w:r>
        <w:rPr>
          <w:rFonts w:ascii="Arial" w:cs="Arial" w:eastAsia="Arial" w:hAnsi="Arial"/>
          <w:sz w:val="23"/>
          <w:szCs w:val="23"/>
          <w:b w:val="1"/>
          <w:bCs w:val="1"/>
          <w:i w:val="1"/>
          <w:iCs w:val="1"/>
          <w:color w:val="auto"/>
        </w:rPr>
        <w:t>Stockholder Engagement</w:t>
      </w:r>
    </w:p>
    <w:p>
      <w:pPr>
        <w:spacing w:after="0" w:line="134" w:lineRule="exact"/>
        <w:rPr>
          <w:sz w:val="20"/>
          <w:szCs w:val="20"/>
          <w:color w:val="auto"/>
        </w:rPr>
      </w:pPr>
    </w:p>
    <w:p>
      <w:pPr>
        <w:ind w:left="660"/>
        <w:spacing w:after="0" w:line="267" w:lineRule="auto"/>
        <w:rPr>
          <w:sz w:val="20"/>
          <w:szCs w:val="20"/>
          <w:color w:val="auto"/>
        </w:rPr>
      </w:pPr>
      <w:r>
        <w:rPr>
          <w:rFonts w:ascii="Arial" w:cs="Arial" w:eastAsia="Arial" w:hAnsi="Arial"/>
          <w:sz w:val="19"/>
          <w:szCs w:val="19"/>
          <w:color w:val="191919"/>
        </w:rPr>
        <w:t>Responsiveness to the Company’s stockholders is a critical part of our commitment to good corporate governance. As noted in the list of best practices in the Proxy Statement Summary further above, we regularly conduct outreach to our stockholders to understand their perspectives on governance matters. Most recently, we engaged in formal stockholder outreach following the 2021 Annual Meeting. We solicited feedback from more than thirty of our largest institutional stockholders representing approximately 51% of the Company’s shares outstanding. Institutions representing approximately 45% of the Company’s shares outstanding, including eighteen of our twenty largest stockholders, responded to our outreach. Our Company management held subsequent engagement meetings with stockholders representing approximately 39% of the Company’s shares outstanding, including eight of our ten largest stockholders, with Ms. King joining more than a dozen meetings with stockholders representing approximately 34% of the Company’s shares outstanding.</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0"/>
          <w:szCs w:val="20"/>
          <w:color w:val="191919"/>
        </w:rPr>
        <w:t>Specifically, in addition to covering compensation-</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20"/>
          <w:szCs w:val="20"/>
          <w:color w:val="191919"/>
        </w:rPr>
        <w:t>related topics during our subsequent</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20"/>
          <w:szCs w:val="20"/>
          <w:color w:val="191919"/>
        </w:rPr>
        <w:t>conversations, as discussed below under</w:t>
      </w:r>
    </w:p>
    <w:p>
      <w:pPr>
        <w:spacing w:after="0" w:line="7" w:lineRule="exact"/>
        <w:rPr>
          <w:sz w:val="20"/>
          <w:szCs w:val="20"/>
          <w:color w:val="auto"/>
        </w:rPr>
      </w:pPr>
    </w:p>
    <w:p>
      <w:pPr>
        <w:ind w:left="660"/>
        <w:spacing w:after="0"/>
        <w:rPr>
          <w:sz w:val="20"/>
          <w:szCs w:val="20"/>
          <w:color w:val="auto"/>
        </w:rPr>
      </w:pPr>
      <w:r>
        <w:rPr>
          <w:rFonts w:ascii="Arial" w:cs="Arial" w:eastAsia="Arial" w:hAnsi="Arial"/>
          <w:sz w:val="20"/>
          <w:szCs w:val="20"/>
          <w:color w:val="191919"/>
        </w:rPr>
        <w:t>“</w:t>
      </w:r>
      <w:r>
        <w:rPr>
          <w:rFonts w:ascii="Arial" w:cs="Arial" w:eastAsia="Arial" w:hAnsi="Arial"/>
          <w:sz w:val="20"/>
          <w:szCs w:val="20"/>
          <w:i w:val="1"/>
          <w:iCs w:val="1"/>
          <w:color w:val="191919"/>
        </w:rPr>
        <w:t>Compensation Discussion and Analysis</w:t>
      </w:r>
      <w:r>
        <w:rPr>
          <w:rFonts w:ascii="Arial" w:cs="Arial" w:eastAsia="Arial" w:hAnsi="Arial"/>
          <w:sz w:val="20"/>
          <w:szCs w:val="20"/>
          <w:color w:val="191919"/>
        </w:rPr>
        <w:t>,” we</w:t>
      </w:r>
    </w:p>
    <w:p>
      <w:pPr>
        <w:spacing w:after="0" w:line="19" w:lineRule="exact"/>
        <w:rPr>
          <w:sz w:val="20"/>
          <w:szCs w:val="20"/>
          <w:color w:val="auto"/>
        </w:rPr>
      </w:pPr>
    </w:p>
    <w:p>
      <w:pPr>
        <w:ind w:left="660"/>
        <w:spacing w:after="0"/>
        <w:rPr>
          <w:sz w:val="20"/>
          <w:szCs w:val="20"/>
          <w:color w:val="auto"/>
        </w:rPr>
      </w:pPr>
      <w:r>
        <w:rPr>
          <w:rFonts w:ascii="Arial" w:cs="Arial" w:eastAsia="Arial" w:hAnsi="Arial"/>
          <w:sz w:val="20"/>
          <w:szCs w:val="20"/>
          <w:color w:val="191919"/>
        </w:rPr>
        <w:t>solicited and received feedback from institutional</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20"/>
          <w:szCs w:val="20"/>
          <w:color w:val="191919"/>
        </w:rPr>
        <w:t>stockholders on various key governance and</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20"/>
          <w:szCs w:val="20"/>
          <w:color w:val="191919"/>
        </w:rPr>
        <w:t>disclosure topics, including the following:</w:t>
      </w:r>
    </w:p>
    <w:p>
      <w:pPr>
        <w:spacing w:after="0" w:line="88" w:lineRule="exact"/>
        <w:rPr>
          <w:sz w:val="20"/>
          <w:szCs w:val="20"/>
          <w:color w:val="auto"/>
        </w:rPr>
      </w:pPr>
    </w:p>
    <w:p>
      <w:pPr>
        <w:ind w:left="840" w:right="140" w:hanging="186"/>
        <w:spacing w:after="0" w:line="256" w:lineRule="auto"/>
        <w:tabs>
          <w:tab w:leader="none" w:pos="840" w:val="left"/>
        </w:tabs>
        <w:numPr>
          <w:ilvl w:val="0"/>
          <w:numId w:val="23"/>
        </w:numPr>
        <w:rPr>
          <w:rFonts w:ascii="Arial" w:cs="Arial" w:eastAsia="Arial" w:hAnsi="Arial"/>
          <w:sz w:val="20"/>
          <w:szCs w:val="20"/>
          <w:color w:val="auto"/>
        </w:rPr>
      </w:pPr>
      <w:r>
        <w:rPr>
          <w:rFonts w:ascii="Arial" w:cs="Arial" w:eastAsia="Arial" w:hAnsi="Arial"/>
          <w:sz w:val="20"/>
          <w:szCs w:val="20"/>
          <w:i w:val="1"/>
          <w:iCs w:val="1"/>
          <w:color w:val="0076A8"/>
        </w:rPr>
        <w:t xml:space="preserve">Board Refreshment: </w:t>
      </w:r>
      <w:r>
        <w:rPr>
          <w:rFonts w:ascii="Arial" w:cs="Arial" w:eastAsia="Arial" w:hAnsi="Arial"/>
          <w:sz w:val="20"/>
          <w:szCs w:val="20"/>
          <w:color w:val="000000"/>
        </w:rPr>
        <w:t>Our institutional</w:t>
      </w:r>
      <w:r>
        <w:rPr>
          <w:rFonts w:ascii="Arial" w:cs="Arial" w:eastAsia="Arial" w:hAnsi="Arial"/>
          <w:sz w:val="20"/>
          <w:szCs w:val="20"/>
          <w:i w:val="1"/>
          <w:iCs w:val="1"/>
          <w:color w:val="0076A8"/>
        </w:rPr>
        <w:t xml:space="preserve"> </w:t>
      </w:r>
      <w:r>
        <w:rPr>
          <w:rFonts w:ascii="Arial" w:cs="Arial" w:eastAsia="Arial" w:hAnsi="Arial"/>
          <w:sz w:val="20"/>
          <w:szCs w:val="20"/>
          <w:color w:val="000000"/>
        </w:rPr>
        <w:t>stockholders generally agreed with the Company’s approach to board refreshment, including the phased retirement of long-tenured directors. Many encouraged the Company to appoint new directors that would add to the diversity of backgrounds on our Board. In addition to our recent addition of two new directors, Mr. Guerin and Ms. McBride, our Nominating and Corporate Governance Committee is currently conducting a search for another 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83" w:hanging="183"/>
        <w:spacing w:after="0" w:line="269" w:lineRule="auto"/>
        <w:tabs>
          <w:tab w:leader="none" w:pos="183" w:val="left"/>
        </w:tabs>
        <w:numPr>
          <w:ilvl w:val="0"/>
          <w:numId w:val="24"/>
        </w:numPr>
        <w:rPr>
          <w:rFonts w:ascii="Arial" w:cs="Arial" w:eastAsia="Arial" w:hAnsi="Arial"/>
          <w:sz w:val="19"/>
          <w:szCs w:val="19"/>
          <w:color w:val="auto"/>
        </w:rPr>
      </w:pPr>
      <w:r>
        <w:rPr>
          <w:rFonts w:ascii="Arial" w:cs="Arial" w:eastAsia="Arial" w:hAnsi="Arial"/>
          <w:sz w:val="19"/>
          <w:szCs w:val="19"/>
          <w:i w:val="1"/>
          <w:iCs w:val="1"/>
          <w:color w:val="0076A8"/>
        </w:rPr>
        <w:t xml:space="preserve">Sustainability Disclosure: </w:t>
      </w:r>
      <w:r>
        <w:rPr>
          <w:rFonts w:ascii="Arial" w:cs="Arial" w:eastAsia="Arial" w:hAnsi="Arial"/>
          <w:sz w:val="19"/>
          <w:szCs w:val="19"/>
          <w:color w:val="000000"/>
        </w:rPr>
        <w:t>Our institutional</w:t>
      </w:r>
      <w:r>
        <w:rPr>
          <w:rFonts w:ascii="Arial" w:cs="Arial" w:eastAsia="Arial" w:hAnsi="Arial"/>
          <w:sz w:val="19"/>
          <w:szCs w:val="19"/>
          <w:i w:val="1"/>
          <w:iCs w:val="1"/>
          <w:color w:val="0076A8"/>
        </w:rPr>
        <w:t xml:space="preserve"> </w:t>
      </w:r>
      <w:r>
        <w:rPr>
          <w:rFonts w:ascii="Arial" w:cs="Arial" w:eastAsia="Arial" w:hAnsi="Arial"/>
          <w:sz w:val="19"/>
          <w:szCs w:val="19"/>
          <w:color w:val="000000"/>
        </w:rPr>
        <w:t>stockholders were pleased with the additional disclosure contained in our sustainability report released in 2021, which included our first-time alignment with the Sustainability Accounting Standards Board (SASB) disclosure framework. Some stockholders encouraged the Company to add disclosure in upcoming reports on various topics, including oversight by the Board of environmental, social, and governance (“ESG”) issues, specific environmental targets (such as carbon emissions reduction), and our efforts to combat human rights abuses in our supply chain. We intend to include responsive disclosures in our next sustainability report, which is scheduled to be published in spring 2022.</w:t>
      </w:r>
    </w:p>
    <w:p>
      <w:pPr>
        <w:spacing w:after="0" w:line="77" w:lineRule="exact"/>
        <w:rPr>
          <w:rFonts w:ascii="Arial" w:cs="Arial" w:eastAsia="Arial" w:hAnsi="Arial"/>
          <w:sz w:val="19"/>
          <w:szCs w:val="19"/>
          <w:color w:val="auto"/>
        </w:rPr>
      </w:pPr>
    </w:p>
    <w:p>
      <w:pPr>
        <w:ind w:left="183" w:hanging="183"/>
        <w:spacing w:after="0" w:line="256" w:lineRule="auto"/>
        <w:tabs>
          <w:tab w:leader="none" w:pos="183" w:val="left"/>
        </w:tabs>
        <w:numPr>
          <w:ilvl w:val="0"/>
          <w:numId w:val="24"/>
        </w:numPr>
        <w:rPr>
          <w:rFonts w:ascii="Arial" w:cs="Arial" w:eastAsia="Arial" w:hAnsi="Arial"/>
          <w:sz w:val="20"/>
          <w:szCs w:val="20"/>
          <w:color w:val="auto"/>
        </w:rPr>
      </w:pPr>
      <w:r>
        <w:rPr>
          <w:rFonts w:ascii="Arial" w:cs="Arial" w:eastAsia="Arial" w:hAnsi="Arial"/>
          <w:sz w:val="20"/>
          <w:szCs w:val="20"/>
          <w:i w:val="1"/>
          <w:iCs w:val="1"/>
          <w:color w:val="0076A8"/>
        </w:rPr>
        <w:t xml:space="preserve">Workforce Diversity Disclosure: </w:t>
      </w:r>
      <w:r>
        <w:rPr>
          <w:rFonts w:ascii="Arial" w:cs="Arial" w:eastAsia="Arial" w:hAnsi="Arial"/>
          <w:sz w:val="20"/>
          <w:szCs w:val="20"/>
          <w:color w:val="000000"/>
        </w:rPr>
        <w:t>While our</w:t>
      </w:r>
      <w:r>
        <w:rPr>
          <w:rFonts w:ascii="Arial" w:cs="Arial" w:eastAsia="Arial" w:hAnsi="Arial"/>
          <w:sz w:val="20"/>
          <w:szCs w:val="20"/>
          <w:i w:val="1"/>
          <w:iCs w:val="1"/>
          <w:color w:val="0076A8"/>
        </w:rPr>
        <w:t xml:space="preserve"> </w:t>
      </w:r>
      <w:r>
        <w:rPr>
          <w:rFonts w:ascii="Arial" w:cs="Arial" w:eastAsia="Arial" w:hAnsi="Arial"/>
          <w:sz w:val="20"/>
          <w:szCs w:val="20"/>
          <w:color w:val="000000"/>
        </w:rPr>
        <w:t>institutional stockholders were pleased with the disclosure in our sustainability report released in 2021 regarding gender and ethnic diversity in our U.S. workforce, several requested that we also share the data from our annual Employment Information Report (“EEO-1”) filings with the Equal Employment Opportunity Commission. In response, we posted on our website the Company’s EEO-1 reports for both 2019 and 2020, and we intend to post future reports as they are finalized.</w:t>
      </w:r>
    </w:p>
    <w:p>
      <w:pPr>
        <w:spacing w:after="0" w:line="80" w:lineRule="exact"/>
        <w:rPr>
          <w:rFonts w:ascii="Arial" w:cs="Arial" w:eastAsia="Arial" w:hAnsi="Arial"/>
          <w:sz w:val="20"/>
          <w:szCs w:val="20"/>
          <w:color w:val="auto"/>
        </w:rPr>
      </w:pPr>
    </w:p>
    <w:p>
      <w:pPr>
        <w:ind w:left="183" w:right="20" w:hanging="183"/>
        <w:spacing w:after="0" w:line="256" w:lineRule="auto"/>
        <w:tabs>
          <w:tab w:leader="none" w:pos="183" w:val="left"/>
        </w:tabs>
        <w:numPr>
          <w:ilvl w:val="0"/>
          <w:numId w:val="24"/>
        </w:numPr>
        <w:rPr>
          <w:rFonts w:ascii="Arial" w:cs="Arial" w:eastAsia="Arial" w:hAnsi="Arial"/>
          <w:sz w:val="20"/>
          <w:szCs w:val="20"/>
          <w:color w:val="auto"/>
        </w:rPr>
      </w:pPr>
      <w:r>
        <w:rPr>
          <w:rFonts w:ascii="Arial" w:cs="Arial" w:eastAsia="Arial" w:hAnsi="Arial"/>
          <w:sz w:val="20"/>
          <w:szCs w:val="20"/>
          <w:i w:val="1"/>
          <w:iCs w:val="1"/>
          <w:color w:val="0076A8"/>
        </w:rPr>
        <w:t xml:space="preserve">Supermajority Voting Provisions: </w:t>
      </w:r>
      <w:r>
        <w:rPr>
          <w:rFonts w:ascii="Arial" w:cs="Arial" w:eastAsia="Arial" w:hAnsi="Arial"/>
          <w:sz w:val="20"/>
          <w:szCs w:val="20"/>
          <w:color w:val="000000"/>
        </w:rPr>
        <w:t>Following the</w:t>
      </w:r>
      <w:r>
        <w:rPr>
          <w:rFonts w:ascii="Arial" w:cs="Arial" w:eastAsia="Arial" w:hAnsi="Arial"/>
          <w:sz w:val="20"/>
          <w:szCs w:val="20"/>
          <w:i w:val="1"/>
          <w:iCs w:val="1"/>
          <w:color w:val="0076A8"/>
        </w:rPr>
        <w:t xml:space="preserve"> </w:t>
      </w:r>
      <w:r>
        <w:rPr>
          <w:rFonts w:ascii="Arial" w:cs="Arial" w:eastAsia="Arial" w:hAnsi="Arial"/>
          <w:sz w:val="20"/>
          <w:szCs w:val="20"/>
          <w:color w:val="000000"/>
        </w:rPr>
        <w:t>approval of a stockholder proposal at our 2021 Annual Meeting regarding supermajority voting provisions in our Restated Certificate of Incorporation, as amended, which we refer to as our Charter, our institutional stockholders generally agreed with the Company’s intention to include management proposals at the Annual Meeting in 2022 that would eliminate all remaining supermajority voting provisions in our Charter. Those proposals are included as Proposals 4-7 herein.</w:t>
      </w:r>
    </w:p>
    <w:p>
      <w:pPr>
        <w:spacing w:after="0" w:line="780" w:lineRule="exact"/>
        <w:rPr>
          <w:sz w:val="20"/>
          <w:szCs w:val="20"/>
          <w:color w:val="auto"/>
        </w:rPr>
      </w:pPr>
    </w:p>
    <w:p>
      <w:pPr>
        <w:sectPr>
          <w:pgSz w:w="11900" w:h="16838" w:orient="portrait"/>
          <w:cols w:equalWidth="0" w:num="2">
            <w:col w:w="5120" w:space="457"/>
            <w:col w:w="4483"/>
          </w:cols>
          <w:pgMar w:left="580" w:top="131" w:right="1259" w:bottom="1440"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p>
      <w:pPr>
        <w:ind w:left="660"/>
        <w:spacing w:after="0"/>
        <w:tabs>
          <w:tab w:leader="none" w:pos="4817" w:val="left"/>
        </w:tabs>
        <w:rPr>
          <w:sz w:val="20"/>
          <w:szCs w:val="20"/>
          <w:color w:val="auto"/>
        </w:rPr>
      </w:pPr>
      <w:r>
        <w:rPr>
          <w:rFonts w:ascii="Arial" w:cs="Arial" w:eastAsia="Arial" w:hAnsi="Arial"/>
          <w:sz w:val="16"/>
          <w:szCs w:val="16"/>
          <w:color w:val="auto"/>
        </w:rPr>
        <w:t>16</w:t>
      </w:r>
      <w:r>
        <w:rPr>
          <w:sz w:val="20"/>
          <w:szCs w:val="20"/>
          <w:color w:val="auto"/>
        </w:rPr>
        <w:tab/>
      </w:r>
      <w:r>
        <w:rPr>
          <w:sz w:val="1"/>
          <w:szCs w:val="1"/>
          <w:color w:val="auto"/>
        </w:rPr>
        <w:drawing>
          <wp:inline distT="0" distB="0" distL="0" distR="0">
            <wp:extent cx="779780" cy="257175"/>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131" w:right="1259" w:bottom="1440" w:gutter="0" w:footer="0" w:header="0"/>
          <w:type w:val="continuous"/>
        </w:sectPr>
      </w:pPr>
    </w:p>
    <w:bookmarkStart w:id="21" w:name="page22"/>
    <w:bookmarkEnd w:id="2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91" w:lineRule="exact"/>
        <w:rPr>
          <w:sz w:val="20"/>
          <w:szCs w:val="20"/>
          <w:color w:val="auto"/>
        </w:rPr>
      </w:pPr>
    </w:p>
    <w:p>
      <w:pPr>
        <w:ind w:left="660" w:right="220"/>
        <w:spacing w:after="0" w:line="254" w:lineRule="auto"/>
        <w:rPr>
          <w:sz w:val="20"/>
          <w:szCs w:val="20"/>
          <w:color w:val="auto"/>
        </w:rPr>
      </w:pPr>
      <w:r>
        <w:rPr>
          <w:rFonts w:ascii="Arial" w:cs="Arial" w:eastAsia="Arial" w:hAnsi="Arial"/>
          <w:sz w:val="20"/>
          <w:szCs w:val="20"/>
          <w:color w:val="191919"/>
        </w:rPr>
        <w:t>Our Board values the opinions expressed by our stockholders and will continue to consider the voting results from stockholder meetings, as well as feedback obtained through our regular stockholder engagement efforts, when making future decisions regarding corporate governance matters.</w:t>
      </w:r>
    </w:p>
    <w:p>
      <w:pPr>
        <w:spacing w:after="0" w:line="261" w:lineRule="exact"/>
        <w:rPr>
          <w:sz w:val="20"/>
          <w:szCs w:val="20"/>
          <w:color w:val="auto"/>
        </w:rPr>
      </w:pPr>
    </w:p>
    <w:p>
      <w:pPr>
        <w:ind w:left="660"/>
        <w:spacing w:after="0"/>
        <w:rPr>
          <w:sz w:val="20"/>
          <w:szCs w:val="20"/>
          <w:color w:val="auto"/>
        </w:rPr>
      </w:pPr>
      <w:r>
        <w:rPr>
          <w:rFonts w:ascii="Arial" w:cs="Arial" w:eastAsia="Arial" w:hAnsi="Arial"/>
          <w:sz w:val="23"/>
          <w:szCs w:val="23"/>
          <w:b w:val="1"/>
          <w:bCs w:val="1"/>
          <w:i w:val="1"/>
          <w:iCs w:val="1"/>
          <w:color w:val="auto"/>
        </w:rPr>
        <w:t>Board of Director Meetings</w:t>
      </w:r>
    </w:p>
    <w:p>
      <w:pPr>
        <w:spacing w:after="0" w:line="161" w:lineRule="exact"/>
        <w:rPr>
          <w:sz w:val="20"/>
          <w:szCs w:val="20"/>
          <w:color w:val="auto"/>
        </w:rPr>
      </w:pPr>
    </w:p>
    <w:p>
      <w:pPr>
        <w:ind w:left="660" w:right="100"/>
        <w:spacing w:after="0" w:line="254" w:lineRule="auto"/>
        <w:rPr>
          <w:sz w:val="20"/>
          <w:szCs w:val="20"/>
          <w:color w:val="auto"/>
        </w:rPr>
      </w:pPr>
      <w:r>
        <w:rPr>
          <w:rFonts w:ascii="Arial" w:cs="Arial" w:eastAsia="Arial" w:hAnsi="Arial"/>
          <w:sz w:val="20"/>
          <w:szCs w:val="20"/>
          <w:color w:val="191919"/>
        </w:rPr>
        <w:t>The Board met eight (8) times during fiscal year 2021. During fiscal year 2021, each director attended at least 75% of the aggregate of the total number of meetings of the Board and the total number of meetings held by all committees of the Board on which he or she served, with the exception of Mr. Furey, who is not a nominee for reelection at the Annual Meeting and attended 74% of such aggregate number of meetings. The Company’s policy with respect to directors’ attendance at the Annual Meeting is included in our corporate governance guidelines, which are available on the Investor Relations portion of the Company’s website at www.skyworksinc.com. At the 2021 Annual Meeting, each director then in office was in attendance.</w:t>
      </w:r>
    </w:p>
    <w:p>
      <w:pPr>
        <w:spacing w:after="0" w:line="244" w:lineRule="exact"/>
        <w:rPr>
          <w:sz w:val="20"/>
          <w:szCs w:val="20"/>
          <w:color w:val="auto"/>
        </w:rPr>
      </w:pPr>
    </w:p>
    <w:p>
      <w:pPr>
        <w:ind w:left="660"/>
        <w:spacing w:after="0"/>
        <w:rPr>
          <w:sz w:val="20"/>
          <w:szCs w:val="20"/>
          <w:color w:val="auto"/>
        </w:rPr>
      </w:pPr>
      <w:r>
        <w:rPr>
          <w:rFonts w:ascii="Arial" w:cs="Arial" w:eastAsia="Arial" w:hAnsi="Arial"/>
          <w:sz w:val="23"/>
          <w:szCs w:val="23"/>
          <w:b w:val="1"/>
          <w:bCs w:val="1"/>
          <w:i w:val="1"/>
          <w:iCs w:val="1"/>
          <w:color w:val="auto"/>
        </w:rPr>
        <w:t>Director Independence</w:t>
      </w:r>
    </w:p>
    <w:p>
      <w:pPr>
        <w:spacing w:after="0" w:line="174" w:lineRule="exact"/>
        <w:rPr>
          <w:sz w:val="20"/>
          <w:szCs w:val="20"/>
          <w:color w:val="auto"/>
        </w:rPr>
      </w:pPr>
    </w:p>
    <w:p>
      <w:pPr>
        <w:ind w:left="660"/>
        <w:spacing w:after="0" w:line="268" w:lineRule="auto"/>
        <w:rPr>
          <w:sz w:val="20"/>
          <w:szCs w:val="20"/>
          <w:color w:val="auto"/>
        </w:rPr>
      </w:pPr>
      <w:r>
        <w:rPr>
          <w:rFonts w:ascii="Arial" w:cs="Arial" w:eastAsia="Arial" w:hAnsi="Arial"/>
          <w:sz w:val="19"/>
          <w:szCs w:val="19"/>
          <w:color w:val="191919"/>
        </w:rPr>
        <w:t>Each year, the Board reviews the relationships that each director has with the Company and with other parties. Only those directors who do not have any of the categorical relationships that preclude them from being independent within the meaning of the applicable Listing Rules of the Nasdaq Stock Market LLC (the “Nasdaq Rules”) and who the Board affirmatively determines have no relationships that would interfere with the exercise of independent judgment in carrying out the responsibilities of a director are considered to be independent directors. The Board has reviewed a number of factors to evaluate the independence of each of its members. These factors include its members’ current and historic relationships with the Company and its competitors, suppliers, and customers; their relationships with management and other directors; the relationships their current and former employers have with the Company; and the relationships between the Company and other</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60"/>
        <w:spacing w:after="0" w:line="254" w:lineRule="auto"/>
        <w:rPr>
          <w:sz w:val="20"/>
          <w:szCs w:val="20"/>
          <w:color w:val="auto"/>
        </w:rPr>
      </w:pPr>
      <w:r>
        <w:rPr>
          <w:rFonts w:ascii="Arial" w:cs="Arial" w:eastAsia="Arial" w:hAnsi="Arial"/>
          <w:sz w:val="20"/>
          <w:szCs w:val="20"/>
          <w:color w:val="191919"/>
        </w:rPr>
        <w:t>companies of which a member of the Company’s Board of Directors is a director or executive officer. After evaluating these factors, the Board has determined that nine of the ten members of the Board, namely, Alan S. Batey, Kevin L. Beebe, Timothy R. Furey, Eric J. Guerin, Suzanne E. McBride, Christine King, David P. McGlade, Robert A. Schriesheim, and Kimberly S. Stevenson, do not have any relationships that would interfere with the exercise of independent judgment in carrying out their responsibilities as directors and that each such director is an independent director of the Company within the meaning of applicable Nasdaq Rules.</w:t>
      </w:r>
    </w:p>
    <w:p>
      <w:pPr>
        <w:spacing w:after="0" w:line="258" w:lineRule="exact"/>
        <w:rPr>
          <w:sz w:val="20"/>
          <w:szCs w:val="20"/>
          <w:color w:val="auto"/>
        </w:rPr>
      </w:pPr>
    </w:p>
    <w:p>
      <w:pPr>
        <w:spacing w:after="0"/>
        <w:rPr>
          <w:sz w:val="20"/>
          <w:szCs w:val="20"/>
          <w:color w:val="auto"/>
        </w:rPr>
      </w:pPr>
      <w:r>
        <w:rPr>
          <w:rFonts w:ascii="Arial" w:cs="Arial" w:eastAsia="Arial" w:hAnsi="Arial"/>
          <w:sz w:val="23"/>
          <w:szCs w:val="23"/>
          <w:b w:val="1"/>
          <w:bCs w:val="1"/>
          <w:i w:val="1"/>
          <w:iCs w:val="1"/>
          <w:color w:val="auto"/>
        </w:rPr>
        <w:t>Corporate Governance Guidelines</w:t>
      </w:r>
    </w:p>
    <w:p>
      <w:pPr>
        <w:spacing w:after="0" w:line="161" w:lineRule="exact"/>
        <w:rPr>
          <w:sz w:val="20"/>
          <w:szCs w:val="20"/>
          <w:color w:val="auto"/>
        </w:rPr>
      </w:pPr>
    </w:p>
    <w:p>
      <w:pPr>
        <w:ind w:right="40"/>
        <w:spacing w:after="0" w:line="254" w:lineRule="auto"/>
        <w:rPr>
          <w:sz w:val="20"/>
          <w:szCs w:val="20"/>
          <w:color w:val="auto"/>
        </w:rPr>
      </w:pPr>
      <w:r>
        <w:rPr>
          <w:rFonts w:ascii="Arial" w:cs="Arial" w:eastAsia="Arial" w:hAnsi="Arial"/>
          <w:sz w:val="20"/>
          <w:szCs w:val="20"/>
          <w:color w:val="191919"/>
        </w:rPr>
        <w:t>The Board has adopted corporate governance practices to help fulfill its responsibilities to the stockholders in overseeing the work of management and the Company’s business results. These guidelines are intended to ensure that the Board has the necessary authority and practices in place to review and evaluate the Company’s business operations, as needed, and to make decisions that are independent of the Company’s management. In addition, the guidelines are intended to align the interests of directors and management with those of the Company’s stockholders. A copy of the Company’s corporate governance guidelines is available on the Investor Relations portion of the Company’s website at www.skyworksinc.com.</w:t>
      </w:r>
    </w:p>
    <w:p>
      <w:pPr>
        <w:spacing w:after="0" w:line="210" w:lineRule="exact"/>
        <w:rPr>
          <w:sz w:val="20"/>
          <w:szCs w:val="20"/>
          <w:color w:val="auto"/>
        </w:rPr>
      </w:pPr>
    </w:p>
    <w:p>
      <w:pPr>
        <w:ind w:right="100"/>
        <w:spacing w:after="0" w:line="255" w:lineRule="auto"/>
        <w:rPr>
          <w:sz w:val="20"/>
          <w:szCs w:val="20"/>
          <w:color w:val="auto"/>
        </w:rPr>
      </w:pPr>
      <w:r>
        <w:rPr>
          <w:rFonts w:ascii="Arial" w:cs="Arial" w:eastAsia="Arial" w:hAnsi="Arial"/>
          <w:sz w:val="20"/>
          <w:szCs w:val="20"/>
          <w:color w:val="191919"/>
        </w:rPr>
        <w:t>In accordance with these corporate governance guidelines, independent members of the Board of the Company met in executive session without management present four (4) times during fiscal year 2021. The Lead Independent Director served as presiding director for these meetings.</w:t>
      </w:r>
    </w:p>
    <w:p>
      <w:pPr>
        <w:spacing w:after="0" w:line="242" w:lineRule="exact"/>
        <w:rPr>
          <w:sz w:val="20"/>
          <w:szCs w:val="20"/>
          <w:color w:val="auto"/>
        </w:rPr>
      </w:pPr>
    </w:p>
    <w:p>
      <w:pPr>
        <w:spacing w:after="0"/>
        <w:rPr>
          <w:sz w:val="20"/>
          <w:szCs w:val="20"/>
          <w:color w:val="auto"/>
        </w:rPr>
      </w:pPr>
      <w:r>
        <w:rPr>
          <w:rFonts w:ascii="Arial" w:cs="Arial" w:eastAsia="Arial" w:hAnsi="Arial"/>
          <w:sz w:val="23"/>
          <w:szCs w:val="23"/>
          <w:b w:val="1"/>
          <w:bCs w:val="1"/>
          <w:i w:val="1"/>
          <w:iCs w:val="1"/>
          <w:color w:val="auto"/>
        </w:rPr>
        <w:t>Code of Ethics</w:t>
      </w:r>
    </w:p>
    <w:p>
      <w:pPr>
        <w:spacing w:after="0" w:line="174" w:lineRule="exact"/>
        <w:rPr>
          <w:sz w:val="20"/>
          <w:szCs w:val="20"/>
          <w:color w:val="auto"/>
        </w:rPr>
      </w:pPr>
    </w:p>
    <w:p>
      <w:pPr>
        <w:ind w:right="20"/>
        <w:spacing w:after="0" w:line="254" w:lineRule="auto"/>
        <w:rPr>
          <w:sz w:val="20"/>
          <w:szCs w:val="20"/>
          <w:color w:val="auto"/>
        </w:rPr>
      </w:pPr>
      <w:r>
        <w:rPr>
          <w:rFonts w:ascii="Arial" w:cs="Arial" w:eastAsia="Arial" w:hAnsi="Arial"/>
          <w:sz w:val="20"/>
          <w:szCs w:val="20"/>
          <w:color w:val="191919"/>
        </w:rPr>
        <w:t>We have adopted a written code of business conduct and ethics that applies to our directors, officers, and employees, including our principal executive officer, principal financial officer, principal accounting officer or controller, or persons performing similar functions. We make available our code of business conduct and ethics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-462280</wp:posOffset>
            </wp:positionH>
            <wp:positionV relativeFrom="paragraph">
              <wp:posOffset>223520</wp:posOffset>
            </wp:positionV>
            <wp:extent cx="779780" cy="2571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79780" cy="25717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-3552190</wp:posOffset>
            </wp:positionH>
            <wp:positionV relativeFrom="paragraph">
              <wp:posOffset>177800</wp:posOffset>
            </wp:positionV>
            <wp:extent cx="68319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2">
            <w:col w:w="5140" w:space="440"/>
            <w:col w:w="4480"/>
          </w:cols>
          <w:pgMar w:left="580" w:top="131" w:right="1259" w:bottom="1440" w:gutter="0" w:footer="0" w:header="0"/>
        </w:sectPr>
      </w:pPr>
    </w:p>
    <w:bookmarkStart w:id="22" w:name="page23"/>
    <w:bookmarkEnd w:id="2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91" w:lineRule="exact"/>
        <w:rPr>
          <w:sz w:val="20"/>
          <w:szCs w:val="20"/>
          <w:color w:val="auto"/>
        </w:rPr>
      </w:pPr>
    </w:p>
    <w:p>
      <w:pPr>
        <w:ind w:left="660"/>
        <w:spacing w:after="0" w:line="254" w:lineRule="auto"/>
        <w:rPr>
          <w:sz w:val="20"/>
          <w:szCs w:val="20"/>
          <w:color w:val="auto"/>
        </w:rPr>
      </w:pPr>
      <w:r>
        <w:rPr>
          <w:rFonts w:ascii="Arial" w:cs="Arial" w:eastAsia="Arial" w:hAnsi="Arial"/>
          <w:sz w:val="20"/>
          <w:szCs w:val="20"/>
          <w:color w:val="191919"/>
        </w:rPr>
        <w:t>free of charge through our website at www.skyworksinc.com. We intend to disclose any amendments to, or waivers from, our code of business conduct and ethics that are required to be publicly disclosed by posting any such amendment or waivers on our website pursuant to requirements of the Securities and Exchange Commission (the “SEC”) and Nasdaq Rules.</w:t>
      </w:r>
    </w:p>
    <w:p>
      <w:pPr>
        <w:spacing w:after="0" w:line="260" w:lineRule="exact"/>
        <w:rPr>
          <w:sz w:val="20"/>
          <w:szCs w:val="20"/>
          <w:color w:val="auto"/>
        </w:rPr>
      </w:pPr>
    </w:p>
    <w:p>
      <w:pPr>
        <w:ind w:left="660" w:right="440"/>
        <w:spacing w:after="0" w:line="286" w:lineRule="auto"/>
        <w:rPr>
          <w:sz w:val="20"/>
          <w:szCs w:val="20"/>
          <w:color w:val="auto"/>
        </w:rPr>
      </w:pPr>
      <w:r>
        <w:rPr>
          <w:rFonts w:ascii="Arial" w:cs="Arial" w:eastAsia="Arial" w:hAnsi="Arial"/>
          <w:sz w:val="23"/>
          <w:szCs w:val="23"/>
          <w:b w:val="1"/>
          <w:bCs w:val="1"/>
          <w:i w:val="1"/>
          <w:iCs w:val="1"/>
          <w:color w:val="auto"/>
        </w:rPr>
        <w:t>Executive Officer and Director Stock Ownership Requirements</w:t>
      </w:r>
    </w:p>
    <w:p>
      <w:pPr>
        <w:spacing w:after="0" w:line="45" w:lineRule="exact"/>
        <w:rPr>
          <w:sz w:val="20"/>
          <w:szCs w:val="20"/>
          <w:color w:val="auto"/>
        </w:rPr>
      </w:pPr>
    </w:p>
    <w:p>
      <w:pPr>
        <w:ind w:left="660"/>
        <w:spacing w:after="0" w:line="255" w:lineRule="auto"/>
        <w:rPr>
          <w:sz w:val="20"/>
          <w:szCs w:val="20"/>
          <w:color w:val="auto"/>
        </w:rPr>
      </w:pPr>
      <w:r>
        <w:rPr>
          <w:rFonts w:ascii="Arial" w:cs="Arial" w:eastAsia="Arial" w:hAnsi="Arial"/>
          <w:sz w:val="20"/>
          <w:szCs w:val="20"/>
          <w:color w:val="191919"/>
        </w:rPr>
        <w:t>As described in detail below under “</w:t>
      </w:r>
      <w:r>
        <w:rPr>
          <w:rFonts w:ascii="Arial" w:cs="Arial" w:eastAsia="Arial" w:hAnsi="Arial"/>
          <w:sz w:val="20"/>
          <w:szCs w:val="20"/>
          <w:i w:val="1"/>
          <w:iCs w:val="1"/>
          <w:color w:val="191919"/>
        </w:rPr>
        <w:t>Compensation</w:t>
      </w:r>
      <w:r>
        <w:rPr>
          <w:rFonts w:ascii="Arial" w:cs="Arial" w:eastAsia="Arial" w:hAnsi="Arial"/>
          <w:sz w:val="20"/>
          <w:szCs w:val="20"/>
          <w:color w:val="191919"/>
        </w:rPr>
        <w:t xml:space="preserve"> </w:t>
      </w:r>
      <w:r>
        <w:rPr>
          <w:rFonts w:ascii="Arial" w:cs="Arial" w:eastAsia="Arial" w:hAnsi="Arial"/>
          <w:sz w:val="20"/>
          <w:szCs w:val="20"/>
          <w:i w:val="1"/>
          <w:iCs w:val="1"/>
          <w:color w:val="191919"/>
        </w:rPr>
        <w:t>Discussion and Analysis</w:t>
      </w:r>
      <w:r>
        <w:rPr>
          <w:rFonts w:ascii="Arial" w:cs="Arial" w:eastAsia="Arial" w:hAnsi="Arial"/>
          <w:sz w:val="20"/>
          <w:szCs w:val="20"/>
          <w:color w:val="191919"/>
        </w:rPr>
        <w:t>,” we have adopted</w:t>
      </w:r>
      <w:r>
        <w:rPr>
          <w:rFonts w:ascii="Arial" w:cs="Arial" w:eastAsia="Arial" w:hAnsi="Arial"/>
          <w:sz w:val="20"/>
          <w:szCs w:val="20"/>
          <w:i w:val="1"/>
          <w:iCs w:val="1"/>
          <w:color w:val="191919"/>
        </w:rPr>
        <w:t xml:space="preserve"> </w:t>
      </w:r>
      <w:r>
        <w:rPr>
          <w:rFonts w:ascii="Arial" w:cs="Arial" w:eastAsia="Arial" w:hAnsi="Arial"/>
          <w:sz w:val="20"/>
          <w:szCs w:val="20"/>
          <w:color w:val="191919"/>
        </w:rPr>
        <w:t>Executive Officer and Director Stock Ownership programs that require our executive officers (including those Named Executive Officers who are still currently serving as executive officers) and non-employee directors to hold a significant equity interest in Skyworks with the objective of more closely aligning the interests of our executive officers and directors with those of our stockholders. All of our Named Executive Officers and directors have met the stock ownership guidelines as of the date hereof (with the exception of Mr. Guerin and Ms. McBride, who are not required to comply with the guidelines until the fifth anniversary of their appointments to the Board).</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23"/>
          <w:szCs w:val="23"/>
          <w:b w:val="1"/>
          <w:bCs w:val="1"/>
          <w:i w:val="1"/>
          <w:iCs w:val="1"/>
          <w:color w:val="auto"/>
        </w:rPr>
        <w:t>Board Leadership Structure</w:t>
      </w:r>
    </w:p>
    <w:p>
      <w:pPr>
        <w:spacing w:after="0" w:line="174" w:lineRule="exact"/>
        <w:rPr>
          <w:sz w:val="20"/>
          <w:szCs w:val="20"/>
          <w:color w:val="auto"/>
        </w:rPr>
      </w:pPr>
    </w:p>
    <w:p>
      <w:pPr>
        <w:ind w:left="660" w:right="60"/>
        <w:spacing w:after="0" w:line="253" w:lineRule="auto"/>
        <w:rPr>
          <w:sz w:val="20"/>
          <w:szCs w:val="20"/>
          <w:color w:val="auto"/>
        </w:rPr>
      </w:pPr>
      <w:r>
        <w:rPr>
          <w:rFonts w:ascii="Arial" w:cs="Arial" w:eastAsia="Arial" w:hAnsi="Arial"/>
          <w:sz w:val="20"/>
          <w:szCs w:val="20"/>
          <w:color w:val="191919"/>
        </w:rPr>
        <w:t>Our Board selects the Company’s Chairman of the Board and Chief Executive Officer in the manner it determines to be in the best interests of the Company at the time. Our former Chairman of the Board, Mr. Aldrich, served as the Chairman of the Board from May 2014 until his retirement in</w:t>
      </w:r>
    </w:p>
    <w:p>
      <w:pPr>
        <w:spacing w:after="0" w:line="3" w:lineRule="exact"/>
        <w:rPr>
          <w:sz w:val="20"/>
          <w:szCs w:val="20"/>
          <w:color w:val="auto"/>
        </w:rPr>
      </w:pPr>
    </w:p>
    <w:p>
      <w:pPr>
        <w:ind w:left="660"/>
        <w:spacing w:after="0" w:line="254" w:lineRule="auto"/>
        <w:rPr>
          <w:sz w:val="20"/>
          <w:szCs w:val="20"/>
          <w:color w:val="auto"/>
        </w:rPr>
      </w:pPr>
      <w:r>
        <w:rPr>
          <w:rFonts w:ascii="Arial" w:cs="Arial" w:eastAsia="Arial" w:hAnsi="Arial"/>
          <w:sz w:val="20"/>
          <w:szCs w:val="20"/>
          <w:color w:val="191919"/>
        </w:rPr>
        <w:t>May 2021. Our current Chairman and Chief Executive Officer, Mr. Griffin, was appointed by our Board in May 2016 to succeed Mr. Aldrich as Chief Executive Officer and also to serve as a director, and was appointed by our Board in May 2021 to succeed Mr. Aldrich as Chairman of the Board. The Board believes that this leadership structure, coupled with a strong emphasis on Board independence, provides effective independent oversight of management while allowing both the Board and management to benefit from Mr. Griffin’s experience and skills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 w:right="820"/>
        <w:spacing w:after="0" w:line="261" w:lineRule="auto"/>
        <w:rPr>
          <w:sz w:val="20"/>
          <w:szCs w:val="20"/>
          <w:color w:val="auto"/>
        </w:rPr>
      </w:pPr>
      <w:r>
        <w:rPr>
          <w:rFonts w:ascii="Arial" w:cs="Arial" w:eastAsia="Arial" w:hAnsi="Arial"/>
          <w:sz w:val="20"/>
          <w:szCs w:val="20"/>
          <w:color w:val="191919"/>
        </w:rPr>
        <w:t>developed over nearly twenty years at the Company serving in executive roles.</w:t>
      </w:r>
    </w:p>
    <w:p>
      <w:pPr>
        <w:spacing w:after="0" w:line="202" w:lineRule="exact"/>
        <w:rPr>
          <w:sz w:val="20"/>
          <w:szCs w:val="20"/>
          <w:color w:val="auto"/>
        </w:rPr>
      </w:pPr>
    </w:p>
    <w:p>
      <w:pPr>
        <w:ind w:left="3" w:right="120"/>
        <w:spacing w:after="0" w:line="266" w:lineRule="auto"/>
        <w:rPr>
          <w:sz w:val="20"/>
          <w:szCs w:val="20"/>
          <w:color w:val="auto"/>
        </w:rPr>
      </w:pPr>
      <w:r>
        <w:rPr>
          <w:rFonts w:ascii="Arial" w:cs="Arial" w:eastAsia="Arial" w:hAnsi="Arial"/>
          <w:sz w:val="19"/>
          <w:szCs w:val="19"/>
          <w:color w:val="191919"/>
        </w:rPr>
        <w:t>Importantly, the Board has a strong and empowered Lead Independent Director who provides an effective independent voice in our leadership structure. In May 2014, at the time of Mr. Aldrich’s appointment as Chairman of the Board, our Board first appointed an independent director within the meaning of applicable Nasdaq Rules (see above under “</w:t>
      </w:r>
      <w:r>
        <w:rPr>
          <w:rFonts w:ascii="Arial" w:cs="Arial" w:eastAsia="Arial" w:hAnsi="Arial"/>
          <w:sz w:val="19"/>
          <w:szCs w:val="19"/>
          <w:i w:val="1"/>
          <w:iCs w:val="1"/>
          <w:color w:val="191919"/>
        </w:rPr>
        <w:t>Director Independence</w:t>
      </w:r>
      <w:r>
        <w:rPr>
          <w:rFonts w:ascii="Arial" w:cs="Arial" w:eastAsia="Arial" w:hAnsi="Arial"/>
          <w:sz w:val="19"/>
          <w:szCs w:val="19"/>
          <w:color w:val="191919"/>
        </w:rPr>
        <w:t>”) to serve as the Lead Independent Director.</w:t>
      </w:r>
    </w:p>
    <w:p>
      <w:pPr>
        <w:spacing w:after="0" w:line="8" w:lineRule="exact"/>
        <w:rPr>
          <w:sz w:val="20"/>
          <w:szCs w:val="20"/>
          <w:color w:val="auto"/>
        </w:rPr>
      </w:pPr>
    </w:p>
    <w:p>
      <w:pPr>
        <w:ind w:left="3" w:right="420"/>
        <w:spacing w:after="0" w:line="261" w:lineRule="auto"/>
        <w:rPr>
          <w:sz w:val="20"/>
          <w:szCs w:val="20"/>
          <w:color w:val="auto"/>
        </w:rPr>
      </w:pPr>
      <w:r>
        <w:rPr>
          <w:rFonts w:ascii="Arial" w:cs="Arial" w:eastAsia="Arial" w:hAnsi="Arial"/>
          <w:sz w:val="20"/>
          <w:szCs w:val="20"/>
          <w:color w:val="191919"/>
        </w:rPr>
        <w:t>Ms. King was appointed in May 2019 to be the current Lead Independent Director.</w:t>
      </w:r>
    </w:p>
    <w:p>
      <w:pPr>
        <w:spacing w:after="0" w:line="202" w:lineRule="exact"/>
        <w:rPr>
          <w:sz w:val="20"/>
          <w:szCs w:val="20"/>
          <w:color w:val="auto"/>
        </w:rPr>
      </w:pPr>
    </w:p>
    <w:p>
      <w:pPr>
        <w:jc w:val="both"/>
        <w:ind w:left="3" w:right="240"/>
        <w:spacing w:after="0" w:line="257" w:lineRule="auto"/>
        <w:rPr>
          <w:sz w:val="20"/>
          <w:szCs w:val="20"/>
          <w:color w:val="auto"/>
        </w:rPr>
      </w:pPr>
      <w:r>
        <w:rPr>
          <w:rFonts w:ascii="Arial" w:cs="Arial" w:eastAsia="Arial" w:hAnsi="Arial"/>
          <w:sz w:val="20"/>
          <w:szCs w:val="20"/>
          <w:color w:val="191919"/>
        </w:rPr>
        <w:t>The duties of the Lead Independent Director, as set forth in our corporate governance guidelines, include the following:</w:t>
      </w:r>
    </w:p>
    <w:p>
      <w:pPr>
        <w:spacing w:after="0" w:line="152" w:lineRule="exact"/>
        <w:rPr>
          <w:sz w:val="20"/>
          <w:szCs w:val="20"/>
          <w:color w:val="auto"/>
        </w:rPr>
      </w:pPr>
    </w:p>
    <w:p>
      <w:pPr>
        <w:ind w:left="183" w:right="120" w:hanging="183"/>
        <w:spacing w:after="0" w:line="253" w:lineRule="auto"/>
        <w:tabs>
          <w:tab w:leader="none" w:pos="183" w:val="left"/>
        </w:tabs>
        <w:numPr>
          <w:ilvl w:val="0"/>
          <w:numId w:val="25"/>
        </w:numPr>
        <w:rPr>
          <w:rFonts w:ascii="Arial" w:cs="Arial" w:eastAsia="Arial" w:hAnsi="Arial"/>
          <w:sz w:val="20"/>
          <w:szCs w:val="20"/>
          <w:color w:val="auto"/>
        </w:rPr>
      </w:pPr>
      <w:r>
        <w:rPr>
          <w:rFonts w:ascii="Arial" w:cs="Arial" w:eastAsia="Arial" w:hAnsi="Arial"/>
          <w:sz w:val="20"/>
          <w:szCs w:val="20"/>
          <w:color w:val="auto"/>
        </w:rPr>
        <w:t>presiding at all meetings of the Board at which the Chairman of the Board is not present, including executive sessions of the independent directors;</w:t>
      </w:r>
    </w:p>
    <w:p>
      <w:pPr>
        <w:spacing w:after="0" w:line="2" w:lineRule="exact"/>
        <w:rPr>
          <w:rFonts w:ascii="Arial" w:cs="Arial" w:eastAsia="Arial" w:hAnsi="Arial"/>
          <w:sz w:val="20"/>
          <w:szCs w:val="20"/>
          <w:color w:val="auto"/>
        </w:rPr>
      </w:pPr>
    </w:p>
    <w:p>
      <w:pPr>
        <w:ind w:left="183" w:right="60" w:hanging="183"/>
        <w:spacing w:after="0" w:line="253" w:lineRule="auto"/>
        <w:tabs>
          <w:tab w:leader="none" w:pos="183" w:val="left"/>
        </w:tabs>
        <w:numPr>
          <w:ilvl w:val="0"/>
          <w:numId w:val="25"/>
        </w:numPr>
        <w:rPr>
          <w:rFonts w:ascii="Arial" w:cs="Arial" w:eastAsia="Arial" w:hAnsi="Arial"/>
          <w:sz w:val="20"/>
          <w:szCs w:val="20"/>
          <w:color w:val="auto"/>
        </w:rPr>
      </w:pPr>
      <w:r>
        <w:rPr>
          <w:rFonts w:ascii="Arial" w:cs="Arial" w:eastAsia="Arial" w:hAnsi="Arial"/>
          <w:sz w:val="20"/>
          <w:szCs w:val="20"/>
          <w:color w:val="auto"/>
        </w:rPr>
        <w:t>calling meetings of the independent directors, as he or she deems appropriate, and assuring that the independent directors meet independently at least twice each year;</w:t>
      </w:r>
    </w:p>
    <w:p>
      <w:pPr>
        <w:spacing w:after="0" w:line="2" w:lineRule="exact"/>
        <w:rPr>
          <w:rFonts w:ascii="Arial" w:cs="Arial" w:eastAsia="Arial" w:hAnsi="Arial"/>
          <w:sz w:val="20"/>
          <w:szCs w:val="20"/>
          <w:color w:val="auto"/>
        </w:rPr>
      </w:pPr>
    </w:p>
    <w:p>
      <w:pPr>
        <w:ind w:left="183" w:hanging="183"/>
        <w:spacing w:after="0" w:line="253" w:lineRule="auto"/>
        <w:tabs>
          <w:tab w:leader="none" w:pos="183" w:val="left"/>
        </w:tabs>
        <w:numPr>
          <w:ilvl w:val="0"/>
          <w:numId w:val="25"/>
        </w:numPr>
        <w:rPr>
          <w:rFonts w:ascii="Arial" w:cs="Arial" w:eastAsia="Arial" w:hAnsi="Arial"/>
          <w:sz w:val="20"/>
          <w:szCs w:val="20"/>
          <w:color w:val="auto"/>
        </w:rPr>
      </w:pPr>
      <w:r>
        <w:rPr>
          <w:rFonts w:ascii="Arial" w:cs="Arial" w:eastAsia="Arial" w:hAnsi="Arial"/>
          <w:sz w:val="20"/>
          <w:szCs w:val="20"/>
          <w:color w:val="auto"/>
        </w:rPr>
        <w:t>providing leadership to the Board if circumstances arise in which the Chairman of the Board may be, or may be perceived to be, in conflict with the interests of the Company and its stockholders with regard to a particular matter;</w:t>
      </w:r>
    </w:p>
    <w:p>
      <w:pPr>
        <w:spacing w:after="0" w:line="2" w:lineRule="exact"/>
        <w:rPr>
          <w:rFonts w:ascii="Arial" w:cs="Arial" w:eastAsia="Arial" w:hAnsi="Arial"/>
          <w:sz w:val="20"/>
          <w:szCs w:val="20"/>
          <w:color w:val="auto"/>
        </w:rPr>
      </w:pPr>
    </w:p>
    <w:p>
      <w:pPr>
        <w:ind w:left="183" w:right="220" w:hanging="183"/>
        <w:spacing w:after="0" w:line="253" w:lineRule="auto"/>
        <w:tabs>
          <w:tab w:leader="none" w:pos="183" w:val="left"/>
        </w:tabs>
        <w:numPr>
          <w:ilvl w:val="0"/>
          <w:numId w:val="25"/>
        </w:numPr>
        <w:rPr>
          <w:rFonts w:ascii="Arial" w:cs="Arial" w:eastAsia="Arial" w:hAnsi="Arial"/>
          <w:sz w:val="20"/>
          <w:szCs w:val="20"/>
          <w:color w:val="auto"/>
        </w:rPr>
      </w:pPr>
      <w:r>
        <w:rPr>
          <w:rFonts w:ascii="Arial" w:cs="Arial" w:eastAsia="Arial" w:hAnsi="Arial"/>
          <w:sz w:val="20"/>
          <w:szCs w:val="20"/>
          <w:color w:val="auto"/>
        </w:rPr>
        <w:t>facilitating communications and serving as a liaison, when necessary, between the independent directors and the Chairman of the Board and/or the Chief Executive Officer;</w:t>
      </w:r>
    </w:p>
    <w:p>
      <w:pPr>
        <w:spacing w:after="0" w:line="2" w:lineRule="exact"/>
        <w:rPr>
          <w:rFonts w:ascii="Arial" w:cs="Arial" w:eastAsia="Arial" w:hAnsi="Arial"/>
          <w:sz w:val="20"/>
          <w:szCs w:val="20"/>
          <w:color w:val="auto"/>
        </w:rPr>
      </w:pPr>
    </w:p>
    <w:p>
      <w:pPr>
        <w:ind w:left="183" w:hanging="183"/>
        <w:spacing w:after="0" w:line="253" w:lineRule="auto"/>
        <w:tabs>
          <w:tab w:leader="none" w:pos="183" w:val="left"/>
        </w:tabs>
        <w:numPr>
          <w:ilvl w:val="0"/>
          <w:numId w:val="25"/>
        </w:numPr>
        <w:rPr>
          <w:rFonts w:ascii="Arial" w:cs="Arial" w:eastAsia="Arial" w:hAnsi="Arial"/>
          <w:sz w:val="20"/>
          <w:szCs w:val="20"/>
          <w:color w:val="auto"/>
        </w:rPr>
      </w:pPr>
      <w:r>
        <w:rPr>
          <w:rFonts w:ascii="Arial" w:cs="Arial" w:eastAsia="Arial" w:hAnsi="Arial"/>
          <w:sz w:val="20"/>
          <w:szCs w:val="20"/>
          <w:color w:val="auto"/>
        </w:rPr>
        <w:t>consulting with the Chairman of the Board in the preparation of the schedules, agendas, and information provided to the Board for each meeting, and ensuring that there is sufficient time at each meeting for discussion of all agenda items;</w:t>
      </w:r>
    </w:p>
    <w:p>
      <w:pPr>
        <w:spacing w:after="0" w:line="3" w:lineRule="exact"/>
        <w:rPr>
          <w:rFonts w:ascii="Arial" w:cs="Arial" w:eastAsia="Arial" w:hAnsi="Arial"/>
          <w:sz w:val="20"/>
          <w:szCs w:val="20"/>
          <w:color w:val="auto"/>
        </w:rPr>
      </w:pPr>
    </w:p>
    <w:p>
      <w:pPr>
        <w:ind w:left="183" w:right="80" w:hanging="183"/>
        <w:spacing w:after="0" w:line="277" w:lineRule="auto"/>
        <w:tabs>
          <w:tab w:leader="none" w:pos="183" w:val="left"/>
        </w:tabs>
        <w:numPr>
          <w:ilvl w:val="0"/>
          <w:numId w:val="25"/>
        </w:numPr>
        <w:rPr>
          <w:rFonts w:ascii="Arial" w:cs="Arial" w:eastAsia="Arial" w:hAnsi="Arial"/>
          <w:sz w:val="19"/>
          <w:szCs w:val="19"/>
          <w:color w:val="auto"/>
        </w:rPr>
      </w:pPr>
      <w:r>
        <w:rPr>
          <w:rFonts w:ascii="Arial" w:cs="Arial" w:eastAsia="Arial" w:hAnsi="Arial"/>
          <w:sz w:val="19"/>
          <w:szCs w:val="19"/>
          <w:color w:val="auto"/>
        </w:rPr>
        <w:t>retaining independent advisors on behalf of the Board as the Board or the independent directors may deem necessary or appropriate; and</w:t>
      </w:r>
    </w:p>
    <w:p>
      <w:pPr>
        <w:spacing w:after="0" w:line="1473" w:lineRule="exact"/>
        <w:rPr>
          <w:sz w:val="20"/>
          <w:szCs w:val="20"/>
          <w:color w:val="auto"/>
        </w:rPr>
      </w:pPr>
    </w:p>
    <w:p>
      <w:pPr>
        <w:sectPr>
          <w:pgSz w:w="11900" w:h="16838" w:orient="portrait"/>
          <w:cols w:equalWidth="0" w:num="2">
            <w:col w:w="5140" w:space="437"/>
            <w:col w:w="4483"/>
          </w:cols>
          <w:pgMar w:left="580" w:top="131" w:right="1259" w:bottom="1440" w:gutter="0" w:footer="0" w:header="0"/>
        </w:sectPr>
      </w:pPr>
    </w:p>
    <w:p>
      <w:pPr>
        <w:spacing w:after="0" w:line="116" w:lineRule="exact"/>
        <w:rPr>
          <w:sz w:val="20"/>
          <w:szCs w:val="20"/>
          <w:color w:val="auto"/>
        </w:rPr>
      </w:pPr>
    </w:p>
    <w:p>
      <w:pPr>
        <w:ind w:left="660"/>
        <w:spacing w:after="0"/>
        <w:tabs>
          <w:tab w:leader="none" w:pos="4817" w:val="left"/>
        </w:tabs>
        <w:rPr>
          <w:sz w:val="20"/>
          <w:szCs w:val="20"/>
          <w:color w:val="auto"/>
        </w:rPr>
      </w:pPr>
      <w:r>
        <w:rPr>
          <w:rFonts w:ascii="Arial" w:cs="Arial" w:eastAsia="Arial" w:hAnsi="Arial"/>
          <w:sz w:val="16"/>
          <w:szCs w:val="16"/>
          <w:color w:val="auto"/>
        </w:rPr>
        <w:t>18</w:t>
      </w:r>
      <w:r>
        <w:rPr>
          <w:sz w:val="20"/>
          <w:szCs w:val="20"/>
          <w:color w:val="auto"/>
        </w:rPr>
        <w:tab/>
      </w:r>
      <w:r>
        <w:rPr>
          <w:sz w:val="1"/>
          <w:szCs w:val="1"/>
          <w:color w:val="auto"/>
        </w:rPr>
        <w:drawing>
          <wp:inline distT="0" distB="0" distL="0" distR="0">
            <wp:extent cx="779780" cy="257175"/>
            <wp:effectExtent l="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131" w:right="1259" w:bottom="1440" w:gutter="0" w:footer="0" w:header="0"/>
          <w:type w:val="continuous"/>
        </w:sectPr>
      </w:pPr>
    </w:p>
    <w:bookmarkStart w:id="23" w:name="page24"/>
    <w:bookmarkEnd w:id="2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840" w:right="80" w:hanging="186"/>
        <w:spacing w:after="0" w:line="257" w:lineRule="auto"/>
        <w:tabs>
          <w:tab w:leader="none" w:pos="840" w:val="left"/>
        </w:tabs>
        <w:numPr>
          <w:ilvl w:val="0"/>
          <w:numId w:val="26"/>
        </w:numPr>
        <w:rPr>
          <w:rFonts w:ascii="Arial" w:cs="Arial" w:eastAsia="Arial" w:hAnsi="Arial"/>
          <w:sz w:val="20"/>
          <w:szCs w:val="20"/>
          <w:color w:val="auto"/>
        </w:rPr>
      </w:pPr>
      <w:r>
        <w:rPr>
          <w:rFonts w:ascii="Arial" w:cs="Arial" w:eastAsia="Arial" w:hAnsi="Arial"/>
          <w:sz w:val="20"/>
          <w:szCs w:val="20"/>
          <w:color w:val="auto"/>
        </w:rPr>
        <w:t>being available for consultation and direct communication upon the reasonable request of major stockholders.</w:t>
      </w:r>
    </w:p>
    <w:p>
      <w:pPr>
        <w:spacing w:after="0" w:line="206" w:lineRule="exact"/>
        <w:rPr>
          <w:sz w:val="20"/>
          <w:szCs w:val="20"/>
          <w:color w:val="auto"/>
        </w:rPr>
      </w:pPr>
    </w:p>
    <w:p>
      <w:pPr>
        <w:ind w:left="660"/>
        <w:spacing w:after="0" w:line="255" w:lineRule="auto"/>
        <w:rPr>
          <w:sz w:val="20"/>
          <w:szCs w:val="20"/>
          <w:color w:val="auto"/>
        </w:rPr>
      </w:pPr>
      <w:r>
        <w:rPr>
          <w:rFonts w:ascii="Arial" w:cs="Arial" w:eastAsia="Arial" w:hAnsi="Arial"/>
          <w:sz w:val="20"/>
          <w:szCs w:val="20"/>
          <w:color w:val="191919"/>
        </w:rPr>
        <w:t>The Board believes our current leadership structure is appropriate and that the duties of the Lead Independent Director appropriately and effectively complement the duties of the Chairman of the Board.</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23"/>
          <w:szCs w:val="23"/>
          <w:b w:val="1"/>
          <w:bCs w:val="1"/>
          <w:i w:val="1"/>
          <w:iCs w:val="1"/>
          <w:color w:val="auto"/>
        </w:rPr>
        <w:t>Stockholder Communications</w:t>
      </w:r>
    </w:p>
    <w:p>
      <w:pPr>
        <w:spacing w:after="0" w:line="174" w:lineRule="exact"/>
        <w:rPr>
          <w:sz w:val="20"/>
          <w:szCs w:val="20"/>
          <w:color w:val="auto"/>
        </w:rPr>
      </w:pPr>
    </w:p>
    <w:p>
      <w:pPr>
        <w:ind w:left="660" w:right="120"/>
        <w:spacing w:after="0" w:line="273" w:lineRule="auto"/>
        <w:rPr>
          <w:sz w:val="20"/>
          <w:szCs w:val="20"/>
          <w:color w:val="auto"/>
        </w:rPr>
      </w:pPr>
      <w:r>
        <w:rPr>
          <w:rFonts w:ascii="Arial" w:cs="Arial" w:eastAsia="Arial" w:hAnsi="Arial"/>
          <w:sz w:val="19"/>
          <w:szCs w:val="19"/>
          <w:color w:val="191919"/>
        </w:rPr>
        <w:t>Our stockholders may communicate directly with the Board as a whole or to individual directors by letter addressed directly to such individual or individuals at the following 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20"/>
          <w:szCs w:val="20"/>
          <w:color w:val="191919"/>
        </w:rPr>
        <w:t>c/o Skyworks Solutions, Inc.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191919"/>
        </w:rPr>
        <w:t>5260 California Avenue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191919"/>
        </w:rPr>
        <w:t>Irvine, CA 92617</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191919"/>
        </w:rPr>
        <w:t>Attention: Secretary</w:t>
      </w:r>
    </w:p>
    <w:p>
      <w:pPr>
        <w:spacing w:after="0" w:line="229" w:lineRule="exact"/>
        <w:rPr>
          <w:sz w:val="20"/>
          <w:szCs w:val="20"/>
          <w:color w:val="auto"/>
        </w:rPr>
      </w:pPr>
    </w:p>
    <w:p>
      <w:pPr>
        <w:ind w:right="180"/>
        <w:spacing w:after="0" w:line="254" w:lineRule="auto"/>
        <w:rPr>
          <w:sz w:val="20"/>
          <w:szCs w:val="20"/>
          <w:color w:val="auto"/>
        </w:rPr>
      </w:pPr>
      <w:r>
        <w:rPr>
          <w:rFonts w:ascii="Arial" w:cs="Arial" w:eastAsia="Arial" w:hAnsi="Arial"/>
          <w:sz w:val="20"/>
          <w:szCs w:val="20"/>
          <w:color w:val="191919"/>
        </w:rPr>
        <w:t>The Company will forward to each director to whom such communication is addressed, and to the Chairman of the Board in his capacity as representative of the entire Board, any mail received at the Company’s corporate office to the address specified by such director and the 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-462280</wp:posOffset>
            </wp:positionH>
            <wp:positionV relativeFrom="paragraph">
              <wp:posOffset>6026785</wp:posOffset>
            </wp:positionV>
            <wp:extent cx="779780" cy="2571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7978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-3552190</wp:posOffset>
            </wp:positionH>
            <wp:positionV relativeFrom="paragraph">
              <wp:posOffset>186690</wp:posOffset>
            </wp:positionV>
            <wp:extent cx="68319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2">
            <w:col w:w="5040" w:space="540"/>
            <w:col w:w="4480"/>
          </w:cols>
          <w:pgMar w:left="580" w:top="131" w:right="1259" w:bottom="1440" w:gutter="0" w:footer="0" w:header="0"/>
        </w:sectPr>
      </w:pPr>
    </w:p>
    <w:bookmarkStart w:id="24" w:name="page25"/>
    <w:bookmarkEnd w:id="2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363" w:lineRule="exact"/>
        <w:rPr>
          <w:sz w:val="20"/>
          <w:szCs w:val="20"/>
          <w:color w:val="auto"/>
        </w:rPr>
      </w:pPr>
    </w:p>
    <w:p>
      <w:pPr>
        <w:jc w:val="right"/>
        <w:ind w:right="4280"/>
        <w:spacing w:after="0"/>
        <w:rPr>
          <w:sz w:val="20"/>
          <w:szCs w:val="20"/>
          <w:color w:val="auto"/>
        </w:rPr>
      </w:pPr>
      <w:r>
        <w:rPr>
          <w:rFonts w:ascii="Arial" w:cs="Arial" w:eastAsia="Arial" w:hAnsi="Arial"/>
          <w:sz w:val="29"/>
          <w:szCs w:val="29"/>
          <w:b w:val="1"/>
          <w:bCs w:val="1"/>
          <w:color w:val="auto"/>
        </w:rPr>
        <w:t>Committees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79375</wp:posOffset>
            </wp:positionV>
            <wp:extent cx="597471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974715" cy="8255"/>
                    </a:xfrm>
                    <a:prstGeom prst="rect">
                      <a:avLst/>
                    </a:prstGeom>
                    <a:noFill/>
                  </pic:spPr>
                </pic:pic>
              </a:graphicData>
            </a:graphic>
          </wp:anchor>
        </w:drawing>
      </w:r>
    </w:p>
    <w:p>
      <w:pPr>
        <w:sectPr>
          <w:pgSz w:w="11900" w:h="16838" w:orient="portrait"/>
          <w:cols w:equalWidth="0" w:num="1">
            <w:col w:w="10060"/>
          </w:cols>
          <w:pgMar w:left="580" w:top="131" w:right="1259" w:bottom="1440" w:gutter="0" w:footer="0" w:header="0"/>
        </w:sectPr>
      </w:pPr>
    </w:p>
    <w:p>
      <w:pPr>
        <w:spacing w:after="0" w:line="243" w:lineRule="exact"/>
        <w:rPr>
          <w:sz w:val="20"/>
          <w:szCs w:val="20"/>
          <w:color w:val="auto"/>
        </w:rPr>
      </w:pPr>
    </w:p>
    <w:p>
      <w:pPr>
        <w:ind w:left="660" w:right="300"/>
        <w:spacing w:after="0" w:line="257" w:lineRule="auto"/>
        <w:rPr>
          <w:sz w:val="20"/>
          <w:szCs w:val="20"/>
          <w:color w:val="auto"/>
        </w:rPr>
      </w:pPr>
      <w:r>
        <w:rPr>
          <w:rFonts w:ascii="Arial" w:cs="Arial" w:eastAsia="Arial" w:hAnsi="Arial"/>
          <w:sz w:val="20"/>
          <w:szCs w:val="20"/>
          <w:color w:val="191919"/>
        </w:rPr>
        <w:t>The Board has a standing Audit Committee, Compensation Committee, and Nominating and Corporate Governance Committee.</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23"/>
          <w:szCs w:val="23"/>
          <w:b w:val="1"/>
          <w:bCs w:val="1"/>
          <w:i w:val="1"/>
          <w:iCs w:val="1"/>
          <w:color w:val="auto"/>
        </w:rPr>
        <w:t>Audit Committee</w:t>
      </w:r>
    </w:p>
    <w:p>
      <w:pPr>
        <w:spacing w:after="0" w:line="161" w:lineRule="exact"/>
        <w:rPr>
          <w:sz w:val="20"/>
          <w:szCs w:val="20"/>
          <w:color w:val="auto"/>
        </w:rPr>
      </w:pPr>
    </w:p>
    <w:p>
      <w:pPr>
        <w:ind w:left="660"/>
        <w:spacing w:after="0" w:line="254" w:lineRule="auto"/>
        <w:rPr>
          <w:sz w:val="20"/>
          <w:szCs w:val="20"/>
          <w:color w:val="auto"/>
        </w:rPr>
      </w:pPr>
      <w:r>
        <w:rPr>
          <w:rFonts w:ascii="Arial" w:cs="Arial" w:eastAsia="Arial" w:hAnsi="Arial"/>
          <w:sz w:val="20"/>
          <w:szCs w:val="20"/>
          <w:color w:val="191919"/>
        </w:rPr>
        <w:t>We have established an Audit Committee consisting of the following individuals, each of whom the Board has determined is “independent” within the meaning of applicable Nasdaq Rules and meets the criteria for independence set forth in Rule 10A-3(b)(1) under the Securities Exchange Act of 1934, as amended (the “Exchange Act”): Mr. McGlade (Chairman), Mr. Furey, Ms. King, and Mr. Schriesheim.</w:t>
      </w:r>
    </w:p>
    <w:p>
      <w:pPr>
        <w:spacing w:after="0" w:line="212" w:lineRule="exact"/>
        <w:rPr>
          <w:sz w:val="20"/>
          <w:szCs w:val="20"/>
          <w:color w:val="auto"/>
        </w:rPr>
      </w:pPr>
    </w:p>
    <w:p>
      <w:pPr>
        <w:ind w:left="660" w:right="40"/>
        <w:spacing w:after="0" w:line="253" w:lineRule="auto"/>
        <w:rPr>
          <w:sz w:val="20"/>
          <w:szCs w:val="20"/>
          <w:color w:val="auto"/>
        </w:rPr>
      </w:pPr>
      <w:r>
        <w:rPr>
          <w:rFonts w:ascii="Arial" w:cs="Arial" w:eastAsia="Arial" w:hAnsi="Arial"/>
          <w:sz w:val="20"/>
          <w:szCs w:val="20"/>
          <w:color w:val="191919"/>
        </w:rPr>
        <w:t>The primary responsibility of the Audit Committee is the oversight of the quality and integrity of the Company’s financial statements, the Company’s internal financial and accounting processes, and the independent audit process. Additionally, the Audit Committee has the responsibilities and authority necessary to comply with Rule 10A-3 under the Exchange Act. The Audit Committee meets privately with the independent registered public accounting firm, reviews their performance and independence from management, and has the sole authority to retain and dismiss the independent registered public accounting firm. These and other aspects of the Audit Committee’s authority are more particularly described in the Company’s Audit Committee Charter, which the Board adopted, is reviewed annually by the committee, and is available on the Investor Relations portion of our website at www.skyworksinc.com.</w:t>
      </w:r>
    </w:p>
    <w:p>
      <w:pPr>
        <w:spacing w:after="0" w:line="227" w:lineRule="exact"/>
        <w:rPr>
          <w:sz w:val="20"/>
          <w:szCs w:val="20"/>
          <w:color w:val="auto"/>
        </w:rPr>
      </w:pPr>
    </w:p>
    <w:p>
      <w:pPr>
        <w:ind w:left="660"/>
        <w:spacing w:after="0" w:line="269" w:lineRule="auto"/>
        <w:rPr>
          <w:sz w:val="20"/>
          <w:szCs w:val="20"/>
          <w:color w:val="auto"/>
        </w:rPr>
      </w:pPr>
      <w:r>
        <w:rPr>
          <w:rFonts w:ascii="Arial" w:cs="Arial" w:eastAsia="Arial" w:hAnsi="Arial"/>
          <w:sz w:val="19"/>
          <w:szCs w:val="19"/>
          <w:color w:val="191919"/>
        </w:rPr>
        <w:t>The Audit Committee has adopted a formal policy concerning approval of audit and non-audit services to be provided to the Company by its independent registered public accounting firm, KPMG LLP. The policy requires that all services provided by KPMG LLP, including audit services and permitted audit-related and non-audit services, be preapproved by the Audit Committee. The Audit Committee preapproved all audit and non-audit services provided by KPMG LLP for fiscal</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ind w:right="460"/>
        <w:spacing w:after="0" w:line="261" w:lineRule="auto"/>
        <w:rPr>
          <w:sz w:val="20"/>
          <w:szCs w:val="20"/>
          <w:color w:val="auto"/>
        </w:rPr>
      </w:pPr>
      <w:r>
        <w:rPr>
          <w:rFonts w:ascii="Arial" w:cs="Arial" w:eastAsia="Arial" w:hAnsi="Arial"/>
          <w:sz w:val="20"/>
          <w:szCs w:val="20"/>
          <w:color w:val="191919"/>
        </w:rPr>
        <w:t>year 2021. The Audit Committee met eight (8) times during fiscal year 2021.</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i w:val="1"/>
          <w:iCs w:val="1"/>
          <w:color w:val="0076A8"/>
        </w:rPr>
        <w:t>Audit Committee Financial Expert</w:t>
      </w:r>
    </w:p>
    <w:p>
      <w:pPr>
        <w:spacing w:after="0" w:line="163" w:lineRule="exact"/>
        <w:rPr>
          <w:sz w:val="20"/>
          <w:szCs w:val="20"/>
          <w:color w:val="auto"/>
        </w:rPr>
      </w:pPr>
    </w:p>
    <w:p>
      <w:pPr>
        <w:ind w:right="1000"/>
        <w:spacing w:after="0" w:line="266" w:lineRule="auto"/>
        <w:rPr>
          <w:sz w:val="20"/>
          <w:szCs w:val="20"/>
          <w:color w:val="auto"/>
        </w:rPr>
      </w:pPr>
      <w:r>
        <w:rPr>
          <w:rFonts w:ascii="Arial" w:cs="Arial" w:eastAsia="Arial" w:hAnsi="Arial"/>
          <w:sz w:val="19"/>
          <w:szCs w:val="19"/>
          <w:color w:val="191919"/>
        </w:rPr>
        <w:t>The Board has determined that each of Mr. McGlade (Chairman), Ms. King, and</w:t>
      </w:r>
    </w:p>
    <w:p>
      <w:pPr>
        <w:spacing w:after="0" w:line="2" w:lineRule="exact"/>
        <w:rPr>
          <w:sz w:val="20"/>
          <w:szCs w:val="20"/>
          <w:color w:val="auto"/>
        </w:rPr>
      </w:pPr>
    </w:p>
    <w:p>
      <w:pPr>
        <w:ind w:right="60"/>
        <w:spacing w:after="0" w:line="255" w:lineRule="auto"/>
        <w:rPr>
          <w:sz w:val="20"/>
          <w:szCs w:val="20"/>
          <w:color w:val="auto"/>
        </w:rPr>
      </w:pPr>
      <w:r>
        <w:rPr>
          <w:rFonts w:ascii="Arial" w:cs="Arial" w:eastAsia="Arial" w:hAnsi="Arial"/>
          <w:sz w:val="20"/>
          <w:szCs w:val="20"/>
          <w:color w:val="191919"/>
        </w:rPr>
        <w:t>Mr. Schriesheim meets the qualifications of an “audit committee financial expert” under SEC rules and the qualifications of “financial sophistication” under the applicable Nasdaq Rules, and qualifies as “independent” as defined under the applicable Nasdaq Rules.</w:t>
      </w:r>
    </w:p>
    <w:p>
      <w:pPr>
        <w:spacing w:after="0" w:line="242" w:lineRule="exact"/>
        <w:rPr>
          <w:sz w:val="20"/>
          <w:szCs w:val="20"/>
          <w:color w:val="auto"/>
        </w:rPr>
      </w:pPr>
    </w:p>
    <w:p>
      <w:pPr>
        <w:spacing w:after="0"/>
        <w:rPr>
          <w:sz w:val="20"/>
          <w:szCs w:val="20"/>
          <w:color w:val="auto"/>
        </w:rPr>
      </w:pPr>
      <w:r>
        <w:rPr>
          <w:rFonts w:ascii="Arial" w:cs="Arial" w:eastAsia="Arial" w:hAnsi="Arial"/>
          <w:sz w:val="23"/>
          <w:szCs w:val="23"/>
          <w:b w:val="1"/>
          <w:bCs w:val="1"/>
          <w:i w:val="1"/>
          <w:iCs w:val="1"/>
          <w:color w:val="auto"/>
        </w:rPr>
        <w:t>Compensation Committee</w:t>
      </w:r>
    </w:p>
    <w:p>
      <w:pPr>
        <w:spacing w:after="0" w:line="161" w:lineRule="exact"/>
        <w:rPr>
          <w:sz w:val="20"/>
          <w:szCs w:val="20"/>
          <w:color w:val="auto"/>
        </w:rPr>
      </w:pPr>
    </w:p>
    <w:p>
      <w:pPr>
        <w:spacing w:after="0" w:line="253" w:lineRule="auto"/>
        <w:rPr>
          <w:sz w:val="20"/>
          <w:szCs w:val="20"/>
          <w:color w:val="auto"/>
        </w:rPr>
      </w:pPr>
      <w:r>
        <w:rPr>
          <w:rFonts w:ascii="Arial" w:cs="Arial" w:eastAsia="Arial" w:hAnsi="Arial"/>
          <w:sz w:val="20"/>
          <w:szCs w:val="20"/>
          <w:color w:val="191919"/>
        </w:rPr>
        <w:t>We have established a Compensation Committee consisting of the following individuals, each of whom the Board has determined is “independent” within the meaning of applicable Nasdaq Rules and a non-employee director within the meaning of Rule 16b-3 under the Exchange Act: Ms. King (Chairman), Mr. McGlade, and Mr. Schriesheim. The Compensation Committee met five (5) times during fiscal year 2021. The functions of the Compensation Committee include establishing the appropriate level of compensation, including short-and long-term incentive compensation of the Chief Executive Officer, all other executive officers, and any other officers or employees who report directly to the Chief Executive Officer. The Compensation Committee also administers Skyworks’ equity-based compensation plans. The Compensation Committee’s authority to grant equity awards to the Company’s executive officers may not be delegated to the Company’s management or others. The Board has adopted a written charter for the Compensation Committee, and it is available on the Investor Relations portion of the Company’s website at www.skyworksinc.com.</w:t>
      </w:r>
    </w:p>
    <w:p>
      <w:pPr>
        <w:spacing w:after="0" w:line="230" w:lineRule="exact"/>
        <w:rPr>
          <w:sz w:val="20"/>
          <w:szCs w:val="20"/>
          <w:color w:val="auto"/>
        </w:rPr>
      </w:pPr>
    </w:p>
    <w:p>
      <w:pPr>
        <w:ind w:right="20"/>
        <w:spacing w:after="0" w:line="254" w:lineRule="auto"/>
        <w:rPr>
          <w:sz w:val="20"/>
          <w:szCs w:val="20"/>
          <w:color w:val="auto"/>
        </w:rPr>
      </w:pPr>
      <w:r>
        <w:rPr>
          <w:rFonts w:ascii="Arial" w:cs="Arial" w:eastAsia="Arial" w:hAnsi="Arial"/>
          <w:sz w:val="20"/>
          <w:szCs w:val="20"/>
          <w:color w:val="191919"/>
        </w:rPr>
        <w:t>The Compensation Committee has engaged Aon/Radford Consulting (“Aon/Radford”) to assist it in determining the components and amounts of executive compensation. The consultant reports directly to the Compensation Committee, through its Chairman, and the Compensation Committee retains the right to terminate or replace</w:t>
      </w:r>
    </w:p>
    <w:p>
      <w:pPr>
        <w:spacing w:after="0" w:line="200" w:lineRule="exact"/>
        <w:rPr>
          <w:sz w:val="20"/>
          <w:szCs w:val="20"/>
          <w:color w:val="auto"/>
        </w:rPr>
      </w:pPr>
    </w:p>
    <w:p>
      <w:pPr>
        <w:sectPr>
          <w:pgSz w:w="11900" w:h="16838" w:orient="portrait"/>
          <w:cols w:equalWidth="0" w:num="2">
            <w:col w:w="5120" w:space="460"/>
            <w:col w:w="4480"/>
          </w:cols>
          <w:pgMar w:left="580" w:top="131" w:right="1259" w:bottom="1440" w:gutter="0" w:footer="0" w:header="0"/>
          <w:type w:val="continuous"/>
        </w:sectPr>
      </w:pPr>
    </w:p>
    <w:p>
      <w:pPr>
        <w:spacing w:after="0" w:line="131" w:lineRule="exact"/>
        <w:rPr>
          <w:sz w:val="20"/>
          <w:szCs w:val="20"/>
          <w:color w:val="auto"/>
        </w:rPr>
      </w:pPr>
    </w:p>
    <w:p>
      <w:pPr>
        <w:ind w:left="660"/>
        <w:spacing w:after="0"/>
        <w:tabs>
          <w:tab w:leader="none" w:pos="4817" w:val="left"/>
        </w:tabs>
        <w:rPr>
          <w:sz w:val="20"/>
          <w:szCs w:val="20"/>
          <w:color w:val="auto"/>
        </w:rPr>
      </w:pPr>
      <w:r>
        <w:rPr>
          <w:rFonts w:ascii="Arial" w:cs="Arial" w:eastAsia="Arial" w:hAnsi="Arial"/>
          <w:sz w:val="16"/>
          <w:szCs w:val="16"/>
          <w:color w:val="auto"/>
        </w:rPr>
        <w:t>20</w:t>
      </w:r>
      <w:r>
        <w:rPr>
          <w:sz w:val="20"/>
          <w:szCs w:val="20"/>
          <w:color w:val="auto"/>
        </w:rPr>
        <w:tab/>
      </w:r>
      <w:r>
        <w:rPr>
          <w:sz w:val="1"/>
          <w:szCs w:val="1"/>
          <w:color w:val="auto"/>
        </w:rPr>
        <w:drawing>
          <wp:inline distT="0" distB="0" distL="0" distR="0">
            <wp:extent cx="779780" cy="257175"/>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131" w:right="1259" w:bottom="1440" w:gutter="0" w:footer="0" w:header="0"/>
          <w:type w:val="continuous"/>
        </w:sectPr>
      </w:pPr>
    </w:p>
    <w:bookmarkStart w:id="25" w:name="page26"/>
    <w:bookmarkEnd w:id="2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91" w:lineRule="exact"/>
        <w:rPr>
          <w:sz w:val="20"/>
          <w:szCs w:val="20"/>
          <w:color w:val="auto"/>
        </w:rPr>
      </w:pPr>
    </w:p>
    <w:p>
      <w:pPr>
        <w:ind w:left="660"/>
        <w:spacing w:after="0" w:line="255" w:lineRule="auto"/>
        <w:rPr>
          <w:sz w:val="20"/>
          <w:szCs w:val="20"/>
          <w:color w:val="auto"/>
        </w:rPr>
      </w:pPr>
      <w:r>
        <w:rPr>
          <w:rFonts w:ascii="Arial" w:cs="Arial" w:eastAsia="Arial" w:hAnsi="Arial"/>
          <w:sz w:val="20"/>
          <w:szCs w:val="20"/>
          <w:color w:val="191919"/>
        </w:rPr>
        <w:t>the consultant at any time. The process and procedures followed by the Compensation Committee in considering and determining executive and director compensation are described below under “</w:t>
      </w:r>
      <w:r>
        <w:rPr>
          <w:rFonts w:ascii="Arial" w:cs="Arial" w:eastAsia="Arial" w:hAnsi="Arial"/>
          <w:sz w:val="20"/>
          <w:szCs w:val="20"/>
          <w:i w:val="1"/>
          <w:iCs w:val="1"/>
          <w:color w:val="000000"/>
        </w:rPr>
        <w:t>Compensation Discussion and</w:t>
      </w:r>
      <w:r>
        <w:rPr>
          <w:rFonts w:ascii="Arial" w:cs="Arial" w:eastAsia="Arial" w:hAnsi="Arial"/>
          <w:sz w:val="20"/>
          <w:szCs w:val="20"/>
          <w:color w:val="191919"/>
        </w:rPr>
        <w:t xml:space="preserve"> </w:t>
      </w:r>
      <w:r>
        <w:rPr>
          <w:rFonts w:ascii="Arial" w:cs="Arial" w:eastAsia="Arial" w:hAnsi="Arial"/>
          <w:sz w:val="20"/>
          <w:szCs w:val="20"/>
          <w:i w:val="1"/>
          <w:iCs w:val="1"/>
          <w:color w:val="000000"/>
        </w:rPr>
        <w:t>Analysis</w:t>
      </w:r>
      <w:r>
        <w:rPr>
          <w:rFonts w:ascii="Arial" w:cs="Arial" w:eastAsia="Arial" w:hAnsi="Arial"/>
          <w:sz w:val="20"/>
          <w:szCs w:val="20"/>
          <w:color w:val="191919"/>
        </w:rPr>
        <w:t>.”</w:t>
      </w:r>
    </w:p>
    <w:p>
      <w:pPr>
        <w:spacing w:after="0" w:line="255" w:lineRule="exact"/>
        <w:rPr>
          <w:sz w:val="20"/>
          <w:szCs w:val="20"/>
          <w:color w:val="auto"/>
        </w:rPr>
      </w:pPr>
    </w:p>
    <w:p>
      <w:pPr>
        <w:ind w:left="660" w:right="120"/>
        <w:spacing w:after="0" w:line="286" w:lineRule="auto"/>
        <w:rPr>
          <w:sz w:val="20"/>
          <w:szCs w:val="20"/>
          <w:color w:val="auto"/>
        </w:rPr>
      </w:pPr>
      <w:r>
        <w:rPr>
          <w:rFonts w:ascii="Arial" w:cs="Arial" w:eastAsia="Arial" w:hAnsi="Arial"/>
          <w:sz w:val="23"/>
          <w:szCs w:val="23"/>
          <w:b w:val="1"/>
          <w:bCs w:val="1"/>
          <w:i w:val="1"/>
          <w:iCs w:val="1"/>
          <w:color w:val="auto"/>
        </w:rPr>
        <w:t>Nominating and Corporate Governance Committee</w:t>
      </w:r>
    </w:p>
    <w:p>
      <w:pPr>
        <w:spacing w:after="0" w:line="65" w:lineRule="exact"/>
        <w:rPr>
          <w:sz w:val="20"/>
          <w:szCs w:val="20"/>
          <w:color w:val="auto"/>
        </w:rPr>
      </w:pPr>
    </w:p>
    <w:p>
      <w:pPr>
        <w:ind w:left="660" w:right="20"/>
        <w:spacing w:after="0" w:line="267" w:lineRule="auto"/>
        <w:rPr>
          <w:sz w:val="20"/>
          <w:szCs w:val="20"/>
          <w:color w:val="auto"/>
        </w:rPr>
      </w:pPr>
      <w:r>
        <w:rPr>
          <w:rFonts w:ascii="Arial" w:cs="Arial" w:eastAsia="Arial" w:hAnsi="Arial"/>
          <w:sz w:val="19"/>
          <w:szCs w:val="19"/>
          <w:color w:val="191919"/>
        </w:rPr>
        <w:t>We have established a Nominating and Corporate Governance Committee consisting of the following individuals, each of whom the Board has determined is “independent” within the meaning of applicable Nasdaq Rules: Mr. Beebe (Chairman), Mr. Batey, Mr. Furey, and Ms. Stevenson. The Nominating and Corporate Governance Committee met three (3) times during fiscal year 2021. The Nominating and Corporate Governance Committee is responsible for evaluating and recommending individuals for election or reelection to the Board and its committees, including any recommendations that may be submitted by stockholders, as well as the evaluation and recommendation of corporate governance policies. The Nominating and Corporate Governance Committee oversees the annual evaluation process for the Board, each committee, and individual directors, by soliciting from each director his or her assessment of the effectiveness of the Board, the committees on which he or she serves, and other individual directors. These and other aspects of the Nominating and Corporate Governance Committee’s authority are more particularly described in the Nominating and Corporate Governance Committee Charter, which the Board adopted and is available on the Investor Relations portion of the Company’s website at www.skyworksinc.com.</w:t>
      </w: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0076A8"/>
        </w:rPr>
        <w:t>Director Nomination Procedures</w:t>
      </w:r>
    </w:p>
    <w:p>
      <w:pPr>
        <w:spacing w:after="0" w:line="150" w:lineRule="exact"/>
        <w:rPr>
          <w:sz w:val="20"/>
          <w:szCs w:val="20"/>
          <w:color w:val="auto"/>
        </w:rPr>
      </w:pPr>
    </w:p>
    <w:p>
      <w:pPr>
        <w:ind w:left="660" w:right="20"/>
        <w:spacing w:after="0" w:line="254" w:lineRule="auto"/>
        <w:rPr>
          <w:sz w:val="20"/>
          <w:szCs w:val="20"/>
          <w:color w:val="auto"/>
        </w:rPr>
      </w:pPr>
      <w:r>
        <w:rPr>
          <w:rFonts w:ascii="Arial" w:cs="Arial" w:eastAsia="Arial" w:hAnsi="Arial"/>
          <w:sz w:val="20"/>
          <w:szCs w:val="20"/>
          <w:color w:val="191919"/>
        </w:rPr>
        <w:t>The Nominating and Corporate Governance Committee evaluates director candidates in the context of the overall composition and needs of the Board, with the objective of recommending a group that can best manage the business and affairs of the Company and represent the interests of the Company’s stockholders using its diversity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3" w:right="740"/>
        <w:spacing w:after="0" w:line="257" w:lineRule="auto"/>
        <w:rPr>
          <w:sz w:val="20"/>
          <w:szCs w:val="20"/>
          <w:color w:val="auto"/>
        </w:rPr>
      </w:pPr>
      <w:r>
        <w:rPr>
          <w:rFonts w:ascii="Arial" w:cs="Arial" w:eastAsia="Arial" w:hAnsi="Arial"/>
          <w:sz w:val="20"/>
          <w:szCs w:val="20"/>
          <w:color w:val="191919"/>
        </w:rPr>
        <w:t>of experience. The committee seeks directors who possess certain minimum qualifications, including the following:</w:t>
      </w:r>
    </w:p>
    <w:p>
      <w:pPr>
        <w:spacing w:after="0" w:line="206" w:lineRule="exact"/>
        <w:rPr>
          <w:sz w:val="20"/>
          <w:szCs w:val="20"/>
          <w:color w:val="auto"/>
        </w:rPr>
      </w:pPr>
    </w:p>
    <w:p>
      <w:pPr>
        <w:ind w:left="183" w:right="700" w:hanging="183"/>
        <w:spacing w:after="0" w:line="253" w:lineRule="auto"/>
        <w:tabs>
          <w:tab w:leader="none" w:pos="183" w:val="left"/>
        </w:tabs>
        <w:numPr>
          <w:ilvl w:val="0"/>
          <w:numId w:val="27"/>
        </w:numPr>
        <w:rPr>
          <w:rFonts w:ascii="Arial" w:cs="Arial" w:eastAsia="Arial" w:hAnsi="Arial"/>
          <w:sz w:val="20"/>
          <w:szCs w:val="20"/>
          <w:color w:val="auto"/>
        </w:rPr>
      </w:pPr>
      <w:r>
        <w:rPr>
          <w:rFonts w:ascii="Arial" w:cs="Arial" w:eastAsia="Arial" w:hAnsi="Arial"/>
          <w:sz w:val="20"/>
          <w:szCs w:val="20"/>
          <w:color w:val="auto"/>
        </w:rPr>
        <w:t>A director must have substantial or significant business or professional experience or an understanding of technology, finance, marketing, financial reporting, international business, or other disciplines relevant to the business of the Company.</w:t>
      </w:r>
    </w:p>
    <w:p>
      <w:pPr>
        <w:spacing w:after="0" w:line="3" w:lineRule="exact"/>
        <w:rPr>
          <w:rFonts w:ascii="Arial" w:cs="Arial" w:eastAsia="Arial" w:hAnsi="Arial"/>
          <w:sz w:val="20"/>
          <w:szCs w:val="20"/>
          <w:color w:val="auto"/>
        </w:rPr>
      </w:pPr>
    </w:p>
    <w:p>
      <w:pPr>
        <w:ind w:left="183" w:right="680" w:hanging="183"/>
        <w:spacing w:after="0" w:line="266" w:lineRule="auto"/>
        <w:tabs>
          <w:tab w:leader="none" w:pos="183" w:val="left"/>
        </w:tabs>
        <w:numPr>
          <w:ilvl w:val="0"/>
          <w:numId w:val="27"/>
        </w:numPr>
        <w:rPr>
          <w:rFonts w:ascii="Arial" w:cs="Arial" w:eastAsia="Arial" w:hAnsi="Arial"/>
          <w:sz w:val="19"/>
          <w:szCs w:val="19"/>
          <w:color w:val="auto"/>
        </w:rPr>
      </w:pPr>
      <w:r>
        <w:rPr>
          <w:rFonts w:ascii="Arial" w:cs="Arial" w:eastAsia="Arial" w:hAnsi="Arial"/>
          <w:sz w:val="19"/>
          <w:szCs w:val="19"/>
          <w:color w:val="auto"/>
        </w:rPr>
        <w:t>A director (other than an employee-director) must be free from any relationship that, in the opinion of the Board, would interfere with the exercise of his or her independent judgment as a member of the Board or of a Board committee.</w:t>
      </w:r>
    </w:p>
    <w:p>
      <w:pPr>
        <w:spacing w:after="0" w:line="4" w:lineRule="exact"/>
        <w:rPr>
          <w:rFonts w:ascii="Arial" w:cs="Arial" w:eastAsia="Arial" w:hAnsi="Arial"/>
          <w:sz w:val="19"/>
          <w:szCs w:val="19"/>
          <w:color w:val="auto"/>
        </w:rPr>
      </w:pPr>
    </w:p>
    <w:p>
      <w:pPr>
        <w:ind w:left="183" w:right="680" w:hanging="183"/>
        <w:spacing w:after="0" w:line="256" w:lineRule="auto"/>
        <w:tabs>
          <w:tab w:leader="none" w:pos="183"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 committee also considers the following qualities and skills, among others, in its selection of directors and as candidates for appointment to the committees of the Board:</w:t>
      </w:r>
    </w:p>
    <w:p>
      <w:pPr>
        <w:spacing w:after="0" w:line="98" w:lineRule="exact"/>
        <w:rPr>
          <w:rFonts w:ascii="Arial" w:cs="Arial" w:eastAsia="Arial" w:hAnsi="Arial"/>
          <w:sz w:val="20"/>
          <w:szCs w:val="20"/>
          <w:color w:val="auto"/>
        </w:rPr>
      </w:pPr>
    </w:p>
    <w:p>
      <w:pPr>
        <w:ind w:left="543" w:right="740" w:hanging="183"/>
        <w:spacing w:after="0" w:line="253" w:lineRule="auto"/>
        <w:tabs>
          <w:tab w:leader="none" w:pos="543" w:val="left"/>
        </w:tabs>
        <w:numPr>
          <w:ilvl w:val="1"/>
          <w:numId w:val="27"/>
        </w:numPr>
        <w:rPr>
          <w:rFonts w:ascii="Arial" w:cs="Arial" w:eastAsia="Arial" w:hAnsi="Arial"/>
          <w:sz w:val="20"/>
          <w:szCs w:val="20"/>
          <w:color w:val="auto"/>
        </w:rPr>
      </w:pPr>
      <w:r>
        <w:rPr>
          <w:rFonts w:ascii="Arial" w:cs="Arial" w:eastAsia="Arial" w:hAnsi="Arial"/>
          <w:sz w:val="20"/>
          <w:szCs w:val="20"/>
          <w:color w:val="auto"/>
        </w:rPr>
        <w:t>economic, technical, scientific, academic, financial, accounting, legal, marketing, or other expertise applicable to the business of the Company;</w:t>
      </w:r>
    </w:p>
    <w:p>
      <w:pPr>
        <w:spacing w:after="0" w:line="2" w:lineRule="exact"/>
        <w:rPr>
          <w:rFonts w:ascii="Arial" w:cs="Arial" w:eastAsia="Arial" w:hAnsi="Arial"/>
          <w:sz w:val="20"/>
          <w:szCs w:val="20"/>
          <w:color w:val="auto"/>
        </w:rPr>
      </w:pPr>
    </w:p>
    <w:p>
      <w:pPr>
        <w:ind w:left="543" w:right="1080" w:hanging="183"/>
        <w:spacing w:after="0" w:line="253" w:lineRule="auto"/>
        <w:tabs>
          <w:tab w:leader="none" w:pos="543" w:val="left"/>
        </w:tabs>
        <w:numPr>
          <w:ilvl w:val="1"/>
          <w:numId w:val="27"/>
        </w:numPr>
        <w:rPr>
          <w:rFonts w:ascii="Arial" w:cs="Arial" w:eastAsia="Arial" w:hAnsi="Arial"/>
          <w:sz w:val="20"/>
          <w:szCs w:val="20"/>
          <w:color w:val="auto"/>
        </w:rPr>
      </w:pPr>
      <w:r>
        <w:rPr>
          <w:rFonts w:ascii="Arial" w:cs="Arial" w:eastAsia="Arial" w:hAnsi="Arial"/>
          <w:sz w:val="20"/>
          <w:szCs w:val="20"/>
          <w:color w:val="auto"/>
        </w:rPr>
        <w:t>leadership or substantial achievement in their particular fields;</w:t>
      </w:r>
    </w:p>
    <w:p>
      <w:pPr>
        <w:spacing w:after="0" w:line="1" w:lineRule="exact"/>
        <w:rPr>
          <w:rFonts w:ascii="Arial" w:cs="Arial" w:eastAsia="Arial" w:hAnsi="Arial"/>
          <w:sz w:val="20"/>
          <w:szCs w:val="20"/>
          <w:color w:val="auto"/>
        </w:rPr>
      </w:pPr>
    </w:p>
    <w:p>
      <w:pPr>
        <w:ind w:left="543" w:right="1220" w:hanging="183"/>
        <w:spacing w:after="0" w:line="253" w:lineRule="auto"/>
        <w:tabs>
          <w:tab w:leader="none" w:pos="543" w:val="left"/>
        </w:tabs>
        <w:numPr>
          <w:ilvl w:val="1"/>
          <w:numId w:val="27"/>
        </w:numPr>
        <w:rPr>
          <w:rFonts w:ascii="Arial" w:cs="Arial" w:eastAsia="Arial" w:hAnsi="Arial"/>
          <w:sz w:val="20"/>
          <w:szCs w:val="20"/>
          <w:color w:val="auto"/>
        </w:rPr>
      </w:pPr>
      <w:r>
        <w:rPr>
          <w:rFonts w:ascii="Arial" w:cs="Arial" w:eastAsia="Arial" w:hAnsi="Arial"/>
          <w:sz w:val="20"/>
          <w:szCs w:val="20"/>
          <w:color w:val="auto"/>
        </w:rPr>
        <w:t>demonstrated ability to exercise sound business judgment;</w:t>
      </w:r>
    </w:p>
    <w:p>
      <w:pPr>
        <w:spacing w:after="0" w:line="1" w:lineRule="exact"/>
        <w:rPr>
          <w:rFonts w:ascii="Arial" w:cs="Arial" w:eastAsia="Arial" w:hAnsi="Arial"/>
          <w:sz w:val="20"/>
          <w:szCs w:val="20"/>
          <w:color w:val="auto"/>
        </w:rPr>
      </w:pPr>
    </w:p>
    <w:p>
      <w:pPr>
        <w:ind w:left="543" w:right="1540" w:hanging="183"/>
        <w:spacing w:after="0" w:line="253" w:lineRule="auto"/>
        <w:tabs>
          <w:tab w:leader="none" w:pos="543" w:val="left"/>
        </w:tabs>
        <w:numPr>
          <w:ilvl w:val="1"/>
          <w:numId w:val="27"/>
        </w:numPr>
        <w:rPr>
          <w:rFonts w:ascii="Arial" w:cs="Arial" w:eastAsia="Arial" w:hAnsi="Arial"/>
          <w:sz w:val="20"/>
          <w:szCs w:val="20"/>
          <w:color w:val="auto"/>
        </w:rPr>
      </w:pPr>
      <w:r>
        <w:rPr>
          <w:rFonts w:ascii="Arial" w:cs="Arial" w:eastAsia="Arial" w:hAnsi="Arial"/>
          <w:sz w:val="20"/>
          <w:szCs w:val="20"/>
          <w:color w:val="auto"/>
        </w:rPr>
        <w:t>integrity and high moral and ethical character;</w:t>
      </w:r>
    </w:p>
    <w:p>
      <w:pPr>
        <w:spacing w:after="0" w:line="1" w:lineRule="exact"/>
        <w:rPr>
          <w:rFonts w:ascii="Arial" w:cs="Arial" w:eastAsia="Arial" w:hAnsi="Arial"/>
          <w:sz w:val="20"/>
          <w:szCs w:val="20"/>
          <w:color w:val="auto"/>
        </w:rPr>
      </w:pPr>
    </w:p>
    <w:p>
      <w:pPr>
        <w:ind w:left="543" w:right="800" w:hanging="183"/>
        <w:spacing w:after="0" w:line="253" w:lineRule="auto"/>
        <w:tabs>
          <w:tab w:leader="none" w:pos="543" w:val="left"/>
        </w:tabs>
        <w:numPr>
          <w:ilvl w:val="1"/>
          <w:numId w:val="27"/>
        </w:numPr>
        <w:rPr>
          <w:rFonts w:ascii="Arial" w:cs="Arial" w:eastAsia="Arial" w:hAnsi="Arial"/>
          <w:sz w:val="20"/>
          <w:szCs w:val="20"/>
          <w:color w:val="auto"/>
        </w:rPr>
      </w:pPr>
      <w:r>
        <w:rPr>
          <w:rFonts w:ascii="Arial" w:cs="Arial" w:eastAsia="Arial" w:hAnsi="Arial"/>
          <w:sz w:val="20"/>
          <w:szCs w:val="20"/>
          <w:color w:val="auto"/>
        </w:rPr>
        <w:t>potential to contribute to the diversity of viewpoints, backgrounds, or experiences of the Board as a whole;</w:t>
      </w:r>
    </w:p>
    <w:p>
      <w:pPr>
        <w:spacing w:after="0" w:line="1" w:lineRule="exact"/>
        <w:rPr>
          <w:rFonts w:ascii="Arial" w:cs="Arial" w:eastAsia="Arial" w:hAnsi="Arial"/>
          <w:sz w:val="20"/>
          <w:szCs w:val="20"/>
          <w:color w:val="auto"/>
        </w:rPr>
      </w:pPr>
    </w:p>
    <w:p>
      <w:pPr>
        <w:ind w:left="543" w:right="800" w:hanging="183"/>
        <w:spacing w:after="0" w:line="253" w:lineRule="auto"/>
        <w:tabs>
          <w:tab w:leader="none" w:pos="543" w:val="left"/>
        </w:tabs>
        <w:numPr>
          <w:ilvl w:val="1"/>
          <w:numId w:val="27"/>
        </w:numPr>
        <w:rPr>
          <w:rFonts w:ascii="Arial" w:cs="Arial" w:eastAsia="Arial" w:hAnsi="Arial"/>
          <w:sz w:val="20"/>
          <w:szCs w:val="20"/>
          <w:color w:val="auto"/>
        </w:rPr>
      </w:pPr>
      <w:r>
        <w:rPr>
          <w:rFonts w:ascii="Arial" w:cs="Arial" w:eastAsia="Arial" w:hAnsi="Arial"/>
          <w:sz w:val="20"/>
          <w:szCs w:val="20"/>
          <w:color w:val="auto"/>
        </w:rPr>
        <w:t>capacity and desire to represent the balanced, best interests of the Company as a whole and not primarily a special interest group or constituency;</w:t>
      </w:r>
    </w:p>
    <w:p>
      <w:pPr>
        <w:spacing w:after="0" w:line="2" w:lineRule="exact"/>
        <w:rPr>
          <w:rFonts w:ascii="Arial" w:cs="Arial" w:eastAsia="Arial" w:hAnsi="Arial"/>
          <w:sz w:val="20"/>
          <w:szCs w:val="20"/>
          <w:color w:val="auto"/>
        </w:rPr>
      </w:pPr>
    </w:p>
    <w:p>
      <w:pPr>
        <w:ind w:left="543" w:hanging="183"/>
        <w:spacing w:after="0"/>
        <w:tabs>
          <w:tab w:leader="none" w:pos="543" w:val="left"/>
        </w:tabs>
        <w:numPr>
          <w:ilvl w:val="1"/>
          <w:numId w:val="27"/>
        </w:numPr>
        <w:rPr>
          <w:rFonts w:ascii="Arial" w:cs="Arial" w:eastAsia="Arial" w:hAnsi="Arial"/>
          <w:sz w:val="20"/>
          <w:szCs w:val="20"/>
          <w:color w:val="auto"/>
        </w:rPr>
      </w:pPr>
      <w:r>
        <w:rPr>
          <w:rFonts w:ascii="Arial" w:cs="Arial" w:eastAsia="Arial" w:hAnsi="Arial"/>
          <w:sz w:val="20"/>
          <w:szCs w:val="20"/>
          <w:color w:val="auto"/>
        </w:rPr>
        <w:t>ability to work well with others;</w:t>
      </w:r>
    </w:p>
    <w:p>
      <w:pPr>
        <w:spacing w:after="0" w:line="13" w:lineRule="exact"/>
        <w:rPr>
          <w:rFonts w:ascii="Arial" w:cs="Arial" w:eastAsia="Arial" w:hAnsi="Arial"/>
          <w:sz w:val="20"/>
          <w:szCs w:val="20"/>
          <w:color w:val="auto"/>
        </w:rPr>
      </w:pPr>
    </w:p>
    <w:p>
      <w:pPr>
        <w:ind w:left="543" w:right="700" w:hanging="183"/>
        <w:spacing w:after="0" w:line="253" w:lineRule="auto"/>
        <w:tabs>
          <w:tab w:leader="none" w:pos="543" w:val="left"/>
        </w:tabs>
        <w:numPr>
          <w:ilvl w:val="1"/>
          <w:numId w:val="27"/>
        </w:numPr>
        <w:rPr>
          <w:rFonts w:ascii="Arial" w:cs="Arial" w:eastAsia="Arial" w:hAnsi="Arial"/>
          <w:sz w:val="20"/>
          <w:szCs w:val="20"/>
          <w:color w:val="auto"/>
        </w:rPr>
      </w:pPr>
      <w:r>
        <w:rPr>
          <w:rFonts w:ascii="Arial" w:cs="Arial" w:eastAsia="Arial" w:hAnsi="Arial"/>
          <w:sz w:val="20"/>
          <w:szCs w:val="20"/>
          <w:color w:val="auto"/>
        </w:rPr>
        <w:t>high degree of interest in the business of the Company;</w:t>
      </w:r>
    </w:p>
    <w:p>
      <w:pPr>
        <w:spacing w:after="0" w:line="1" w:lineRule="exact"/>
        <w:rPr>
          <w:rFonts w:ascii="Arial" w:cs="Arial" w:eastAsia="Arial" w:hAnsi="Arial"/>
          <w:sz w:val="20"/>
          <w:szCs w:val="20"/>
          <w:color w:val="auto"/>
        </w:rPr>
      </w:pPr>
    </w:p>
    <w:p>
      <w:pPr>
        <w:ind w:left="543" w:hanging="183"/>
        <w:spacing w:after="0"/>
        <w:tabs>
          <w:tab w:leader="none" w:pos="543" w:val="left"/>
        </w:tabs>
        <w:numPr>
          <w:ilvl w:val="1"/>
          <w:numId w:val="27"/>
        </w:numPr>
        <w:rPr>
          <w:rFonts w:ascii="Arial" w:cs="Arial" w:eastAsia="Arial" w:hAnsi="Arial"/>
          <w:sz w:val="20"/>
          <w:szCs w:val="20"/>
          <w:color w:val="auto"/>
        </w:rPr>
      </w:pPr>
      <w:r>
        <w:rPr>
          <w:rFonts w:ascii="Arial" w:cs="Arial" w:eastAsia="Arial" w:hAnsi="Arial"/>
          <w:sz w:val="20"/>
          <w:szCs w:val="20"/>
          <w:color w:val="auto"/>
        </w:rPr>
        <w:t>dedication to the success of the Company;</w:t>
      </w:r>
    </w:p>
    <w:p>
      <w:pPr>
        <w:spacing w:after="0" w:line="13" w:lineRule="exact"/>
        <w:rPr>
          <w:rFonts w:ascii="Arial" w:cs="Arial" w:eastAsia="Arial" w:hAnsi="Arial"/>
          <w:sz w:val="20"/>
          <w:szCs w:val="20"/>
          <w:color w:val="auto"/>
        </w:rPr>
      </w:pPr>
    </w:p>
    <w:p>
      <w:pPr>
        <w:ind w:left="543" w:right="1240" w:hanging="183"/>
        <w:spacing w:after="0" w:line="253" w:lineRule="auto"/>
        <w:tabs>
          <w:tab w:leader="none" w:pos="543" w:val="left"/>
        </w:tabs>
        <w:numPr>
          <w:ilvl w:val="1"/>
          <w:numId w:val="27"/>
        </w:numPr>
        <w:rPr>
          <w:rFonts w:ascii="Arial" w:cs="Arial" w:eastAsia="Arial" w:hAnsi="Arial"/>
          <w:sz w:val="20"/>
          <w:szCs w:val="20"/>
          <w:color w:val="auto"/>
        </w:rPr>
      </w:pPr>
      <w:r>
        <w:rPr>
          <w:rFonts w:ascii="Arial" w:cs="Arial" w:eastAsia="Arial" w:hAnsi="Arial"/>
          <w:sz w:val="20"/>
          <w:szCs w:val="20"/>
          <w:color w:val="auto"/>
        </w:rPr>
        <w:t>commitment to the responsibilities of a director; and</w:t>
      </w:r>
    </w:p>
    <w:p>
      <w:pPr>
        <w:spacing w:after="0" w:line="1" w:lineRule="exact"/>
        <w:rPr>
          <w:rFonts w:ascii="Arial" w:cs="Arial" w:eastAsia="Arial" w:hAnsi="Arial"/>
          <w:sz w:val="20"/>
          <w:szCs w:val="20"/>
          <w:color w:val="auto"/>
        </w:rPr>
      </w:pPr>
    </w:p>
    <w:p>
      <w:pPr>
        <w:ind w:left="543" w:right="1340" w:hanging="183"/>
        <w:spacing w:after="0" w:line="261" w:lineRule="auto"/>
        <w:tabs>
          <w:tab w:leader="none" w:pos="543" w:val="left"/>
        </w:tabs>
        <w:numPr>
          <w:ilvl w:val="1"/>
          <w:numId w:val="27"/>
        </w:numPr>
        <w:rPr>
          <w:rFonts w:ascii="Arial" w:cs="Arial" w:eastAsia="Arial" w:hAnsi="Arial"/>
          <w:sz w:val="20"/>
          <w:szCs w:val="20"/>
          <w:color w:val="auto"/>
        </w:rPr>
      </w:pPr>
      <w:r>
        <w:rPr>
          <w:rFonts w:ascii="Arial" w:cs="Arial" w:eastAsia="Arial" w:hAnsi="Arial"/>
          <w:sz w:val="20"/>
          <w:szCs w:val="20"/>
          <w:color w:val="auto"/>
        </w:rPr>
        <w:t>international business or professional experience.</w:t>
      </w:r>
    </w:p>
    <w:p>
      <w:pPr>
        <w:spacing w:after="0" w:line="202" w:lineRule="exact"/>
        <w:rPr>
          <w:sz w:val="20"/>
          <w:szCs w:val="20"/>
          <w:color w:val="auto"/>
        </w:rPr>
      </w:pPr>
    </w:p>
    <w:p>
      <w:pPr>
        <w:ind w:left="3" w:right="720"/>
        <w:spacing w:after="0" w:line="261" w:lineRule="auto"/>
        <w:rPr>
          <w:sz w:val="20"/>
          <w:szCs w:val="20"/>
          <w:color w:val="auto"/>
        </w:rPr>
      </w:pPr>
      <w:r>
        <w:rPr>
          <w:rFonts w:ascii="Arial" w:cs="Arial" w:eastAsia="Arial" w:hAnsi="Arial"/>
          <w:sz w:val="20"/>
          <w:szCs w:val="20"/>
          <w:color w:val="191919"/>
        </w:rPr>
        <w:t>The committee believes that our Board, taken as a whole, should embody a diverse set of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-460375</wp:posOffset>
            </wp:positionH>
            <wp:positionV relativeFrom="paragraph">
              <wp:posOffset>396240</wp:posOffset>
            </wp:positionV>
            <wp:extent cx="779780" cy="2571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79780" cy="257175"/>
                    </a:xfrm>
                    <a:prstGeom prst="rect">
                      <a:avLst/>
                    </a:prstGeom>
                    <a:noFill/>
                  </pic:spPr>
                </pic:pic>
              </a:graphicData>
            </a:graphic>
          </wp:anchor>
        </w:drawing>
      </w:r>
    </w:p>
    <w:p>
      <w:pPr>
        <w:spacing w:after="0" w:line="458" w:lineRule="exact"/>
        <w:rPr>
          <w:sz w:val="20"/>
          <w:szCs w:val="20"/>
          <w:color w:val="auto"/>
        </w:rPr>
      </w:pPr>
    </w:p>
    <w:p>
      <w:pPr>
        <w:sectPr>
          <w:pgSz w:w="11900" w:h="16838" w:orient="portrait"/>
          <w:cols w:equalWidth="0" w:num="2">
            <w:col w:w="5140" w:space="437"/>
            <w:col w:w="5143"/>
          </w:cols>
          <w:pgMar w:left="580" w:top="131" w:right="599" w:bottom="1440" w:gutter="0" w:footer="0" w:header="0"/>
        </w:sect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860" w:type="dxa"/>
            <w:vAlign w:val="bottom"/>
          </w:tcPr>
          <w:p>
            <w:pPr>
              <w:ind w:left="660"/>
              <w:spacing w:after="0"/>
              <w:rPr>
                <w:sz w:val="20"/>
                <w:szCs w:val="20"/>
                <w:color w:val="auto"/>
              </w:rPr>
            </w:pPr>
            <w:r>
              <w:rPr>
                <w:rFonts w:ascii="Arial" w:cs="Arial" w:eastAsia="Arial" w:hAnsi="Arial"/>
                <w:sz w:val="16"/>
                <w:szCs w:val="16"/>
                <w:color w:val="auto"/>
              </w:rPr>
              <w:t>Proxy Statement</w:t>
            </w:r>
          </w:p>
        </w:tc>
        <w:tc>
          <w:tcPr>
            <w:tcW w:w="4860" w:type="dxa"/>
            <w:vAlign w:val="bottom"/>
          </w:tcPr>
          <w:p>
            <w:pPr>
              <w:jc w:val="right"/>
              <w:ind w:right="579"/>
              <w:spacing w:after="0"/>
              <w:rPr>
                <w:sz w:val="20"/>
                <w:szCs w:val="20"/>
                <w:color w:val="auto"/>
              </w:rPr>
            </w:pPr>
            <w:r>
              <w:rPr>
                <w:rFonts w:ascii="Arial" w:cs="Arial" w:eastAsia="Arial" w:hAnsi="Arial"/>
                <w:sz w:val="16"/>
                <w:szCs w:val="16"/>
                <w:color w:val="auto"/>
              </w:rPr>
              <w:t>21</w:t>
            </w:r>
          </w:p>
        </w:tc>
      </w:tr>
      <w:tr>
        <w:trPr>
          <w:trHeight w:val="296"/>
        </w:trPr>
        <w:tc>
          <w:tcPr>
            <w:tcW w:w="5860" w:type="dxa"/>
            <w:vAlign w:val="bottom"/>
            <w:tcBorders>
              <w:bottom w:val="single" w:sz="8" w:color="9A9A9A"/>
            </w:tcBorders>
          </w:tcPr>
          <w:p>
            <w:pPr>
              <w:spacing w:after="0"/>
              <w:rPr>
                <w:sz w:val="24"/>
                <w:szCs w:val="24"/>
                <w:color w:val="auto"/>
              </w:rPr>
            </w:pPr>
          </w:p>
        </w:tc>
        <w:tc>
          <w:tcPr>
            <w:tcW w:w="4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type w:val="continuous"/>
        </w:sectPr>
      </w:pPr>
    </w:p>
    <w:bookmarkStart w:id="26" w:name="page27"/>
    <w:bookmarkEnd w:id="2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91" w:lineRule="exact"/>
        <w:rPr>
          <w:sz w:val="20"/>
          <w:szCs w:val="20"/>
          <w:color w:val="auto"/>
        </w:rPr>
      </w:pPr>
    </w:p>
    <w:p>
      <w:pPr>
        <w:ind w:left="660"/>
        <w:spacing w:after="0" w:line="266" w:lineRule="auto"/>
        <w:rPr>
          <w:sz w:val="20"/>
          <w:szCs w:val="20"/>
          <w:color w:val="auto"/>
        </w:rPr>
      </w:pPr>
      <w:r>
        <w:rPr>
          <w:rFonts w:ascii="Arial" w:cs="Arial" w:eastAsia="Arial" w:hAnsi="Arial"/>
          <w:sz w:val="19"/>
          <w:szCs w:val="19"/>
          <w:color w:val="191919"/>
        </w:rPr>
        <w:t>experiences, and backgrounds in order to better inform its decisions. The committee considers age, tenure, gender, race, and ethnicity, in addition to business experience and other specific areas of focus or expertise, in its holistic approach to assessing and identifying director nominees. With respect to the recent director searches that culminated with the appointment of Mr. Guerin in January 2022 and Ms. McBride in February 2022, the Nominating and Corporate Governance Committee instructed its retained search firms to include in the pool of potential director nominees candidates reflecting gender, racial, and ethnic diversity. Each of Mr. Guerin and Ms. McBride was recommended by the retained search firm that performed the relevant director search. The Nominating and Corporate Governance Committee is currently conducting a search, using a retained search firm, for another director with the current intention of increasing the size of the Board to nine</w:t>
      </w:r>
    </w:p>
    <w:p>
      <w:pPr>
        <w:spacing w:after="0" w:line="17" w:lineRule="exact"/>
        <w:rPr>
          <w:sz w:val="20"/>
          <w:szCs w:val="20"/>
          <w:color w:val="auto"/>
        </w:rPr>
      </w:pPr>
    </w:p>
    <w:p>
      <w:pPr>
        <w:ind w:left="660" w:right="300" w:hanging="6"/>
        <w:spacing w:after="0" w:line="255" w:lineRule="auto"/>
        <w:tabs>
          <w:tab w:leader="none" w:pos="957" w:val="left"/>
        </w:tabs>
        <w:numPr>
          <w:ilvl w:val="0"/>
          <w:numId w:val="28"/>
        </w:numPr>
        <w:rPr>
          <w:rFonts w:ascii="Arial" w:cs="Arial" w:eastAsia="Arial" w:hAnsi="Arial"/>
          <w:sz w:val="20"/>
          <w:szCs w:val="20"/>
          <w:color w:val="191919"/>
        </w:rPr>
      </w:pPr>
      <w:r>
        <w:rPr>
          <w:rFonts w:ascii="Arial" w:cs="Arial" w:eastAsia="Arial" w:hAnsi="Arial"/>
          <w:sz w:val="20"/>
          <w:szCs w:val="20"/>
          <w:color w:val="191919"/>
        </w:rPr>
        <w:t>directors as soon as practicable. As with its prior searches, the Nominating and Corporate Governance Committee instructed its retained search firm to include in the pool of potential director nominees candidates reflecting gender, racial, and ethnic diversity.</w:t>
      </w:r>
    </w:p>
    <w:p>
      <w:pPr>
        <w:spacing w:after="0" w:line="208" w:lineRule="exact"/>
        <w:rPr>
          <w:sz w:val="20"/>
          <w:szCs w:val="20"/>
          <w:color w:val="auto"/>
        </w:rPr>
      </w:pPr>
    </w:p>
    <w:p>
      <w:pPr>
        <w:ind w:left="660"/>
        <w:spacing w:after="0" w:line="253" w:lineRule="auto"/>
        <w:rPr>
          <w:sz w:val="20"/>
          <w:szCs w:val="20"/>
          <w:color w:val="auto"/>
        </w:rPr>
      </w:pPr>
      <w:r>
        <w:rPr>
          <w:rFonts w:ascii="Arial" w:cs="Arial" w:eastAsia="Arial" w:hAnsi="Arial"/>
          <w:sz w:val="20"/>
          <w:szCs w:val="20"/>
          <w:color w:val="191919"/>
        </w:rPr>
        <w:t>The committee will also take into account the fact that a majority of the Board must meet the independence requirements of the applicable Nasdaq Rules. The Company expects that a director’s existing and future commitments will not materially interfere with such director’s obligations to the Company. For candidates who are incumbent directors, the committee considers each director’s past attendance at meetings and participation in and contributions to the activities of the Board. The committee identifies candidates for director nominees in consultation with the Chief Executive Officer of the Company and the Chairman of the Board, through the use of search firms or other advisors or through such other methods as the committee deems to be helpful to identify candidates. Once candidates have been identified, the committee confirms that the candidates meet all of the minimum qualifications for director nominees set forth above through interviews, background checks, or any other means that the committee deems to be helpful in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 w:right="160"/>
        <w:spacing w:after="0" w:line="270" w:lineRule="auto"/>
        <w:rPr>
          <w:sz w:val="20"/>
          <w:szCs w:val="20"/>
          <w:color w:val="auto"/>
        </w:rPr>
      </w:pPr>
      <w:r>
        <w:rPr>
          <w:rFonts w:ascii="Arial" w:cs="Arial" w:eastAsia="Arial" w:hAnsi="Arial"/>
          <w:sz w:val="19"/>
          <w:szCs w:val="19"/>
          <w:color w:val="191919"/>
        </w:rPr>
        <w:t>evaluation process. The committee then meets to discuss and evaluate the qualities and skills of each candidate, both on an individual basis and considering the overall composition and needs of the Board. Based on the results of the evaluation process, the committee recommends candidates for director nominees for election to the Board.</w:t>
      </w:r>
    </w:p>
    <w:p>
      <w:pPr>
        <w:spacing w:after="0" w:line="158" w:lineRule="exact"/>
        <w:rPr>
          <w:sz w:val="20"/>
          <w:szCs w:val="20"/>
          <w:color w:val="auto"/>
        </w:rPr>
      </w:pPr>
    </w:p>
    <w:p>
      <w:pPr>
        <w:ind w:left="3"/>
        <w:spacing w:after="0"/>
        <w:rPr>
          <w:sz w:val="20"/>
          <w:szCs w:val="20"/>
          <w:color w:val="auto"/>
        </w:rPr>
      </w:pPr>
      <w:r>
        <w:rPr>
          <w:rFonts w:ascii="Arial" w:cs="Arial" w:eastAsia="Arial" w:hAnsi="Arial"/>
          <w:sz w:val="22"/>
          <w:szCs w:val="22"/>
          <w:i w:val="1"/>
          <w:iCs w:val="1"/>
          <w:color w:val="0076A8"/>
        </w:rPr>
        <w:t>Stockholder Nominees</w:t>
      </w:r>
    </w:p>
    <w:p>
      <w:pPr>
        <w:spacing w:after="0" w:line="163" w:lineRule="exact"/>
        <w:rPr>
          <w:sz w:val="20"/>
          <w:szCs w:val="20"/>
          <w:color w:val="auto"/>
        </w:rPr>
      </w:pPr>
    </w:p>
    <w:p>
      <w:pPr>
        <w:ind w:left="3" w:right="20"/>
        <w:spacing w:after="0" w:line="253" w:lineRule="auto"/>
        <w:rPr>
          <w:sz w:val="20"/>
          <w:szCs w:val="20"/>
          <w:color w:val="auto"/>
        </w:rPr>
      </w:pPr>
      <w:r>
        <w:rPr>
          <w:rFonts w:ascii="Arial" w:cs="Arial" w:eastAsia="Arial" w:hAnsi="Arial"/>
          <w:sz w:val="20"/>
          <w:szCs w:val="20"/>
          <w:color w:val="191919"/>
        </w:rPr>
        <w:t>The Nominating and Corporate Governance Committee will consider director candidates recommended by stockholders provided such stockholders follow the procedures set forth below. The committee does not intend to alter the manner in which it evaluates candidates, including the criteria set forth above, based on whether the candidate was recommended by a stockholder or otherwise. Stockholders who wish to nominate director candidates for election at the 2023 Annual Meeting, but who are not to be included in the Company’s proxy materials pursuant to the proxy access provisions in our By-laws, may do so in accordance with the provisions of our By-laws by submitting a written recommendation to the Secretary of the Company at the address below no earlier than the close of business on January 11, 2023, and no later than the close of business on February 10, 2023. In the event that the 2023 Annual Meeting is held more than thirty (30) days before or after the first anniversary of the Company’s 2022 Annual Meeting, then the required notice must be delivered in writing to the Secretary of the Company at the address below no earlier than 120 days prior to the date of the 2023 Annual Meeting and no later than the later of</w:t>
      </w:r>
    </w:p>
    <w:p>
      <w:pPr>
        <w:spacing w:after="0" w:line="15" w:lineRule="exact"/>
        <w:rPr>
          <w:sz w:val="20"/>
          <w:szCs w:val="20"/>
          <w:color w:val="auto"/>
        </w:rPr>
      </w:pPr>
    </w:p>
    <w:p>
      <w:pPr>
        <w:ind w:left="3" w:right="100"/>
        <w:spacing w:after="0" w:line="269" w:lineRule="auto"/>
        <w:rPr>
          <w:sz w:val="20"/>
          <w:szCs w:val="20"/>
          <w:color w:val="auto"/>
        </w:rPr>
      </w:pPr>
      <w:r>
        <w:rPr>
          <w:rFonts w:ascii="Arial" w:cs="Arial" w:eastAsia="Arial" w:hAnsi="Arial"/>
          <w:sz w:val="19"/>
          <w:szCs w:val="19"/>
          <w:color w:val="191919"/>
        </w:rPr>
        <w:t>90 days prior to the 2023 Annual Meeting or the 10th day following the day on which the public announcement of the date of the 2023 Annual Meeting is first made by the Company. For nominees for election to the Board proposed by stockholders to be considered, the recommendation for nomination must be in writing and must include the following information:</w:t>
      </w:r>
    </w:p>
    <w:p>
      <w:pPr>
        <w:spacing w:after="0" w:line="187" w:lineRule="exact"/>
        <w:rPr>
          <w:sz w:val="20"/>
          <w:szCs w:val="20"/>
          <w:color w:val="auto"/>
        </w:rPr>
      </w:pPr>
    </w:p>
    <w:p>
      <w:pPr>
        <w:ind w:left="183" w:right="80" w:hanging="183"/>
        <w:spacing w:after="0" w:line="261" w:lineRule="auto"/>
        <w:tabs>
          <w:tab w:leader="none" w:pos="183" w:val="left"/>
        </w:tabs>
        <w:numPr>
          <w:ilvl w:val="0"/>
          <w:numId w:val="29"/>
        </w:numPr>
        <w:rPr>
          <w:rFonts w:ascii="Arial" w:cs="Arial" w:eastAsia="Arial" w:hAnsi="Arial"/>
          <w:sz w:val="20"/>
          <w:szCs w:val="20"/>
          <w:color w:val="auto"/>
        </w:rPr>
      </w:pPr>
      <w:r>
        <w:rPr>
          <w:rFonts w:ascii="Arial" w:cs="Arial" w:eastAsia="Arial" w:hAnsi="Arial"/>
          <w:sz w:val="20"/>
          <w:szCs w:val="20"/>
          <w:color w:val="auto"/>
        </w:rPr>
        <w:t>name of the stockholder, whether an entity or an individual, making the recommendation;</w:t>
      </w:r>
    </w:p>
    <w:p>
      <w:pPr>
        <w:spacing w:after="0" w:line="1050" w:lineRule="exact"/>
        <w:rPr>
          <w:sz w:val="20"/>
          <w:szCs w:val="20"/>
          <w:color w:val="auto"/>
        </w:rPr>
      </w:pPr>
    </w:p>
    <w:p>
      <w:pPr>
        <w:sectPr>
          <w:pgSz w:w="11900" w:h="16838" w:orient="portrait"/>
          <w:cols w:equalWidth="0" w:num="2">
            <w:col w:w="5120" w:space="457"/>
            <w:col w:w="4483"/>
          </w:cols>
          <w:pgMar w:left="580" w:top="131" w:right="1259" w:bottom="1440" w:gutter="0" w:footer="0" w:header="0"/>
        </w:sectPr>
      </w:pPr>
    </w:p>
    <w:p>
      <w:pPr>
        <w:spacing w:after="0" w:line="147" w:lineRule="exact"/>
        <w:rPr>
          <w:sz w:val="20"/>
          <w:szCs w:val="20"/>
          <w:color w:val="auto"/>
        </w:rPr>
      </w:pPr>
    </w:p>
    <w:p>
      <w:pPr>
        <w:ind w:left="660"/>
        <w:spacing w:after="0"/>
        <w:tabs>
          <w:tab w:leader="none" w:pos="4817" w:val="left"/>
        </w:tabs>
        <w:rPr>
          <w:sz w:val="20"/>
          <w:szCs w:val="20"/>
          <w:color w:val="auto"/>
        </w:rPr>
      </w:pPr>
      <w:r>
        <w:rPr>
          <w:rFonts w:ascii="Arial" w:cs="Arial" w:eastAsia="Arial" w:hAnsi="Arial"/>
          <w:sz w:val="16"/>
          <w:szCs w:val="16"/>
          <w:color w:val="auto"/>
        </w:rPr>
        <w:t>22</w:t>
      </w:r>
      <w:r>
        <w:rPr>
          <w:sz w:val="20"/>
          <w:szCs w:val="20"/>
          <w:color w:val="auto"/>
        </w:rPr>
        <w:tab/>
      </w:r>
      <w:r>
        <w:rPr>
          <w:sz w:val="1"/>
          <w:szCs w:val="1"/>
          <w:color w:val="auto"/>
        </w:rPr>
        <w:drawing>
          <wp:inline distT="0" distB="0" distL="0" distR="0">
            <wp:extent cx="779780" cy="257175"/>
            <wp:effectExtent l="0" t="0" r="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131" w:right="1259" w:bottom="1440" w:gutter="0" w:footer="0" w:header="0"/>
          <w:type w:val="continuous"/>
        </w:sectPr>
      </w:pPr>
    </w:p>
    <w:bookmarkStart w:id="27" w:name="page28"/>
    <w:bookmarkEnd w:id="2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840" w:right="20" w:hanging="186"/>
        <w:spacing w:after="0" w:line="253" w:lineRule="auto"/>
        <w:tabs>
          <w:tab w:leader="none" w:pos="840" w:val="left"/>
        </w:tabs>
        <w:numPr>
          <w:ilvl w:val="0"/>
          <w:numId w:val="30"/>
        </w:numPr>
        <w:rPr>
          <w:rFonts w:ascii="Arial" w:cs="Arial" w:eastAsia="Arial" w:hAnsi="Arial"/>
          <w:sz w:val="20"/>
          <w:szCs w:val="20"/>
          <w:color w:val="auto"/>
        </w:rPr>
      </w:pPr>
      <w:r>
        <w:rPr>
          <w:rFonts w:ascii="Arial" w:cs="Arial" w:eastAsia="Arial" w:hAnsi="Arial"/>
          <w:sz w:val="20"/>
          <w:szCs w:val="20"/>
          <w:color w:val="auto"/>
        </w:rPr>
        <w:t>a written statement disclosing such stockholder’s beneficial ownership of the Company’s capital stock;</w:t>
      </w:r>
    </w:p>
    <w:p>
      <w:pPr>
        <w:spacing w:after="0" w:line="1" w:lineRule="exact"/>
        <w:rPr>
          <w:rFonts w:ascii="Arial" w:cs="Arial" w:eastAsia="Arial" w:hAnsi="Arial"/>
          <w:sz w:val="20"/>
          <w:szCs w:val="20"/>
          <w:color w:val="auto"/>
        </w:rPr>
      </w:pPr>
    </w:p>
    <w:p>
      <w:pPr>
        <w:ind w:left="840" w:right="780" w:hanging="186"/>
        <w:spacing w:after="0" w:line="253" w:lineRule="auto"/>
        <w:tabs>
          <w:tab w:leader="none" w:pos="840" w:val="left"/>
        </w:tabs>
        <w:numPr>
          <w:ilvl w:val="0"/>
          <w:numId w:val="30"/>
        </w:numPr>
        <w:rPr>
          <w:rFonts w:ascii="Arial" w:cs="Arial" w:eastAsia="Arial" w:hAnsi="Arial"/>
          <w:sz w:val="20"/>
          <w:szCs w:val="20"/>
          <w:color w:val="auto"/>
        </w:rPr>
      </w:pPr>
      <w:r>
        <w:rPr>
          <w:rFonts w:ascii="Arial" w:cs="Arial" w:eastAsia="Arial" w:hAnsi="Arial"/>
          <w:sz w:val="20"/>
          <w:szCs w:val="20"/>
          <w:color w:val="auto"/>
        </w:rPr>
        <w:t>name of the individual recommended for consideration as a director nominee;</w:t>
      </w:r>
    </w:p>
    <w:p>
      <w:pPr>
        <w:spacing w:after="0" w:line="1" w:lineRule="exact"/>
        <w:rPr>
          <w:rFonts w:ascii="Arial" w:cs="Arial" w:eastAsia="Arial" w:hAnsi="Arial"/>
          <w:sz w:val="20"/>
          <w:szCs w:val="20"/>
          <w:color w:val="auto"/>
        </w:rPr>
      </w:pPr>
    </w:p>
    <w:p>
      <w:pPr>
        <w:ind w:left="840" w:right="100" w:hanging="186"/>
        <w:spacing w:after="0" w:line="253" w:lineRule="auto"/>
        <w:tabs>
          <w:tab w:leader="none" w:pos="840" w:val="left"/>
        </w:tabs>
        <w:numPr>
          <w:ilvl w:val="0"/>
          <w:numId w:val="30"/>
        </w:numPr>
        <w:rPr>
          <w:rFonts w:ascii="Arial" w:cs="Arial" w:eastAsia="Arial" w:hAnsi="Arial"/>
          <w:sz w:val="20"/>
          <w:szCs w:val="20"/>
          <w:color w:val="auto"/>
        </w:rPr>
      </w:pPr>
      <w:r>
        <w:rPr>
          <w:rFonts w:ascii="Arial" w:cs="Arial" w:eastAsia="Arial" w:hAnsi="Arial"/>
          <w:sz w:val="20"/>
          <w:szCs w:val="20"/>
          <w:color w:val="auto"/>
        </w:rPr>
        <w:t>a written statement from the stockholder making the recommendation stating why such recommended candidate would be able to fulfill the duties of a director;</w:t>
      </w:r>
    </w:p>
    <w:p>
      <w:pPr>
        <w:spacing w:after="0" w:line="2" w:lineRule="exact"/>
        <w:rPr>
          <w:rFonts w:ascii="Arial" w:cs="Arial" w:eastAsia="Arial" w:hAnsi="Arial"/>
          <w:sz w:val="20"/>
          <w:szCs w:val="20"/>
          <w:color w:val="auto"/>
        </w:rPr>
      </w:pPr>
    </w:p>
    <w:p>
      <w:pPr>
        <w:ind w:left="840" w:right="100" w:hanging="186"/>
        <w:spacing w:after="0" w:line="253" w:lineRule="auto"/>
        <w:tabs>
          <w:tab w:leader="none" w:pos="840" w:val="left"/>
        </w:tabs>
        <w:numPr>
          <w:ilvl w:val="0"/>
          <w:numId w:val="30"/>
        </w:numPr>
        <w:rPr>
          <w:rFonts w:ascii="Arial" w:cs="Arial" w:eastAsia="Arial" w:hAnsi="Arial"/>
          <w:sz w:val="20"/>
          <w:szCs w:val="20"/>
          <w:color w:val="auto"/>
        </w:rPr>
      </w:pPr>
      <w:r>
        <w:rPr>
          <w:rFonts w:ascii="Arial" w:cs="Arial" w:eastAsia="Arial" w:hAnsi="Arial"/>
          <w:sz w:val="20"/>
          <w:szCs w:val="20"/>
          <w:color w:val="auto"/>
        </w:rPr>
        <w:t>a written statement from the stockholder making the recommendation stating how the recommended candidate meets the independence requirements established by the SEC and the applicable Nasdaq Rules;</w:t>
      </w:r>
    </w:p>
    <w:p>
      <w:pPr>
        <w:spacing w:after="0" w:line="2" w:lineRule="exact"/>
        <w:rPr>
          <w:rFonts w:ascii="Arial" w:cs="Arial" w:eastAsia="Arial" w:hAnsi="Arial"/>
          <w:sz w:val="20"/>
          <w:szCs w:val="20"/>
          <w:color w:val="auto"/>
        </w:rPr>
      </w:pPr>
    </w:p>
    <w:p>
      <w:pPr>
        <w:ind w:left="840" w:right="60" w:hanging="186"/>
        <w:spacing w:after="0" w:line="253" w:lineRule="auto"/>
        <w:tabs>
          <w:tab w:leader="none" w:pos="840" w:val="left"/>
        </w:tabs>
        <w:numPr>
          <w:ilvl w:val="0"/>
          <w:numId w:val="30"/>
        </w:numPr>
        <w:rPr>
          <w:rFonts w:ascii="Arial" w:cs="Arial" w:eastAsia="Arial" w:hAnsi="Arial"/>
          <w:sz w:val="20"/>
          <w:szCs w:val="20"/>
          <w:color w:val="auto"/>
        </w:rPr>
      </w:pPr>
      <w:r>
        <w:rPr>
          <w:rFonts w:ascii="Arial" w:cs="Arial" w:eastAsia="Arial" w:hAnsi="Arial"/>
          <w:sz w:val="20"/>
          <w:szCs w:val="20"/>
          <w:color w:val="auto"/>
        </w:rPr>
        <w:t>a written statement disclosing the recommended candidate’s beneficial ownership of the Company’s capital stock; and</w:t>
      </w:r>
    </w:p>
    <w:p>
      <w:pPr>
        <w:spacing w:after="0" w:line="1" w:lineRule="exact"/>
        <w:rPr>
          <w:rFonts w:ascii="Arial" w:cs="Arial" w:eastAsia="Arial" w:hAnsi="Arial"/>
          <w:sz w:val="20"/>
          <w:szCs w:val="20"/>
          <w:color w:val="auto"/>
        </w:rPr>
      </w:pPr>
    </w:p>
    <w:p>
      <w:pPr>
        <w:ind w:left="840" w:right="280" w:hanging="186"/>
        <w:spacing w:after="0" w:line="256" w:lineRule="auto"/>
        <w:tabs>
          <w:tab w:leader="none" w:pos="840" w:val="left"/>
        </w:tabs>
        <w:numPr>
          <w:ilvl w:val="0"/>
          <w:numId w:val="30"/>
        </w:numPr>
        <w:rPr>
          <w:rFonts w:ascii="Arial" w:cs="Arial" w:eastAsia="Arial" w:hAnsi="Arial"/>
          <w:sz w:val="20"/>
          <w:szCs w:val="20"/>
          <w:color w:val="auto"/>
        </w:rPr>
      </w:pPr>
      <w:r>
        <w:rPr>
          <w:rFonts w:ascii="Arial" w:cs="Arial" w:eastAsia="Arial" w:hAnsi="Arial"/>
          <w:sz w:val="20"/>
          <w:szCs w:val="20"/>
          <w:color w:val="auto"/>
        </w:rPr>
        <w:t>a written statement disclosing relationships between the recommended candidate and the Company that may constitute a conflict of interest.</w:t>
      </w:r>
    </w:p>
    <w:p>
      <w:pPr>
        <w:spacing w:after="0" w:line="207" w:lineRule="exact"/>
        <w:rPr>
          <w:sz w:val="20"/>
          <w:szCs w:val="20"/>
          <w:color w:val="auto"/>
        </w:rPr>
      </w:pPr>
    </w:p>
    <w:p>
      <w:pPr>
        <w:ind w:left="660" w:right="920"/>
        <w:spacing w:after="0" w:line="266" w:lineRule="auto"/>
        <w:rPr>
          <w:sz w:val="20"/>
          <w:szCs w:val="20"/>
          <w:color w:val="auto"/>
        </w:rPr>
      </w:pPr>
      <w:r>
        <w:rPr>
          <w:rFonts w:ascii="Arial" w:cs="Arial" w:eastAsia="Arial" w:hAnsi="Arial"/>
          <w:sz w:val="19"/>
          <w:szCs w:val="19"/>
          <w:color w:val="191919"/>
        </w:rPr>
        <w:t>A stockholder (or a group of up to twenty stockholders) who has owned at least</w:t>
      </w:r>
    </w:p>
    <w:p>
      <w:pPr>
        <w:spacing w:after="0" w:line="2" w:lineRule="exact"/>
        <w:rPr>
          <w:sz w:val="20"/>
          <w:szCs w:val="20"/>
          <w:color w:val="auto"/>
        </w:rPr>
      </w:pPr>
    </w:p>
    <w:p>
      <w:pPr>
        <w:ind w:left="660"/>
        <w:spacing w:after="0" w:line="253" w:lineRule="auto"/>
        <w:rPr>
          <w:sz w:val="20"/>
          <w:szCs w:val="20"/>
          <w:color w:val="auto"/>
        </w:rPr>
      </w:pPr>
      <w:r>
        <w:rPr>
          <w:rFonts w:ascii="Arial" w:cs="Arial" w:eastAsia="Arial" w:hAnsi="Arial"/>
          <w:sz w:val="20"/>
          <w:szCs w:val="20"/>
          <w:color w:val="191919"/>
        </w:rPr>
        <w:t>three percent of the Company’s outstanding shares of common stock continuously for at least</w:t>
      </w:r>
    </w:p>
    <w:p>
      <w:pPr>
        <w:spacing w:after="0" w:line="1" w:lineRule="exact"/>
        <w:rPr>
          <w:sz w:val="20"/>
          <w:szCs w:val="20"/>
          <w:color w:val="auto"/>
        </w:rPr>
      </w:pPr>
    </w:p>
    <w:p>
      <w:pPr>
        <w:ind w:left="660" w:right="120"/>
        <w:spacing w:after="0" w:line="273" w:lineRule="auto"/>
        <w:rPr>
          <w:sz w:val="20"/>
          <w:szCs w:val="20"/>
          <w:color w:val="auto"/>
        </w:rPr>
      </w:pPr>
      <w:r>
        <w:rPr>
          <w:rFonts w:ascii="Arial" w:cs="Arial" w:eastAsia="Arial" w:hAnsi="Arial"/>
          <w:sz w:val="19"/>
          <w:szCs w:val="19"/>
          <w:color w:val="191919"/>
        </w:rPr>
        <w:t>three years, and has complied with the other requirements in the Company’s By-laws, may nominate and include in the Company’s proxy materials a number of director nominees up to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3" w:right="680"/>
        <w:spacing w:after="0" w:line="266" w:lineRule="auto"/>
        <w:rPr>
          <w:sz w:val="20"/>
          <w:szCs w:val="20"/>
          <w:color w:val="auto"/>
        </w:rPr>
      </w:pPr>
      <w:r>
        <w:rPr>
          <w:rFonts w:ascii="Arial" w:cs="Arial" w:eastAsia="Arial" w:hAnsi="Arial"/>
          <w:sz w:val="19"/>
          <w:szCs w:val="19"/>
          <w:color w:val="191919"/>
        </w:rPr>
        <w:t>greater of two individuals or 20% of the Board. Written notice of a proxy access nomination for inclusion in our proxy statement for the 2023 Annual Meeting of Stockholders must be submitted to the Secretary of the Company at the address below no earlier than the open of business on December 12, 2022, and no later than the close of business on January 11, 2023. In the event that the 2023 Annual Meeting is held more than thirty</w:t>
      </w:r>
    </w:p>
    <w:p>
      <w:pPr>
        <w:spacing w:after="0" w:line="8" w:lineRule="exact"/>
        <w:rPr>
          <w:sz w:val="20"/>
          <w:szCs w:val="20"/>
          <w:color w:val="auto"/>
        </w:rPr>
      </w:pPr>
    </w:p>
    <w:p>
      <w:pPr>
        <w:ind w:left="3" w:right="820" w:hanging="3"/>
        <w:spacing w:after="0" w:line="254" w:lineRule="auto"/>
        <w:tabs>
          <w:tab w:leader="none" w:pos="410" w:val="left"/>
        </w:tabs>
        <w:numPr>
          <w:ilvl w:val="0"/>
          <w:numId w:val="31"/>
        </w:numPr>
        <w:rPr>
          <w:rFonts w:ascii="Arial" w:cs="Arial" w:eastAsia="Arial" w:hAnsi="Arial"/>
          <w:sz w:val="20"/>
          <w:szCs w:val="20"/>
          <w:color w:val="191919"/>
        </w:rPr>
      </w:pPr>
      <w:r>
        <w:rPr>
          <w:rFonts w:ascii="Arial" w:cs="Arial" w:eastAsia="Arial" w:hAnsi="Arial"/>
          <w:sz w:val="20"/>
          <w:szCs w:val="20"/>
          <w:color w:val="191919"/>
        </w:rPr>
        <w:t>days before, or more than sixty (60) days after, the first anniversary of the Company’s 2022 Annual Meeting, then the required notice must be delivered in writing to the Secretary of the Company at the address below no earlier than 150 days prior to the date of the 2023 Annual Meeting and no later than the later of 120 days prior to the 2023 Annual Meeting or the 10th day following the day on which the public announcement of the date of the 2023 Annual Meeting is first made by the Company.</w:t>
      </w:r>
    </w:p>
    <w:p>
      <w:pPr>
        <w:spacing w:after="0" w:line="212" w:lineRule="exact"/>
        <w:rPr>
          <w:sz w:val="20"/>
          <w:szCs w:val="20"/>
          <w:color w:val="auto"/>
        </w:rPr>
      </w:pPr>
    </w:p>
    <w:p>
      <w:pPr>
        <w:ind w:left="3" w:right="840"/>
        <w:spacing w:after="0" w:line="255" w:lineRule="auto"/>
        <w:rPr>
          <w:sz w:val="20"/>
          <w:szCs w:val="20"/>
          <w:color w:val="auto"/>
        </w:rPr>
      </w:pPr>
      <w:r>
        <w:rPr>
          <w:rFonts w:ascii="Arial" w:cs="Arial" w:eastAsia="Arial" w:hAnsi="Arial"/>
          <w:sz w:val="20"/>
          <w:szCs w:val="20"/>
          <w:color w:val="191919"/>
        </w:rPr>
        <w:t>Written notice of proxy access nominations and written recommendations for nomination may be sent to the General Counsel and Secretary of the Company via U.S. mail or expedited delivery service to:</w:t>
      </w:r>
    </w:p>
    <w:p>
      <w:pPr>
        <w:spacing w:after="0" w:line="209" w:lineRule="exact"/>
        <w:rPr>
          <w:sz w:val="20"/>
          <w:szCs w:val="20"/>
          <w:color w:val="auto"/>
        </w:rPr>
      </w:pPr>
    </w:p>
    <w:p>
      <w:pPr>
        <w:ind w:left="3"/>
        <w:spacing w:after="0"/>
        <w:rPr>
          <w:sz w:val="20"/>
          <w:szCs w:val="20"/>
          <w:color w:val="auto"/>
        </w:rPr>
      </w:pPr>
      <w:r>
        <w:rPr>
          <w:rFonts w:ascii="Arial" w:cs="Arial" w:eastAsia="Arial" w:hAnsi="Arial"/>
          <w:sz w:val="20"/>
          <w:szCs w:val="20"/>
          <w:color w:val="191919"/>
        </w:rPr>
        <w:t>Skyworks Solutions, Inc.</w:t>
      </w:r>
    </w:p>
    <w:p>
      <w:pPr>
        <w:spacing w:after="0" w:line="13" w:lineRule="exact"/>
        <w:rPr>
          <w:sz w:val="20"/>
          <w:szCs w:val="20"/>
          <w:color w:val="auto"/>
        </w:rPr>
      </w:pPr>
    </w:p>
    <w:p>
      <w:pPr>
        <w:ind w:left="3"/>
        <w:spacing w:after="0"/>
        <w:rPr>
          <w:sz w:val="20"/>
          <w:szCs w:val="20"/>
          <w:color w:val="auto"/>
        </w:rPr>
      </w:pPr>
      <w:r>
        <w:rPr>
          <w:rFonts w:ascii="Arial" w:cs="Arial" w:eastAsia="Arial" w:hAnsi="Arial"/>
          <w:sz w:val="20"/>
          <w:szCs w:val="20"/>
          <w:color w:val="191919"/>
        </w:rPr>
        <w:t>5260 California Avenue</w:t>
      </w:r>
    </w:p>
    <w:p>
      <w:pPr>
        <w:spacing w:after="0" w:line="13" w:lineRule="exact"/>
        <w:rPr>
          <w:sz w:val="20"/>
          <w:szCs w:val="20"/>
          <w:color w:val="auto"/>
        </w:rPr>
      </w:pPr>
    </w:p>
    <w:p>
      <w:pPr>
        <w:ind w:left="3"/>
        <w:spacing w:after="0"/>
        <w:rPr>
          <w:sz w:val="20"/>
          <w:szCs w:val="20"/>
          <w:color w:val="auto"/>
        </w:rPr>
      </w:pPr>
      <w:r>
        <w:rPr>
          <w:rFonts w:ascii="Arial" w:cs="Arial" w:eastAsia="Arial" w:hAnsi="Arial"/>
          <w:sz w:val="20"/>
          <w:szCs w:val="20"/>
          <w:color w:val="191919"/>
        </w:rPr>
        <w:t>Irvine, California 92617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-460375</wp:posOffset>
            </wp:positionH>
            <wp:positionV relativeFrom="paragraph">
              <wp:posOffset>3182620</wp:posOffset>
            </wp:positionV>
            <wp:extent cx="779780" cy="2571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79780" cy="257175"/>
                    </a:xfrm>
                    <a:prstGeom prst="rect">
                      <a:avLst/>
                    </a:prstGeom>
                    <a:noFill/>
                  </pic:spPr>
                </pic:pic>
              </a:graphicData>
            </a:graphic>
          </wp:anchor>
        </w:drawing>
      </w:r>
    </w:p>
    <w:p>
      <w:pPr>
        <w:spacing w:after="0" w:line="262" w:lineRule="exact"/>
        <w:rPr>
          <w:sz w:val="20"/>
          <w:szCs w:val="20"/>
          <w:color w:val="auto"/>
        </w:rPr>
      </w:pPr>
    </w:p>
    <w:p>
      <w:pPr>
        <w:sectPr>
          <w:pgSz w:w="11900" w:h="16838" w:orient="portrait"/>
          <w:cols w:equalWidth="0" w:num="2">
            <w:col w:w="5140" w:space="437"/>
            <w:col w:w="5143"/>
          </w:cols>
          <w:pgMar w:left="580" w:top="131" w:right="5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860" w:type="dxa"/>
            <w:vAlign w:val="bottom"/>
          </w:tcPr>
          <w:p>
            <w:pPr>
              <w:ind w:left="660"/>
              <w:spacing w:after="0"/>
              <w:rPr>
                <w:sz w:val="20"/>
                <w:szCs w:val="20"/>
                <w:color w:val="auto"/>
              </w:rPr>
            </w:pPr>
            <w:r>
              <w:rPr>
                <w:rFonts w:ascii="Arial" w:cs="Arial" w:eastAsia="Arial" w:hAnsi="Arial"/>
                <w:sz w:val="16"/>
                <w:szCs w:val="16"/>
                <w:color w:val="auto"/>
              </w:rPr>
              <w:t>Proxy Statement</w:t>
            </w:r>
          </w:p>
        </w:tc>
        <w:tc>
          <w:tcPr>
            <w:tcW w:w="4860" w:type="dxa"/>
            <w:vAlign w:val="bottom"/>
          </w:tcPr>
          <w:p>
            <w:pPr>
              <w:jc w:val="right"/>
              <w:ind w:right="579"/>
              <w:spacing w:after="0"/>
              <w:rPr>
                <w:sz w:val="20"/>
                <w:szCs w:val="20"/>
                <w:color w:val="auto"/>
              </w:rPr>
            </w:pPr>
            <w:r>
              <w:rPr>
                <w:rFonts w:ascii="Arial" w:cs="Arial" w:eastAsia="Arial" w:hAnsi="Arial"/>
                <w:sz w:val="16"/>
                <w:szCs w:val="16"/>
                <w:color w:val="auto"/>
              </w:rPr>
              <w:t>23</w:t>
            </w:r>
          </w:p>
        </w:tc>
      </w:tr>
      <w:tr>
        <w:trPr>
          <w:trHeight w:val="297"/>
        </w:trPr>
        <w:tc>
          <w:tcPr>
            <w:tcW w:w="5860" w:type="dxa"/>
            <w:vAlign w:val="bottom"/>
            <w:tcBorders>
              <w:bottom w:val="single" w:sz="8" w:color="9A9A9A"/>
            </w:tcBorders>
          </w:tcPr>
          <w:p>
            <w:pPr>
              <w:spacing w:after="0"/>
              <w:rPr>
                <w:sz w:val="24"/>
                <w:szCs w:val="24"/>
                <w:color w:val="auto"/>
              </w:rPr>
            </w:pPr>
          </w:p>
        </w:tc>
        <w:tc>
          <w:tcPr>
            <w:tcW w:w="4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type w:val="continuous"/>
        </w:sectPr>
      </w:pPr>
    </w:p>
    <w:bookmarkStart w:id="28" w:name="page29"/>
    <w:bookmarkEnd w:id="2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Arial" w:cs="Arial" w:eastAsia="Arial" w:hAnsi="Arial"/>
          <w:sz w:val="28"/>
          <w:szCs w:val="28"/>
          <w:b w:val="1"/>
          <w:bCs w:val="1"/>
          <w:color w:val="auto"/>
        </w:rPr>
        <w:t>Role of the Board of Directors in Risk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86995</wp:posOffset>
            </wp:positionV>
            <wp:extent cx="597471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974715" cy="8255"/>
                    </a:xfrm>
                    <a:prstGeom prst="rect">
                      <a:avLst/>
                    </a:prstGeom>
                    <a:noFill/>
                  </pic:spPr>
                </pic:pic>
              </a:graphicData>
            </a:graphic>
          </wp:anchor>
        </w:drawing>
      </w:r>
    </w:p>
    <w:p>
      <w:pPr>
        <w:sectPr>
          <w:pgSz w:w="11900" w:h="16838" w:orient="portrait"/>
          <w:cols w:equalWidth="0" w:num="1">
            <w:col w:w="10060"/>
          </w:cols>
          <w:pgMar w:left="580" w:top="131" w:right="1259" w:bottom="1440" w:gutter="0" w:footer="0" w:header="0"/>
        </w:sectPr>
      </w:pPr>
    </w:p>
    <w:p>
      <w:pPr>
        <w:spacing w:after="0" w:line="255" w:lineRule="exact"/>
        <w:rPr>
          <w:sz w:val="20"/>
          <w:szCs w:val="20"/>
          <w:color w:val="auto"/>
        </w:rPr>
      </w:pPr>
    </w:p>
    <w:p>
      <w:pPr>
        <w:ind w:left="660"/>
        <w:spacing w:after="0" w:line="254" w:lineRule="auto"/>
        <w:rPr>
          <w:sz w:val="20"/>
          <w:szCs w:val="20"/>
          <w:color w:val="auto"/>
        </w:rPr>
      </w:pPr>
      <w:r>
        <w:rPr>
          <w:rFonts w:ascii="Arial" w:cs="Arial" w:eastAsia="Arial" w:hAnsi="Arial"/>
          <w:sz w:val="20"/>
          <w:szCs w:val="20"/>
          <w:color w:val="191919"/>
        </w:rPr>
        <w:t>Our Board oversees our risk management processes directly and through its committees. Our management team is responsible for risk management on a day-to-day basis. The role of our Board and its committees is to oversee the risk management activities of our management team. They fulfill this duty by discussing with</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jc w:val="both"/>
        <w:ind w:right="20"/>
        <w:spacing w:after="0" w:line="277" w:lineRule="auto"/>
        <w:rPr>
          <w:sz w:val="20"/>
          <w:szCs w:val="20"/>
          <w:color w:val="auto"/>
        </w:rPr>
      </w:pPr>
      <w:r>
        <w:rPr>
          <w:rFonts w:ascii="Arial" w:cs="Arial" w:eastAsia="Arial" w:hAnsi="Arial"/>
          <w:sz w:val="19"/>
          <w:szCs w:val="19"/>
          <w:color w:val="191919"/>
        </w:rPr>
        <w:t>management the policies and practices utilized by management in assessing and managing risks and providing input on those policies and practices.</w:t>
      </w:r>
    </w:p>
    <w:p>
      <w:pPr>
        <w:spacing w:after="0" w:line="53" w:lineRule="exact"/>
        <w:rPr>
          <w:sz w:val="20"/>
          <w:szCs w:val="20"/>
          <w:color w:val="auto"/>
        </w:rPr>
      </w:pPr>
    </w:p>
    <w:p>
      <w:pPr>
        <w:ind w:right="220"/>
        <w:spacing w:after="0" w:line="257" w:lineRule="auto"/>
        <w:rPr>
          <w:sz w:val="20"/>
          <w:szCs w:val="20"/>
          <w:color w:val="auto"/>
        </w:rPr>
      </w:pPr>
      <w:r>
        <w:rPr>
          <w:rFonts w:ascii="Arial" w:cs="Arial" w:eastAsia="Arial" w:hAnsi="Arial"/>
          <w:sz w:val="20"/>
          <w:szCs w:val="20"/>
          <w:color w:val="191919"/>
        </w:rPr>
        <w:t>The following table summarizes the key risk management areas over which the Board and its committees exercise oversight:</w:t>
      </w:r>
    </w:p>
    <w:p>
      <w:pPr>
        <w:spacing w:after="0" w:line="354" w:lineRule="exact"/>
        <w:rPr>
          <w:sz w:val="20"/>
          <w:szCs w:val="20"/>
          <w:color w:val="auto"/>
        </w:rPr>
      </w:pPr>
    </w:p>
    <w:p>
      <w:pPr>
        <w:sectPr>
          <w:pgSz w:w="11900" w:h="16838" w:orient="portrait"/>
          <w:cols w:equalWidth="0" w:num="2">
            <w:col w:w="5100" w:space="480"/>
            <w:col w:w="4480"/>
          </w:cols>
          <w:pgMar w:left="580" w:top="131" w:right="1259" w:bottom="1440" w:gutter="0" w:footer="0" w:header="0"/>
          <w:type w:val="continuous"/>
        </w:sectPr>
      </w:pPr>
    </w:p>
    <w:p>
      <w:pPr>
        <w:spacing w:after="0" w:line="44" w:lineRule="exact"/>
        <w:rPr>
          <w:sz w:val="20"/>
          <w:szCs w:val="20"/>
          <w:color w:val="auto"/>
        </w:rPr>
      </w:pPr>
    </w:p>
    <w:tbl>
      <w:tblPr>
        <w:tblLayout w:type="fixed"/>
        <w:tblInd w:w="660" w:type="dxa"/>
        <w:tblCellMar>
          <w:top w:w="0" w:type="dxa"/>
          <w:left w:w="0" w:type="dxa"/>
          <w:bottom w:w="0" w:type="dxa"/>
          <w:right w:w="0" w:type="dxa"/>
        </w:tblCellMar>
      </w:tblPr>
      <w:tr>
        <w:trPr>
          <w:trHeight w:val="229"/>
        </w:trPr>
        <w:tc>
          <w:tcPr>
            <w:tcW w:w="200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0076A8"/>
              </w:rPr>
              <w:t xml:space="preserve">Board of Directors  </w:t>
            </w:r>
            <w:r>
              <w:rPr>
                <w:rFonts w:ascii="Arial" w:cs="Arial" w:eastAsia="Arial" w:hAnsi="Arial"/>
                <w:sz w:val="18"/>
                <w:szCs w:val="18"/>
                <w:color w:val="000000"/>
              </w:rPr>
              <w:t>•</w:t>
            </w:r>
          </w:p>
        </w:tc>
        <w:tc>
          <w:tcPr>
            <w:tcW w:w="2880" w:type="dxa"/>
            <w:vAlign w:val="bottom"/>
            <w:shd w:val="clear" w:color="auto" w:fill="E5E5E5"/>
          </w:tcPr>
          <w:p>
            <w:pPr>
              <w:ind w:left="60"/>
              <w:spacing w:after="0"/>
              <w:rPr>
                <w:sz w:val="20"/>
                <w:szCs w:val="20"/>
                <w:color w:val="auto"/>
              </w:rPr>
            </w:pPr>
            <w:r>
              <w:rPr>
                <w:rFonts w:ascii="Arial" w:cs="Arial" w:eastAsia="Arial" w:hAnsi="Arial"/>
                <w:sz w:val="18"/>
                <w:szCs w:val="18"/>
                <w:color w:val="auto"/>
              </w:rPr>
              <w:t>business strategy</w:t>
            </w:r>
          </w:p>
        </w:tc>
        <w:tc>
          <w:tcPr>
            <w:tcW w:w="1080" w:type="dxa"/>
            <w:vAlign w:val="bottom"/>
            <w:shd w:val="clear" w:color="auto" w:fill="E5E5E5"/>
          </w:tcPr>
          <w:p>
            <w:pPr>
              <w:ind w:left="960"/>
              <w:spacing w:after="0"/>
              <w:rPr>
                <w:sz w:val="20"/>
                <w:szCs w:val="20"/>
                <w:color w:val="auto"/>
              </w:rPr>
            </w:pPr>
            <w:r>
              <w:rPr>
                <w:rFonts w:ascii="Arial" w:cs="Arial" w:eastAsia="Arial" w:hAnsi="Arial"/>
                <w:sz w:val="18"/>
                <w:szCs w:val="18"/>
                <w:color w:val="auto"/>
              </w:rPr>
              <w:t>•</w:t>
            </w:r>
          </w:p>
        </w:tc>
        <w:tc>
          <w:tcPr>
            <w:tcW w:w="3440" w:type="dxa"/>
            <w:vAlign w:val="bottom"/>
            <w:shd w:val="clear" w:color="auto" w:fill="E5E5E5"/>
          </w:tcPr>
          <w:p>
            <w:pPr>
              <w:ind w:left="60"/>
              <w:spacing w:after="0"/>
              <w:rPr>
                <w:sz w:val="20"/>
                <w:szCs w:val="20"/>
                <w:color w:val="auto"/>
              </w:rPr>
            </w:pPr>
            <w:r>
              <w:rPr>
                <w:rFonts w:ascii="Arial" w:cs="Arial" w:eastAsia="Arial" w:hAnsi="Arial"/>
                <w:sz w:val="18"/>
                <w:szCs w:val="18"/>
                <w:color w:val="auto"/>
              </w:rPr>
              <w:t>operational risks</w:t>
            </w:r>
          </w:p>
        </w:tc>
      </w:tr>
      <w:tr>
        <w:trPr>
          <w:trHeight w:val="229"/>
        </w:trPr>
        <w:tc>
          <w:tcPr>
            <w:tcW w:w="20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2880" w:type="dxa"/>
            <w:vAlign w:val="bottom"/>
            <w:shd w:val="clear" w:color="auto" w:fill="E5E5E5"/>
          </w:tcPr>
          <w:p>
            <w:pPr>
              <w:ind w:left="60"/>
              <w:spacing w:after="0"/>
              <w:rPr>
                <w:sz w:val="20"/>
                <w:szCs w:val="20"/>
                <w:color w:val="auto"/>
              </w:rPr>
            </w:pPr>
            <w:r>
              <w:rPr>
                <w:rFonts w:ascii="Arial" w:cs="Arial" w:eastAsia="Arial" w:hAnsi="Arial"/>
                <w:sz w:val="18"/>
                <w:szCs w:val="18"/>
                <w:color w:val="auto"/>
              </w:rPr>
              <w:t>capital allocation</w:t>
            </w:r>
          </w:p>
        </w:tc>
        <w:tc>
          <w:tcPr>
            <w:tcW w:w="1080" w:type="dxa"/>
            <w:vAlign w:val="bottom"/>
            <w:shd w:val="clear" w:color="auto" w:fill="E5E5E5"/>
          </w:tcPr>
          <w:p>
            <w:pPr>
              <w:ind w:left="960"/>
              <w:spacing w:after="0"/>
              <w:rPr>
                <w:sz w:val="20"/>
                <w:szCs w:val="20"/>
                <w:color w:val="auto"/>
              </w:rPr>
            </w:pPr>
            <w:r>
              <w:rPr>
                <w:rFonts w:ascii="Arial" w:cs="Arial" w:eastAsia="Arial" w:hAnsi="Arial"/>
                <w:sz w:val="18"/>
                <w:szCs w:val="18"/>
                <w:color w:val="auto"/>
              </w:rPr>
              <w:t>•</w:t>
            </w:r>
          </w:p>
        </w:tc>
        <w:tc>
          <w:tcPr>
            <w:tcW w:w="3440" w:type="dxa"/>
            <w:vAlign w:val="bottom"/>
            <w:shd w:val="clear" w:color="auto" w:fill="E5E5E5"/>
          </w:tcPr>
          <w:p>
            <w:pPr>
              <w:ind w:left="60"/>
              <w:spacing w:after="0"/>
              <w:rPr>
                <w:sz w:val="20"/>
                <w:szCs w:val="20"/>
                <w:color w:val="auto"/>
              </w:rPr>
            </w:pPr>
            <w:r>
              <w:rPr>
                <w:rFonts w:ascii="Arial" w:cs="Arial" w:eastAsia="Arial" w:hAnsi="Arial"/>
                <w:sz w:val="18"/>
                <w:szCs w:val="18"/>
                <w:color w:val="auto"/>
              </w:rPr>
              <w:t>acquisitions</w:t>
            </w:r>
          </w:p>
        </w:tc>
      </w:tr>
      <w:tr>
        <w:trPr>
          <w:trHeight w:val="230"/>
        </w:trPr>
        <w:tc>
          <w:tcPr>
            <w:tcW w:w="20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2880" w:type="dxa"/>
            <w:vAlign w:val="bottom"/>
            <w:shd w:val="clear" w:color="auto" w:fill="E5E5E5"/>
          </w:tcPr>
          <w:p>
            <w:pPr>
              <w:ind w:left="60"/>
              <w:spacing w:after="0"/>
              <w:rPr>
                <w:sz w:val="20"/>
                <w:szCs w:val="20"/>
                <w:color w:val="auto"/>
              </w:rPr>
            </w:pPr>
            <w:r>
              <w:rPr>
                <w:rFonts w:ascii="Arial" w:cs="Arial" w:eastAsia="Arial" w:hAnsi="Arial"/>
                <w:sz w:val="18"/>
                <w:szCs w:val="18"/>
                <w:color w:val="auto"/>
              </w:rPr>
              <w:t>organizational structure</w:t>
            </w:r>
          </w:p>
        </w:tc>
        <w:tc>
          <w:tcPr>
            <w:tcW w:w="1080" w:type="dxa"/>
            <w:vAlign w:val="bottom"/>
            <w:shd w:val="clear" w:color="auto" w:fill="E5E5E5"/>
          </w:tcPr>
          <w:p>
            <w:pPr>
              <w:spacing w:after="0"/>
              <w:rPr>
                <w:sz w:val="19"/>
                <w:szCs w:val="19"/>
                <w:color w:val="auto"/>
              </w:rPr>
            </w:pPr>
          </w:p>
        </w:tc>
        <w:tc>
          <w:tcPr>
            <w:tcW w:w="3440" w:type="dxa"/>
            <w:vAlign w:val="bottom"/>
            <w:shd w:val="clear" w:color="auto" w:fill="E5E5E5"/>
          </w:tcPr>
          <w:p>
            <w:pPr>
              <w:spacing w:after="0"/>
              <w:rPr>
                <w:sz w:val="19"/>
                <w:szCs w:val="19"/>
                <w:color w:val="auto"/>
              </w:rPr>
            </w:pPr>
          </w:p>
        </w:tc>
      </w:tr>
    </w:tbl>
    <w:p>
      <w:pPr>
        <w:spacing w:after="0" w:line="18" w:lineRule="exact"/>
        <w:rPr>
          <w:sz w:val="20"/>
          <w:szCs w:val="20"/>
          <w:color w:val="auto"/>
        </w:rPr>
      </w:pPr>
    </w:p>
    <w:p>
      <w:pPr>
        <w:sectPr>
          <w:pgSz w:w="11900" w:h="16838" w:orient="portrait"/>
          <w:cols w:equalWidth="0" w:num="1">
            <w:col w:w="10060"/>
          </w:cols>
          <w:pgMar w:left="580" w:top="131" w:right="1259" w:bottom="1440" w:gutter="0" w:footer="0" w:header="0"/>
          <w:type w:val="continuous"/>
        </w:sectPr>
      </w:pPr>
    </w:p>
    <w:p>
      <w:pPr>
        <w:ind w:left="760"/>
        <w:spacing w:after="0"/>
        <w:tabs>
          <w:tab w:leader="none" w:pos="2520" w:val="left"/>
        </w:tabs>
        <w:rPr>
          <w:sz w:val="20"/>
          <w:szCs w:val="20"/>
          <w:color w:val="auto"/>
        </w:rPr>
      </w:pPr>
      <w:r>
        <w:rPr>
          <w:rFonts w:ascii="Arial" w:cs="Arial" w:eastAsia="Arial" w:hAnsi="Arial"/>
          <w:sz w:val="18"/>
          <w:szCs w:val="18"/>
          <w:b w:val="1"/>
          <w:bCs w:val="1"/>
          <w:color w:val="0076A8"/>
        </w:rPr>
        <w:t>Audit Committee</w:t>
      </w:r>
      <w:r>
        <w:rPr>
          <w:sz w:val="20"/>
          <w:szCs w:val="20"/>
          <w:color w:val="auto"/>
        </w:rPr>
        <w:tab/>
      </w:r>
      <w:r>
        <w:rPr>
          <w:rFonts w:ascii="Arial" w:cs="Arial" w:eastAsia="Arial" w:hAnsi="Arial"/>
          <w:sz w:val="18"/>
          <w:szCs w:val="18"/>
          <w:color w:val="auto"/>
        </w:rPr>
        <w:t>• financial reporting</w:t>
      </w:r>
    </w:p>
    <w:p>
      <w:pPr>
        <w:spacing w:after="0" w:line="45" w:lineRule="exact"/>
        <w:rPr>
          <w:sz w:val="20"/>
          <w:szCs w:val="20"/>
          <w:color w:val="auto"/>
        </w:rPr>
      </w:pPr>
    </w:p>
    <w:p>
      <w:pPr>
        <w:ind w:left="2720" w:right="100" w:hanging="176"/>
        <w:spacing w:after="0" w:line="227" w:lineRule="auto"/>
        <w:tabs>
          <w:tab w:leader="none" w:pos="2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financial and accounting controls and processes</w:t>
      </w:r>
    </w:p>
    <w:p>
      <w:pPr>
        <w:spacing w:after="0" w:line="13" w:lineRule="exact"/>
        <w:rPr>
          <w:rFonts w:ascii="Arial" w:cs="Arial" w:eastAsia="Arial" w:hAnsi="Arial"/>
          <w:sz w:val="18"/>
          <w:szCs w:val="18"/>
          <w:color w:val="auto"/>
        </w:rPr>
      </w:pPr>
    </w:p>
    <w:p>
      <w:pPr>
        <w:ind w:left="2720" w:hanging="176"/>
        <w:spacing w:after="0"/>
        <w:tabs>
          <w:tab w:leader="none" w:pos="2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legal and regulatory compliance</w:t>
      </w:r>
    </w:p>
    <w:p>
      <w:pPr>
        <w:spacing w:after="0" w:line="22" w:lineRule="exact"/>
        <w:rPr>
          <w:rFonts w:ascii="Arial" w:cs="Arial" w:eastAsia="Arial" w:hAnsi="Arial"/>
          <w:sz w:val="18"/>
          <w:szCs w:val="18"/>
          <w:color w:val="auto"/>
        </w:rPr>
      </w:pPr>
    </w:p>
    <w:p>
      <w:pPr>
        <w:ind w:left="2720" w:hanging="176"/>
        <w:spacing w:after="0"/>
        <w:tabs>
          <w:tab w:leader="none" w:pos="2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cybersecurity</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left="180" w:hanging="180"/>
        <w:spacing w:after="0"/>
        <w:tabs>
          <w:tab w:leader="none" w:pos="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internal audit function</w:t>
      </w:r>
    </w:p>
    <w:p>
      <w:pPr>
        <w:spacing w:after="0" w:line="22" w:lineRule="exact"/>
        <w:rPr>
          <w:rFonts w:ascii="Arial" w:cs="Arial" w:eastAsia="Arial" w:hAnsi="Arial"/>
          <w:sz w:val="18"/>
          <w:szCs w:val="18"/>
          <w:color w:val="auto"/>
        </w:rPr>
      </w:pPr>
    </w:p>
    <w:p>
      <w:pPr>
        <w:ind w:left="180" w:hanging="180"/>
        <w:spacing w:after="0"/>
        <w:tabs>
          <w:tab w:leader="none" w:pos="1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independent accounting firm</w:t>
      </w:r>
    </w:p>
    <w:p>
      <w:pPr>
        <w:spacing w:after="0" w:line="34" w:lineRule="exact"/>
        <w:rPr>
          <w:rFonts w:ascii="Arial" w:cs="Arial" w:eastAsia="Arial" w:hAnsi="Arial"/>
          <w:sz w:val="17"/>
          <w:szCs w:val="17"/>
          <w:color w:val="auto"/>
        </w:rPr>
      </w:pPr>
    </w:p>
    <w:p>
      <w:pPr>
        <w:ind w:left="180" w:hanging="180"/>
        <w:spacing w:after="0"/>
        <w:tabs>
          <w:tab w:leader="none" w:pos="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related-party transactions</w:t>
      </w:r>
    </w:p>
    <w:p>
      <w:pPr>
        <w:spacing w:after="0" w:line="22" w:lineRule="exact"/>
        <w:rPr>
          <w:rFonts w:ascii="Arial" w:cs="Arial" w:eastAsia="Arial" w:hAnsi="Arial"/>
          <w:sz w:val="18"/>
          <w:szCs w:val="18"/>
          <w:color w:val="auto"/>
        </w:rPr>
      </w:pPr>
    </w:p>
    <w:p>
      <w:pPr>
        <w:ind w:left="180" w:hanging="180"/>
        <w:spacing w:after="0"/>
        <w:tabs>
          <w:tab w:leader="none" w:pos="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whistleblower reporting</w:t>
      </w:r>
    </w:p>
    <w:p>
      <w:pPr>
        <w:spacing w:after="0" w:line="9" w:lineRule="exact"/>
        <w:rPr>
          <w:rFonts w:ascii="Arial" w:cs="Arial" w:eastAsia="Arial" w:hAnsi="Arial"/>
          <w:sz w:val="18"/>
          <w:szCs w:val="18"/>
          <w:color w:val="auto"/>
        </w:rPr>
      </w:pPr>
    </w:p>
    <w:p>
      <w:pPr>
        <w:ind w:left="180" w:hanging="180"/>
        <w:spacing w:after="0" w:line="232" w:lineRule="auto"/>
        <w:tabs>
          <w:tab w:leader="none" w:pos="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enterprise risk assessment</w:t>
      </w:r>
    </w:p>
    <w:p>
      <w:pPr>
        <w:spacing w:after="0" w:line="1" w:lineRule="exact"/>
        <w:rPr>
          <w:sz w:val="20"/>
          <w:szCs w:val="20"/>
          <w:color w:val="auto"/>
        </w:rPr>
      </w:pPr>
    </w:p>
    <w:p>
      <w:pPr>
        <w:sectPr>
          <w:pgSz w:w="11900" w:h="16838" w:orient="portrait"/>
          <w:cols w:equalWidth="0" w:num="2">
            <w:col w:w="5780" w:space="720"/>
            <w:col w:w="3560"/>
          </w:cols>
          <w:pgMar w:left="580" w:top="131" w:right="1259" w:bottom="1440" w:gutter="0" w:footer="0" w:header="0"/>
          <w:type w:val="continuous"/>
        </w:sectPr>
      </w:pPr>
    </w:p>
    <w:tbl>
      <w:tblPr>
        <w:tblLayout w:type="fixed"/>
        <w:tblInd w:w="660" w:type="dxa"/>
        <w:tblCellMar>
          <w:top w:w="0" w:type="dxa"/>
          <w:left w:w="0" w:type="dxa"/>
          <w:bottom w:w="0" w:type="dxa"/>
          <w:right w:w="0" w:type="dxa"/>
        </w:tblCellMar>
      </w:tblPr>
      <w:tr>
        <w:trPr>
          <w:trHeight w:val="205"/>
        </w:trPr>
        <w:tc>
          <w:tcPr>
            <w:tcW w:w="1620" w:type="dxa"/>
            <w:vAlign w:val="bottom"/>
            <w:shd w:val="clear" w:color="auto" w:fill="E5E5E5"/>
          </w:tcPr>
          <w:p>
            <w:pPr>
              <w:ind w:left="100"/>
              <w:spacing w:after="0" w:line="205" w:lineRule="exact"/>
              <w:rPr>
                <w:sz w:val="20"/>
                <w:szCs w:val="20"/>
                <w:color w:val="auto"/>
              </w:rPr>
            </w:pPr>
            <w:r>
              <w:rPr>
                <w:rFonts w:ascii="Arial" w:cs="Arial" w:eastAsia="Arial" w:hAnsi="Arial"/>
                <w:sz w:val="18"/>
                <w:szCs w:val="18"/>
                <w:b w:val="1"/>
                <w:bCs w:val="1"/>
                <w:color w:val="0076A8"/>
              </w:rPr>
              <w:t>Compensation</w:t>
            </w:r>
          </w:p>
        </w:tc>
        <w:tc>
          <w:tcPr>
            <w:tcW w:w="380" w:type="dxa"/>
            <w:vAlign w:val="bottom"/>
            <w:shd w:val="clear" w:color="auto" w:fill="E5E5E5"/>
          </w:tcPr>
          <w:p>
            <w:pPr>
              <w:ind w:left="260"/>
              <w:spacing w:after="0" w:line="205" w:lineRule="exact"/>
              <w:rPr>
                <w:sz w:val="20"/>
                <w:szCs w:val="20"/>
                <w:color w:val="auto"/>
              </w:rPr>
            </w:pPr>
            <w:r>
              <w:rPr>
                <w:rFonts w:ascii="Arial" w:cs="Arial" w:eastAsia="Arial" w:hAnsi="Arial"/>
                <w:sz w:val="18"/>
                <w:szCs w:val="18"/>
                <w:color w:val="auto"/>
              </w:rPr>
              <w:t>•</w:t>
            </w:r>
          </w:p>
        </w:tc>
        <w:tc>
          <w:tcPr>
            <w:tcW w:w="3680" w:type="dxa"/>
            <w:vAlign w:val="bottom"/>
            <w:shd w:val="clear" w:color="auto" w:fill="E5E5E5"/>
          </w:tcPr>
          <w:p>
            <w:pPr>
              <w:ind w:left="60"/>
              <w:spacing w:after="0" w:line="205" w:lineRule="exact"/>
              <w:rPr>
                <w:sz w:val="20"/>
                <w:szCs w:val="20"/>
                <w:color w:val="auto"/>
              </w:rPr>
            </w:pPr>
            <w:r>
              <w:rPr>
                <w:rFonts w:ascii="Arial" w:cs="Arial" w:eastAsia="Arial" w:hAnsi="Arial"/>
                <w:sz w:val="18"/>
                <w:szCs w:val="18"/>
                <w:color w:val="auto"/>
              </w:rPr>
              <w:t>executive compensation programs, policies</w:t>
            </w:r>
          </w:p>
        </w:tc>
        <w:tc>
          <w:tcPr>
            <w:tcW w:w="280" w:type="dxa"/>
            <w:vAlign w:val="bottom"/>
            <w:shd w:val="clear" w:color="auto" w:fill="E5E5E5"/>
          </w:tcPr>
          <w:p>
            <w:pPr>
              <w:ind w:left="160"/>
              <w:spacing w:after="0" w:line="205" w:lineRule="exact"/>
              <w:rPr>
                <w:sz w:val="20"/>
                <w:szCs w:val="20"/>
                <w:color w:val="auto"/>
              </w:rPr>
            </w:pPr>
            <w:r>
              <w:rPr>
                <w:rFonts w:ascii="Arial" w:cs="Arial" w:eastAsia="Arial" w:hAnsi="Arial"/>
                <w:sz w:val="18"/>
                <w:szCs w:val="18"/>
                <w:color w:val="auto"/>
              </w:rPr>
              <w:t>•</w:t>
            </w:r>
          </w:p>
        </w:tc>
        <w:tc>
          <w:tcPr>
            <w:tcW w:w="3440" w:type="dxa"/>
            <w:vAlign w:val="bottom"/>
            <w:shd w:val="clear" w:color="auto" w:fill="E5E5E5"/>
          </w:tcPr>
          <w:p>
            <w:pPr>
              <w:ind w:left="60"/>
              <w:spacing w:after="0" w:line="205" w:lineRule="exact"/>
              <w:rPr>
                <w:sz w:val="20"/>
                <w:szCs w:val="20"/>
                <w:color w:val="auto"/>
              </w:rPr>
            </w:pPr>
            <w:r>
              <w:rPr>
                <w:rFonts w:ascii="Arial" w:cs="Arial" w:eastAsia="Arial" w:hAnsi="Arial"/>
                <w:sz w:val="18"/>
                <w:szCs w:val="18"/>
                <w:color w:val="auto"/>
              </w:rPr>
              <w:t>management succession planning</w:t>
            </w:r>
          </w:p>
        </w:tc>
      </w:tr>
      <w:tr>
        <w:trPr>
          <w:trHeight w:val="242"/>
        </w:trPr>
        <w:tc>
          <w:tcPr>
            <w:tcW w:w="1620" w:type="dxa"/>
            <w:vAlign w:val="bottom"/>
            <w:shd w:val="clear" w:color="auto" w:fill="E5E5E5"/>
          </w:tcPr>
          <w:p>
            <w:pPr>
              <w:ind w:left="100"/>
              <w:spacing w:after="0"/>
              <w:rPr>
                <w:sz w:val="20"/>
                <w:szCs w:val="20"/>
                <w:color w:val="auto"/>
              </w:rPr>
            </w:pPr>
            <w:r>
              <w:rPr>
                <w:rFonts w:ascii="Arial" w:cs="Arial" w:eastAsia="Arial" w:hAnsi="Arial"/>
                <w:sz w:val="18"/>
                <w:szCs w:val="18"/>
                <w:b w:val="1"/>
                <w:bCs w:val="1"/>
                <w:color w:val="0076A8"/>
              </w:rPr>
              <w:t>Committee</w:t>
            </w:r>
          </w:p>
        </w:tc>
        <w:tc>
          <w:tcPr>
            <w:tcW w:w="380" w:type="dxa"/>
            <w:vAlign w:val="bottom"/>
            <w:shd w:val="clear" w:color="auto" w:fill="E5E5E5"/>
          </w:tcPr>
          <w:p>
            <w:pPr>
              <w:spacing w:after="0"/>
              <w:rPr>
                <w:sz w:val="21"/>
                <w:szCs w:val="21"/>
                <w:color w:val="auto"/>
              </w:rPr>
            </w:pPr>
          </w:p>
        </w:tc>
        <w:tc>
          <w:tcPr>
            <w:tcW w:w="3680" w:type="dxa"/>
            <w:vAlign w:val="bottom"/>
            <w:shd w:val="clear" w:color="auto" w:fill="E5E5E5"/>
          </w:tcPr>
          <w:p>
            <w:pPr>
              <w:ind w:left="60"/>
              <w:spacing w:after="0"/>
              <w:rPr>
                <w:sz w:val="20"/>
                <w:szCs w:val="20"/>
                <w:color w:val="auto"/>
              </w:rPr>
            </w:pPr>
            <w:r>
              <w:rPr>
                <w:rFonts w:ascii="Arial" w:cs="Arial" w:eastAsia="Arial" w:hAnsi="Arial"/>
                <w:sz w:val="18"/>
                <w:szCs w:val="18"/>
                <w:color w:val="auto"/>
              </w:rPr>
              <w:t>and practices</w:t>
            </w:r>
          </w:p>
        </w:tc>
        <w:tc>
          <w:tcPr>
            <w:tcW w:w="280" w:type="dxa"/>
            <w:vAlign w:val="bottom"/>
            <w:shd w:val="clear" w:color="auto" w:fill="E5E5E5"/>
          </w:tcPr>
          <w:p>
            <w:pPr>
              <w:ind w:left="160"/>
              <w:spacing w:after="0"/>
              <w:rPr>
                <w:sz w:val="20"/>
                <w:szCs w:val="20"/>
                <w:color w:val="auto"/>
              </w:rPr>
            </w:pPr>
            <w:r>
              <w:rPr>
                <w:rFonts w:ascii="Arial" w:cs="Arial" w:eastAsia="Arial" w:hAnsi="Arial"/>
                <w:sz w:val="18"/>
                <w:szCs w:val="18"/>
                <w:color w:val="auto"/>
              </w:rPr>
              <w:t>•</w:t>
            </w:r>
          </w:p>
        </w:tc>
        <w:tc>
          <w:tcPr>
            <w:tcW w:w="3440" w:type="dxa"/>
            <w:vAlign w:val="bottom"/>
            <w:shd w:val="clear" w:color="auto" w:fill="E5E5E5"/>
          </w:tcPr>
          <w:p>
            <w:pPr>
              <w:ind w:left="60"/>
              <w:spacing w:after="0"/>
              <w:rPr>
                <w:sz w:val="20"/>
                <w:szCs w:val="20"/>
                <w:color w:val="auto"/>
              </w:rPr>
            </w:pPr>
            <w:r>
              <w:rPr>
                <w:rFonts w:ascii="Arial" w:cs="Arial" w:eastAsia="Arial" w:hAnsi="Arial"/>
                <w:sz w:val="18"/>
                <w:szCs w:val="18"/>
                <w:color w:val="auto"/>
              </w:rPr>
              <w:t>non-employee director compensation</w:t>
            </w:r>
          </w:p>
        </w:tc>
      </w:tr>
      <w:tr>
        <w:trPr>
          <w:trHeight w:val="190"/>
        </w:trPr>
        <w:tc>
          <w:tcPr>
            <w:tcW w:w="1620" w:type="dxa"/>
            <w:vAlign w:val="bottom"/>
            <w:shd w:val="clear" w:color="auto" w:fill="E5E5E5"/>
          </w:tcPr>
          <w:p>
            <w:pPr>
              <w:spacing w:after="0"/>
              <w:rPr>
                <w:sz w:val="16"/>
                <w:szCs w:val="16"/>
                <w:color w:val="auto"/>
              </w:rPr>
            </w:pPr>
          </w:p>
        </w:tc>
        <w:tc>
          <w:tcPr>
            <w:tcW w:w="380" w:type="dxa"/>
            <w:vAlign w:val="bottom"/>
            <w:shd w:val="clear" w:color="auto" w:fill="E5E5E5"/>
          </w:tcPr>
          <w:p>
            <w:pPr>
              <w:ind w:left="260"/>
              <w:spacing w:after="0" w:line="190" w:lineRule="exact"/>
              <w:rPr>
                <w:sz w:val="20"/>
                <w:szCs w:val="20"/>
                <w:color w:val="auto"/>
              </w:rPr>
            </w:pPr>
            <w:r>
              <w:rPr>
                <w:rFonts w:ascii="Arial" w:cs="Arial" w:eastAsia="Arial" w:hAnsi="Arial"/>
                <w:sz w:val="18"/>
                <w:szCs w:val="18"/>
                <w:color w:val="auto"/>
              </w:rPr>
              <w:t>•</w:t>
            </w:r>
          </w:p>
        </w:tc>
        <w:tc>
          <w:tcPr>
            <w:tcW w:w="3680" w:type="dxa"/>
            <w:vAlign w:val="bottom"/>
            <w:shd w:val="clear" w:color="auto" w:fill="E5E5E5"/>
          </w:tcPr>
          <w:p>
            <w:pPr>
              <w:ind w:left="60"/>
              <w:spacing w:after="0" w:line="190" w:lineRule="exact"/>
              <w:rPr>
                <w:sz w:val="20"/>
                <w:szCs w:val="20"/>
                <w:color w:val="auto"/>
              </w:rPr>
            </w:pPr>
            <w:r>
              <w:rPr>
                <w:rFonts w:ascii="Arial" w:cs="Arial" w:eastAsia="Arial" w:hAnsi="Arial"/>
                <w:sz w:val="18"/>
                <w:szCs w:val="18"/>
                <w:color w:val="auto"/>
              </w:rPr>
              <w:t>executive performance</w:t>
            </w:r>
          </w:p>
        </w:tc>
        <w:tc>
          <w:tcPr>
            <w:tcW w:w="280" w:type="dxa"/>
            <w:vAlign w:val="bottom"/>
            <w:shd w:val="clear" w:color="auto" w:fill="E5E5E5"/>
          </w:tcPr>
          <w:p>
            <w:pPr>
              <w:spacing w:after="0"/>
              <w:rPr>
                <w:sz w:val="16"/>
                <w:szCs w:val="16"/>
                <w:color w:val="auto"/>
              </w:rPr>
            </w:pPr>
          </w:p>
        </w:tc>
        <w:tc>
          <w:tcPr>
            <w:tcW w:w="3440" w:type="dxa"/>
            <w:vAlign w:val="bottom"/>
            <w:shd w:val="clear" w:color="auto" w:fill="E5E5E5"/>
          </w:tcPr>
          <w:p>
            <w:pPr>
              <w:spacing w:after="0"/>
              <w:rPr>
                <w:sz w:val="16"/>
                <w:szCs w:val="16"/>
                <w:color w:val="auto"/>
              </w:rPr>
            </w:pPr>
          </w:p>
        </w:tc>
      </w:tr>
    </w:tbl>
    <w:p>
      <w:pPr>
        <w:spacing w:after="0" w:line="1" w:lineRule="exact"/>
        <w:rPr>
          <w:sz w:val="20"/>
          <w:szCs w:val="20"/>
          <w:color w:val="auto"/>
        </w:rPr>
      </w:pPr>
    </w:p>
    <w:p>
      <w:pPr>
        <w:sectPr>
          <w:pgSz w:w="11900" w:h="16838" w:orient="portrait"/>
          <w:cols w:equalWidth="0" w:num="1">
            <w:col w:w="10060"/>
          </w:cols>
          <w:pgMar w:left="580" w:top="131" w:right="1259" w:bottom="1440" w:gutter="0" w:footer="0" w:header="0"/>
          <w:type w:val="continuous"/>
        </w:sectPr>
      </w:pPr>
    </w:p>
    <w:tbl>
      <w:tblPr>
        <w:tblLayout w:type="fixed"/>
        <w:tblInd w:w="760" w:type="dxa"/>
        <w:tblCellMar>
          <w:top w:w="0" w:type="dxa"/>
          <w:left w:w="0" w:type="dxa"/>
          <w:bottom w:w="0" w:type="dxa"/>
          <w:right w:w="0" w:type="dxa"/>
        </w:tblCellMar>
      </w:tblPr>
      <w:tr>
        <w:trPr>
          <w:trHeight w:val="203"/>
        </w:trPr>
        <w:tc>
          <w:tcPr>
            <w:tcW w:w="1580" w:type="dxa"/>
            <w:vAlign w:val="bottom"/>
          </w:tcPr>
          <w:p>
            <w:pPr>
              <w:spacing w:after="0" w:line="202" w:lineRule="exact"/>
              <w:rPr>
                <w:sz w:val="20"/>
                <w:szCs w:val="20"/>
                <w:color w:val="auto"/>
              </w:rPr>
            </w:pPr>
            <w:r>
              <w:rPr>
                <w:rFonts w:ascii="Arial" w:cs="Arial" w:eastAsia="Arial" w:hAnsi="Arial"/>
                <w:sz w:val="18"/>
                <w:szCs w:val="18"/>
                <w:b w:val="1"/>
                <w:bCs w:val="1"/>
                <w:color w:val="0076A8"/>
              </w:rPr>
              <w:t>Nominating and</w:t>
            </w:r>
          </w:p>
        </w:tc>
        <w:tc>
          <w:tcPr>
            <w:tcW w:w="390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 Board size, composition, and effectiveness</w:t>
            </w:r>
          </w:p>
        </w:tc>
        <w:tc>
          <w:tcPr>
            <w:tcW w:w="0" w:type="dxa"/>
            <w:vAlign w:val="bottom"/>
          </w:tcPr>
          <w:p>
            <w:pPr>
              <w:spacing w:after="0"/>
              <w:rPr>
                <w:sz w:val="1"/>
                <w:szCs w:val="1"/>
                <w:color w:val="auto"/>
              </w:rPr>
            </w:pPr>
          </w:p>
        </w:tc>
      </w:tr>
      <w:tr>
        <w:trPr>
          <w:trHeight w:val="229"/>
        </w:trPr>
        <w:tc>
          <w:tcPr>
            <w:tcW w:w="1580" w:type="dxa"/>
            <w:vAlign w:val="bottom"/>
          </w:tcPr>
          <w:p>
            <w:pPr>
              <w:spacing w:after="0"/>
              <w:rPr>
                <w:sz w:val="20"/>
                <w:szCs w:val="20"/>
                <w:color w:val="auto"/>
              </w:rPr>
            </w:pPr>
            <w:r>
              <w:rPr>
                <w:rFonts w:ascii="Arial" w:cs="Arial" w:eastAsia="Arial" w:hAnsi="Arial"/>
                <w:sz w:val="18"/>
                <w:szCs w:val="18"/>
                <w:b w:val="1"/>
                <w:bCs w:val="1"/>
                <w:color w:val="0076A8"/>
              </w:rPr>
              <w:t>Corporate</w:t>
            </w:r>
          </w:p>
        </w:tc>
        <w:tc>
          <w:tcPr>
            <w:tcW w:w="320" w:type="dxa"/>
            <w:vAlign w:val="bottom"/>
          </w:tcPr>
          <w:p>
            <w:pPr>
              <w:ind w:left="200"/>
              <w:spacing w:after="0"/>
              <w:rPr>
                <w:sz w:val="20"/>
                <w:szCs w:val="20"/>
                <w:color w:val="auto"/>
              </w:rPr>
            </w:pPr>
            <w:r>
              <w:rPr>
                <w:rFonts w:ascii="Arial" w:cs="Arial" w:eastAsia="Arial" w:hAnsi="Arial"/>
                <w:sz w:val="18"/>
                <w:szCs w:val="18"/>
                <w:color w:val="auto"/>
              </w:rPr>
              <w:t>•</w:t>
            </w:r>
          </w:p>
        </w:tc>
        <w:tc>
          <w:tcPr>
            <w:tcW w:w="3580" w:type="dxa"/>
            <w:vAlign w:val="bottom"/>
          </w:tcPr>
          <w:p>
            <w:pPr>
              <w:ind w:left="60"/>
              <w:spacing w:after="0"/>
              <w:rPr>
                <w:sz w:val="20"/>
                <w:szCs w:val="20"/>
                <w:color w:val="auto"/>
              </w:rPr>
            </w:pPr>
            <w:r>
              <w:rPr>
                <w:rFonts w:ascii="Arial" w:cs="Arial" w:eastAsia="Arial" w:hAnsi="Arial"/>
                <w:sz w:val="18"/>
                <w:szCs w:val="18"/>
                <w:color w:val="auto"/>
              </w:rPr>
              <w:t>director skills, experience and diversity</w:t>
            </w:r>
          </w:p>
        </w:tc>
        <w:tc>
          <w:tcPr>
            <w:tcW w:w="0" w:type="dxa"/>
            <w:vAlign w:val="bottom"/>
          </w:tcPr>
          <w:p>
            <w:pPr>
              <w:spacing w:after="0"/>
              <w:rPr>
                <w:sz w:val="1"/>
                <w:szCs w:val="1"/>
                <w:color w:val="auto"/>
              </w:rPr>
            </w:pPr>
          </w:p>
        </w:tc>
      </w:tr>
      <w:tr>
        <w:trPr>
          <w:trHeight w:val="122"/>
        </w:trPr>
        <w:tc>
          <w:tcPr>
            <w:tcW w:w="1580" w:type="dxa"/>
            <w:vAlign w:val="bottom"/>
          </w:tcPr>
          <w:p>
            <w:pPr>
              <w:spacing w:after="0" w:line="122" w:lineRule="exact"/>
              <w:rPr>
                <w:sz w:val="20"/>
                <w:szCs w:val="20"/>
                <w:color w:val="auto"/>
              </w:rPr>
            </w:pPr>
            <w:r>
              <w:rPr>
                <w:rFonts w:ascii="Arial" w:cs="Arial" w:eastAsia="Arial" w:hAnsi="Arial"/>
                <w:sz w:val="13"/>
                <w:szCs w:val="13"/>
                <w:b w:val="1"/>
                <w:bCs w:val="1"/>
                <w:color w:val="0076A8"/>
              </w:rPr>
              <w:t>Governance</w:t>
            </w:r>
          </w:p>
        </w:tc>
        <w:tc>
          <w:tcPr>
            <w:tcW w:w="320" w:type="dxa"/>
            <w:vAlign w:val="bottom"/>
            <w:vMerge w:val="restart"/>
          </w:tcPr>
          <w:p>
            <w:pPr>
              <w:ind w:left="200"/>
              <w:spacing w:after="0"/>
              <w:rPr>
                <w:sz w:val="20"/>
                <w:szCs w:val="20"/>
                <w:color w:val="auto"/>
              </w:rPr>
            </w:pPr>
            <w:r>
              <w:rPr>
                <w:rFonts w:ascii="Arial" w:cs="Arial" w:eastAsia="Arial" w:hAnsi="Arial"/>
                <w:sz w:val="18"/>
                <w:szCs w:val="18"/>
                <w:color w:val="auto"/>
              </w:rPr>
              <w:t>•</w:t>
            </w:r>
          </w:p>
        </w:tc>
        <w:tc>
          <w:tcPr>
            <w:tcW w:w="3580" w:type="dxa"/>
            <w:vAlign w:val="bottom"/>
            <w:vMerge w:val="restart"/>
          </w:tcPr>
          <w:p>
            <w:pPr>
              <w:ind w:left="60"/>
              <w:spacing w:after="0"/>
              <w:rPr>
                <w:sz w:val="20"/>
                <w:szCs w:val="20"/>
                <w:color w:val="auto"/>
              </w:rPr>
            </w:pPr>
            <w:r>
              <w:rPr>
                <w:rFonts w:ascii="Arial" w:cs="Arial" w:eastAsia="Arial" w:hAnsi="Arial"/>
                <w:sz w:val="18"/>
                <w:szCs w:val="18"/>
                <w:color w:val="auto"/>
                <w:w w:val="99"/>
              </w:rPr>
              <w:t>corporate governance policies and practices</w:t>
            </w:r>
          </w:p>
        </w:tc>
        <w:tc>
          <w:tcPr>
            <w:tcW w:w="0" w:type="dxa"/>
            <w:vAlign w:val="bottom"/>
          </w:tcPr>
          <w:p>
            <w:pPr>
              <w:spacing w:after="0"/>
              <w:rPr>
                <w:sz w:val="1"/>
                <w:szCs w:val="1"/>
                <w:color w:val="auto"/>
              </w:rPr>
            </w:pPr>
          </w:p>
        </w:tc>
      </w:tr>
      <w:tr>
        <w:trPr>
          <w:trHeight w:val="239"/>
        </w:trPr>
        <w:tc>
          <w:tcPr>
            <w:tcW w:w="1580" w:type="dxa"/>
            <w:vAlign w:val="bottom"/>
          </w:tcPr>
          <w:p>
            <w:pPr>
              <w:spacing w:after="0"/>
              <w:rPr>
                <w:sz w:val="20"/>
                <w:szCs w:val="20"/>
                <w:color w:val="auto"/>
              </w:rPr>
            </w:pPr>
            <w:r>
              <w:rPr>
                <w:rFonts w:ascii="Arial" w:cs="Arial" w:eastAsia="Arial" w:hAnsi="Arial"/>
                <w:sz w:val="18"/>
                <w:szCs w:val="18"/>
                <w:b w:val="1"/>
                <w:bCs w:val="1"/>
                <w:color w:val="0076A8"/>
              </w:rPr>
              <w:t>Committee</w:t>
            </w:r>
          </w:p>
        </w:tc>
        <w:tc>
          <w:tcPr>
            <w:tcW w:w="320" w:type="dxa"/>
            <w:vAlign w:val="bottom"/>
            <w:vMerge w:val="continue"/>
          </w:tcPr>
          <w:p>
            <w:pPr>
              <w:spacing w:after="0"/>
              <w:rPr>
                <w:sz w:val="20"/>
                <w:szCs w:val="20"/>
                <w:color w:val="auto"/>
              </w:rPr>
            </w:pPr>
          </w:p>
        </w:tc>
        <w:tc>
          <w:tcPr>
            <w:tcW w:w="35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36830</wp:posOffset>
            </wp:positionV>
            <wp:extent cx="597471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9747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ind w:left="180" w:hanging="180"/>
        <w:spacing w:after="0"/>
        <w:tabs>
          <w:tab w:leader="none" w:pos="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ethics policies and practices</w:t>
      </w:r>
    </w:p>
    <w:p>
      <w:pPr>
        <w:spacing w:after="0" w:line="22" w:lineRule="exact"/>
        <w:rPr>
          <w:rFonts w:ascii="Arial" w:cs="Arial" w:eastAsia="Arial" w:hAnsi="Arial"/>
          <w:sz w:val="18"/>
          <w:szCs w:val="18"/>
          <w:color w:val="auto"/>
        </w:rPr>
      </w:pPr>
    </w:p>
    <w:p>
      <w:pPr>
        <w:ind w:left="180" w:right="100" w:hanging="180"/>
        <w:spacing w:after="0" w:line="227" w:lineRule="auto"/>
        <w:tabs>
          <w:tab w:leader="none" w:pos="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corporate responsibility and sustainability (including ESG programs)</w:t>
      </w:r>
    </w:p>
    <w:p>
      <w:pPr>
        <w:spacing w:after="0" w:line="331" w:lineRule="exact"/>
        <w:rPr>
          <w:sz w:val="20"/>
          <w:szCs w:val="20"/>
          <w:color w:val="auto"/>
        </w:rPr>
      </w:pPr>
    </w:p>
    <w:p>
      <w:pPr>
        <w:sectPr>
          <w:pgSz w:w="11900" w:h="16838" w:orient="portrait"/>
          <w:cols w:equalWidth="0" w:num="2">
            <w:col w:w="6240" w:space="260"/>
            <w:col w:w="3560"/>
          </w:cols>
          <w:pgMar w:left="580" w:top="131" w:right="1259" w:bottom="1440" w:gutter="0" w:footer="0" w:header="0"/>
          <w:type w:val="continuous"/>
        </w:sectPr>
      </w:pPr>
    </w:p>
    <w:p>
      <w:pPr>
        <w:spacing w:after="0" w:line="98" w:lineRule="exact"/>
        <w:rPr>
          <w:sz w:val="20"/>
          <w:szCs w:val="20"/>
          <w:color w:val="auto"/>
        </w:rPr>
      </w:pPr>
    </w:p>
    <w:p>
      <w:pPr>
        <w:ind w:left="660"/>
        <w:spacing w:after="0" w:line="239" w:lineRule="auto"/>
        <w:rPr>
          <w:sz w:val="20"/>
          <w:szCs w:val="20"/>
          <w:color w:val="auto"/>
        </w:rPr>
      </w:pPr>
      <w:r>
        <w:rPr>
          <w:rFonts w:ascii="Arial" w:cs="Arial" w:eastAsia="Arial" w:hAnsi="Arial"/>
          <w:sz w:val="20"/>
          <w:szCs w:val="20"/>
          <w:color w:val="191919"/>
        </w:rPr>
        <w:t>Each committee reports to the Board on a regular basis, including reporting with respect to the committee’s risk oversight activities as well as recommendations on actions requiring approval of the full Board. For example, the Board periodically reviews and approves the executive succession plan in consultation with the Compensation Committee and the Chief Executive Officer. In addition, from time to time the Board will request updates on particular focus areas, such as cybersecurity, sustainability, and human capital management. During fiscal year 2021, at each regularly scheduled meeting of the Board, Company management updated the Board on the impacts of COVID-19 on our business and workforce.</w:t>
      </w:r>
    </w:p>
    <w:p>
      <w:pPr>
        <w:spacing w:after="0" w:line="75" w:lineRule="exact"/>
        <w:rPr>
          <w:sz w:val="20"/>
          <w:szCs w:val="20"/>
          <w:color w:val="auto"/>
        </w:rPr>
      </w:pPr>
    </w:p>
    <w:p>
      <w:pPr>
        <w:ind w:left="660"/>
        <w:spacing w:after="0" w:line="256" w:lineRule="auto"/>
        <w:rPr>
          <w:sz w:val="20"/>
          <w:szCs w:val="20"/>
          <w:color w:val="auto"/>
        </w:rPr>
      </w:pPr>
      <w:r>
        <w:rPr>
          <w:rFonts w:ascii="Arial" w:cs="Arial" w:eastAsia="Arial" w:hAnsi="Arial"/>
          <w:sz w:val="19"/>
          <w:szCs w:val="19"/>
          <w:color w:val="191919"/>
        </w:rPr>
        <w:t>Our Compensation Committee does not believe that any risks arising from our employee compensation policies and practices are reasonably likely to have a material adverse effect on our company. Our Compensation Committee believes that any such risks are mitigated by:</w:t>
      </w:r>
    </w:p>
    <w:p>
      <w:pPr>
        <w:spacing w:after="0" w:line="195" w:lineRule="exact"/>
        <w:rPr>
          <w:sz w:val="20"/>
          <w:szCs w:val="20"/>
          <w:color w:val="auto"/>
        </w:rPr>
      </w:pPr>
    </w:p>
    <w:p>
      <w:pPr>
        <w:jc w:val="both"/>
        <w:ind w:left="840" w:right="380" w:hanging="186"/>
        <w:spacing w:after="0" w:line="287" w:lineRule="auto"/>
        <w:tabs>
          <w:tab w:leader="none" w:pos="840" w:val="left"/>
        </w:tabs>
        <w:numPr>
          <w:ilvl w:val="0"/>
          <w:numId w:val="35"/>
        </w:numPr>
        <w:rPr>
          <w:rFonts w:ascii="Arial" w:cs="Arial" w:eastAsia="Arial" w:hAnsi="Arial"/>
          <w:sz w:val="19"/>
          <w:szCs w:val="19"/>
          <w:color w:val="auto"/>
        </w:rPr>
      </w:pPr>
      <w:r>
        <w:rPr>
          <w:rFonts w:ascii="Arial" w:cs="Arial" w:eastAsia="Arial" w:hAnsi="Arial"/>
          <w:sz w:val="19"/>
          <w:szCs w:val="19"/>
          <w:color w:val="auto"/>
        </w:rPr>
        <w:t>The multiple elements of our compensation packages, including base salary, our annual</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ind w:left="183" w:right="100"/>
        <w:spacing w:after="0" w:line="269" w:lineRule="auto"/>
        <w:rPr>
          <w:sz w:val="20"/>
          <w:szCs w:val="20"/>
          <w:color w:val="auto"/>
        </w:rPr>
      </w:pPr>
      <w:r>
        <w:rPr>
          <w:rFonts w:ascii="Arial" w:cs="Arial" w:eastAsia="Arial" w:hAnsi="Arial"/>
          <w:sz w:val="20"/>
          <w:szCs w:val="20"/>
          <w:color w:val="auto"/>
        </w:rPr>
        <w:t>short-term incentive compensation plan and (for our executive officers and other key employees) equity awards that vest (or are issuable) over multiple years and are intended to motivate employees to take a long-term view of our business.</w:t>
      </w:r>
    </w:p>
    <w:p>
      <w:pPr>
        <w:spacing w:after="0" w:line="6" w:lineRule="exact"/>
        <w:rPr>
          <w:sz w:val="20"/>
          <w:szCs w:val="20"/>
          <w:color w:val="auto"/>
        </w:rPr>
      </w:pPr>
    </w:p>
    <w:p>
      <w:pPr>
        <w:ind w:left="183" w:right="40" w:hanging="183"/>
        <w:spacing w:after="0" w:line="253" w:lineRule="auto"/>
        <w:tabs>
          <w:tab w:leader="none" w:pos="183" w:val="left"/>
        </w:tabs>
        <w:numPr>
          <w:ilvl w:val="0"/>
          <w:numId w:val="36"/>
        </w:numPr>
        <w:rPr>
          <w:rFonts w:ascii="Arial" w:cs="Arial" w:eastAsia="Arial" w:hAnsi="Arial"/>
          <w:sz w:val="20"/>
          <w:szCs w:val="20"/>
          <w:color w:val="auto"/>
        </w:rPr>
      </w:pPr>
      <w:r>
        <w:rPr>
          <w:rFonts w:ascii="Arial" w:cs="Arial" w:eastAsia="Arial" w:hAnsi="Arial"/>
          <w:sz w:val="20"/>
          <w:szCs w:val="20"/>
          <w:color w:val="auto"/>
        </w:rPr>
        <w:t>The structure of our short-term incentive compensation plan (described in greater detail in this Proxy Statement under “</w:t>
      </w:r>
      <w:r>
        <w:rPr>
          <w:rFonts w:ascii="Arial" w:cs="Arial" w:eastAsia="Arial" w:hAnsi="Arial"/>
          <w:sz w:val="20"/>
          <w:szCs w:val="20"/>
          <w:i w:val="1"/>
          <w:iCs w:val="1"/>
          <w:color w:val="auto"/>
        </w:rPr>
        <w:t>Compensation</w:t>
      </w:r>
      <w:r>
        <w:rPr>
          <w:rFonts w:ascii="Arial" w:cs="Arial" w:eastAsia="Arial" w:hAnsi="Arial"/>
          <w:sz w:val="20"/>
          <w:szCs w:val="20"/>
          <w:color w:val="auto"/>
        </w:rPr>
        <w:t xml:space="preserve"> </w:t>
      </w:r>
      <w:r>
        <w:rPr>
          <w:rFonts w:ascii="Arial" w:cs="Arial" w:eastAsia="Arial" w:hAnsi="Arial"/>
          <w:sz w:val="20"/>
          <w:szCs w:val="20"/>
          <w:i w:val="1"/>
          <w:iCs w:val="1"/>
          <w:color w:val="auto"/>
        </w:rPr>
        <w:t>Discussion and Analysis</w:t>
      </w:r>
      <w:r>
        <w:rPr>
          <w:rFonts w:ascii="Arial" w:cs="Arial" w:eastAsia="Arial" w:hAnsi="Arial"/>
          <w:sz w:val="20"/>
          <w:szCs w:val="20"/>
          <w:color w:val="auto"/>
        </w:rPr>
        <w:t>”), which is based on</w:t>
      </w:r>
    </w:p>
    <w:p>
      <w:pPr>
        <w:spacing w:after="0" w:line="2" w:lineRule="exact"/>
        <w:rPr>
          <w:rFonts w:ascii="Arial" w:cs="Arial" w:eastAsia="Arial" w:hAnsi="Arial"/>
          <w:sz w:val="20"/>
          <w:szCs w:val="20"/>
          <w:color w:val="auto"/>
        </w:rPr>
      </w:pPr>
    </w:p>
    <w:p>
      <w:pPr>
        <w:ind w:left="183" w:right="20"/>
        <w:spacing w:after="0" w:line="254" w:lineRule="auto"/>
        <w:rPr>
          <w:rFonts w:ascii="Arial" w:cs="Arial" w:eastAsia="Arial" w:hAnsi="Arial"/>
          <w:sz w:val="20"/>
          <w:szCs w:val="20"/>
          <w:color w:val="auto"/>
        </w:rPr>
      </w:pPr>
      <w:r>
        <w:rPr>
          <w:rFonts w:ascii="Arial" w:cs="Arial" w:eastAsia="Arial" w:hAnsi="Arial"/>
          <w:sz w:val="20"/>
          <w:szCs w:val="20"/>
          <w:color w:val="auto"/>
        </w:rPr>
        <w:t>(i) a number of different financial and operating performance metrics to avoid employees placing undue emphasis on any particular performance metric at the expense of other aspects of our business, and (ii) performance targets that we believe are appropriately aggressive yet will not require undue risk-taking to achieve. Further, the structure of the short-term incentive compensation plan aids in driving sustained long-term financial performance as the goals and targets from the prior year’s plan are significant factors used in determining goals for the current year’s plan.</w:t>
      </w:r>
    </w:p>
    <w:p>
      <w:pPr>
        <w:spacing w:after="0" w:line="352" w:lineRule="exact"/>
        <w:rPr>
          <w:sz w:val="20"/>
          <w:szCs w:val="20"/>
          <w:color w:val="auto"/>
        </w:rPr>
      </w:pPr>
    </w:p>
    <w:p>
      <w:pPr>
        <w:sectPr>
          <w:pgSz w:w="11900" w:h="16838" w:orient="portrait"/>
          <w:cols w:equalWidth="0" w:num="2">
            <w:col w:w="5040" w:space="537"/>
            <w:col w:w="4483"/>
          </w:cols>
          <w:pgMar w:left="580" w:top="131" w:right="1259" w:bottom="1440" w:gutter="0" w:footer="0" w:header="0"/>
          <w:type w:val="continuous"/>
        </w:sectPr>
      </w:pPr>
    </w:p>
    <w:p>
      <w:pPr>
        <w:spacing w:after="0" w:line="98" w:lineRule="exact"/>
        <w:rPr>
          <w:sz w:val="20"/>
          <w:szCs w:val="20"/>
          <w:color w:val="auto"/>
        </w:rPr>
      </w:pPr>
    </w:p>
    <w:p>
      <w:pPr>
        <w:ind w:left="660"/>
        <w:spacing w:after="0"/>
        <w:tabs>
          <w:tab w:leader="none" w:pos="4817" w:val="left"/>
        </w:tabs>
        <w:rPr>
          <w:sz w:val="20"/>
          <w:szCs w:val="20"/>
          <w:color w:val="auto"/>
        </w:rPr>
      </w:pPr>
      <w:r>
        <w:rPr>
          <w:rFonts w:ascii="Arial" w:cs="Arial" w:eastAsia="Arial" w:hAnsi="Arial"/>
          <w:sz w:val="16"/>
          <w:szCs w:val="16"/>
          <w:color w:val="auto"/>
        </w:rPr>
        <w:t>24</w:t>
      </w:r>
      <w:r>
        <w:rPr>
          <w:sz w:val="20"/>
          <w:szCs w:val="20"/>
          <w:color w:val="auto"/>
        </w:rPr>
        <w:tab/>
      </w:r>
      <w:r>
        <w:rPr>
          <w:sz w:val="1"/>
          <w:szCs w:val="1"/>
          <w:color w:val="auto"/>
        </w:rPr>
        <w:drawing>
          <wp:inline distT="0" distB="0" distL="0" distR="0">
            <wp:extent cx="779780" cy="257175"/>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131" w:right="1259" w:bottom="1440" w:gutter="0" w:footer="0" w:header="0"/>
          <w:type w:val="continuous"/>
        </w:sectPr>
      </w:pPr>
    </w:p>
    <w:bookmarkStart w:id="29" w:name="page30"/>
    <w:bookmarkEnd w:id="2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Arial" w:cs="Arial" w:eastAsia="Arial" w:hAnsi="Arial"/>
          <w:sz w:val="28"/>
          <w:szCs w:val="28"/>
          <w:b w:val="1"/>
          <w:bCs w:val="1"/>
          <w:color w:val="auto"/>
        </w:rPr>
        <w:t>Compensation Committee Interlocks and Insider Participation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86995</wp:posOffset>
            </wp:positionV>
            <wp:extent cx="597471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974715" cy="825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p>
      <w:pPr>
        <w:spacing w:after="0" w:line="255" w:lineRule="exact"/>
        <w:rPr>
          <w:sz w:val="20"/>
          <w:szCs w:val="20"/>
          <w:color w:val="auto"/>
        </w:rPr>
      </w:pPr>
    </w:p>
    <w:p>
      <w:pPr>
        <w:ind w:left="660"/>
        <w:spacing w:after="0"/>
        <w:rPr>
          <w:sz w:val="20"/>
          <w:szCs w:val="20"/>
          <w:color w:val="auto"/>
        </w:rPr>
      </w:pPr>
      <w:r>
        <w:rPr>
          <w:rFonts w:ascii="Arial" w:cs="Arial" w:eastAsia="Arial" w:hAnsi="Arial"/>
          <w:sz w:val="20"/>
          <w:szCs w:val="20"/>
          <w:color w:val="191919"/>
        </w:rPr>
        <w:t>The Compensation Committee of the Board of</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20"/>
          <w:szCs w:val="20"/>
          <w:color w:val="191919"/>
        </w:rPr>
        <w:t>Directors currently consists of, and during fiscal</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20"/>
          <w:szCs w:val="20"/>
          <w:color w:val="191919"/>
        </w:rPr>
        <w:t>year 2021 consisted of, Ms. King (Chairman),</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19"/>
          <w:szCs w:val="19"/>
          <w:color w:val="191919"/>
        </w:rPr>
        <w:t>Mr. McGlade, and Mr. Schriesheim. No member of</w:t>
      </w:r>
    </w:p>
    <w:p>
      <w:pPr>
        <w:spacing w:after="0" w:line="25" w:lineRule="exact"/>
        <w:rPr>
          <w:sz w:val="20"/>
          <w:szCs w:val="20"/>
          <w:color w:val="auto"/>
        </w:rPr>
      </w:pPr>
    </w:p>
    <w:p>
      <w:pPr>
        <w:ind w:left="660"/>
        <w:spacing w:after="0"/>
        <w:rPr>
          <w:sz w:val="20"/>
          <w:szCs w:val="20"/>
          <w:color w:val="auto"/>
        </w:rPr>
      </w:pPr>
      <w:r>
        <w:rPr>
          <w:rFonts w:ascii="Arial" w:cs="Arial" w:eastAsia="Arial" w:hAnsi="Arial"/>
          <w:sz w:val="20"/>
          <w:szCs w:val="20"/>
          <w:color w:val="191919"/>
        </w:rPr>
        <w:t>this committee was at any time during fiscal year</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19"/>
          <w:szCs w:val="19"/>
          <w:color w:val="191919"/>
        </w:rPr>
        <w:t>2021 an officer or employee of the Company, was</w:t>
      </w:r>
    </w:p>
    <w:p>
      <w:pPr>
        <w:spacing w:after="0" w:line="25" w:lineRule="exact"/>
        <w:rPr>
          <w:sz w:val="20"/>
          <w:szCs w:val="20"/>
          <w:color w:val="auto"/>
        </w:rPr>
      </w:pPr>
    </w:p>
    <w:p>
      <w:pPr>
        <w:ind w:left="660"/>
        <w:spacing w:after="0"/>
        <w:rPr>
          <w:sz w:val="20"/>
          <w:szCs w:val="20"/>
          <w:color w:val="auto"/>
        </w:rPr>
      </w:pPr>
      <w:r>
        <w:rPr>
          <w:rFonts w:ascii="Arial" w:cs="Arial" w:eastAsia="Arial" w:hAnsi="Arial"/>
          <w:sz w:val="20"/>
          <w:szCs w:val="20"/>
          <w:color w:val="191919"/>
        </w:rPr>
        <w:t>formerly an officer of the Company or any of its</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20"/>
          <w:szCs w:val="20"/>
          <w:color w:val="191919"/>
        </w:rPr>
        <w:t>subsidiaries, or had any employment</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ind w:right="780"/>
        <w:spacing w:after="0" w:line="254" w:lineRule="auto"/>
        <w:rPr>
          <w:sz w:val="20"/>
          <w:szCs w:val="20"/>
          <w:color w:val="auto"/>
        </w:rPr>
      </w:pPr>
      <w:r>
        <w:rPr>
          <w:rFonts w:ascii="Arial" w:cs="Arial" w:eastAsia="Arial" w:hAnsi="Arial"/>
          <w:sz w:val="20"/>
          <w:szCs w:val="20"/>
          <w:color w:val="191919"/>
        </w:rPr>
        <w:t>relationship with the Company or any of its subsidiaries. No executive officer of the Company has served as a director or member of the compensation committee (or other committee serving an equivalent function) of any other entity, where one of such entity’s executive officers served as a director of the Company or a member of the Compensation Committee.</w:t>
      </w:r>
    </w:p>
    <w:p>
      <w:pPr>
        <w:spacing w:after="0" w:line="200" w:lineRule="exact"/>
        <w:rPr>
          <w:sz w:val="20"/>
          <w:szCs w:val="20"/>
          <w:color w:val="auto"/>
        </w:rPr>
      </w:pPr>
    </w:p>
    <w:p>
      <w:pPr>
        <w:sectPr>
          <w:pgSz w:w="11900" w:h="16838" w:orient="portrait"/>
          <w:cols w:equalWidth="0" w:num="2">
            <w:col w:w="5060" w:space="520"/>
            <w:col w:w="5140"/>
          </w:cols>
          <w:pgMar w:left="580" w:top="131" w:right="599" w:bottom="1440" w:gutter="0" w:footer="0" w:header="0"/>
          <w:type w:val="continuous"/>
        </w:sectPr>
      </w:pPr>
    </w:p>
    <w:p>
      <w:pPr>
        <w:spacing w:after="0" w:line="3" w:lineRule="exact"/>
        <w:rPr>
          <w:sz w:val="20"/>
          <w:szCs w:val="20"/>
          <w:color w:val="auto"/>
        </w:rPr>
      </w:pPr>
    </w:p>
    <w:p>
      <w:pPr>
        <w:ind w:left="660"/>
        <w:spacing w:after="0"/>
        <w:rPr>
          <w:sz w:val="20"/>
          <w:szCs w:val="20"/>
          <w:color w:val="auto"/>
        </w:rPr>
      </w:pPr>
      <w:r>
        <w:rPr>
          <w:rFonts w:ascii="Arial" w:cs="Arial" w:eastAsia="Arial" w:hAnsi="Arial"/>
          <w:sz w:val="28"/>
          <w:szCs w:val="28"/>
          <w:b w:val="1"/>
          <w:bCs w:val="1"/>
          <w:color w:val="auto"/>
        </w:rPr>
        <w:t>Certain Relationships and Related Person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86995</wp:posOffset>
            </wp:positionV>
            <wp:extent cx="597471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974715" cy="8890"/>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type w:val="continuous"/>
        </w:sectPr>
      </w:pPr>
    </w:p>
    <w:p>
      <w:pPr>
        <w:spacing w:after="0" w:line="255" w:lineRule="exact"/>
        <w:rPr>
          <w:sz w:val="20"/>
          <w:szCs w:val="20"/>
          <w:color w:val="auto"/>
        </w:rPr>
      </w:pPr>
    </w:p>
    <w:p>
      <w:pPr>
        <w:ind w:left="660"/>
        <w:spacing w:after="0" w:line="254" w:lineRule="auto"/>
        <w:rPr>
          <w:sz w:val="20"/>
          <w:szCs w:val="20"/>
          <w:color w:val="auto"/>
        </w:rPr>
      </w:pPr>
      <w:r>
        <w:rPr>
          <w:rFonts w:ascii="Arial" w:cs="Arial" w:eastAsia="Arial" w:hAnsi="Arial"/>
          <w:sz w:val="20"/>
          <w:szCs w:val="20"/>
          <w:color w:val="191919"/>
        </w:rPr>
        <w:t>Other than compensation agreements and other arrangements described below under “</w:t>
      </w:r>
      <w:r>
        <w:rPr>
          <w:rFonts w:ascii="Arial" w:cs="Arial" w:eastAsia="Arial" w:hAnsi="Arial"/>
          <w:sz w:val="20"/>
          <w:szCs w:val="20"/>
          <w:i w:val="1"/>
          <w:iCs w:val="1"/>
          <w:color w:val="191919"/>
        </w:rPr>
        <w:t>Information</w:t>
      </w:r>
      <w:r>
        <w:rPr>
          <w:rFonts w:ascii="Arial" w:cs="Arial" w:eastAsia="Arial" w:hAnsi="Arial"/>
          <w:sz w:val="20"/>
          <w:szCs w:val="20"/>
          <w:color w:val="191919"/>
        </w:rPr>
        <w:t xml:space="preserve"> </w:t>
      </w:r>
      <w:r>
        <w:rPr>
          <w:rFonts w:ascii="Arial" w:cs="Arial" w:eastAsia="Arial" w:hAnsi="Arial"/>
          <w:sz w:val="20"/>
          <w:szCs w:val="20"/>
          <w:i w:val="1"/>
          <w:iCs w:val="1"/>
          <w:color w:val="191919"/>
        </w:rPr>
        <w:t>About Executive and Director Compensation</w:t>
      </w:r>
      <w:r>
        <w:rPr>
          <w:rFonts w:ascii="Arial" w:cs="Arial" w:eastAsia="Arial" w:hAnsi="Arial"/>
          <w:sz w:val="20"/>
          <w:szCs w:val="20"/>
          <w:color w:val="191919"/>
        </w:rPr>
        <w:t>,”</w:t>
      </w:r>
      <w:r>
        <w:rPr>
          <w:rFonts w:ascii="Arial" w:cs="Arial" w:eastAsia="Arial" w:hAnsi="Arial"/>
          <w:sz w:val="20"/>
          <w:szCs w:val="20"/>
          <w:i w:val="1"/>
          <w:iCs w:val="1"/>
          <w:color w:val="191919"/>
        </w:rPr>
        <w:t xml:space="preserve"> </w:t>
      </w:r>
      <w:r>
        <w:rPr>
          <w:rFonts w:ascii="Arial" w:cs="Arial" w:eastAsia="Arial" w:hAnsi="Arial"/>
          <w:sz w:val="20"/>
          <w:szCs w:val="20"/>
          <w:color w:val="191919"/>
        </w:rPr>
        <w:t>since October 3, 2020, there has not been a transaction or series of related transactions to which the Company was or is a party involving an amount in excess of $120,000 and in which any director, executive officer, holder of more than five percent (5%) of any class of our voting securities, or any member of the immediate family of any of the foregoing persons, had or will have a direct or indirect material interest. Our Board has adopted a written related person transaction approval policy that sets forth the Company’s policies and procedures for the review, approval, or ratification of any transaction</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191919"/>
        </w:rPr>
        <w:t>required to be reported in its filings with the SEC.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191919"/>
        </w:rPr>
        <w:t>The Company’s policy with regard to related</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191919"/>
        </w:rPr>
        <w:t>person transactions is that all related person</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191919"/>
        </w:rPr>
        <w:t>transactions between the Company and any</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191919"/>
        </w:rPr>
        <w:t>related person (as defined in Item 404 of</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191919"/>
        </w:rPr>
        <w:t>Regulation S-K) or their affiliates, in which the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191919"/>
        </w:rPr>
        <w:t>amount involved is equal to or greater than</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color w:val="191919"/>
        </w:rPr>
        <w:t>$120,000, be reviewed by the Company’s General</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191919"/>
        </w:rPr>
        <w:t>Counsel and approved by the Audit Committee. In</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191919"/>
        </w:rPr>
        <w:t>addition, the Company’s Code of Business</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191919"/>
        </w:rPr>
        <w:t>Conduct and Ethics requires that employees</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191919"/>
        </w:rPr>
        <w:t>discuss with the Company’s Compliance Officer</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191919"/>
        </w:rPr>
        <w:t>any significant relationship (or transaction) that</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color w:val="191919"/>
        </w:rPr>
        <w:t>might raise doubt about such employee’s ability to</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191919"/>
        </w:rPr>
        <w:t>act in the best interest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-462280</wp:posOffset>
            </wp:positionH>
            <wp:positionV relativeFrom="paragraph">
              <wp:posOffset>3422650</wp:posOffset>
            </wp:positionV>
            <wp:extent cx="779780" cy="25717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79780" cy="257175"/>
                    </a:xfrm>
                    <a:prstGeom prst="rect">
                      <a:avLst/>
                    </a:prstGeom>
                    <a:noFill/>
                  </pic:spPr>
                </pic:pic>
              </a:graphicData>
            </a:graphic>
          </wp:anchor>
        </w:drawing>
      </w:r>
    </w:p>
    <w:p>
      <w:pPr>
        <w:spacing w:after="0" w:line="462" w:lineRule="exact"/>
        <w:rPr>
          <w:sz w:val="20"/>
          <w:szCs w:val="20"/>
          <w:color w:val="auto"/>
        </w:rPr>
      </w:pPr>
    </w:p>
    <w:p>
      <w:pPr>
        <w:sectPr>
          <w:pgSz w:w="11900" w:h="16838" w:orient="portrait"/>
          <w:cols w:equalWidth="0" w:num="2">
            <w:col w:w="5140" w:space="440"/>
            <w:col w:w="5140"/>
          </w:cols>
          <w:pgMar w:left="580" w:top="131" w:right="5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860" w:type="dxa"/>
            <w:vAlign w:val="bottom"/>
          </w:tcPr>
          <w:p>
            <w:pPr>
              <w:ind w:left="660"/>
              <w:spacing w:after="0"/>
              <w:rPr>
                <w:sz w:val="20"/>
                <w:szCs w:val="20"/>
                <w:color w:val="auto"/>
              </w:rPr>
            </w:pPr>
            <w:r>
              <w:rPr>
                <w:rFonts w:ascii="Arial" w:cs="Arial" w:eastAsia="Arial" w:hAnsi="Arial"/>
                <w:sz w:val="16"/>
                <w:szCs w:val="16"/>
                <w:color w:val="auto"/>
              </w:rPr>
              <w:t>Proxy Statement</w:t>
            </w:r>
          </w:p>
        </w:tc>
        <w:tc>
          <w:tcPr>
            <w:tcW w:w="4860" w:type="dxa"/>
            <w:vAlign w:val="bottom"/>
          </w:tcPr>
          <w:p>
            <w:pPr>
              <w:jc w:val="right"/>
              <w:ind w:right="579"/>
              <w:spacing w:after="0"/>
              <w:rPr>
                <w:sz w:val="20"/>
                <w:szCs w:val="20"/>
                <w:color w:val="auto"/>
              </w:rPr>
            </w:pPr>
            <w:r>
              <w:rPr>
                <w:rFonts w:ascii="Arial" w:cs="Arial" w:eastAsia="Arial" w:hAnsi="Arial"/>
                <w:sz w:val="16"/>
                <w:szCs w:val="16"/>
                <w:color w:val="auto"/>
              </w:rPr>
              <w:t>25</w:t>
            </w:r>
          </w:p>
        </w:tc>
      </w:tr>
      <w:tr>
        <w:trPr>
          <w:trHeight w:val="297"/>
        </w:trPr>
        <w:tc>
          <w:tcPr>
            <w:tcW w:w="5860" w:type="dxa"/>
            <w:vAlign w:val="bottom"/>
            <w:tcBorders>
              <w:bottom w:val="single" w:sz="8" w:color="9A9A9A"/>
            </w:tcBorders>
          </w:tcPr>
          <w:p>
            <w:pPr>
              <w:spacing w:after="0"/>
              <w:rPr>
                <w:sz w:val="24"/>
                <w:szCs w:val="24"/>
                <w:color w:val="auto"/>
              </w:rPr>
            </w:pPr>
          </w:p>
        </w:tc>
        <w:tc>
          <w:tcPr>
            <w:tcW w:w="4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type w:val="continuous"/>
        </w:sectPr>
      </w:pPr>
    </w:p>
    <w:bookmarkStart w:id="30" w:name="page31"/>
    <w:bookmarkEnd w:id="3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57150</wp:posOffset>
            </wp:positionV>
            <wp:extent cx="6480810" cy="41148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480810" cy="411480"/>
                    </a:xfrm>
                    <a:prstGeom prst="rect">
                      <a:avLst/>
                    </a:prstGeom>
                    <a:noFill/>
                  </pic:spPr>
                </pic:pic>
              </a:graphicData>
            </a:graphic>
          </wp:anchor>
        </w:drawing>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25"/>
          <w:szCs w:val="25"/>
          <w:b w:val="1"/>
          <w:bCs w:val="1"/>
          <w:color w:val="FFFFFF"/>
        </w:rPr>
        <w:t>PROPOSAL 2:</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60" w:right="720"/>
        <w:spacing w:after="0" w:line="268" w:lineRule="auto"/>
        <w:rPr>
          <w:sz w:val="20"/>
          <w:szCs w:val="20"/>
          <w:color w:val="auto"/>
        </w:rPr>
      </w:pPr>
      <w:r>
        <w:rPr>
          <w:rFonts w:ascii="Arial" w:cs="Arial" w:eastAsia="Arial" w:hAnsi="Arial"/>
          <w:sz w:val="32"/>
          <w:szCs w:val="32"/>
          <w:b w:val="1"/>
          <w:bCs w:val="1"/>
          <w:color w:val="0076A8"/>
        </w:rPr>
        <w:t>RATIFICATION OF INDEPENDENT REGISTERED PUBLIC ACCOUNTING FIRM</w:t>
      </w:r>
    </w:p>
    <w:p>
      <w:pPr>
        <w:sectPr>
          <w:pgSz w:w="11900" w:h="16838" w:orient="portrait"/>
          <w:cols w:equalWidth="0" w:num="1">
            <w:col w:w="10060"/>
          </w:cols>
          <w:pgMar w:left="580" w:top="131" w:right="1259" w:bottom="1440" w:gutter="0" w:footer="0" w:header="0"/>
        </w:sectPr>
      </w:pPr>
    </w:p>
    <w:p>
      <w:pPr>
        <w:spacing w:after="0" w:line="196" w:lineRule="exact"/>
        <w:rPr>
          <w:sz w:val="20"/>
          <w:szCs w:val="20"/>
          <w:color w:val="auto"/>
        </w:rPr>
      </w:pPr>
    </w:p>
    <w:p>
      <w:pPr>
        <w:ind w:left="660"/>
        <w:spacing w:after="0" w:line="254" w:lineRule="auto"/>
        <w:rPr>
          <w:sz w:val="20"/>
          <w:szCs w:val="20"/>
          <w:color w:val="auto"/>
        </w:rPr>
      </w:pPr>
      <w:r>
        <w:rPr>
          <w:rFonts w:ascii="Arial" w:cs="Arial" w:eastAsia="Arial" w:hAnsi="Arial"/>
          <w:sz w:val="20"/>
          <w:szCs w:val="20"/>
          <w:color w:val="191919"/>
        </w:rPr>
        <w:t>The Audit Committee has selected KPMG LLP as the Company’s independent registered public accounting firm for fiscal year 2022 and has further directed that management submit the selection of the independent registered public accounting firm for ratification by the stockholders at the Annual Meeting. KPMG LLP was the independent registered public accounting firm for the Company for fiscal year 2021, and has been the independent registered public accounting firm for the Company since 2002. We are asking the stockholders to ratify the selection of KPMG LLP as the Company’s independent registered public accounting firm for fiscal year 2022.</w:t>
      </w:r>
    </w:p>
    <w:p>
      <w:pPr>
        <w:spacing w:after="0" w:line="210" w:lineRule="exact"/>
        <w:rPr>
          <w:sz w:val="20"/>
          <w:szCs w:val="20"/>
          <w:color w:val="auto"/>
        </w:rPr>
      </w:pPr>
    </w:p>
    <w:p>
      <w:pPr>
        <w:ind w:left="660" w:right="160"/>
        <w:spacing w:after="0" w:line="255" w:lineRule="auto"/>
        <w:rPr>
          <w:sz w:val="20"/>
          <w:szCs w:val="20"/>
          <w:color w:val="auto"/>
        </w:rPr>
      </w:pPr>
      <w:r>
        <w:rPr>
          <w:rFonts w:ascii="Arial" w:cs="Arial" w:eastAsia="Arial" w:hAnsi="Arial"/>
          <w:sz w:val="20"/>
          <w:szCs w:val="20"/>
          <w:color w:val="191919"/>
        </w:rPr>
        <w:t>Representatives of KPMG LLP are expected to attend the Annual Meeting online. They will have an opportunity to make a statement if they desire to do so and will be available to respond to appropriate stockholder questions.</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line="253" w:lineRule="auto"/>
        <w:rPr>
          <w:sz w:val="20"/>
          <w:szCs w:val="20"/>
          <w:color w:val="auto"/>
        </w:rPr>
      </w:pPr>
      <w:r>
        <w:rPr>
          <w:rFonts w:ascii="Arial" w:cs="Arial" w:eastAsia="Arial" w:hAnsi="Arial"/>
          <w:sz w:val="20"/>
          <w:szCs w:val="20"/>
          <w:color w:val="191919"/>
        </w:rPr>
        <w:t>Stockholder ratification of the selection of KPMG LLP as the Company’s independent registered public accounting firm is not required by the Company’s By-laws or other applicable legal requirements. However, the Audit Committee is submitting the selection of KPMG LLP to the stockholders for ratification as a matter of good corporate practice. The affirmative vote of a majority of the shares present online or represented by proxy at the Annual Meeting and entitled to vote on such matter at the Annual Meeting is required to approve the selection of KPMG LLP as the Company’s independent registered public accounting firm. In the event stockholders fail to ratify the appointment, the Audit Committee may reconsider this appointment. Even if the appointment is ratified, the Audit Committee, in its discretion, may direct the appointment of a different independent registered public accounting firm at any time during the year if the Audit Committee determines that such a change would be in the Company’s and stockholders’ best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-2553970</wp:posOffset>
            </wp:positionH>
            <wp:positionV relativeFrom="paragraph">
              <wp:posOffset>165100</wp:posOffset>
            </wp:positionV>
            <wp:extent cx="4834890" cy="7029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834890" cy="7029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00" w:space="480"/>
            <w:col w:w="4480"/>
          </w:cols>
          <w:pgMar w:left="580" w:top="131" w:right="1259" w:bottom="1440" w:gutter="0" w:footer="0" w:header="0"/>
          <w:type w:val="continuous"/>
        </w:sectPr>
      </w:pPr>
    </w:p>
    <w:p>
      <w:pPr>
        <w:spacing w:after="0" w:line="162" w:lineRule="exact"/>
        <w:rPr>
          <w:sz w:val="20"/>
          <w:szCs w:val="20"/>
          <w:color w:val="auto"/>
        </w:rPr>
      </w:pPr>
    </w:p>
    <w:p>
      <w:pPr>
        <w:jc w:val="center"/>
        <w:ind w:left="2320" w:right="1200"/>
        <w:spacing w:after="0" w:line="276" w:lineRule="auto"/>
        <w:rPr>
          <w:sz w:val="20"/>
          <w:szCs w:val="20"/>
          <w:color w:val="auto"/>
        </w:rPr>
      </w:pPr>
      <w:r>
        <w:rPr>
          <w:rFonts w:ascii="Arial" w:cs="Arial" w:eastAsia="Arial" w:hAnsi="Arial"/>
          <w:sz w:val="18"/>
          <w:szCs w:val="18"/>
          <w:i w:val="1"/>
          <w:iCs w:val="1"/>
          <w:color w:val="0076A8"/>
        </w:rPr>
        <w:t>THE BOARD OF DIRECTORS UNANIMOUSLY RECOMMENDS A VOTE “FOR” THE RATIFICATION OF THE SELECTION OF KPMG LLP AS THE INDEPENDENT REGISTERED PUBLIC ACCOUNTING FIRM OF THE COMPANY FOR FISCAL YEAR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660"/>
        <w:spacing w:after="0"/>
        <w:tabs>
          <w:tab w:leader="none" w:pos="4817" w:val="left"/>
        </w:tabs>
        <w:rPr>
          <w:sz w:val="20"/>
          <w:szCs w:val="20"/>
          <w:color w:val="auto"/>
        </w:rPr>
      </w:pPr>
      <w:r>
        <w:rPr>
          <w:rFonts w:ascii="Arial" w:cs="Arial" w:eastAsia="Arial" w:hAnsi="Arial"/>
          <w:sz w:val="16"/>
          <w:szCs w:val="16"/>
          <w:color w:val="auto"/>
        </w:rPr>
        <w:t>26</w:t>
      </w:r>
      <w:r>
        <w:rPr>
          <w:sz w:val="20"/>
          <w:szCs w:val="20"/>
          <w:color w:val="auto"/>
        </w:rPr>
        <w:tab/>
      </w:r>
      <w:r>
        <w:rPr>
          <w:sz w:val="1"/>
          <w:szCs w:val="1"/>
          <w:color w:val="auto"/>
        </w:rPr>
        <w:drawing>
          <wp:inline distT="0" distB="0" distL="0" distR="0">
            <wp:extent cx="779780" cy="257175"/>
            <wp:effectExtent l="0" t="0" r="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131" w:right="1259" w:bottom="1440" w:gutter="0" w:footer="0" w:header="0"/>
          <w:type w:val="continuous"/>
        </w:sectPr>
      </w:pPr>
    </w:p>
    <w:bookmarkStart w:id="31" w:name="page32"/>
    <w:bookmarkEnd w:id="3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363" w:lineRule="exact"/>
        <w:rPr>
          <w:sz w:val="20"/>
          <w:szCs w:val="20"/>
          <w:color w:val="auto"/>
        </w:rPr>
      </w:pPr>
    </w:p>
    <w:p>
      <w:pPr>
        <w:jc w:val="right"/>
        <w:ind w:right="8600"/>
        <w:spacing w:after="0"/>
        <w:rPr>
          <w:sz w:val="20"/>
          <w:szCs w:val="20"/>
          <w:color w:val="auto"/>
        </w:rPr>
      </w:pPr>
      <w:r>
        <w:rPr>
          <w:rFonts w:ascii="Arial" w:cs="Arial" w:eastAsia="Arial" w:hAnsi="Arial"/>
          <w:sz w:val="29"/>
          <w:szCs w:val="29"/>
          <w:b w:val="1"/>
          <w:bCs w:val="1"/>
          <w:color w:val="auto"/>
        </w:rPr>
        <w:t>Audit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79375</wp:posOffset>
            </wp:positionV>
            <wp:extent cx="597471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974715" cy="8890"/>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p>
      <w:pPr>
        <w:spacing w:after="0" w:line="243" w:lineRule="exact"/>
        <w:rPr>
          <w:sz w:val="20"/>
          <w:szCs w:val="20"/>
          <w:color w:val="auto"/>
        </w:rPr>
      </w:pPr>
    </w:p>
    <w:p>
      <w:pPr>
        <w:ind w:left="660"/>
        <w:spacing w:after="0" w:line="272" w:lineRule="auto"/>
        <w:rPr>
          <w:sz w:val="20"/>
          <w:szCs w:val="20"/>
          <w:color w:val="auto"/>
        </w:rPr>
      </w:pPr>
      <w:r>
        <w:rPr>
          <w:rFonts w:ascii="Arial" w:cs="Arial" w:eastAsia="Arial" w:hAnsi="Arial"/>
          <w:sz w:val="19"/>
          <w:szCs w:val="19"/>
          <w:color w:val="191919"/>
        </w:rPr>
        <w:t>KPMG LLP provided audit services to the Company consisting of the annual audit of the Company’s 2021 consolidated financial statements contained in the Company’s Annual Report on Form 10-K and reviews of the financial statements</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ind w:right="700"/>
        <w:spacing w:after="0" w:line="256" w:lineRule="auto"/>
        <w:rPr>
          <w:sz w:val="20"/>
          <w:szCs w:val="20"/>
          <w:color w:val="auto"/>
        </w:rPr>
      </w:pPr>
      <w:r>
        <w:rPr>
          <w:rFonts w:ascii="Arial" w:cs="Arial" w:eastAsia="Arial" w:hAnsi="Arial"/>
          <w:sz w:val="20"/>
          <w:szCs w:val="20"/>
          <w:color w:val="191919"/>
        </w:rPr>
        <w:t>contained in the Company’s Quarterly Reports on Form 10-Q for fiscal year 2021. The following table summarizes the fees of KPMG LLP billed to the Company for the last two fiscal years.</w:t>
      </w:r>
    </w:p>
    <w:p>
      <w:pPr>
        <w:spacing w:after="0" w:line="456" w:lineRule="exact"/>
        <w:rPr>
          <w:sz w:val="20"/>
          <w:szCs w:val="20"/>
          <w:color w:val="auto"/>
        </w:rPr>
      </w:pPr>
    </w:p>
    <w:p>
      <w:pPr>
        <w:sectPr>
          <w:pgSz w:w="11900" w:h="16838" w:orient="portrait"/>
          <w:cols w:equalWidth="0" w:num="2">
            <w:col w:w="5100" w:space="480"/>
            <w:col w:w="5140"/>
          </w:cols>
          <w:pgMar w:left="580" w:top="131" w:right="599" w:bottom="1440" w:gutter="0" w:footer="0" w:header="0"/>
          <w:type w:val="continuous"/>
        </w:sectPr>
      </w:pPr>
    </w:p>
    <w:p>
      <w:pPr>
        <w:spacing w:after="0" w:line="24" w:lineRule="exact"/>
        <w:rPr>
          <w:sz w:val="20"/>
          <w:szCs w:val="20"/>
          <w:color w:val="auto"/>
        </w:rPr>
      </w:pPr>
    </w:p>
    <w:tbl>
      <w:tblPr>
        <w:tblLayout w:type="fixed"/>
        <w:tblInd w:w="660" w:type="dxa"/>
        <w:tblCellMar>
          <w:top w:w="0" w:type="dxa"/>
          <w:left w:w="0" w:type="dxa"/>
          <w:bottom w:w="0" w:type="dxa"/>
          <w:right w:w="0" w:type="dxa"/>
        </w:tblCellMar>
      </w:tblPr>
      <w:tr>
        <w:trPr>
          <w:trHeight w:val="229"/>
        </w:trPr>
        <w:tc>
          <w:tcPr>
            <w:tcW w:w="2140" w:type="dxa"/>
            <w:vAlign w:val="bottom"/>
            <w:shd w:val="clear" w:color="auto" w:fill="0076A8"/>
          </w:tcPr>
          <w:p>
            <w:pPr>
              <w:spacing w:after="0"/>
              <w:rPr>
                <w:sz w:val="19"/>
                <w:szCs w:val="19"/>
                <w:color w:val="auto"/>
              </w:rPr>
            </w:pPr>
          </w:p>
        </w:tc>
        <w:tc>
          <w:tcPr>
            <w:tcW w:w="2380" w:type="dxa"/>
            <w:vAlign w:val="bottom"/>
            <w:shd w:val="clear" w:color="auto" w:fill="0076A8"/>
          </w:tcPr>
          <w:p>
            <w:pPr>
              <w:jc w:val="right"/>
              <w:ind w:right="415"/>
              <w:spacing w:after="0"/>
              <w:rPr>
                <w:sz w:val="20"/>
                <w:szCs w:val="20"/>
                <w:color w:val="auto"/>
              </w:rPr>
            </w:pPr>
            <w:r>
              <w:rPr>
                <w:rFonts w:ascii="Arial" w:cs="Arial" w:eastAsia="Arial" w:hAnsi="Arial"/>
                <w:sz w:val="18"/>
                <w:szCs w:val="18"/>
                <w:color w:val="FFFFFF"/>
              </w:rPr>
              <w:t>Fiscal Year</w:t>
            </w:r>
          </w:p>
        </w:tc>
        <w:tc>
          <w:tcPr>
            <w:tcW w:w="1700" w:type="dxa"/>
            <w:vAlign w:val="bottom"/>
            <w:shd w:val="clear" w:color="auto" w:fill="0076A8"/>
          </w:tcPr>
          <w:p>
            <w:pPr>
              <w:jc w:val="right"/>
              <w:ind w:right="595"/>
              <w:spacing w:after="0"/>
              <w:rPr>
                <w:sz w:val="20"/>
                <w:szCs w:val="20"/>
                <w:color w:val="auto"/>
              </w:rPr>
            </w:pPr>
            <w:r>
              <w:rPr>
                <w:rFonts w:ascii="Arial" w:cs="Arial" w:eastAsia="Arial" w:hAnsi="Arial"/>
                <w:sz w:val="18"/>
                <w:szCs w:val="18"/>
                <w:color w:val="FFFFFF"/>
              </w:rPr>
              <w:t>% of</w:t>
            </w:r>
          </w:p>
        </w:tc>
        <w:tc>
          <w:tcPr>
            <w:tcW w:w="1900" w:type="dxa"/>
            <w:vAlign w:val="bottom"/>
            <w:shd w:val="clear" w:color="auto" w:fill="0076A8"/>
          </w:tcPr>
          <w:p>
            <w:pPr>
              <w:jc w:val="right"/>
              <w:ind w:right="415"/>
              <w:spacing w:after="0"/>
              <w:rPr>
                <w:sz w:val="20"/>
                <w:szCs w:val="20"/>
                <w:color w:val="auto"/>
              </w:rPr>
            </w:pPr>
            <w:r>
              <w:rPr>
                <w:rFonts w:ascii="Arial" w:cs="Arial" w:eastAsia="Arial" w:hAnsi="Arial"/>
                <w:sz w:val="18"/>
                <w:szCs w:val="18"/>
                <w:color w:val="FFFFFF"/>
              </w:rPr>
              <w:t>Fiscal Year</w:t>
            </w:r>
          </w:p>
        </w:tc>
        <w:tc>
          <w:tcPr>
            <w:tcW w:w="1280" w:type="dxa"/>
            <w:vAlign w:val="bottom"/>
            <w:shd w:val="clear" w:color="auto" w:fill="0076A8"/>
          </w:tcPr>
          <w:p>
            <w:pPr>
              <w:jc w:val="right"/>
              <w:ind w:right="155"/>
              <w:spacing w:after="0"/>
              <w:rPr>
                <w:sz w:val="20"/>
                <w:szCs w:val="20"/>
                <w:color w:val="auto"/>
              </w:rPr>
            </w:pPr>
            <w:r>
              <w:rPr>
                <w:rFonts w:ascii="Arial" w:cs="Arial" w:eastAsia="Arial" w:hAnsi="Arial"/>
                <w:sz w:val="18"/>
                <w:szCs w:val="18"/>
                <w:color w:val="FFFFFF"/>
              </w:rPr>
              <w:t>% of</w:t>
            </w:r>
          </w:p>
        </w:tc>
      </w:tr>
      <w:tr>
        <w:trPr>
          <w:trHeight w:val="230"/>
        </w:trPr>
        <w:tc>
          <w:tcPr>
            <w:tcW w:w="2140" w:type="dxa"/>
            <w:vAlign w:val="bottom"/>
            <w:shd w:val="clear" w:color="auto" w:fill="0076A8"/>
          </w:tcPr>
          <w:p>
            <w:pPr>
              <w:ind w:left="40"/>
              <w:spacing w:after="0"/>
              <w:rPr>
                <w:sz w:val="20"/>
                <w:szCs w:val="20"/>
                <w:color w:val="auto"/>
              </w:rPr>
            </w:pPr>
            <w:r>
              <w:rPr>
                <w:rFonts w:ascii="Arial" w:cs="Arial" w:eastAsia="Arial" w:hAnsi="Arial"/>
                <w:sz w:val="18"/>
                <w:szCs w:val="18"/>
                <w:color w:val="FFFFFF"/>
              </w:rPr>
              <w:t>Fee Category</w:t>
            </w:r>
          </w:p>
        </w:tc>
        <w:tc>
          <w:tcPr>
            <w:tcW w:w="2380" w:type="dxa"/>
            <w:vAlign w:val="bottom"/>
            <w:shd w:val="clear" w:color="auto" w:fill="0076A8"/>
          </w:tcPr>
          <w:p>
            <w:pPr>
              <w:jc w:val="right"/>
              <w:ind w:right="515"/>
              <w:spacing w:after="0"/>
              <w:rPr>
                <w:sz w:val="20"/>
                <w:szCs w:val="20"/>
                <w:color w:val="auto"/>
              </w:rPr>
            </w:pPr>
            <w:r>
              <w:rPr>
                <w:rFonts w:ascii="Arial" w:cs="Arial" w:eastAsia="Arial" w:hAnsi="Arial"/>
                <w:sz w:val="18"/>
                <w:szCs w:val="18"/>
                <w:color w:val="FFFFFF"/>
              </w:rPr>
              <w:t>2021 ($)</w:t>
            </w:r>
          </w:p>
        </w:tc>
        <w:tc>
          <w:tcPr>
            <w:tcW w:w="1700" w:type="dxa"/>
            <w:vAlign w:val="bottom"/>
            <w:shd w:val="clear" w:color="auto" w:fill="0076A8"/>
          </w:tcPr>
          <w:p>
            <w:pPr>
              <w:jc w:val="right"/>
              <w:ind w:right="415"/>
              <w:spacing w:after="0"/>
              <w:rPr>
                <w:sz w:val="20"/>
                <w:szCs w:val="20"/>
                <w:color w:val="auto"/>
              </w:rPr>
            </w:pPr>
            <w:r>
              <w:rPr>
                <w:rFonts w:ascii="Arial" w:cs="Arial" w:eastAsia="Arial" w:hAnsi="Arial"/>
                <w:sz w:val="18"/>
                <w:szCs w:val="18"/>
                <w:color w:val="FFFFFF"/>
              </w:rPr>
              <w:t>Total (%)</w:t>
            </w:r>
          </w:p>
        </w:tc>
        <w:tc>
          <w:tcPr>
            <w:tcW w:w="1900" w:type="dxa"/>
            <w:vAlign w:val="bottom"/>
            <w:shd w:val="clear" w:color="auto" w:fill="0076A8"/>
          </w:tcPr>
          <w:p>
            <w:pPr>
              <w:jc w:val="right"/>
              <w:ind w:right="515"/>
              <w:spacing w:after="0"/>
              <w:rPr>
                <w:sz w:val="20"/>
                <w:szCs w:val="20"/>
                <w:color w:val="auto"/>
              </w:rPr>
            </w:pPr>
            <w:r>
              <w:rPr>
                <w:rFonts w:ascii="Arial" w:cs="Arial" w:eastAsia="Arial" w:hAnsi="Arial"/>
                <w:sz w:val="18"/>
                <w:szCs w:val="18"/>
                <w:color w:val="FFFFFF"/>
              </w:rPr>
              <w:t>2020 ($)</w:t>
            </w:r>
          </w:p>
        </w:tc>
        <w:tc>
          <w:tcPr>
            <w:tcW w:w="1280" w:type="dxa"/>
            <w:vAlign w:val="bottom"/>
            <w:shd w:val="clear" w:color="auto" w:fill="0076A8"/>
          </w:tcPr>
          <w:p>
            <w:pPr>
              <w:jc w:val="right"/>
              <w:spacing w:after="0"/>
              <w:rPr>
                <w:sz w:val="20"/>
                <w:szCs w:val="20"/>
                <w:color w:val="auto"/>
              </w:rPr>
            </w:pPr>
            <w:r>
              <w:rPr>
                <w:rFonts w:ascii="Arial" w:cs="Arial" w:eastAsia="Arial" w:hAnsi="Arial"/>
                <w:sz w:val="18"/>
                <w:szCs w:val="18"/>
                <w:color w:val="FFFFFF"/>
              </w:rPr>
              <w:t>Total (%)</w:t>
            </w:r>
          </w:p>
        </w:tc>
      </w:tr>
      <w:tr>
        <w:trPr>
          <w:trHeight w:val="270"/>
        </w:trPr>
        <w:tc>
          <w:tcPr>
            <w:tcW w:w="2140" w:type="dxa"/>
            <w:vAlign w:val="bottom"/>
            <w:shd w:val="clear" w:color="auto" w:fill="E5E5E5"/>
          </w:tcPr>
          <w:p>
            <w:pPr>
              <w:ind w:left="40"/>
              <w:spacing w:after="0"/>
              <w:rPr>
                <w:sz w:val="20"/>
                <w:szCs w:val="20"/>
                <w:color w:val="auto"/>
              </w:rPr>
            </w:pPr>
            <w:r>
              <w:rPr>
                <w:rFonts w:ascii="Arial" w:cs="Arial" w:eastAsia="Arial" w:hAnsi="Arial"/>
                <w:sz w:val="16"/>
                <w:szCs w:val="16"/>
                <w:color w:val="auto"/>
              </w:rPr>
              <w:t>Audit Fees</w:t>
            </w:r>
            <w:r>
              <w:rPr>
                <w:rFonts w:ascii="Arial" w:cs="Arial" w:eastAsia="Arial" w:hAnsi="Arial"/>
                <w:sz w:val="16"/>
                <w:szCs w:val="16"/>
                <w:color w:val="0076A8"/>
              </w:rPr>
              <w:t>(1)</w:t>
            </w:r>
          </w:p>
        </w:tc>
        <w:tc>
          <w:tcPr>
            <w:tcW w:w="2380" w:type="dxa"/>
            <w:vAlign w:val="bottom"/>
            <w:shd w:val="clear" w:color="auto" w:fill="E5E5E5"/>
          </w:tcPr>
          <w:p>
            <w:pPr>
              <w:jc w:val="right"/>
              <w:ind w:right="435"/>
              <w:spacing w:after="0"/>
              <w:rPr>
                <w:sz w:val="20"/>
                <w:szCs w:val="20"/>
                <w:color w:val="auto"/>
              </w:rPr>
            </w:pPr>
            <w:r>
              <w:rPr>
                <w:rFonts w:ascii="Arial" w:cs="Arial" w:eastAsia="Arial" w:hAnsi="Arial"/>
                <w:sz w:val="16"/>
                <w:szCs w:val="16"/>
                <w:color w:val="auto"/>
              </w:rPr>
              <w:t>2,656,000</w:t>
            </w:r>
          </w:p>
        </w:tc>
        <w:tc>
          <w:tcPr>
            <w:tcW w:w="1700" w:type="dxa"/>
            <w:vAlign w:val="bottom"/>
            <w:shd w:val="clear" w:color="auto" w:fill="E5E5E5"/>
          </w:tcPr>
          <w:p>
            <w:pPr>
              <w:jc w:val="right"/>
              <w:ind w:right="615"/>
              <w:spacing w:after="0"/>
              <w:rPr>
                <w:sz w:val="20"/>
                <w:szCs w:val="20"/>
                <w:color w:val="auto"/>
              </w:rPr>
            </w:pPr>
            <w:r>
              <w:rPr>
                <w:rFonts w:ascii="Arial" w:cs="Arial" w:eastAsia="Arial" w:hAnsi="Arial"/>
                <w:sz w:val="16"/>
                <w:szCs w:val="16"/>
                <w:color w:val="auto"/>
              </w:rPr>
              <w:t>92.7</w:t>
            </w:r>
          </w:p>
        </w:tc>
        <w:tc>
          <w:tcPr>
            <w:tcW w:w="1900" w:type="dxa"/>
            <w:vAlign w:val="bottom"/>
            <w:shd w:val="clear" w:color="auto" w:fill="E5E5E5"/>
          </w:tcPr>
          <w:p>
            <w:pPr>
              <w:jc w:val="right"/>
              <w:ind w:right="455"/>
              <w:spacing w:after="0"/>
              <w:rPr>
                <w:sz w:val="20"/>
                <w:szCs w:val="20"/>
                <w:color w:val="auto"/>
              </w:rPr>
            </w:pPr>
            <w:r>
              <w:rPr>
                <w:rFonts w:ascii="Arial" w:cs="Arial" w:eastAsia="Arial" w:hAnsi="Arial"/>
                <w:sz w:val="16"/>
                <w:szCs w:val="16"/>
                <w:color w:val="auto"/>
              </w:rPr>
              <w:t>2,437,150</w:t>
            </w:r>
          </w:p>
        </w:tc>
        <w:tc>
          <w:tcPr>
            <w:tcW w:w="1280" w:type="dxa"/>
            <w:vAlign w:val="bottom"/>
            <w:shd w:val="clear" w:color="auto" w:fill="E5E5E5"/>
          </w:tcPr>
          <w:p>
            <w:pPr>
              <w:jc w:val="right"/>
              <w:ind w:right="175"/>
              <w:spacing w:after="0"/>
              <w:rPr>
                <w:sz w:val="20"/>
                <w:szCs w:val="20"/>
                <w:color w:val="auto"/>
              </w:rPr>
            </w:pPr>
            <w:r>
              <w:rPr>
                <w:rFonts w:ascii="Arial" w:cs="Arial" w:eastAsia="Arial" w:hAnsi="Arial"/>
                <w:sz w:val="16"/>
                <w:szCs w:val="16"/>
                <w:color w:val="auto"/>
              </w:rPr>
              <w:t>95.5</w:t>
            </w:r>
          </w:p>
        </w:tc>
      </w:tr>
      <w:tr>
        <w:trPr>
          <w:trHeight w:val="267"/>
        </w:trPr>
        <w:tc>
          <w:tcPr>
            <w:tcW w:w="2140" w:type="dxa"/>
            <w:vAlign w:val="bottom"/>
          </w:tcPr>
          <w:p>
            <w:pPr>
              <w:ind w:left="40"/>
              <w:spacing w:after="0"/>
              <w:rPr>
                <w:sz w:val="20"/>
                <w:szCs w:val="20"/>
                <w:color w:val="auto"/>
              </w:rPr>
            </w:pPr>
            <w:r>
              <w:rPr>
                <w:rFonts w:ascii="Arial" w:cs="Arial" w:eastAsia="Arial" w:hAnsi="Arial"/>
                <w:sz w:val="16"/>
                <w:szCs w:val="16"/>
                <w:color w:val="auto"/>
              </w:rPr>
              <w:t>Tax Fees</w:t>
            </w:r>
            <w:r>
              <w:rPr>
                <w:rFonts w:ascii="Arial" w:cs="Arial" w:eastAsia="Arial" w:hAnsi="Arial"/>
                <w:sz w:val="16"/>
                <w:szCs w:val="16"/>
                <w:color w:val="0076A8"/>
              </w:rPr>
              <w:t>(2)</w:t>
            </w:r>
          </w:p>
        </w:tc>
        <w:tc>
          <w:tcPr>
            <w:tcW w:w="2380" w:type="dxa"/>
            <w:vAlign w:val="bottom"/>
          </w:tcPr>
          <w:p>
            <w:pPr>
              <w:jc w:val="right"/>
              <w:ind w:right="435"/>
              <w:spacing w:after="0"/>
              <w:rPr>
                <w:sz w:val="20"/>
                <w:szCs w:val="20"/>
                <w:color w:val="auto"/>
              </w:rPr>
            </w:pPr>
            <w:r>
              <w:rPr>
                <w:rFonts w:ascii="Arial" w:cs="Arial" w:eastAsia="Arial" w:hAnsi="Arial"/>
                <w:sz w:val="16"/>
                <w:szCs w:val="16"/>
                <w:color w:val="auto"/>
              </w:rPr>
              <w:t>210,000</w:t>
            </w:r>
          </w:p>
        </w:tc>
        <w:tc>
          <w:tcPr>
            <w:tcW w:w="1700" w:type="dxa"/>
            <w:vAlign w:val="bottom"/>
          </w:tcPr>
          <w:p>
            <w:pPr>
              <w:jc w:val="right"/>
              <w:ind w:right="615"/>
              <w:spacing w:after="0"/>
              <w:rPr>
                <w:sz w:val="20"/>
                <w:szCs w:val="20"/>
                <w:color w:val="auto"/>
              </w:rPr>
            </w:pPr>
            <w:r>
              <w:rPr>
                <w:rFonts w:ascii="Arial" w:cs="Arial" w:eastAsia="Arial" w:hAnsi="Arial"/>
                <w:sz w:val="16"/>
                <w:szCs w:val="16"/>
                <w:color w:val="auto"/>
              </w:rPr>
              <w:t>7.3</w:t>
            </w:r>
          </w:p>
        </w:tc>
        <w:tc>
          <w:tcPr>
            <w:tcW w:w="1900" w:type="dxa"/>
            <w:vAlign w:val="bottom"/>
          </w:tcPr>
          <w:p>
            <w:pPr>
              <w:jc w:val="right"/>
              <w:ind w:right="455"/>
              <w:spacing w:after="0"/>
              <w:rPr>
                <w:sz w:val="20"/>
                <w:szCs w:val="20"/>
                <w:color w:val="auto"/>
              </w:rPr>
            </w:pPr>
            <w:r>
              <w:rPr>
                <w:rFonts w:ascii="Arial" w:cs="Arial" w:eastAsia="Arial" w:hAnsi="Arial"/>
                <w:sz w:val="16"/>
                <w:szCs w:val="16"/>
                <w:color w:val="auto"/>
              </w:rPr>
              <w:t>115,115</w:t>
            </w:r>
          </w:p>
        </w:tc>
        <w:tc>
          <w:tcPr>
            <w:tcW w:w="1280" w:type="dxa"/>
            <w:vAlign w:val="bottom"/>
          </w:tcPr>
          <w:p>
            <w:pPr>
              <w:jc w:val="right"/>
              <w:ind w:right="175"/>
              <w:spacing w:after="0"/>
              <w:rPr>
                <w:sz w:val="20"/>
                <w:szCs w:val="20"/>
                <w:color w:val="auto"/>
              </w:rPr>
            </w:pPr>
            <w:r>
              <w:rPr>
                <w:rFonts w:ascii="Arial" w:cs="Arial" w:eastAsia="Arial" w:hAnsi="Arial"/>
                <w:sz w:val="16"/>
                <w:szCs w:val="16"/>
                <w:color w:val="auto"/>
              </w:rPr>
              <w:t>4.5</w:t>
            </w:r>
          </w:p>
        </w:tc>
      </w:tr>
      <w:tr>
        <w:trPr>
          <w:trHeight w:val="259"/>
        </w:trPr>
        <w:tc>
          <w:tcPr>
            <w:tcW w:w="2140" w:type="dxa"/>
            <w:vAlign w:val="bottom"/>
            <w:shd w:val="clear" w:color="auto" w:fill="E5E5E5"/>
          </w:tcPr>
          <w:p>
            <w:pPr>
              <w:ind w:left="40"/>
              <w:spacing w:after="0"/>
              <w:rPr>
                <w:sz w:val="20"/>
                <w:szCs w:val="20"/>
                <w:color w:val="auto"/>
              </w:rPr>
            </w:pPr>
            <w:r>
              <w:rPr>
                <w:rFonts w:ascii="Arial" w:cs="Arial" w:eastAsia="Arial" w:hAnsi="Arial"/>
                <w:sz w:val="16"/>
                <w:szCs w:val="16"/>
                <w:b w:val="1"/>
                <w:bCs w:val="1"/>
                <w:color w:val="auto"/>
              </w:rPr>
              <w:t>Total Fees</w:t>
            </w:r>
          </w:p>
        </w:tc>
        <w:tc>
          <w:tcPr>
            <w:tcW w:w="2380" w:type="dxa"/>
            <w:vAlign w:val="bottom"/>
            <w:shd w:val="clear" w:color="auto" w:fill="E5E5E5"/>
          </w:tcPr>
          <w:p>
            <w:pPr>
              <w:jc w:val="right"/>
              <w:ind w:right="435"/>
              <w:spacing w:after="0"/>
              <w:rPr>
                <w:sz w:val="20"/>
                <w:szCs w:val="20"/>
                <w:color w:val="auto"/>
              </w:rPr>
            </w:pPr>
            <w:r>
              <w:rPr>
                <w:rFonts w:ascii="Arial" w:cs="Arial" w:eastAsia="Arial" w:hAnsi="Arial"/>
                <w:sz w:val="16"/>
                <w:szCs w:val="16"/>
                <w:b w:val="1"/>
                <w:bCs w:val="1"/>
                <w:color w:val="auto"/>
              </w:rPr>
              <w:t>2,866,000</w:t>
            </w:r>
          </w:p>
        </w:tc>
        <w:tc>
          <w:tcPr>
            <w:tcW w:w="1700" w:type="dxa"/>
            <w:vAlign w:val="bottom"/>
            <w:shd w:val="clear" w:color="auto" w:fill="E5E5E5"/>
          </w:tcPr>
          <w:p>
            <w:pPr>
              <w:jc w:val="right"/>
              <w:ind w:right="615"/>
              <w:spacing w:after="0"/>
              <w:rPr>
                <w:sz w:val="20"/>
                <w:szCs w:val="20"/>
                <w:color w:val="auto"/>
              </w:rPr>
            </w:pPr>
            <w:r>
              <w:rPr>
                <w:rFonts w:ascii="Arial" w:cs="Arial" w:eastAsia="Arial" w:hAnsi="Arial"/>
                <w:sz w:val="16"/>
                <w:szCs w:val="16"/>
                <w:b w:val="1"/>
                <w:bCs w:val="1"/>
                <w:color w:val="auto"/>
              </w:rPr>
              <w:t>100</w:t>
            </w:r>
          </w:p>
        </w:tc>
        <w:tc>
          <w:tcPr>
            <w:tcW w:w="1900" w:type="dxa"/>
            <w:vAlign w:val="bottom"/>
            <w:shd w:val="clear" w:color="auto" w:fill="E5E5E5"/>
          </w:tcPr>
          <w:p>
            <w:pPr>
              <w:jc w:val="right"/>
              <w:ind w:right="455"/>
              <w:spacing w:after="0"/>
              <w:rPr>
                <w:sz w:val="20"/>
                <w:szCs w:val="20"/>
                <w:color w:val="auto"/>
              </w:rPr>
            </w:pPr>
            <w:r>
              <w:rPr>
                <w:rFonts w:ascii="Arial" w:cs="Arial" w:eastAsia="Arial" w:hAnsi="Arial"/>
                <w:sz w:val="16"/>
                <w:szCs w:val="16"/>
                <w:b w:val="1"/>
                <w:bCs w:val="1"/>
                <w:color w:val="auto"/>
              </w:rPr>
              <w:t>2,552,265</w:t>
            </w:r>
          </w:p>
        </w:tc>
        <w:tc>
          <w:tcPr>
            <w:tcW w:w="1280" w:type="dxa"/>
            <w:vAlign w:val="bottom"/>
            <w:shd w:val="clear" w:color="auto" w:fill="E5E5E5"/>
          </w:tcPr>
          <w:p>
            <w:pPr>
              <w:jc w:val="right"/>
              <w:ind w:right="175"/>
              <w:spacing w:after="0"/>
              <w:rPr>
                <w:sz w:val="20"/>
                <w:szCs w:val="20"/>
                <w:color w:val="auto"/>
              </w:rPr>
            </w:pPr>
            <w:r>
              <w:rPr>
                <w:rFonts w:ascii="Arial" w:cs="Arial" w:eastAsia="Arial" w:hAnsi="Arial"/>
                <w:sz w:val="16"/>
                <w:szCs w:val="16"/>
                <w:b w:val="1"/>
                <w:bCs w:val="1"/>
                <w:color w:val="auto"/>
              </w:rPr>
              <w:t>100</w:t>
            </w:r>
          </w:p>
        </w:tc>
      </w:tr>
    </w:tbl>
    <w:p>
      <w:pPr>
        <w:spacing w:after="0" w:line="107" w:lineRule="exact"/>
        <w:rPr>
          <w:sz w:val="20"/>
          <w:szCs w:val="20"/>
          <w:color w:val="auto"/>
        </w:rPr>
      </w:pPr>
    </w:p>
    <w:p>
      <w:pPr>
        <w:ind w:left="1080" w:right="660" w:hanging="354"/>
        <w:spacing w:after="0" w:line="252" w:lineRule="auto"/>
        <w:tabs>
          <w:tab w:leader="none" w:pos="1080" w:val="left"/>
        </w:tabs>
        <w:numPr>
          <w:ilvl w:val="0"/>
          <w:numId w:val="37"/>
        </w:numPr>
        <w:rPr>
          <w:rFonts w:ascii="Arial" w:cs="Arial" w:eastAsia="Arial" w:hAnsi="Arial"/>
          <w:sz w:val="16"/>
          <w:szCs w:val="16"/>
          <w:i w:val="1"/>
          <w:iCs w:val="1"/>
          <w:color w:val="auto"/>
        </w:rPr>
      </w:pPr>
      <w:r>
        <w:rPr>
          <w:rFonts w:ascii="Arial" w:cs="Arial" w:eastAsia="Arial" w:hAnsi="Arial"/>
          <w:sz w:val="16"/>
          <w:szCs w:val="16"/>
          <w:i w:val="1"/>
          <w:iCs w:val="1"/>
          <w:color w:val="auto"/>
        </w:rPr>
        <w:t>Audit fees consist of fees for the audit of our annual financial statements, review of the interim financial statements included in our quarterly reports on Form 10-Q, statutory audits and related filings in various foreign locations, and audit procedures related to acquisition activity during fiscal years 2021 and 2020. Fiscal year 2021 and 2020 audit fees included fees for services incurred in connection with rendering an opinion under Section 404 of the Sarbanes-Oxley Act. Fiscal year 2021 and 2020 audit fees also included fees for the review of registration statement auditor consents to incorporate by reference prior year financial statement opinions in Form S-3 and Form S-8 filings, respectively.</w:t>
      </w:r>
    </w:p>
    <w:p>
      <w:pPr>
        <w:spacing w:after="0" w:line="1" w:lineRule="exact"/>
        <w:rPr>
          <w:rFonts w:ascii="Arial" w:cs="Arial" w:eastAsia="Arial" w:hAnsi="Arial"/>
          <w:sz w:val="16"/>
          <w:szCs w:val="16"/>
          <w:i w:val="1"/>
          <w:iCs w:val="1"/>
          <w:color w:val="auto"/>
        </w:rPr>
      </w:pPr>
    </w:p>
    <w:p>
      <w:pPr>
        <w:ind w:left="1080" w:right="840" w:hanging="354"/>
        <w:spacing w:after="0" w:line="263" w:lineRule="auto"/>
        <w:tabs>
          <w:tab w:leader="none" w:pos="1080" w:val="left"/>
        </w:tabs>
        <w:numPr>
          <w:ilvl w:val="0"/>
          <w:numId w:val="37"/>
        </w:numPr>
        <w:rPr>
          <w:rFonts w:ascii="Arial" w:cs="Arial" w:eastAsia="Arial" w:hAnsi="Arial"/>
          <w:sz w:val="16"/>
          <w:szCs w:val="16"/>
          <w:i w:val="1"/>
          <w:iCs w:val="1"/>
          <w:color w:val="auto"/>
        </w:rPr>
      </w:pPr>
      <w:r>
        <w:rPr>
          <w:rFonts w:ascii="Arial" w:cs="Arial" w:eastAsia="Arial" w:hAnsi="Arial"/>
          <w:sz w:val="16"/>
          <w:szCs w:val="16"/>
          <w:i w:val="1"/>
          <w:iCs w:val="1"/>
          <w:color w:val="auto"/>
        </w:rPr>
        <w:t>Tax fees consist of fees for tax compliance, tax advice, and tax planning services. Tax compliance services, which primarily relate to the review of our U.S. tax returns, accounted for $210,000 and $104,615 of the total tax fees for fiscal years 2021 and 2020, respectively.</w:t>
      </w:r>
    </w:p>
    <w:p>
      <w:pPr>
        <w:sectPr>
          <w:pgSz w:w="11900" w:h="16838" w:orient="portrait"/>
          <w:cols w:equalWidth="0" w:num="1">
            <w:col w:w="10720"/>
          </w:cols>
          <w:pgMar w:left="580" w:top="131" w:right="599" w:bottom="1440" w:gutter="0" w:footer="0" w:header="0"/>
          <w:type w:val="continuous"/>
        </w:sectPr>
      </w:pPr>
    </w:p>
    <w:p>
      <w:pPr>
        <w:spacing w:after="0" w:line="81" w:lineRule="exact"/>
        <w:rPr>
          <w:sz w:val="20"/>
          <w:szCs w:val="20"/>
          <w:color w:val="auto"/>
        </w:rPr>
      </w:pPr>
    </w:p>
    <w:p>
      <w:pPr>
        <w:ind w:left="660"/>
        <w:spacing w:after="0" w:line="271" w:lineRule="auto"/>
        <w:rPr>
          <w:sz w:val="20"/>
          <w:szCs w:val="20"/>
          <w:color w:val="auto"/>
        </w:rPr>
      </w:pPr>
      <w:r>
        <w:rPr>
          <w:rFonts w:ascii="Arial" w:cs="Arial" w:eastAsia="Arial" w:hAnsi="Arial"/>
          <w:sz w:val="19"/>
          <w:szCs w:val="19"/>
          <w:color w:val="191919"/>
        </w:rPr>
        <w:t>In 2003, the Audit Committee adopted a formal policy concerning approval of audit and non-audit services to be provided to the Company by its independent registered public accounting firm, KPMG LLP. The policy requires that all services provided by KPMG LLP, including audit services</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right="680"/>
        <w:spacing w:after="0" w:line="255" w:lineRule="auto"/>
        <w:rPr>
          <w:sz w:val="20"/>
          <w:szCs w:val="20"/>
          <w:color w:val="auto"/>
        </w:rPr>
      </w:pPr>
      <w:r>
        <w:rPr>
          <w:rFonts w:ascii="Arial" w:cs="Arial" w:eastAsia="Arial" w:hAnsi="Arial"/>
          <w:sz w:val="20"/>
          <w:szCs w:val="20"/>
          <w:color w:val="191919"/>
        </w:rPr>
        <w:t>and permitted audit-related and non-audit services, be preapproved by the Audit Committee. The Audit Committee preapproved all audit and non-audit services provided by KPMG LLP during fiscal year 2021 and our fiscal year ended October 2, 2020 (“fiscal year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-462280</wp:posOffset>
            </wp:positionH>
            <wp:positionV relativeFrom="paragraph">
              <wp:posOffset>3528695</wp:posOffset>
            </wp:positionV>
            <wp:extent cx="779780" cy="25717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79780" cy="257175"/>
                    </a:xfrm>
                    <a:prstGeom prst="rect">
                      <a:avLst/>
                    </a:prstGeom>
                    <a:noFill/>
                  </pic:spPr>
                </pic:pic>
              </a:graphicData>
            </a:graphic>
          </wp:anchor>
        </w:drawing>
      </w:r>
    </w:p>
    <w:p>
      <w:pPr>
        <w:spacing w:after="0" w:line="214" w:lineRule="exact"/>
        <w:rPr>
          <w:sz w:val="20"/>
          <w:szCs w:val="20"/>
          <w:color w:val="auto"/>
        </w:rPr>
      </w:pPr>
    </w:p>
    <w:p>
      <w:pPr>
        <w:sectPr>
          <w:pgSz w:w="11900" w:h="16838" w:orient="portrait"/>
          <w:cols w:equalWidth="0" w:num="2">
            <w:col w:w="4960" w:space="620"/>
            <w:col w:w="5140"/>
          </w:cols>
          <w:pgMar w:left="580" w:top="131" w:right="5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860" w:type="dxa"/>
            <w:vAlign w:val="bottom"/>
          </w:tcPr>
          <w:p>
            <w:pPr>
              <w:ind w:left="660"/>
              <w:spacing w:after="0"/>
              <w:rPr>
                <w:sz w:val="20"/>
                <w:szCs w:val="20"/>
                <w:color w:val="auto"/>
              </w:rPr>
            </w:pPr>
            <w:r>
              <w:rPr>
                <w:rFonts w:ascii="Arial" w:cs="Arial" w:eastAsia="Arial" w:hAnsi="Arial"/>
                <w:sz w:val="16"/>
                <w:szCs w:val="16"/>
                <w:color w:val="auto"/>
              </w:rPr>
              <w:t>Proxy Statement</w:t>
            </w:r>
          </w:p>
        </w:tc>
        <w:tc>
          <w:tcPr>
            <w:tcW w:w="4860" w:type="dxa"/>
            <w:vAlign w:val="bottom"/>
          </w:tcPr>
          <w:p>
            <w:pPr>
              <w:jc w:val="right"/>
              <w:ind w:right="579"/>
              <w:spacing w:after="0"/>
              <w:rPr>
                <w:sz w:val="20"/>
                <w:szCs w:val="20"/>
                <w:color w:val="auto"/>
              </w:rPr>
            </w:pPr>
            <w:r>
              <w:rPr>
                <w:rFonts w:ascii="Arial" w:cs="Arial" w:eastAsia="Arial" w:hAnsi="Arial"/>
                <w:sz w:val="16"/>
                <w:szCs w:val="16"/>
                <w:color w:val="auto"/>
              </w:rPr>
              <w:t>27</w:t>
            </w:r>
          </w:p>
        </w:tc>
      </w:tr>
      <w:tr>
        <w:trPr>
          <w:trHeight w:val="310"/>
        </w:trPr>
        <w:tc>
          <w:tcPr>
            <w:tcW w:w="5860" w:type="dxa"/>
            <w:vAlign w:val="bottom"/>
            <w:tcBorders>
              <w:bottom w:val="single" w:sz="8" w:color="9A9A9A"/>
            </w:tcBorders>
          </w:tcPr>
          <w:p>
            <w:pPr>
              <w:spacing w:after="0"/>
              <w:rPr>
                <w:sz w:val="24"/>
                <w:szCs w:val="24"/>
                <w:color w:val="auto"/>
              </w:rPr>
            </w:pPr>
          </w:p>
        </w:tc>
        <w:tc>
          <w:tcPr>
            <w:tcW w:w="4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type w:val="continuous"/>
        </w:sectPr>
      </w:pPr>
    </w:p>
    <w:bookmarkStart w:id="32" w:name="page33"/>
    <w:bookmarkEnd w:id="3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353" w:lineRule="exact"/>
        <w:rPr>
          <w:sz w:val="20"/>
          <w:szCs w:val="20"/>
          <w:color w:val="auto"/>
        </w:rPr>
      </w:pPr>
    </w:p>
    <w:p>
      <w:pPr>
        <w:jc w:val="right"/>
        <w:ind w:right="3660"/>
        <w:spacing w:after="0"/>
        <w:rPr>
          <w:sz w:val="20"/>
          <w:szCs w:val="20"/>
          <w:color w:val="auto"/>
        </w:rPr>
      </w:pPr>
      <w:r>
        <w:rPr>
          <w:rFonts w:ascii="Arial" w:cs="Arial" w:eastAsia="Arial" w:hAnsi="Arial"/>
          <w:sz w:val="32"/>
          <w:szCs w:val="32"/>
          <w:b w:val="1"/>
          <w:bCs w:val="1"/>
          <w:color w:val="0076A8"/>
        </w:rPr>
        <w:t>REPORT OF THE AUDIT COMMITTEE</w:t>
      </w:r>
    </w:p>
    <w:p>
      <w:pPr>
        <w:sectPr>
          <w:pgSz w:w="11900" w:h="16838" w:orient="portrait"/>
          <w:cols w:equalWidth="0" w:num="1">
            <w:col w:w="10060"/>
          </w:cols>
          <w:pgMar w:left="580" w:top="131" w:right="1259" w:bottom="1440" w:gutter="0" w:footer="0" w:header="0"/>
        </w:sectPr>
      </w:pPr>
    </w:p>
    <w:p>
      <w:pPr>
        <w:spacing w:after="0" w:line="137" w:lineRule="exact"/>
        <w:rPr>
          <w:sz w:val="20"/>
          <w:szCs w:val="20"/>
          <w:color w:val="auto"/>
        </w:rPr>
      </w:pPr>
    </w:p>
    <w:p>
      <w:pPr>
        <w:ind w:left="660" w:right="40"/>
        <w:spacing w:after="0" w:line="254" w:lineRule="auto"/>
        <w:rPr>
          <w:sz w:val="20"/>
          <w:szCs w:val="20"/>
          <w:color w:val="auto"/>
        </w:rPr>
      </w:pPr>
      <w:r>
        <w:rPr>
          <w:rFonts w:ascii="Arial" w:cs="Arial" w:eastAsia="Arial" w:hAnsi="Arial"/>
          <w:sz w:val="20"/>
          <w:szCs w:val="20"/>
          <w:color w:val="191919"/>
        </w:rPr>
        <w:t>The Audit Committee of Skyworks’ Board of Directors is responsible for providing independent, objective oversight of Skyworks’ accounting functions and internal controls. Four directors served on the Audit Committee for all of fiscal year 2021, each of whom is independent within the meaning of applicable Nasdaq Rules and meets the criteria for independence set forth in Rule 10A-3(b)(1) under the Exchange Act. The Audit Committee operates under a written charter approved by the Board.</w:t>
      </w:r>
    </w:p>
    <w:p>
      <w:pPr>
        <w:spacing w:after="0" w:line="212" w:lineRule="exact"/>
        <w:rPr>
          <w:sz w:val="20"/>
          <w:szCs w:val="20"/>
          <w:color w:val="auto"/>
        </w:rPr>
      </w:pPr>
    </w:p>
    <w:p>
      <w:pPr>
        <w:ind w:left="660"/>
        <w:spacing w:after="0" w:line="254" w:lineRule="auto"/>
        <w:rPr>
          <w:sz w:val="20"/>
          <w:szCs w:val="20"/>
          <w:color w:val="auto"/>
        </w:rPr>
      </w:pPr>
      <w:r>
        <w:rPr>
          <w:rFonts w:ascii="Arial" w:cs="Arial" w:eastAsia="Arial" w:hAnsi="Arial"/>
          <w:sz w:val="20"/>
          <w:szCs w:val="20"/>
          <w:color w:val="191919"/>
        </w:rPr>
        <w:t>Management is responsible for the Company’s internal control and financial reporting process. The Company’s independent registered public accounting firm is responsible for performing an independent audit of Skyworks’ consolidated financial statements in accordance with generally accepted auditing standards and for issuing a report concerning such financial statements. In addition, the Company’s independent registered public accounting firm is responsible for performing an independent audit of the Company’s internal controls and for issuing an opinion on the effectiveness thereof. The Audit Committee’s responsibility is to monitor and oversee these processes.</w:t>
      </w:r>
    </w:p>
    <w:p>
      <w:pPr>
        <w:spacing w:after="0" w:line="210" w:lineRule="exact"/>
        <w:rPr>
          <w:sz w:val="20"/>
          <w:szCs w:val="20"/>
          <w:color w:val="auto"/>
        </w:rPr>
      </w:pPr>
    </w:p>
    <w:p>
      <w:pPr>
        <w:ind w:left="660" w:right="40"/>
        <w:spacing w:after="0" w:line="254" w:lineRule="auto"/>
        <w:rPr>
          <w:sz w:val="20"/>
          <w:szCs w:val="20"/>
          <w:color w:val="auto"/>
        </w:rPr>
      </w:pPr>
      <w:r>
        <w:rPr>
          <w:rFonts w:ascii="Arial" w:cs="Arial" w:eastAsia="Arial" w:hAnsi="Arial"/>
          <w:sz w:val="20"/>
          <w:szCs w:val="20"/>
          <w:color w:val="191919"/>
        </w:rPr>
        <w:t>In connection with these responsibilities, the Audit Committee met with management and representatives of KPMG LLP, the Company’s independent registered public accounting firm, and reviewed and discussed the audited financial statements for fiscal year 2021, results of the internal and external audit examinations, evaluations of the Company’s internal controls,</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20"/>
          <w:szCs w:val="20"/>
          <w:color w:val="191919"/>
        </w:rPr>
        <w:t>and the overall quality of Skyworks’ financial reporting. The Audit Committee also discussed with the independent registered public accounting firm the matters required to be discussed by Auditing Standard No. 1301, “Communications with Audit Committees,” issued by the Public Company Accounting Oversight Board. In addition, the Audit Committee has received the written disclosures from its independent registered public accounting firm required by applicable requirements of the Public Company Accounting Oversight Board and the SEC regarding the independent accountant’s communications with the Audit Committee concerning independence and has discussed with the independent registered public accounting firm the independent registered public accounting firm’s independence from the Company and its management, including the matters in the written disclosures that were received by the committee from such firm.</w:t>
      </w:r>
    </w:p>
    <w:p>
      <w:pPr>
        <w:spacing w:after="0" w:line="227" w:lineRule="exact"/>
        <w:rPr>
          <w:sz w:val="20"/>
          <w:szCs w:val="20"/>
          <w:color w:val="auto"/>
        </w:rPr>
      </w:pPr>
    </w:p>
    <w:p>
      <w:pPr>
        <w:ind w:right="60"/>
        <w:spacing w:after="0" w:line="255" w:lineRule="auto"/>
        <w:rPr>
          <w:sz w:val="20"/>
          <w:szCs w:val="20"/>
          <w:color w:val="auto"/>
        </w:rPr>
      </w:pPr>
      <w:r>
        <w:rPr>
          <w:rFonts w:ascii="Arial" w:cs="Arial" w:eastAsia="Arial" w:hAnsi="Arial"/>
          <w:sz w:val="20"/>
          <w:szCs w:val="20"/>
          <w:color w:val="191919"/>
        </w:rPr>
        <w:t>Based upon the Audit Committee’s review and discussions described above, the Audit Committee recommended that the Board include the audited consolidated financial statements in the Company’s Annual Report on Form 10-K for fiscal year 2021, as filed with the SEC.</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191919"/>
        </w:rPr>
        <w:t>THE AUDIT COMMITTEE</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191919"/>
        </w:rPr>
        <w:t>David P. McGlade, Chairman</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191919"/>
        </w:rPr>
        <w:t>Timothy R. Furey</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191919"/>
        </w:rPr>
        <w:t>Christine King</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191919"/>
        </w:rPr>
        <w:t>Robert A. Schriesheim</w:t>
      </w:r>
    </w:p>
    <w:p>
      <w:pPr>
        <w:spacing w:after="0" w:line="729" w:lineRule="exact"/>
        <w:rPr>
          <w:sz w:val="20"/>
          <w:szCs w:val="20"/>
          <w:color w:val="auto"/>
        </w:rPr>
      </w:pPr>
    </w:p>
    <w:p>
      <w:pPr>
        <w:sectPr>
          <w:pgSz w:w="11900" w:h="16838" w:orient="portrait"/>
          <w:cols w:equalWidth="0" w:num="2">
            <w:col w:w="5120" w:space="460"/>
            <w:col w:w="4480"/>
          </w:cols>
          <w:pgMar w:left="580" w:top="131" w:right="1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60"/>
        <w:spacing w:after="0"/>
        <w:tabs>
          <w:tab w:leader="none" w:pos="4817" w:val="left"/>
        </w:tabs>
        <w:rPr>
          <w:sz w:val="20"/>
          <w:szCs w:val="20"/>
          <w:color w:val="auto"/>
        </w:rPr>
      </w:pPr>
      <w:r>
        <w:rPr>
          <w:rFonts w:ascii="Arial" w:cs="Arial" w:eastAsia="Arial" w:hAnsi="Arial"/>
          <w:sz w:val="16"/>
          <w:szCs w:val="16"/>
          <w:color w:val="auto"/>
        </w:rPr>
        <w:t>28</w:t>
      </w:r>
      <w:r>
        <w:rPr>
          <w:sz w:val="20"/>
          <w:szCs w:val="20"/>
          <w:color w:val="auto"/>
        </w:rPr>
        <w:tab/>
      </w:r>
      <w:r>
        <w:rPr>
          <w:sz w:val="1"/>
          <w:szCs w:val="1"/>
          <w:color w:val="auto"/>
        </w:rPr>
        <w:drawing>
          <wp:inline distT="0" distB="0" distL="0" distR="0">
            <wp:extent cx="779780" cy="257175"/>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131" w:right="1259" w:bottom="1440" w:gutter="0" w:footer="0" w:header="0"/>
          <w:type w:val="continuous"/>
        </w:sectPr>
      </w:pPr>
    </w:p>
    <w:bookmarkStart w:id="33" w:name="page34"/>
    <w:bookmarkEnd w:id="3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57150</wp:posOffset>
            </wp:positionV>
            <wp:extent cx="6480810" cy="41148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480810" cy="411480"/>
                    </a:xfrm>
                    <a:prstGeom prst="rect">
                      <a:avLst/>
                    </a:prstGeom>
                    <a:noFill/>
                  </pic:spPr>
                </pic:pic>
              </a:graphicData>
            </a:graphic>
          </wp:anchor>
        </w:drawing>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25"/>
          <w:szCs w:val="25"/>
          <w:b w:val="1"/>
          <w:bCs w:val="1"/>
          <w:color w:val="FFFFFF"/>
        </w:rPr>
        <w:t>PROPOSAL 3:</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60" w:right="660"/>
        <w:spacing w:after="0" w:line="268" w:lineRule="auto"/>
        <w:rPr>
          <w:sz w:val="20"/>
          <w:szCs w:val="20"/>
          <w:color w:val="auto"/>
        </w:rPr>
      </w:pPr>
      <w:r>
        <w:rPr>
          <w:rFonts w:ascii="Arial" w:cs="Arial" w:eastAsia="Arial" w:hAnsi="Arial"/>
          <w:sz w:val="32"/>
          <w:szCs w:val="32"/>
          <w:b w:val="1"/>
          <w:bCs w:val="1"/>
          <w:color w:val="0076A8"/>
        </w:rPr>
        <w:t>ADVISORY VOTE ON THE COMPENSATION OF OUR NAMED EXECUTIVE OFFICERS (“SAY-ON-PAY” VOTE)</w:t>
      </w:r>
    </w:p>
    <w:p>
      <w:pPr>
        <w:sectPr>
          <w:pgSz w:w="11900" w:h="16838" w:orient="portrait"/>
          <w:cols w:equalWidth="0" w:num="1">
            <w:col w:w="10720"/>
          </w:cols>
          <w:pgMar w:left="580" w:top="131" w:right="599" w:bottom="1440" w:gutter="0" w:footer="0" w:header="0"/>
        </w:sectPr>
      </w:pPr>
    </w:p>
    <w:p>
      <w:pPr>
        <w:spacing w:after="0" w:line="196" w:lineRule="exact"/>
        <w:rPr>
          <w:sz w:val="20"/>
          <w:szCs w:val="20"/>
          <w:color w:val="auto"/>
        </w:rPr>
      </w:pPr>
    </w:p>
    <w:p>
      <w:pPr>
        <w:ind w:left="660"/>
        <w:spacing w:after="0" w:line="269" w:lineRule="auto"/>
        <w:rPr>
          <w:sz w:val="20"/>
          <w:szCs w:val="20"/>
          <w:color w:val="auto"/>
        </w:rPr>
      </w:pPr>
      <w:r>
        <w:rPr>
          <w:rFonts w:ascii="Arial" w:cs="Arial" w:eastAsia="Arial" w:hAnsi="Arial"/>
          <w:sz w:val="19"/>
          <w:szCs w:val="19"/>
          <w:color w:val="191919"/>
        </w:rPr>
        <w:t>We are providing our stockholders with the opportunity to vote to approve, on a non-binding basis, the compensation of our Named Executive Officers as described below under “</w:t>
      </w:r>
      <w:r>
        <w:rPr>
          <w:rFonts w:ascii="Arial" w:cs="Arial" w:eastAsia="Arial" w:hAnsi="Arial"/>
          <w:sz w:val="19"/>
          <w:szCs w:val="19"/>
          <w:i w:val="1"/>
          <w:iCs w:val="1"/>
          <w:color w:val="191919"/>
        </w:rPr>
        <w:t>Information</w:t>
      </w:r>
      <w:r>
        <w:rPr>
          <w:rFonts w:ascii="Arial" w:cs="Arial" w:eastAsia="Arial" w:hAnsi="Arial"/>
          <w:sz w:val="19"/>
          <w:szCs w:val="19"/>
          <w:color w:val="191919"/>
        </w:rPr>
        <w:t xml:space="preserve"> </w:t>
      </w:r>
      <w:r>
        <w:rPr>
          <w:rFonts w:ascii="Arial" w:cs="Arial" w:eastAsia="Arial" w:hAnsi="Arial"/>
          <w:sz w:val="19"/>
          <w:szCs w:val="19"/>
          <w:i w:val="1"/>
          <w:iCs w:val="1"/>
          <w:color w:val="191919"/>
        </w:rPr>
        <w:t>About Executive and Director Compensation</w:t>
      </w:r>
      <w:r>
        <w:rPr>
          <w:rFonts w:ascii="Arial" w:cs="Arial" w:eastAsia="Arial" w:hAnsi="Arial"/>
          <w:sz w:val="19"/>
          <w:szCs w:val="19"/>
          <w:color w:val="191919"/>
        </w:rPr>
        <w:t>”</w:t>
      </w:r>
      <w:r>
        <w:rPr>
          <w:rFonts w:ascii="Arial" w:cs="Arial" w:eastAsia="Arial" w:hAnsi="Arial"/>
          <w:sz w:val="19"/>
          <w:szCs w:val="19"/>
          <w:i w:val="1"/>
          <w:iCs w:val="1"/>
          <w:color w:val="191919"/>
        </w:rPr>
        <w:t xml:space="preserve"> </w:t>
      </w:r>
      <w:r>
        <w:rPr>
          <w:rFonts w:ascii="Arial" w:cs="Arial" w:eastAsia="Arial" w:hAnsi="Arial"/>
          <w:sz w:val="19"/>
          <w:szCs w:val="19"/>
          <w:color w:val="191919"/>
        </w:rPr>
        <w:t>pursuant to Section 14A of the Exchange Act. As we describe below under “</w:t>
      </w:r>
      <w:r>
        <w:rPr>
          <w:rFonts w:ascii="Arial" w:cs="Arial" w:eastAsia="Arial" w:hAnsi="Arial"/>
          <w:sz w:val="19"/>
          <w:szCs w:val="19"/>
          <w:i w:val="1"/>
          <w:iCs w:val="1"/>
          <w:color w:val="191919"/>
        </w:rPr>
        <w:t>Compensation</w:t>
      </w:r>
      <w:r>
        <w:rPr>
          <w:rFonts w:ascii="Arial" w:cs="Arial" w:eastAsia="Arial" w:hAnsi="Arial"/>
          <w:sz w:val="19"/>
          <w:szCs w:val="19"/>
          <w:color w:val="191919"/>
        </w:rPr>
        <w:t xml:space="preserve"> </w:t>
      </w:r>
      <w:r>
        <w:rPr>
          <w:rFonts w:ascii="Arial" w:cs="Arial" w:eastAsia="Arial" w:hAnsi="Arial"/>
          <w:sz w:val="19"/>
          <w:szCs w:val="19"/>
          <w:i w:val="1"/>
          <w:iCs w:val="1"/>
          <w:color w:val="191919"/>
        </w:rPr>
        <w:t>Discussion and Analysis</w:t>
      </w:r>
      <w:r>
        <w:rPr>
          <w:rFonts w:ascii="Arial" w:cs="Arial" w:eastAsia="Arial" w:hAnsi="Arial"/>
          <w:sz w:val="19"/>
          <w:szCs w:val="19"/>
          <w:color w:val="191919"/>
        </w:rPr>
        <w:t>,” our executive</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ind w:right="660"/>
        <w:spacing w:after="0" w:line="256" w:lineRule="auto"/>
        <w:rPr>
          <w:sz w:val="20"/>
          <w:szCs w:val="20"/>
          <w:color w:val="auto"/>
        </w:rPr>
      </w:pPr>
      <w:r>
        <w:rPr>
          <w:rFonts w:ascii="Arial" w:cs="Arial" w:eastAsia="Arial" w:hAnsi="Arial"/>
          <w:sz w:val="20"/>
          <w:szCs w:val="20"/>
          <w:color w:val="191919"/>
        </w:rPr>
        <w:t>compensation program embodies a pay-for-performance philosophy that supports our business strategy and aligns the interests of our executives with our stockholders.</w:t>
      </w:r>
    </w:p>
    <w:p>
      <w:pPr>
        <w:spacing w:after="0" w:line="207" w:lineRule="exact"/>
        <w:rPr>
          <w:sz w:val="20"/>
          <w:szCs w:val="20"/>
          <w:color w:val="auto"/>
        </w:rPr>
      </w:pPr>
    </w:p>
    <w:p>
      <w:pPr>
        <w:ind w:right="1080"/>
        <w:spacing w:after="0" w:line="257" w:lineRule="auto"/>
        <w:rPr>
          <w:sz w:val="20"/>
          <w:szCs w:val="20"/>
          <w:color w:val="auto"/>
        </w:rPr>
      </w:pPr>
      <w:r>
        <w:rPr>
          <w:rFonts w:ascii="Arial" w:cs="Arial" w:eastAsia="Arial" w:hAnsi="Arial"/>
          <w:sz w:val="20"/>
          <w:szCs w:val="20"/>
          <w:color w:val="191919"/>
        </w:rPr>
        <w:t>Our Board is asking stockholders to approve a non-binding advisory vote on the following resolution:</w:t>
      </w:r>
    </w:p>
    <w:p>
      <w:pPr>
        <w:spacing w:after="0" w:line="232" w:lineRule="exact"/>
        <w:rPr>
          <w:sz w:val="20"/>
          <w:szCs w:val="20"/>
          <w:color w:val="auto"/>
        </w:rPr>
      </w:pPr>
    </w:p>
    <w:p>
      <w:pPr>
        <w:sectPr>
          <w:pgSz w:w="11900" w:h="16838" w:orient="portrait"/>
          <w:cols w:equalWidth="0" w:num="2">
            <w:col w:w="4960" w:space="620"/>
            <w:col w:w="5140"/>
          </w:cols>
          <w:pgMar w:left="580" w:top="131" w:right="599" w:bottom="1440" w:gutter="0" w:footer="0" w:header="0"/>
          <w:type w:val="continuous"/>
        </w:sectPr>
      </w:pPr>
    </w:p>
    <w:p>
      <w:pPr>
        <w:spacing w:after="0" w:line="17" w:lineRule="exact"/>
        <w:rPr>
          <w:sz w:val="20"/>
          <w:szCs w:val="20"/>
          <w:color w:val="auto"/>
        </w:rPr>
      </w:pPr>
    </w:p>
    <w:p>
      <w:pPr>
        <w:ind w:left="1020" w:right="720"/>
        <w:spacing w:after="0" w:line="261" w:lineRule="auto"/>
        <w:rPr>
          <w:sz w:val="20"/>
          <w:szCs w:val="20"/>
          <w:color w:val="auto"/>
        </w:rPr>
      </w:pPr>
      <w:r>
        <w:rPr>
          <w:rFonts w:ascii="Arial" w:cs="Arial" w:eastAsia="Arial" w:hAnsi="Arial"/>
          <w:sz w:val="20"/>
          <w:szCs w:val="20"/>
          <w:b w:val="1"/>
          <w:bCs w:val="1"/>
          <w:color w:val="0076A8"/>
        </w:rPr>
        <w:t>RESOLVED, that the Company’s stockholders approve, on an advisory basis, the compensation paid to the Company’s named executive officers, as disclosed pursuant to the compensation disclosure rules of the Securities and Exchange Commission, including the Compensation Discussion and Analysis, the compensation tables, and any related material disclosed in this Proxy Statement.</w:t>
      </w:r>
    </w:p>
    <w:p>
      <w:pPr>
        <w:sectPr>
          <w:pgSz w:w="11900" w:h="16838" w:orient="portrait"/>
          <w:cols w:equalWidth="0" w:num="1">
            <w:col w:w="10720"/>
          </w:cols>
          <w:pgMar w:left="580" w:top="131" w:right="599" w:bottom="1440" w:gutter="0" w:footer="0" w:header="0"/>
          <w:type w:val="continuous"/>
        </w:sectPr>
      </w:pPr>
    </w:p>
    <w:p>
      <w:pPr>
        <w:spacing w:after="0" w:line="83" w:lineRule="exact"/>
        <w:rPr>
          <w:sz w:val="20"/>
          <w:szCs w:val="20"/>
          <w:color w:val="auto"/>
        </w:rPr>
      </w:pPr>
    </w:p>
    <w:p>
      <w:pPr>
        <w:ind w:left="660"/>
        <w:spacing w:after="0" w:line="270" w:lineRule="auto"/>
        <w:rPr>
          <w:sz w:val="20"/>
          <w:szCs w:val="20"/>
          <w:color w:val="auto"/>
        </w:rPr>
      </w:pPr>
      <w:r>
        <w:rPr>
          <w:rFonts w:ascii="Arial" w:cs="Arial" w:eastAsia="Arial" w:hAnsi="Arial"/>
          <w:sz w:val="19"/>
          <w:szCs w:val="19"/>
          <w:color w:val="191919"/>
        </w:rPr>
        <w:t>As an advisory vote, this proposal is not binding and will not overrule any decision by the Company or the Board (or any committee thereof), nor will it create or imply any change or addition to the fiduciary duties of the Company or the Board (or any committee thereof). However, our Compensation Committee and Board value the</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ind w:right="660"/>
        <w:spacing w:after="0" w:line="271" w:lineRule="auto"/>
        <w:rPr>
          <w:sz w:val="20"/>
          <w:szCs w:val="20"/>
          <w:color w:val="auto"/>
        </w:rPr>
      </w:pPr>
      <w:r>
        <w:rPr>
          <w:rFonts w:ascii="Arial" w:cs="Arial" w:eastAsia="Arial" w:hAnsi="Arial"/>
          <w:sz w:val="19"/>
          <w:szCs w:val="19"/>
          <w:color w:val="191919"/>
        </w:rPr>
        <w:t>opinions expressed by our stockholders in their vote on this proposal and will consider the outcome of the vote when making future compensation decisions for Named Executive Officers. The next non-binding “say-on-pay” vote is scheduled to be held at our 2023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-2553970</wp:posOffset>
            </wp:positionH>
            <wp:positionV relativeFrom="paragraph">
              <wp:posOffset>296545</wp:posOffset>
            </wp:positionV>
            <wp:extent cx="4834890" cy="6515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834890" cy="651510"/>
                    </a:xfrm>
                    <a:prstGeom prst="rect">
                      <a:avLst/>
                    </a:prstGeom>
                    <a:noFill/>
                  </pic:spPr>
                </pic:pic>
              </a:graphicData>
            </a:graphic>
          </wp:anchor>
        </w:drawing>
      </w:r>
    </w:p>
    <w:p>
      <w:pPr>
        <w:spacing w:after="0" w:line="440" w:lineRule="exact"/>
        <w:rPr>
          <w:sz w:val="20"/>
          <w:szCs w:val="20"/>
          <w:color w:val="auto"/>
        </w:rPr>
      </w:pPr>
    </w:p>
    <w:p>
      <w:pPr>
        <w:sectPr>
          <w:pgSz w:w="11900" w:h="16838" w:orient="portrait"/>
          <w:cols w:equalWidth="0" w:num="2">
            <w:col w:w="5060" w:space="520"/>
            <w:col w:w="5140"/>
          </w:cols>
          <w:pgMar w:left="580" w:top="131" w:right="599" w:bottom="1440" w:gutter="0" w:footer="0" w:header="0"/>
          <w:type w:val="continuous"/>
        </w:sectPr>
      </w:pPr>
    </w:p>
    <w:p>
      <w:pPr>
        <w:spacing w:after="0" w:line="184" w:lineRule="exact"/>
        <w:rPr>
          <w:sz w:val="20"/>
          <w:szCs w:val="20"/>
          <w:color w:val="auto"/>
        </w:rPr>
      </w:pPr>
    </w:p>
    <w:p>
      <w:pPr>
        <w:jc w:val="center"/>
        <w:ind w:left="1720" w:right="1840"/>
        <w:spacing w:after="0" w:line="305" w:lineRule="auto"/>
        <w:rPr>
          <w:sz w:val="20"/>
          <w:szCs w:val="20"/>
          <w:color w:val="auto"/>
        </w:rPr>
      </w:pPr>
      <w:r>
        <w:rPr>
          <w:rFonts w:ascii="Arial" w:cs="Arial" w:eastAsia="Arial" w:hAnsi="Arial"/>
          <w:sz w:val="17"/>
          <w:szCs w:val="17"/>
          <w:i w:val="1"/>
          <w:iCs w:val="1"/>
          <w:color w:val="0076A8"/>
        </w:rPr>
        <w:t>THE BOARD OF DIRECTORS UNANIMOUSLY RECOMMENDS THAT STOCKHOLDERS VOTE TO APPROVE THE COMPENSATION OF OUR NAMED EXECUTIVE OFFICERS BY VOTING “FOR” PROPOSAL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3080385</wp:posOffset>
            </wp:positionH>
            <wp:positionV relativeFrom="paragraph">
              <wp:posOffset>2941955</wp:posOffset>
            </wp:positionV>
            <wp:extent cx="779780" cy="25717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7978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860" w:type="dxa"/>
            <w:vAlign w:val="bottom"/>
          </w:tcPr>
          <w:p>
            <w:pPr>
              <w:ind w:left="660"/>
              <w:spacing w:after="0"/>
              <w:rPr>
                <w:sz w:val="20"/>
                <w:szCs w:val="20"/>
                <w:color w:val="auto"/>
              </w:rPr>
            </w:pPr>
            <w:r>
              <w:rPr>
                <w:rFonts w:ascii="Arial" w:cs="Arial" w:eastAsia="Arial" w:hAnsi="Arial"/>
                <w:sz w:val="16"/>
                <w:szCs w:val="16"/>
                <w:color w:val="auto"/>
              </w:rPr>
              <w:t>Proxy Statement</w:t>
            </w:r>
          </w:p>
        </w:tc>
        <w:tc>
          <w:tcPr>
            <w:tcW w:w="4860" w:type="dxa"/>
            <w:vAlign w:val="bottom"/>
          </w:tcPr>
          <w:p>
            <w:pPr>
              <w:jc w:val="right"/>
              <w:ind w:right="579"/>
              <w:spacing w:after="0"/>
              <w:rPr>
                <w:sz w:val="20"/>
                <w:szCs w:val="20"/>
                <w:color w:val="auto"/>
              </w:rPr>
            </w:pPr>
            <w:r>
              <w:rPr>
                <w:rFonts w:ascii="Arial" w:cs="Arial" w:eastAsia="Arial" w:hAnsi="Arial"/>
                <w:sz w:val="16"/>
                <w:szCs w:val="16"/>
                <w:color w:val="auto"/>
              </w:rPr>
              <w:t>29</w:t>
            </w:r>
          </w:p>
        </w:tc>
      </w:tr>
      <w:tr>
        <w:trPr>
          <w:trHeight w:val="297"/>
        </w:trPr>
        <w:tc>
          <w:tcPr>
            <w:tcW w:w="5860" w:type="dxa"/>
            <w:vAlign w:val="bottom"/>
            <w:tcBorders>
              <w:bottom w:val="single" w:sz="8" w:color="9A9A9A"/>
            </w:tcBorders>
          </w:tcPr>
          <w:p>
            <w:pPr>
              <w:spacing w:after="0"/>
              <w:rPr>
                <w:sz w:val="24"/>
                <w:szCs w:val="24"/>
                <w:color w:val="auto"/>
              </w:rPr>
            </w:pPr>
          </w:p>
        </w:tc>
        <w:tc>
          <w:tcPr>
            <w:tcW w:w="4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type w:val="continuous"/>
        </w:sectPr>
      </w:pPr>
    </w:p>
    <w:bookmarkStart w:id="34" w:name="page35"/>
    <w:bookmarkEnd w:id="3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353" w:lineRule="exact"/>
        <w:rPr>
          <w:sz w:val="20"/>
          <w:szCs w:val="20"/>
          <w:color w:val="auto"/>
        </w:rPr>
      </w:pPr>
    </w:p>
    <w:p>
      <w:pPr>
        <w:ind w:left="660" w:right="1400"/>
        <w:spacing w:after="0" w:line="268" w:lineRule="auto"/>
        <w:rPr>
          <w:sz w:val="20"/>
          <w:szCs w:val="20"/>
          <w:color w:val="auto"/>
        </w:rPr>
      </w:pPr>
      <w:r>
        <w:rPr>
          <w:rFonts w:ascii="Arial" w:cs="Arial" w:eastAsia="Arial" w:hAnsi="Arial"/>
          <w:sz w:val="32"/>
          <w:szCs w:val="32"/>
          <w:b w:val="1"/>
          <w:bCs w:val="1"/>
          <w:color w:val="0076A8"/>
        </w:rPr>
        <w:t>INFORMATION ABOUT EXECUTIVE AND DIRECTOR COMPENSATION</w:t>
      </w:r>
    </w:p>
    <w:p>
      <w:pPr>
        <w:spacing w:after="0" w:line="52" w:lineRule="exact"/>
        <w:rPr>
          <w:sz w:val="20"/>
          <w:szCs w:val="20"/>
          <w:color w:val="auto"/>
        </w:rPr>
      </w:pPr>
    </w:p>
    <w:p>
      <w:pPr>
        <w:ind w:left="660"/>
        <w:spacing w:after="0"/>
        <w:rPr>
          <w:sz w:val="20"/>
          <w:szCs w:val="20"/>
          <w:color w:val="auto"/>
        </w:rPr>
      </w:pPr>
      <w:r>
        <w:rPr>
          <w:rFonts w:ascii="Arial" w:cs="Arial" w:eastAsia="Arial" w:hAnsi="Arial"/>
          <w:sz w:val="29"/>
          <w:szCs w:val="29"/>
          <w:b w:val="1"/>
          <w:bCs w:val="1"/>
          <w:color w:val="auto"/>
        </w:rPr>
        <w:t>Summary and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79375</wp:posOffset>
            </wp:positionV>
            <wp:extent cx="597471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974715" cy="8255"/>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ind w:left="660" w:right="1280"/>
        <w:spacing w:after="0" w:line="286" w:lineRule="auto"/>
        <w:rPr>
          <w:sz w:val="20"/>
          <w:szCs w:val="20"/>
          <w:color w:val="auto"/>
        </w:rPr>
      </w:pPr>
      <w:r>
        <w:rPr>
          <w:rFonts w:ascii="Arial" w:cs="Arial" w:eastAsia="Arial" w:hAnsi="Arial"/>
          <w:sz w:val="23"/>
          <w:szCs w:val="23"/>
          <w:b w:val="1"/>
          <w:bCs w:val="1"/>
          <w:i w:val="1"/>
          <w:iCs w:val="1"/>
          <w:color w:val="auto"/>
        </w:rPr>
        <w:t>Our Executive Compensation Program Reflects Our Pay-for-Performance Philosophy</w:t>
      </w:r>
    </w:p>
    <w:p>
      <w:pPr>
        <w:sectPr>
          <w:pgSz w:w="11900" w:h="16838" w:orient="portrait"/>
          <w:cols w:equalWidth="0" w:num="1">
            <w:col w:w="10060"/>
          </w:cols>
          <w:pgMar w:left="580" w:top="131" w:right="1259" w:bottom="1440" w:gutter="0" w:footer="0" w:header="0"/>
        </w:sectPr>
      </w:pPr>
    </w:p>
    <w:p>
      <w:pPr>
        <w:spacing w:after="0" w:line="135" w:lineRule="exact"/>
        <w:rPr>
          <w:sz w:val="20"/>
          <w:szCs w:val="20"/>
          <w:color w:val="auto"/>
        </w:rPr>
      </w:pPr>
    </w:p>
    <w:p>
      <w:pPr>
        <w:ind w:left="840" w:hanging="186"/>
        <w:spacing w:after="0" w:line="255" w:lineRule="auto"/>
        <w:tabs>
          <w:tab w:leader="none" w:pos="840" w:val="left"/>
        </w:tabs>
        <w:numPr>
          <w:ilvl w:val="0"/>
          <w:numId w:val="38"/>
        </w:numPr>
        <w:rPr>
          <w:rFonts w:ascii="Arial" w:cs="Arial" w:eastAsia="Arial" w:hAnsi="Arial"/>
          <w:sz w:val="20"/>
          <w:szCs w:val="20"/>
          <w:color w:val="auto"/>
        </w:rPr>
      </w:pPr>
      <w:r>
        <w:rPr>
          <w:rFonts w:ascii="Arial" w:cs="Arial" w:eastAsia="Arial" w:hAnsi="Arial"/>
          <w:sz w:val="20"/>
          <w:szCs w:val="20"/>
          <w:b w:val="1"/>
          <w:bCs w:val="1"/>
          <w:color w:val="0076A8"/>
        </w:rPr>
        <w:t xml:space="preserve">Response to “Say-on-Pay” Vote at 2021 Annual Meeting. </w:t>
      </w:r>
      <w:r>
        <w:rPr>
          <w:rFonts w:ascii="Arial" w:cs="Arial" w:eastAsia="Arial" w:hAnsi="Arial"/>
          <w:sz w:val="20"/>
          <w:szCs w:val="20"/>
          <w:color w:val="000000"/>
        </w:rPr>
        <w:t>Following our 2021 Annual</w:t>
      </w:r>
      <w:r>
        <w:rPr>
          <w:rFonts w:ascii="Arial" w:cs="Arial" w:eastAsia="Arial" w:hAnsi="Arial"/>
          <w:sz w:val="20"/>
          <w:szCs w:val="20"/>
          <w:b w:val="1"/>
          <w:bCs w:val="1"/>
          <w:color w:val="0076A8"/>
        </w:rPr>
        <w:t xml:space="preserve"> </w:t>
      </w:r>
      <w:r>
        <w:rPr>
          <w:rFonts w:ascii="Arial" w:cs="Arial" w:eastAsia="Arial" w:hAnsi="Arial"/>
          <w:sz w:val="20"/>
          <w:szCs w:val="20"/>
          <w:color w:val="000000"/>
        </w:rPr>
        <w:t>Meeting, we solicited feedback on our fiscal year 2020 compensation program from our largest institutional stockholders, with Ms. King, the chairman of our Compensation Committee, taking a leading role in our stockholder outreach. After considering the input received from our stockholders, as well as evaluating practices related to executive compensation by public companies generally, and our peer group specifically, our Compensation Committee committed to several key responsive changes to the Company’s compensation program, including to the metrics and performance periods under the Company’s long-term stock-based compensation program.</w:t>
      </w:r>
    </w:p>
    <w:p>
      <w:pPr>
        <w:spacing w:after="0" w:line="85" w:lineRule="exact"/>
        <w:rPr>
          <w:rFonts w:ascii="Arial" w:cs="Arial" w:eastAsia="Arial" w:hAnsi="Arial"/>
          <w:sz w:val="20"/>
          <w:szCs w:val="20"/>
          <w:color w:val="auto"/>
        </w:rPr>
      </w:pPr>
    </w:p>
    <w:p>
      <w:pPr>
        <w:ind w:left="840" w:right="220" w:hanging="186"/>
        <w:spacing w:after="0" w:line="282" w:lineRule="auto"/>
        <w:tabs>
          <w:tab w:leader="none" w:pos="840" w:val="left"/>
        </w:tabs>
        <w:numPr>
          <w:ilvl w:val="0"/>
          <w:numId w:val="38"/>
        </w:numPr>
        <w:rPr>
          <w:rFonts w:ascii="Arial" w:cs="Arial" w:eastAsia="Arial" w:hAnsi="Arial"/>
          <w:sz w:val="19"/>
          <w:szCs w:val="19"/>
          <w:color w:val="auto"/>
        </w:rPr>
      </w:pPr>
      <w:r>
        <w:rPr>
          <w:rFonts w:ascii="Arial" w:cs="Arial" w:eastAsia="Arial" w:hAnsi="Arial"/>
          <w:sz w:val="19"/>
          <w:szCs w:val="19"/>
          <w:b w:val="1"/>
          <w:bCs w:val="1"/>
          <w:color w:val="0076A8"/>
        </w:rPr>
        <w:t xml:space="preserve">Alignment with Stockholder Interests. </w:t>
      </w:r>
      <w:r>
        <w:rPr>
          <w:rFonts w:ascii="Arial" w:cs="Arial" w:eastAsia="Arial" w:hAnsi="Arial"/>
          <w:sz w:val="19"/>
          <w:szCs w:val="19"/>
          <w:color w:val="000000"/>
        </w:rPr>
        <w:t>We</w:t>
      </w:r>
      <w:r>
        <w:rPr>
          <w:rFonts w:ascii="Arial" w:cs="Arial" w:eastAsia="Arial" w:hAnsi="Arial"/>
          <w:sz w:val="19"/>
          <w:szCs w:val="19"/>
          <w:b w:val="1"/>
          <w:bCs w:val="1"/>
          <w:color w:val="0076A8"/>
        </w:rPr>
        <w:t xml:space="preserve"> </w:t>
      </w:r>
      <w:r>
        <w:rPr>
          <w:rFonts w:ascii="Arial" w:cs="Arial" w:eastAsia="Arial" w:hAnsi="Arial"/>
          <w:sz w:val="19"/>
          <w:szCs w:val="19"/>
          <w:color w:val="000000"/>
        </w:rPr>
        <w:t>believe that through the combination of our equity-based incentive compensation program and rigorous executive stock ownership</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ind w:left="183" w:right="220"/>
        <w:spacing w:after="0" w:line="256" w:lineRule="auto"/>
        <w:rPr>
          <w:sz w:val="20"/>
          <w:szCs w:val="20"/>
          <w:color w:val="auto"/>
        </w:rPr>
      </w:pPr>
      <w:r>
        <w:rPr>
          <w:rFonts w:ascii="Arial" w:cs="Arial" w:eastAsia="Arial" w:hAnsi="Arial"/>
          <w:sz w:val="20"/>
          <w:szCs w:val="20"/>
          <w:color w:val="auto"/>
        </w:rPr>
        <w:t>guidelines, the interests of our executives are strongly aligned with those of our long-term stockholders — namely, increasing stockholder value over time.</w:t>
      </w:r>
    </w:p>
    <w:p>
      <w:pPr>
        <w:spacing w:after="0" w:line="75" w:lineRule="exact"/>
        <w:rPr>
          <w:sz w:val="20"/>
          <w:szCs w:val="20"/>
          <w:color w:val="auto"/>
        </w:rPr>
      </w:pPr>
    </w:p>
    <w:p>
      <w:pPr>
        <w:ind w:left="183" w:right="40" w:hanging="183"/>
        <w:spacing w:after="0" w:line="255" w:lineRule="auto"/>
        <w:tabs>
          <w:tab w:leader="none" w:pos="183" w:val="left"/>
        </w:tabs>
        <w:numPr>
          <w:ilvl w:val="0"/>
          <w:numId w:val="39"/>
        </w:numPr>
        <w:rPr>
          <w:rFonts w:ascii="Arial" w:cs="Arial" w:eastAsia="Arial" w:hAnsi="Arial"/>
          <w:sz w:val="20"/>
          <w:szCs w:val="20"/>
          <w:color w:val="auto"/>
        </w:rPr>
      </w:pPr>
      <w:r>
        <w:rPr>
          <w:rFonts w:ascii="Arial" w:cs="Arial" w:eastAsia="Arial" w:hAnsi="Arial"/>
          <w:sz w:val="20"/>
          <w:szCs w:val="20"/>
          <w:b w:val="1"/>
          <w:bCs w:val="1"/>
          <w:color w:val="0076A8"/>
        </w:rPr>
        <w:t xml:space="preserve">High At-Risk Compensation Levels. </w:t>
      </w:r>
      <w:r>
        <w:rPr>
          <w:rFonts w:ascii="Arial" w:cs="Arial" w:eastAsia="Arial" w:hAnsi="Arial"/>
          <w:sz w:val="20"/>
          <w:szCs w:val="20"/>
          <w:color w:val="000000"/>
        </w:rPr>
        <w:t>The only</w:t>
      </w:r>
      <w:r>
        <w:rPr>
          <w:rFonts w:ascii="Arial" w:cs="Arial" w:eastAsia="Arial" w:hAnsi="Arial"/>
          <w:sz w:val="20"/>
          <w:szCs w:val="20"/>
          <w:b w:val="1"/>
          <w:bCs w:val="1"/>
          <w:color w:val="0076A8"/>
        </w:rPr>
        <w:t xml:space="preserve"> </w:t>
      </w:r>
      <w:r>
        <w:rPr>
          <w:rFonts w:ascii="Arial" w:cs="Arial" w:eastAsia="Arial" w:hAnsi="Arial"/>
          <w:sz w:val="20"/>
          <w:szCs w:val="20"/>
          <w:color w:val="000000"/>
        </w:rPr>
        <w:t>fixed component of our Named Executive Officers’ annual compensation is base salary. All short-term cash incentive awards and long-term equity incentive awards are tied to Company performance, stock price performance, or both. The charts below show the target total direct compensation mix for fiscal year 2021 for our Chief Executive Officer and the average for the other Named Executive Officers. The target total direct compensation mix for fiscal year 2021 reflects actual salary, target short-term incentive award, the grant date fair value of the annual performance share and restricted stock unit awards, and the grant date fair value of one-time, non-recurring stock-based compensation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157480</wp:posOffset>
            </wp:positionV>
            <wp:extent cx="5408930" cy="24771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408930" cy="2477135"/>
                    </a:xfrm>
                    <a:prstGeom prst="rect">
                      <a:avLst/>
                    </a:prstGeom>
                    <a:noFill/>
                  </pic:spPr>
                </pic:pic>
              </a:graphicData>
            </a:graphic>
          </wp:anchor>
        </w:drawing>
      </w:r>
    </w:p>
    <w:p>
      <w:pPr>
        <w:spacing w:after="0" w:line="231" w:lineRule="exact"/>
        <w:rPr>
          <w:sz w:val="20"/>
          <w:szCs w:val="20"/>
          <w:color w:val="auto"/>
        </w:rPr>
      </w:pPr>
    </w:p>
    <w:p>
      <w:pPr>
        <w:sectPr>
          <w:pgSz w:w="11900" w:h="16838" w:orient="portrait"/>
          <w:cols w:equalWidth="0" w:num="2">
            <w:col w:w="5120" w:space="457"/>
            <w:col w:w="4483"/>
          </w:cols>
          <w:pgMar w:left="580" w:top="131" w:right="1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60"/>
        <w:spacing w:after="0"/>
        <w:tabs>
          <w:tab w:leader="none" w:pos="4817" w:val="left"/>
        </w:tabs>
        <w:rPr>
          <w:sz w:val="20"/>
          <w:szCs w:val="20"/>
          <w:color w:val="auto"/>
        </w:rPr>
      </w:pPr>
      <w:r>
        <w:rPr>
          <w:rFonts w:ascii="Arial" w:cs="Arial" w:eastAsia="Arial" w:hAnsi="Arial"/>
          <w:sz w:val="16"/>
          <w:szCs w:val="16"/>
          <w:color w:val="auto"/>
        </w:rPr>
        <w:t>30</w:t>
      </w:r>
      <w:r>
        <w:rPr>
          <w:sz w:val="20"/>
          <w:szCs w:val="20"/>
          <w:color w:val="auto"/>
        </w:rPr>
        <w:tab/>
      </w:r>
      <w:r>
        <w:rPr>
          <w:sz w:val="1"/>
          <w:szCs w:val="1"/>
          <w:color w:val="auto"/>
        </w:rPr>
        <w:drawing>
          <wp:inline distT="0" distB="0" distL="0" distR="0">
            <wp:extent cx="779780" cy="257175"/>
            <wp:effectExtent l="0" t="0" r="0" b="0"/>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131" w:right="1259" w:bottom="1440" w:gutter="0" w:footer="0" w:header="0"/>
          <w:type w:val="continuous"/>
        </w:sectPr>
      </w:pPr>
    </w:p>
    <w:bookmarkStart w:id="35" w:name="page36"/>
    <w:bookmarkEnd w:id="3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Arial" w:cs="Arial" w:eastAsia="Arial" w:hAnsi="Arial"/>
          <w:sz w:val="23"/>
          <w:szCs w:val="23"/>
          <w:b w:val="1"/>
          <w:bCs w:val="1"/>
          <w:i w:val="1"/>
          <w:iCs w:val="1"/>
          <w:color w:val="auto"/>
        </w:rPr>
        <w:t>Compensation Best Practices</w:t>
      </w:r>
    </w:p>
    <w:p>
      <w:pPr>
        <w:spacing w:after="0" w:line="114" w:lineRule="exact"/>
        <w:rPr>
          <w:sz w:val="20"/>
          <w:szCs w:val="20"/>
          <w:color w:val="auto"/>
        </w:rPr>
      </w:pPr>
    </w:p>
    <w:p>
      <w:pPr>
        <w:ind w:left="660"/>
        <w:spacing w:after="0"/>
        <w:rPr>
          <w:sz w:val="20"/>
          <w:szCs w:val="20"/>
          <w:color w:val="auto"/>
        </w:rPr>
      </w:pPr>
      <w:r>
        <w:rPr>
          <w:rFonts w:ascii="Arial" w:cs="Arial" w:eastAsia="Arial" w:hAnsi="Arial"/>
          <w:sz w:val="23"/>
          <w:szCs w:val="23"/>
          <w:b w:val="1"/>
          <w:bCs w:val="1"/>
          <w:color w:val="0076A8"/>
        </w:rPr>
        <w:t>What We Do</w:t>
      </w:r>
    </w:p>
    <w:p>
      <w:pPr>
        <w:spacing w:after="0" w:line="177" w:lineRule="exact"/>
        <w:rPr>
          <w:sz w:val="20"/>
          <w:szCs w:val="20"/>
          <w:color w:val="auto"/>
        </w:rPr>
      </w:pPr>
    </w:p>
    <w:p>
      <w:pPr>
        <w:ind w:left="1040" w:right="20"/>
        <w:spacing w:after="0" w:line="261" w:lineRule="auto"/>
        <w:rPr>
          <w:sz w:val="20"/>
          <w:szCs w:val="20"/>
          <w:color w:val="auto"/>
        </w:rPr>
      </w:pPr>
      <w:r>
        <w:rPr>
          <w:rFonts w:ascii="Arial" w:cs="Arial" w:eastAsia="Arial" w:hAnsi="Arial"/>
          <w:sz w:val="18"/>
          <w:szCs w:val="18"/>
          <w:color w:val="0076A8"/>
        </w:rPr>
        <w:t>Heavily weight executive compensation toward “at risk,” performance-based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-276225</wp:posOffset>
            </wp:positionV>
            <wp:extent cx="76835" cy="7747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6835" cy="77470"/>
                    </a:xfrm>
                    <a:prstGeom prst="rect">
                      <a:avLst/>
                    </a:prstGeom>
                    <a:noFill/>
                  </pic:spPr>
                </pic:pic>
              </a:graphicData>
            </a:graphic>
          </wp:anchor>
        </w:drawing>
      </w:r>
    </w:p>
    <w:p>
      <w:pPr>
        <w:spacing w:after="0" w:line="16" w:lineRule="exact"/>
        <w:rPr>
          <w:sz w:val="20"/>
          <w:szCs w:val="20"/>
          <w:color w:val="auto"/>
        </w:rPr>
      </w:pPr>
    </w:p>
    <w:p>
      <w:pPr>
        <w:ind w:left="1040" w:right="560"/>
        <w:spacing w:after="0" w:line="261" w:lineRule="auto"/>
        <w:rPr>
          <w:sz w:val="20"/>
          <w:szCs w:val="20"/>
          <w:color w:val="auto"/>
        </w:rPr>
      </w:pPr>
      <w:r>
        <w:rPr>
          <w:rFonts w:ascii="Arial" w:cs="Arial" w:eastAsia="Arial" w:hAnsi="Arial"/>
          <w:sz w:val="18"/>
          <w:szCs w:val="18"/>
          <w:color w:val="0076A8"/>
        </w:rPr>
        <w:t>Balance short-term and long-term incentive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-267335</wp:posOffset>
            </wp:positionV>
            <wp:extent cx="76835" cy="7747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6835" cy="77470"/>
                    </a:xfrm>
                    <a:prstGeom prst="rect">
                      <a:avLst/>
                    </a:prstGeom>
                    <a:noFill/>
                  </pic:spPr>
                </pic:pic>
              </a:graphicData>
            </a:graphic>
          </wp:anchor>
        </w:drawing>
      </w:r>
    </w:p>
    <w:p>
      <w:pPr>
        <w:spacing w:after="0" w:line="16" w:lineRule="exact"/>
        <w:rPr>
          <w:sz w:val="20"/>
          <w:szCs w:val="20"/>
          <w:color w:val="auto"/>
        </w:rPr>
      </w:pPr>
    </w:p>
    <w:p>
      <w:pPr>
        <w:jc w:val="both"/>
        <w:ind w:left="1040" w:right="100"/>
        <w:spacing w:after="0" w:line="261" w:lineRule="auto"/>
        <w:rPr>
          <w:sz w:val="20"/>
          <w:szCs w:val="20"/>
          <w:color w:val="auto"/>
        </w:rPr>
      </w:pPr>
      <w:r>
        <w:rPr>
          <w:rFonts w:ascii="Arial" w:cs="Arial" w:eastAsia="Arial" w:hAnsi="Arial"/>
          <w:sz w:val="18"/>
          <w:szCs w:val="18"/>
          <w:color w:val="0076A8"/>
        </w:rPr>
        <w:t>Use multi-year vesting for executive officer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-267335</wp:posOffset>
            </wp:positionV>
            <wp:extent cx="76835" cy="768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6835" cy="76835"/>
                    </a:xfrm>
                    <a:prstGeom prst="rect">
                      <a:avLst/>
                    </a:prstGeom>
                    <a:noFill/>
                  </pic:spPr>
                </pic:pic>
              </a:graphicData>
            </a:graphic>
          </wp:anchor>
        </w:drawing>
      </w:r>
    </w:p>
    <w:p>
      <w:pPr>
        <w:spacing w:after="0" w:line="16" w:lineRule="exact"/>
        <w:rPr>
          <w:sz w:val="20"/>
          <w:szCs w:val="20"/>
          <w:color w:val="auto"/>
        </w:rPr>
      </w:pPr>
    </w:p>
    <w:p>
      <w:pPr>
        <w:ind w:left="1040" w:right="120"/>
        <w:spacing w:after="0" w:line="261" w:lineRule="auto"/>
        <w:rPr>
          <w:sz w:val="20"/>
          <w:szCs w:val="20"/>
          <w:color w:val="auto"/>
        </w:rPr>
      </w:pPr>
      <w:r>
        <w:rPr>
          <w:rFonts w:ascii="Arial" w:cs="Arial" w:eastAsia="Arial" w:hAnsi="Arial"/>
          <w:sz w:val="18"/>
          <w:szCs w:val="18"/>
          <w:color w:val="0076A8"/>
        </w:rPr>
        <w:t>Base half of annual performance share award on three-year relative TSR performance metric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-267335</wp:posOffset>
            </wp:positionV>
            <wp:extent cx="76835" cy="768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6835" cy="76835"/>
                    </a:xfrm>
                    <a:prstGeom prst="rect">
                      <a:avLst/>
                    </a:prstGeom>
                    <a:noFill/>
                  </pic:spPr>
                </pic:pic>
              </a:graphicData>
            </a:graphic>
          </wp:anchor>
        </w:drawing>
      </w:r>
    </w:p>
    <w:p>
      <w:pPr>
        <w:spacing w:after="0" w:line="16" w:lineRule="exact"/>
        <w:rPr>
          <w:sz w:val="20"/>
          <w:szCs w:val="20"/>
          <w:color w:val="auto"/>
        </w:rPr>
      </w:pPr>
    </w:p>
    <w:p>
      <w:pPr>
        <w:jc w:val="both"/>
        <w:ind w:left="1040" w:right="80"/>
        <w:spacing w:after="0" w:line="256" w:lineRule="auto"/>
        <w:rPr>
          <w:sz w:val="20"/>
          <w:szCs w:val="20"/>
          <w:color w:val="auto"/>
        </w:rPr>
      </w:pPr>
      <w:r>
        <w:rPr>
          <w:rFonts w:ascii="Arial" w:cs="Arial" w:eastAsia="Arial" w:hAnsi="Arial"/>
          <w:sz w:val="18"/>
          <w:szCs w:val="18"/>
          <w:color w:val="0076A8"/>
        </w:rPr>
        <w:t>Maintain a clawback policy providing for recovery of incentive compensation from executive officers in the event of a financial restatement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-401955</wp:posOffset>
            </wp:positionV>
            <wp:extent cx="76835" cy="7747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6835" cy="77470"/>
                    </a:xfrm>
                    <a:prstGeom prst="rect">
                      <a:avLst/>
                    </a:prstGeom>
                    <a:noFill/>
                  </pic:spPr>
                </pic:pic>
              </a:graphicData>
            </a:graphic>
          </wp:anchor>
        </w:drawing>
      </w:r>
    </w:p>
    <w:p>
      <w:pPr>
        <w:spacing w:after="0" w:line="20" w:lineRule="exact"/>
        <w:rPr>
          <w:sz w:val="20"/>
          <w:szCs w:val="20"/>
          <w:color w:val="auto"/>
        </w:rPr>
      </w:pPr>
    </w:p>
    <w:p>
      <w:pPr>
        <w:ind w:left="1040" w:right="320"/>
        <w:spacing w:after="0" w:line="291" w:lineRule="auto"/>
        <w:rPr>
          <w:sz w:val="20"/>
          <w:szCs w:val="20"/>
          <w:color w:val="auto"/>
        </w:rPr>
      </w:pPr>
      <w:r>
        <w:rPr>
          <w:rFonts w:ascii="Arial" w:cs="Arial" w:eastAsia="Arial" w:hAnsi="Arial"/>
          <w:sz w:val="17"/>
          <w:szCs w:val="17"/>
          <w:color w:val="0076A8"/>
        </w:rPr>
        <w:t>Maintain robust stock ownership guidelines for executive officers and non-executive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-282575</wp:posOffset>
            </wp:positionV>
            <wp:extent cx="76835" cy="7747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6835" cy="77470"/>
                    </a:xfrm>
                    <a:prstGeom prst="rect">
                      <a:avLst/>
                    </a:prstGeom>
                    <a:noFill/>
                  </pic:spPr>
                </pic:pic>
              </a:graphicData>
            </a:graphic>
          </wp:anchor>
        </w:drawing>
      </w:r>
    </w:p>
    <w:p>
      <w:pPr>
        <w:ind w:left="1040" w:right="400"/>
        <w:spacing w:after="0" w:line="291" w:lineRule="auto"/>
        <w:rPr>
          <w:sz w:val="20"/>
          <w:szCs w:val="20"/>
          <w:color w:val="auto"/>
        </w:rPr>
      </w:pPr>
      <w:r>
        <w:rPr>
          <w:rFonts w:ascii="Arial" w:cs="Arial" w:eastAsia="Arial" w:hAnsi="Arial"/>
          <w:sz w:val="17"/>
          <w:szCs w:val="17"/>
          <w:color w:val="0076A8"/>
        </w:rPr>
        <w:t>Structure our executive officer compensation program to encourage appropriate risk-taking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-282575</wp:posOffset>
            </wp:positionV>
            <wp:extent cx="76835" cy="7747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6835" cy="77470"/>
                    </a:xfrm>
                    <a:prstGeom prst="rect">
                      <a:avLst/>
                    </a:prstGeom>
                    <a:noFill/>
                  </pic:spPr>
                </pic:pic>
              </a:graphicData>
            </a:graphic>
          </wp:anchor>
        </w:drawing>
      </w:r>
    </w:p>
    <w:p>
      <w:pPr>
        <w:jc w:val="both"/>
        <w:ind w:left="1040" w:right="140"/>
        <w:spacing w:after="0" w:line="256" w:lineRule="auto"/>
        <w:rPr>
          <w:sz w:val="20"/>
          <w:szCs w:val="20"/>
          <w:color w:val="auto"/>
        </w:rPr>
      </w:pPr>
      <w:r>
        <w:rPr>
          <w:rFonts w:ascii="Arial" w:cs="Arial" w:eastAsia="Arial" w:hAnsi="Arial"/>
          <w:sz w:val="18"/>
          <w:szCs w:val="18"/>
          <w:color w:val="0076A8"/>
        </w:rPr>
        <w:t>Benchmark pay practices against selected peer companies with whom we compete for executive talent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-401955</wp:posOffset>
            </wp:positionV>
            <wp:extent cx="76835" cy="768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6835" cy="76835"/>
                    </a:xfrm>
                    <a:prstGeom prst="rect">
                      <a:avLst/>
                    </a:prstGeom>
                    <a:noFill/>
                  </pic:spPr>
                </pic:pic>
              </a:graphicData>
            </a:graphic>
          </wp:anchor>
        </w:drawing>
      </w:r>
    </w:p>
    <w:p>
      <w:pPr>
        <w:spacing w:after="0" w:line="20" w:lineRule="exact"/>
        <w:rPr>
          <w:sz w:val="20"/>
          <w:szCs w:val="20"/>
          <w:color w:val="auto"/>
        </w:rPr>
      </w:pPr>
    </w:p>
    <w:p>
      <w:pPr>
        <w:ind w:left="1040"/>
        <w:spacing w:after="0" w:line="291" w:lineRule="auto"/>
        <w:rPr>
          <w:sz w:val="20"/>
          <w:szCs w:val="20"/>
          <w:color w:val="auto"/>
        </w:rPr>
      </w:pPr>
      <w:r>
        <w:rPr>
          <w:rFonts w:ascii="Arial" w:cs="Arial" w:eastAsia="Arial" w:hAnsi="Arial"/>
          <w:sz w:val="17"/>
          <w:szCs w:val="17"/>
          <w:color w:val="0076A8"/>
        </w:rPr>
        <w:t>Solicit advice from the Compensation Committee’s independent compensation 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-282575</wp:posOffset>
            </wp:positionV>
            <wp:extent cx="76835" cy="7747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6835" cy="77470"/>
                    </a:xfrm>
                    <a:prstGeom prst="rect">
                      <a:avLst/>
                    </a:prstGeom>
                    <a:noFill/>
                  </pic:spPr>
                </pic:pic>
              </a:graphicData>
            </a:graphic>
          </wp:anchor>
        </w:drawing>
      </w:r>
    </w:p>
    <w:p>
      <w:pPr>
        <w:ind w:left="1040"/>
        <w:spacing w:after="0"/>
        <w:rPr>
          <w:sz w:val="20"/>
          <w:szCs w:val="20"/>
          <w:color w:val="auto"/>
        </w:rPr>
      </w:pPr>
      <w:r>
        <w:rPr>
          <w:rFonts w:ascii="Arial" w:cs="Arial" w:eastAsia="Arial" w:hAnsi="Arial"/>
          <w:sz w:val="18"/>
          <w:szCs w:val="18"/>
          <w:color w:val="0076A8"/>
        </w:rPr>
        <w:t>Hold annual “say-on-pay” advisory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-113030</wp:posOffset>
            </wp:positionV>
            <wp:extent cx="76835" cy="7747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6835" cy="77470"/>
                    </a:xfrm>
                    <a:prstGeom prst="rect">
                      <a:avLst/>
                    </a:prstGeom>
                    <a:noFill/>
                  </pic:spPr>
                </pic:pic>
              </a:graphicData>
            </a:graphic>
          </wp:anchor>
        </w:drawing>
      </w:r>
    </w:p>
    <w:p>
      <w:pPr>
        <w:spacing w:after="0" w:line="43" w:lineRule="exact"/>
        <w:rPr>
          <w:sz w:val="20"/>
          <w:szCs w:val="20"/>
          <w:color w:val="auto"/>
        </w:rPr>
      </w:pPr>
    </w:p>
    <w:p>
      <w:pPr>
        <w:ind w:left="1040"/>
        <w:spacing w:after="0" w:line="261" w:lineRule="auto"/>
        <w:rPr>
          <w:sz w:val="20"/>
          <w:szCs w:val="20"/>
          <w:color w:val="auto"/>
        </w:rPr>
      </w:pPr>
      <w:r>
        <w:rPr>
          <w:rFonts w:ascii="Arial" w:cs="Arial" w:eastAsia="Arial" w:hAnsi="Arial"/>
          <w:sz w:val="18"/>
          <w:szCs w:val="18"/>
          <w:color w:val="0076A8"/>
        </w:rPr>
        <w:t>Conduct regular engagement with stockholders on compensation-related topics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-267335</wp:posOffset>
            </wp:positionV>
            <wp:extent cx="76835" cy="7747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6835" cy="774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What We Don’t Do</w:t>
      </w:r>
    </w:p>
    <w:p>
      <w:pPr>
        <w:spacing w:after="0" w:line="177" w:lineRule="exact"/>
        <w:rPr>
          <w:sz w:val="20"/>
          <w:szCs w:val="20"/>
          <w:color w:val="auto"/>
        </w:rPr>
      </w:pPr>
    </w:p>
    <w:p>
      <w:pPr>
        <w:ind w:left="380" w:right="1360"/>
        <w:spacing w:after="0" w:line="261" w:lineRule="auto"/>
        <w:rPr>
          <w:sz w:val="20"/>
          <w:szCs w:val="20"/>
          <w:color w:val="auto"/>
        </w:rPr>
      </w:pPr>
      <w:r>
        <w:rPr>
          <w:rFonts w:ascii="Arial" w:cs="Arial" w:eastAsia="Arial" w:hAnsi="Arial"/>
          <w:sz w:val="18"/>
          <w:szCs w:val="18"/>
          <w:color w:val="auto"/>
        </w:rPr>
        <w:t>Guarantee bonus payments or base salary increases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-276225</wp:posOffset>
            </wp:positionV>
            <wp:extent cx="85725" cy="8572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5725" cy="85725"/>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Provide single-trigger change-in-control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-121920</wp:posOffset>
            </wp:positionV>
            <wp:extent cx="85725" cy="8572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5725" cy="85725"/>
                    </a:xfrm>
                    <a:prstGeom prst="rect">
                      <a:avLst/>
                    </a:prstGeom>
                    <a:noFill/>
                  </pic:spPr>
                </pic:pic>
              </a:graphicData>
            </a:graphic>
          </wp:anchor>
        </w:drawing>
      </w:r>
    </w:p>
    <w:p>
      <w:pPr>
        <w:spacing w:after="0" w:line="43" w:lineRule="exact"/>
        <w:rPr>
          <w:sz w:val="20"/>
          <w:szCs w:val="20"/>
          <w:color w:val="auto"/>
        </w:rPr>
      </w:pPr>
    </w:p>
    <w:p>
      <w:pPr>
        <w:jc w:val="both"/>
        <w:ind w:left="380" w:right="1460"/>
        <w:spacing w:after="0" w:line="256" w:lineRule="auto"/>
        <w:rPr>
          <w:sz w:val="20"/>
          <w:szCs w:val="20"/>
          <w:color w:val="auto"/>
        </w:rPr>
      </w:pPr>
      <w:r>
        <w:rPr>
          <w:rFonts w:ascii="Arial" w:cs="Arial" w:eastAsia="Arial" w:hAnsi="Arial"/>
          <w:sz w:val="18"/>
          <w:szCs w:val="18"/>
          <w:color w:val="auto"/>
        </w:rPr>
        <w:t>Provide excise tax gross-up payments in connection with a change in control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-410845</wp:posOffset>
            </wp:positionV>
            <wp:extent cx="85725" cy="8572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5725" cy="85725"/>
                    </a:xfrm>
                    <a:prstGeom prst="rect">
                      <a:avLst/>
                    </a:prstGeom>
                    <a:noFill/>
                  </pic:spPr>
                </pic:pic>
              </a:graphicData>
            </a:graphic>
          </wp:anchor>
        </w:drawing>
      </w:r>
    </w:p>
    <w:p>
      <w:pPr>
        <w:spacing w:after="0" w:line="20" w:lineRule="exact"/>
        <w:rPr>
          <w:sz w:val="20"/>
          <w:szCs w:val="20"/>
          <w:color w:val="auto"/>
        </w:rPr>
      </w:pPr>
    </w:p>
    <w:p>
      <w:pPr>
        <w:ind w:left="380" w:right="1080"/>
        <w:spacing w:after="0" w:line="261" w:lineRule="auto"/>
        <w:rPr>
          <w:sz w:val="20"/>
          <w:szCs w:val="20"/>
          <w:color w:val="auto"/>
        </w:rPr>
      </w:pPr>
      <w:r>
        <w:rPr>
          <w:rFonts w:ascii="Arial" w:cs="Arial" w:eastAsia="Arial" w:hAnsi="Arial"/>
          <w:sz w:val="18"/>
          <w:szCs w:val="18"/>
          <w:color w:val="auto"/>
        </w:rPr>
        <w:t>Provide excessive perquisites to our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-276225</wp:posOffset>
            </wp:positionV>
            <wp:extent cx="85725" cy="8572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5725" cy="85725"/>
                    </a:xfrm>
                    <a:prstGeom prst="rect">
                      <a:avLst/>
                    </a:prstGeom>
                    <a:noFill/>
                  </pic:spPr>
                </pic:pic>
              </a:graphicData>
            </a:graphic>
          </wp:anchor>
        </w:drawing>
      </w:r>
    </w:p>
    <w:p>
      <w:pPr>
        <w:spacing w:after="0" w:line="16" w:lineRule="exact"/>
        <w:rPr>
          <w:sz w:val="20"/>
          <w:szCs w:val="20"/>
          <w:color w:val="auto"/>
        </w:rPr>
      </w:pPr>
    </w:p>
    <w:p>
      <w:pPr>
        <w:ind w:left="380" w:right="1220"/>
        <w:spacing w:after="0" w:line="256" w:lineRule="auto"/>
        <w:rPr>
          <w:sz w:val="20"/>
          <w:szCs w:val="20"/>
          <w:color w:val="auto"/>
        </w:rPr>
      </w:pPr>
      <w:r>
        <w:rPr>
          <w:rFonts w:ascii="Arial" w:cs="Arial" w:eastAsia="Arial" w:hAnsi="Arial"/>
          <w:sz w:val="18"/>
          <w:szCs w:val="18"/>
          <w:color w:val="auto"/>
        </w:rPr>
        <w:t>Provide retirement or pension benefits to our executive officers that are not available to employees generally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-410845</wp:posOffset>
            </wp:positionV>
            <wp:extent cx="85725" cy="8572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5725" cy="85725"/>
                    </a:xfrm>
                    <a:prstGeom prst="rect">
                      <a:avLst/>
                    </a:prstGeom>
                    <a:noFill/>
                  </pic:spPr>
                </pic:pic>
              </a:graphicData>
            </a:graphic>
          </wp:anchor>
        </w:drawing>
      </w:r>
    </w:p>
    <w:p>
      <w:pPr>
        <w:spacing w:after="0" w:line="20" w:lineRule="exact"/>
        <w:rPr>
          <w:sz w:val="20"/>
          <w:szCs w:val="20"/>
          <w:color w:val="auto"/>
        </w:rPr>
      </w:pPr>
    </w:p>
    <w:p>
      <w:pPr>
        <w:ind w:left="380" w:right="1240"/>
        <w:spacing w:after="0" w:line="291" w:lineRule="auto"/>
        <w:rPr>
          <w:sz w:val="20"/>
          <w:szCs w:val="20"/>
          <w:color w:val="auto"/>
        </w:rPr>
      </w:pPr>
      <w:r>
        <w:rPr>
          <w:rFonts w:ascii="Arial" w:cs="Arial" w:eastAsia="Arial" w:hAnsi="Arial"/>
          <w:sz w:val="17"/>
          <w:szCs w:val="17"/>
          <w:color w:val="auto"/>
        </w:rPr>
        <w:t>Permit hedging or other forms of speculative transactions by employees or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-291465</wp:posOffset>
            </wp:positionV>
            <wp:extent cx="85725" cy="8572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5725" cy="85725"/>
                    </a:xfrm>
                    <a:prstGeom prst="rect">
                      <a:avLst/>
                    </a:prstGeom>
                    <a:noFill/>
                  </pic:spPr>
                </pic:pic>
              </a:graphicData>
            </a:graphic>
          </wp:anchor>
        </w:drawing>
      </w:r>
    </w:p>
    <w:p>
      <w:pPr>
        <w:ind w:left="380"/>
        <w:spacing w:after="0"/>
        <w:rPr>
          <w:sz w:val="20"/>
          <w:szCs w:val="20"/>
          <w:color w:val="auto"/>
        </w:rPr>
      </w:pPr>
      <w:r>
        <w:rPr>
          <w:rFonts w:ascii="Arial" w:cs="Arial" w:eastAsia="Arial" w:hAnsi="Arial"/>
          <w:sz w:val="18"/>
          <w:szCs w:val="18"/>
          <w:color w:val="auto"/>
        </w:rPr>
        <w:t>Permit pledging by employees or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-121920</wp:posOffset>
            </wp:positionV>
            <wp:extent cx="85725" cy="8572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5725" cy="85725"/>
                    </a:xfrm>
                    <a:prstGeom prst="rect">
                      <a:avLst/>
                    </a:prstGeom>
                    <a:noFill/>
                  </pic:spPr>
                </pic:pic>
              </a:graphicData>
            </a:graphic>
          </wp:anchor>
        </w:drawing>
      </w:r>
    </w:p>
    <w:p>
      <w:pPr>
        <w:spacing w:after="0" w:line="43" w:lineRule="exact"/>
        <w:rPr>
          <w:sz w:val="20"/>
          <w:szCs w:val="20"/>
          <w:color w:val="auto"/>
        </w:rPr>
      </w:pPr>
    </w:p>
    <w:p>
      <w:pPr>
        <w:ind w:left="380" w:right="1120"/>
        <w:spacing w:after="0" w:line="261" w:lineRule="auto"/>
        <w:rPr>
          <w:sz w:val="20"/>
          <w:szCs w:val="20"/>
          <w:color w:val="auto"/>
        </w:rPr>
      </w:pPr>
      <w:r>
        <w:rPr>
          <w:rFonts w:ascii="Arial" w:cs="Arial" w:eastAsia="Arial" w:hAnsi="Arial"/>
          <w:sz w:val="18"/>
          <w:szCs w:val="18"/>
          <w:color w:val="auto"/>
        </w:rPr>
        <w:t>Allow for the repricing of stock options without stockholder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-276225</wp:posOffset>
            </wp:positionV>
            <wp:extent cx="85725" cy="8572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5725" cy="85725"/>
                    </a:xfrm>
                    <a:prstGeom prst="rect">
                      <a:avLst/>
                    </a:prstGeom>
                    <a:noFill/>
                  </pic:spPr>
                </pic:pic>
              </a:graphicData>
            </a:graphic>
          </wp:anchor>
        </w:drawing>
      </w:r>
    </w:p>
    <w:p>
      <w:pPr>
        <w:spacing w:after="0" w:line="16" w:lineRule="exact"/>
        <w:rPr>
          <w:sz w:val="20"/>
          <w:szCs w:val="20"/>
          <w:color w:val="auto"/>
        </w:rPr>
      </w:pPr>
    </w:p>
    <w:p>
      <w:pPr>
        <w:ind w:left="380" w:right="700"/>
        <w:spacing w:after="0" w:line="291" w:lineRule="auto"/>
        <w:rPr>
          <w:sz w:val="20"/>
          <w:szCs w:val="20"/>
          <w:color w:val="auto"/>
        </w:rPr>
      </w:pPr>
      <w:r>
        <w:rPr>
          <w:rFonts w:ascii="Arial" w:cs="Arial" w:eastAsia="Arial" w:hAnsi="Arial"/>
          <w:sz w:val="17"/>
          <w:szCs w:val="17"/>
          <w:color w:val="auto"/>
        </w:rPr>
        <w:t>Pay dividends or dividend equivalents on unearned performance shares or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-291465</wp:posOffset>
            </wp:positionV>
            <wp:extent cx="85725" cy="8572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5725" cy="85725"/>
                    </a:xfrm>
                    <a:prstGeom prst="rect">
                      <a:avLst/>
                    </a:prstGeom>
                    <a:noFill/>
                  </pic:spPr>
                </pic:pic>
              </a:graphicData>
            </a:graphic>
          </wp:anchor>
        </w:drawing>
      </w:r>
    </w:p>
    <w:p>
      <w:pPr>
        <w:jc w:val="both"/>
        <w:ind w:left="380" w:right="780"/>
        <w:spacing w:after="0" w:line="256" w:lineRule="auto"/>
        <w:rPr>
          <w:sz w:val="20"/>
          <w:szCs w:val="20"/>
          <w:color w:val="auto"/>
        </w:rPr>
      </w:pPr>
      <w:r>
        <w:rPr>
          <w:rFonts w:ascii="Arial" w:cs="Arial" w:eastAsia="Arial" w:hAnsi="Arial"/>
          <w:sz w:val="18"/>
          <w:szCs w:val="18"/>
          <w:color w:val="auto"/>
        </w:rPr>
        <w:t>Include “evergreen” provisions or “liberal” change-in-control definitions in our equity incentive award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-410845</wp:posOffset>
            </wp:positionV>
            <wp:extent cx="85725" cy="8572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5725" cy="85725"/>
                    </a:xfrm>
                    <a:prstGeom prst="rect">
                      <a:avLst/>
                    </a:prstGeom>
                    <a:noFill/>
                  </pic:spPr>
                </pic:pic>
              </a:graphicData>
            </a:graphic>
          </wp:anchor>
        </w:drawing>
      </w:r>
    </w:p>
    <w:p>
      <w:pPr>
        <w:spacing w:after="0" w:line="689" w:lineRule="exact"/>
        <w:rPr>
          <w:sz w:val="20"/>
          <w:szCs w:val="20"/>
          <w:color w:val="auto"/>
        </w:rPr>
      </w:pPr>
    </w:p>
    <w:p>
      <w:pPr>
        <w:sectPr>
          <w:pgSz w:w="11900" w:h="16838" w:orient="portrait"/>
          <w:cols w:equalWidth="0" w:num="2">
            <w:col w:w="5040" w:space="540"/>
            <w:col w:w="5140"/>
          </w:cols>
          <w:pgMar w:left="580" w:top="131" w:right="599" w:bottom="1440" w:gutter="0" w:footer="0" w:header="0"/>
        </w:sectPr>
      </w:pPr>
    </w:p>
    <w:p>
      <w:pPr>
        <w:spacing w:after="0" w:line="364" w:lineRule="exact"/>
        <w:rPr>
          <w:sz w:val="20"/>
          <w:szCs w:val="20"/>
          <w:color w:val="auto"/>
        </w:rPr>
      </w:pPr>
    </w:p>
    <w:p>
      <w:pPr>
        <w:ind w:left="660"/>
        <w:spacing w:after="0"/>
        <w:rPr>
          <w:sz w:val="20"/>
          <w:szCs w:val="20"/>
          <w:color w:val="auto"/>
        </w:rPr>
      </w:pPr>
      <w:r>
        <w:rPr>
          <w:rFonts w:ascii="Arial" w:cs="Arial" w:eastAsia="Arial" w:hAnsi="Arial"/>
          <w:sz w:val="29"/>
          <w:szCs w:val="29"/>
          <w:b w:val="1"/>
          <w:bCs w:val="1"/>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88265</wp:posOffset>
            </wp:positionV>
            <wp:extent cx="597471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974715" cy="889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ind w:left="660"/>
        <w:spacing w:after="0"/>
        <w:rPr>
          <w:sz w:val="20"/>
          <w:szCs w:val="20"/>
          <w:color w:val="auto"/>
        </w:rPr>
      </w:pPr>
      <w:r>
        <w:rPr>
          <w:rFonts w:ascii="Arial" w:cs="Arial" w:eastAsia="Arial" w:hAnsi="Arial"/>
          <w:sz w:val="23"/>
          <w:szCs w:val="23"/>
          <w:b w:val="1"/>
          <w:bCs w:val="1"/>
          <w:i w:val="1"/>
          <w:iCs w:val="1"/>
          <w:color w:val="auto"/>
        </w:rPr>
        <w:t>Table of Contents</w:t>
      </w:r>
    </w:p>
    <w:p>
      <w:pPr>
        <w:spacing w:after="0" w:line="150" w:lineRule="exact"/>
        <w:rPr>
          <w:sz w:val="20"/>
          <w:szCs w:val="20"/>
          <w:color w:val="auto"/>
        </w:rPr>
      </w:pPr>
    </w:p>
    <w:tbl>
      <w:tblPr>
        <w:tblLayout w:type="fixed"/>
        <w:tblInd w:w="1280" w:type="dxa"/>
        <w:tblCellMar>
          <w:top w:w="0" w:type="dxa"/>
          <w:left w:w="0" w:type="dxa"/>
          <w:bottom w:w="0" w:type="dxa"/>
          <w:right w:w="0" w:type="dxa"/>
        </w:tblCellMar>
      </w:tblPr>
      <w:tr>
        <w:trPr>
          <w:trHeight w:val="230"/>
        </w:trPr>
        <w:tc>
          <w:tcPr>
            <w:tcW w:w="2440" w:type="dxa"/>
            <w:vAlign w:val="bottom"/>
          </w:tcPr>
          <w:p>
            <w:pPr>
              <w:spacing w:after="0"/>
              <w:rPr>
                <w:rFonts w:ascii="Arial" w:cs="Arial" w:eastAsia="Arial" w:hAnsi="Arial"/>
                <w:sz w:val="20"/>
                <w:szCs w:val="20"/>
                <w:b w:val="1"/>
                <w:bCs w:val="1"/>
                <w:color w:val="0076A8"/>
                <w:w w:val="98"/>
              </w:rPr>
            </w:pPr>
            <w:hyperlink w:anchor="page36">
              <w:r>
                <w:rPr>
                  <w:rFonts w:ascii="Arial" w:cs="Arial" w:eastAsia="Arial" w:hAnsi="Arial"/>
                  <w:sz w:val="20"/>
                  <w:szCs w:val="20"/>
                  <w:b w:val="1"/>
                  <w:bCs w:val="1"/>
                  <w:color w:val="0076A8"/>
                  <w:w w:val="98"/>
                </w:rPr>
                <w:t>Named Executive Officers</w:t>
              </w:r>
            </w:hyperlink>
          </w:p>
        </w:tc>
        <w:tc>
          <w:tcPr>
            <w:tcW w:w="4720" w:type="dxa"/>
            <w:vAlign w:val="bottom"/>
            <w:gridSpan w:val="7"/>
          </w:tcPr>
          <w:p>
            <w:pPr>
              <w:spacing w:after="0"/>
              <w:rPr>
                <w:sz w:val="19"/>
                <w:szCs w:val="19"/>
                <w:color w:val="auto"/>
              </w:rPr>
            </w:pPr>
          </w:p>
        </w:tc>
        <w:tc>
          <w:tcPr>
            <w:tcW w:w="1000" w:type="dxa"/>
            <w:vAlign w:val="bottom"/>
            <w:gridSpan w:val="2"/>
          </w:tcPr>
          <w:p>
            <w:pPr>
              <w:jc w:val="right"/>
              <w:spacing w:after="0"/>
              <w:rPr>
                <w:rFonts w:ascii="Arial" w:cs="Arial" w:eastAsia="Arial" w:hAnsi="Arial"/>
                <w:sz w:val="20"/>
                <w:szCs w:val="20"/>
                <w:b w:val="1"/>
                <w:bCs w:val="1"/>
                <w:color w:val="0076A8"/>
              </w:rPr>
            </w:pPr>
            <w:hyperlink w:anchor="page36">
              <w:r>
                <w:rPr>
                  <w:rFonts w:ascii="Arial" w:cs="Arial" w:eastAsia="Arial" w:hAnsi="Arial"/>
                  <w:sz w:val="20"/>
                  <w:szCs w:val="20"/>
                  <w:b w:val="1"/>
                  <w:bCs w:val="1"/>
                  <w:color w:val="0076A8"/>
                </w:rPr>
                <w:t>32</w:t>
              </w:r>
            </w:hyperlink>
          </w:p>
        </w:tc>
      </w:tr>
      <w:tr>
        <w:trPr>
          <w:trHeight w:val="20"/>
        </w:trPr>
        <w:tc>
          <w:tcPr>
            <w:tcW w:w="2440" w:type="dxa"/>
            <w:vAlign w:val="bottom"/>
            <w:shd w:val="clear" w:color="auto" w:fill="0076A8"/>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shd w:val="clear" w:color="auto" w:fill="0076A8"/>
          </w:tcPr>
          <w:p>
            <w:pPr>
              <w:spacing w:after="0" w:line="20" w:lineRule="exact"/>
              <w:rPr>
                <w:sz w:val="1"/>
                <w:szCs w:val="1"/>
                <w:color w:val="auto"/>
              </w:rPr>
            </w:pPr>
          </w:p>
        </w:tc>
      </w:tr>
      <w:tr>
        <w:trPr>
          <w:trHeight w:val="237"/>
        </w:trPr>
        <w:tc>
          <w:tcPr>
            <w:tcW w:w="6380" w:type="dxa"/>
            <w:vAlign w:val="bottom"/>
            <w:gridSpan w:val="7"/>
          </w:tcPr>
          <w:p>
            <w:pPr>
              <w:spacing w:after="0"/>
              <w:rPr>
                <w:rFonts w:ascii="Arial" w:cs="Arial" w:eastAsia="Arial" w:hAnsi="Arial"/>
                <w:sz w:val="20"/>
                <w:szCs w:val="20"/>
                <w:b w:val="1"/>
                <w:bCs w:val="1"/>
                <w:color w:val="0076A8"/>
                <w:w w:val="98"/>
              </w:rPr>
            </w:pPr>
            <w:hyperlink w:anchor="page36">
              <w:r>
                <w:rPr>
                  <w:rFonts w:ascii="Arial" w:cs="Arial" w:eastAsia="Arial" w:hAnsi="Arial"/>
                  <w:sz w:val="20"/>
                  <w:szCs w:val="20"/>
                  <w:b w:val="1"/>
                  <w:bCs w:val="1"/>
                  <w:color w:val="0076A8"/>
                  <w:w w:val="98"/>
                </w:rPr>
                <w:t>Engagement with Stockholders Regarding Executive Compensation</w:t>
              </w:r>
            </w:hyperlink>
          </w:p>
        </w:tc>
        <w:tc>
          <w:tcPr>
            <w:tcW w:w="780" w:type="dxa"/>
            <w:vAlign w:val="bottom"/>
          </w:tcPr>
          <w:p>
            <w:pPr>
              <w:spacing w:after="0"/>
              <w:rPr>
                <w:sz w:val="20"/>
                <w:szCs w:val="20"/>
                <w:color w:val="auto"/>
              </w:rPr>
            </w:pPr>
          </w:p>
        </w:tc>
        <w:tc>
          <w:tcPr>
            <w:tcW w:w="1000" w:type="dxa"/>
            <w:vAlign w:val="bottom"/>
            <w:gridSpan w:val="2"/>
          </w:tcPr>
          <w:p>
            <w:pPr>
              <w:jc w:val="right"/>
              <w:spacing w:after="0"/>
              <w:rPr>
                <w:rFonts w:ascii="Arial" w:cs="Arial" w:eastAsia="Arial" w:hAnsi="Arial"/>
                <w:sz w:val="20"/>
                <w:szCs w:val="20"/>
                <w:b w:val="1"/>
                <w:bCs w:val="1"/>
                <w:color w:val="0076A8"/>
              </w:rPr>
            </w:pPr>
            <w:hyperlink w:anchor="page36">
              <w:r>
                <w:rPr>
                  <w:rFonts w:ascii="Arial" w:cs="Arial" w:eastAsia="Arial" w:hAnsi="Arial"/>
                  <w:sz w:val="20"/>
                  <w:szCs w:val="20"/>
                  <w:b w:val="1"/>
                  <w:bCs w:val="1"/>
                  <w:color w:val="0076A8"/>
                </w:rPr>
                <w:t>32</w:t>
              </w:r>
            </w:hyperlink>
          </w:p>
        </w:tc>
      </w:tr>
      <w:tr>
        <w:trPr>
          <w:trHeight w:val="20"/>
        </w:trPr>
        <w:tc>
          <w:tcPr>
            <w:tcW w:w="2880" w:type="dxa"/>
            <w:vAlign w:val="bottom"/>
            <w:gridSpan w:val="2"/>
            <w:shd w:val="clear" w:color="auto" w:fill="0076A8"/>
          </w:tcPr>
          <w:p>
            <w:pPr>
              <w:spacing w:after="0" w:line="20" w:lineRule="exact"/>
              <w:rPr>
                <w:sz w:val="1"/>
                <w:szCs w:val="1"/>
                <w:color w:val="auto"/>
              </w:rPr>
            </w:pPr>
          </w:p>
        </w:tc>
        <w:tc>
          <w:tcPr>
            <w:tcW w:w="1140" w:type="dxa"/>
            <w:vAlign w:val="bottom"/>
            <w:shd w:val="clear" w:color="auto" w:fill="0076A8"/>
          </w:tcPr>
          <w:p>
            <w:pPr>
              <w:spacing w:after="0" w:line="20" w:lineRule="exact"/>
              <w:rPr>
                <w:sz w:val="1"/>
                <w:szCs w:val="1"/>
                <w:color w:val="auto"/>
              </w:rPr>
            </w:pPr>
          </w:p>
        </w:tc>
        <w:tc>
          <w:tcPr>
            <w:tcW w:w="640" w:type="dxa"/>
            <w:vAlign w:val="bottom"/>
            <w:shd w:val="clear" w:color="auto" w:fill="0076A8"/>
          </w:tcPr>
          <w:p>
            <w:pPr>
              <w:spacing w:after="0" w:line="20" w:lineRule="exact"/>
              <w:rPr>
                <w:sz w:val="1"/>
                <w:szCs w:val="1"/>
                <w:color w:val="auto"/>
              </w:rPr>
            </w:pPr>
          </w:p>
        </w:tc>
        <w:tc>
          <w:tcPr>
            <w:tcW w:w="520" w:type="dxa"/>
            <w:vAlign w:val="bottom"/>
            <w:shd w:val="clear" w:color="auto" w:fill="0076A8"/>
          </w:tcPr>
          <w:p>
            <w:pPr>
              <w:spacing w:after="0" w:line="20" w:lineRule="exact"/>
              <w:rPr>
                <w:sz w:val="1"/>
                <w:szCs w:val="1"/>
                <w:color w:val="auto"/>
              </w:rPr>
            </w:pPr>
          </w:p>
        </w:tc>
        <w:tc>
          <w:tcPr>
            <w:tcW w:w="800" w:type="dxa"/>
            <w:vAlign w:val="bottom"/>
            <w:tcBorders>
              <w:left w:val="single" w:sz="8" w:color="0076A8"/>
            </w:tcBorders>
            <w:shd w:val="clear" w:color="auto" w:fill="0076A8"/>
          </w:tcPr>
          <w:p>
            <w:pPr>
              <w:spacing w:after="0" w:line="20" w:lineRule="exact"/>
              <w:rPr>
                <w:sz w:val="1"/>
                <w:szCs w:val="1"/>
                <w:color w:val="auto"/>
              </w:rPr>
            </w:pPr>
          </w:p>
        </w:tc>
        <w:tc>
          <w:tcPr>
            <w:tcW w:w="400" w:type="dxa"/>
            <w:vAlign w:val="bottom"/>
            <w:shd w:val="clear" w:color="auto" w:fill="0076A8"/>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shd w:val="clear" w:color="auto" w:fill="0076A8"/>
          </w:tcPr>
          <w:p>
            <w:pPr>
              <w:spacing w:after="0" w:line="20" w:lineRule="exact"/>
              <w:rPr>
                <w:sz w:val="1"/>
                <w:szCs w:val="1"/>
                <w:color w:val="auto"/>
              </w:rPr>
            </w:pPr>
          </w:p>
        </w:tc>
      </w:tr>
      <w:tr>
        <w:trPr>
          <w:trHeight w:val="250"/>
        </w:trPr>
        <w:tc>
          <w:tcPr>
            <w:tcW w:w="6380" w:type="dxa"/>
            <w:vAlign w:val="bottom"/>
            <w:gridSpan w:val="7"/>
          </w:tcPr>
          <w:p>
            <w:pPr>
              <w:spacing w:after="0"/>
              <w:rPr>
                <w:rFonts w:ascii="Arial" w:cs="Arial" w:eastAsia="Arial" w:hAnsi="Arial"/>
                <w:sz w:val="20"/>
                <w:szCs w:val="20"/>
                <w:b w:val="1"/>
                <w:bCs w:val="1"/>
                <w:color w:val="0076A8"/>
              </w:rPr>
            </w:pPr>
            <w:hyperlink w:anchor="page37">
              <w:r>
                <w:rPr>
                  <w:rFonts w:ascii="Arial" w:cs="Arial" w:eastAsia="Arial" w:hAnsi="Arial"/>
                  <w:sz w:val="20"/>
                  <w:szCs w:val="20"/>
                  <w:b w:val="1"/>
                  <w:bCs w:val="1"/>
                  <w:color w:val="0076A8"/>
                </w:rPr>
                <w:t>Approach for Determining Form and Amounts of Compensation</w:t>
              </w:r>
            </w:hyperlink>
          </w:p>
        </w:tc>
        <w:tc>
          <w:tcPr>
            <w:tcW w:w="780" w:type="dxa"/>
            <w:vAlign w:val="bottom"/>
          </w:tcPr>
          <w:p>
            <w:pPr>
              <w:spacing w:after="0"/>
              <w:rPr>
                <w:sz w:val="21"/>
                <w:szCs w:val="21"/>
                <w:color w:val="auto"/>
              </w:rPr>
            </w:pPr>
          </w:p>
        </w:tc>
        <w:tc>
          <w:tcPr>
            <w:tcW w:w="1000" w:type="dxa"/>
            <w:vAlign w:val="bottom"/>
            <w:gridSpan w:val="2"/>
          </w:tcPr>
          <w:p>
            <w:pPr>
              <w:jc w:val="right"/>
              <w:spacing w:after="0"/>
              <w:rPr>
                <w:rFonts w:ascii="Arial" w:cs="Arial" w:eastAsia="Arial" w:hAnsi="Arial"/>
                <w:sz w:val="20"/>
                <w:szCs w:val="20"/>
                <w:b w:val="1"/>
                <w:bCs w:val="1"/>
                <w:color w:val="0076A8"/>
              </w:rPr>
            </w:pPr>
            <w:hyperlink w:anchor="page37">
              <w:r>
                <w:rPr>
                  <w:rFonts w:ascii="Arial" w:cs="Arial" w:eastAsia="Arial" w:hAnsi="Arial"/>
                  <w:sz w:val="20"/>
                  <w:szCs w:val="20"/>
                  <w:b w:val="1"/>
                  <w:bCs w:val="1"/>
                  <w:color w:val="0076A8"/>
                </w:rPr>
                <w:t>33</w:t>
              </w:r>
            </w:hyperlink>
          </w:p>
        </w:tc>
      </w:tr>
      <w:tr>
        <w:trPr>
          <w:trHeight w:val="20"/>
        </w:trPr>
        <w:tc>
          <w:tcPr>
            <w:tcW w:w="2880" w:type="dxa"/>
            <w:vAlign w:val="bottom"/>
            <w:gridSpan w:val="2"/>
            <w:shd w:val="clear" w:color="auto" w:fill="0076A8"/>
          </w:tcPr>
          <w:p>
            <w:pPr>
              <w:spacing w:after="0" w:line="20" w:lineRule="exact"/>
              <w:rPr>
                <w:sz w:val="1"/>
                <w:szCs w:val="1"/>
                <w:color w:val="auto"/>
              </w:rPr>
            </w:pPr>
          </w:p>
        </w:tc>
        <w:tc>
          <w:tcPr>
            <w:tcW w:w="1140" w:type="dxa"/>
            <w:vAlign w:val="bottom"/>
            <w:shd w:val="clear" w:color="auto" w:fill="0076A8"/>
          </w:tcPr>
          <w:p>
            <w:pPr>
              <w:spacing w:after="0" w:line="20" w:lineRule="exact"/>
              <w:rPr>
                <w:sz w:val="1"/>
                <w:szCs w:val="1"/>
                <w:color w:val="auto"/>
              </w:rPr>
            </w:pPr>
          </w:p>
        </w:tc>
        <w:tc>
          <w:tcPr>
            <w:tcW w:w="640" w:type="dxa"/>
            <w:vAlign w:val="bottom"/>
            <w:shd w:val="clear" w:color="auto" w:fill="0076A8"/>
          </w:tcPr>
          <w:p>
            <w:pPr>
              <w:spacing w:after="0" w:line="20" w:lineRule="exact"/>
              <w:rPr>
                <w:sz w:val="1"/>
                <w:szCs w:val="1"/>
                <w:color w:val="auto"/>
              </w:rPr>
            </w:pPr>
          </w:p>
        </w:tc>
        <w:tc>
          <w:tcPr>
            <w:tcW w:w="520" w:type="dxa"/>
            <w:vAlign w:val="bottom"/>
            <w:shd w:val="clear" w:color="auto" w:fill="0076A8"/>
          </w:tcPr>
          <w:p>
            <w:pPr>
              <w:spacing w:after="0" w:line="20" w:lineRule="exact"/>
              <w:rPr>
                <w:sz w:val="1"/>
                <w:szCs w:val="1"/>
                <w:color w:val="auto"/>
              </w:rPr>
            </w:pPr>
          </w:p>
        </w:tc>
        <w:tc>
          <w:tcPr>
            <w:tcW w:w="800" w:type="dxa"/>
            <w:vAlign w:val="bottom"/>
            <w:tcBorders>
              <w:left w:val="single" w:sz="8" w:color="0076A8"/>
            </w:tcBorders>
            <w:shd w:val="clear" w:color="auto" w:fill="0076A8"/>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shd w:val="clear" w:color="auto" w:fill="0076A8"/>
          </w:tcPr>
          <w:p>
            <w:pPr>
              <w:spacing w:after="0" w:line="20" w:lineRule="exact"/>
              <w:rPr>
                <w:sz w:val="1"/>
                <w:szCs w:val="1"/>
                <w:color w:val="auto"/>
              </w:rPr>
            </w:pPr>
          </w:p>
        </w:tc>
      </w:tr>
      <w:tr>
        <w:trPr>
          <w:trHeight w:val="250"/>
        </w:trPr>
        <w:tc>
          <w:tcPr>
            <w:tcW w:w="2880" w:type="dxa"/>
            <w:vAlign w:val="bottom"/>
            <w:gridSpan w:val="2"/>
          </w:tcPr>
          <w:p>
            <w:pPr>
              <w:spacing w:after="0"/>
              <w:rPr>
                <w:rFonts w:ascii="Arial" w:cs="Arial" w:eastAsia="Arial" w:hAnsi="Arial"/>
                <w:sz w:val="20"/>
                <w:szCs w:val="20"/>
                <w:b w:val="1"/>
                <w:bCs w:val="1"/>
                <w:color w:val="0076A8"/>
                <w:w w:val="98"/>
              </w:rPr>
            </w:pPr>
            <w:hyperlink w:anchor="page39">
              <w:r>
                <w:rPr>
                  <w:rFonts w:ascii="Arial" w:cs="Arial" w:eastAsia="Arial" w:hAnsi="Arial"/>
                  <w:sz w:val="20"/>
                  <w:szCs w:val="20"/>
                  <w:b w:val="1"/>
                  <w:bCs w:val="1"/>
                  <w:color w:val="0076A8"/>
                  <w:w w:val="98"/>
                </w:rPr>
                <w:t>Components of Compensation</w:t>
              </w:r>
            </w:hyperlink>
          </w:p>
        </w:tc>
        <w:tc>
          <w:tcPr>
            <w:tcW w:w="3100" w:type="dxa"/>
            <w:vAlign w:val="bottom"/>
            <w:gridSpan w:val="4"/>
          </w:tcPr>
          <w:p>
            <w:pPr>
              <w:spacing w:after="0"/>
              <w:rPr>
                <w:sz w:val="21"/>
                <w:szCs w:val="21"/>
                <w:color w:val="auto"/>
              </w:rPr>
            </w:pPr>
          </w:p>
        </w:tc>
        <w:tc>
          <w:tcPr>
            <w:tcW w:w="1180" w:type="dxa"/>
            <w:vAlign w:val="bottom"/>
            <w:gridSpan w:val="2"/>
          </w:tcPr>
          <w:p>
            <w:pPr>
              <w:spacing w:after="0"/>
              <w:rPr>
                <w:sz w:val="21"/>
                <w:szCs w:val="21"/>
                <w:color w:val="auto"/>
              </w:rPr>
            </w:pPr>
          </w:p>
        </w:tc>
        <w:tc>
          <w:tcPr>
            <w:tcW w:w="1000" w:type="dxa"/>
            <w:vAlign w:val="bottom"/>
            <w:gridSpan w:val="2"/>
          </w:tcPr>
          <w:p>
            <w:pPr>
              <w:jc w:val="right"/>
              <w:spacing w:after="0"/>
              <w:rPr>
                <w:rFonts w:ascii="Arial" w:cs="Arial" w:eastAsia="Arial" w:hAnsi="Arial"/>
                <w:sz w:val="20"/>
                <w:szCs w:val="20"/>
                <w:b w:val="1"/>
                <w:bCs w:val="1"/>
                <w:color w:val="0076A8"/>
              </w:rPr>
            </w:pPr>
            <w:hyperlink w:anchor="page39">
              <w:r>
                <w:rPr>
                  <w:rFonts w:ascii="Arial" w:cs="Arial" w:eastAsia="Arial" w:hAnsi="Arial"/>
                  <w:sz w:val="20"/>
                  <w:szCs w:val="20"/>
                  <w:b w:val="1"/>
                  <w:bCs w:val="1"/>
                  <w:color w:val="0076A8"/>
                </w:rPr>
                <w:t>35</w:t>
              </w:r>
            </w:hyperlink>
          </w:p>
        </w:tc>
      </w:tr>
      <w:tr>
        <w:trPr>
          <w:trHeight w:val="20"/>
        </w:trPr>
        <w:tc>
          <w:tcPr>
            <w:tcW w:w="2880" w:type="dxa"/>
            <w:vAlign w:val="bottom"/>
            <w:gridSpan w:val="2"/>
            <w:shd w:val="clear" w:color="auto" w:fill="0076A8"/>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shd w:val="clear" w:color="auto" w:fill="0076A8"/>
          </w:tcPr>
          <w:p>
            <w:pPr>
              <w:spacing w:after="0" w:line="20" w:lineRule="exact"/>
              <w:rPr>
                <w:sz w:val="1"/>
                <w:szCs w:val="1"/>
                <w:color w:val="auto"/>
              </w:rPr>
            </w:pPr>
          </w:p>
        </w:tc>
      </w:tr>
      <w:tr>
        <w:trPr>
          <w:trHeight w:val="250"/>
        </w:trPr>
        <w:tc>
          <w:tcPr>
            <w:tcW w:w="4020" w:type="dxa"/>
            <w:vAlign w:val="bottom"/>
            <w:gridSpan w:val="3"/>
          </w:tcPr>
          <w:p>
            <w:pPr>
              <w:spacing w:after="0"/>
              <w:rPr>
                <w:rFonts w:ascii="Arial" w:cs="Arial" w:eastAsia="Arial" w:hAnsi="Arial"/>
                <w:sz w:val="20"/>
                <w:szCs w:val="20"/>
                <w:b w:val="1"/>
                <w:bCs w:val="1"/>
                <w:color w:val="0076A8"/>
                <w:w w:val="98"/>
              </w:rPr>
            </w:pPr>
            <w:hyperlink w:anchor="page46">
              <w:r>
                <w:rPr>
                  <w:rFonts w:ascii="Arial" w:cs="Arial" w:eastAsia="Arial" w:hAnsi="Arial"/>
                  <w:sz w:val="20"/>
                  <w:szCs w:val="20"/>
                  <w:b w:val="1"/>
                  <w:bCs w:val="1"/>
                  <w:color w:val="0076A8"/>
                  <w:w w:val="98"/>
                </w:rPr>
                <w:t>Severance and Change-in-Control Benefits</w:t>
              </w:r>
            </w:hyperlink>
          </w:p>
        </w:tc>
        <w:tc>
          <w:tcPr>
            <w:tcW w:w="3140" w:type="dxa"/>
            <w:vAlign w:val="bottom"/>
            <w:gridSpan w:val="5"/>
          </w:tcPr>
          <w:p>
            <w:pPr>
              <w:spacing w:after="0"/>
              <w:rPr>
                <w:sz w:val="21"/>
                <w:szCs w:val="21"/>
                <w:color w:val="auto"/>
              </w:rPr>
            </w:pPr>
          </w:p>
        </w:tc>
        <w:tc>
          <w:tcPr>
            <w:tcW w:w="1000" w:type="dxa"/>
            <w:vAlign w:val="bottom"/>
            <w:gridSpan w:val="2"/>
          </w:tcPr>
          <w:p>
            <w:pPr>
              <w:jc w:val="right"/>
              <w:spacing w:after="0"/>
              <w:rPr>
                <w:rFonts w:ascii="Arial" w:cs="Arial" w:eastAsia="Arial" w:hAnsi="Arial"/>
                <w:sz w:val="20"/>
                <w:szCs w:val="20"/>
                <w:b w:val="1"/>
                <w:bCs w:val="1"/>
                <w:color w:val="0076A8"/>
              </w:rPr>
            </w:pPr>
            <w:hyperlink w:anchor="page46">
              <w:r>
                <w:rPr>
                  <w:rFonts w:ascii="Arial" w:cs="Arial" w:eastAsia="Arial" w:hAnsi="Arial"/>
                  <w:sz w:val="20"/>
                  <w:szCs w:val="20"/>
                  <w:b w:val="1"/>
                  <w:bCs w:val="1"/>
                  <w:color w:val="0076A8"/>
                </w:rPr>
                <w:t>42</w:t>
              </w:r>
            </w:hyperlink>
          </w:p>
        </w:tc>
      </w:tr>
      <w:tr>
        <w:trPr>
          <w:trHeight w:val="20"/>
        </w:trPr>
        <w:tc>
          <w:tcPr>
            <w:tcW w:w="4020" w:type="dxa"/>
            <w:vAlign w:val="bottom"/>
            <w:gridSpan w:val="3"/>
            <w:shd w:val="clear" w:color="auto" w:fill="0076A8"/>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shd w:val="clear" w:color="auto" w:fill="0076A8"/>
          </w:tcPr>
          <w:p>
            <w:pPr>
              <w:spacing w:after="0" w:line="20" w:lineRule="exact"/>
              <w:rPr>
                <w:sz w:val="1"/>
                <w:szCs w:val="1"/>
                <w:color w:val="auto"/>
              </w:rPr>
            </w:pPr>
          </w:p>
        </w:tc>
      </w:tr>
      <w:tr>
        <w:trPr>
          <w:trHeight w:val="250"/>
        </w:trPr>
        <w:tc>
          <w:tcPr>
            <w:tcW w:w="4660" w:type="dxa"/>
            <w:vAlign w:val="bottom"/>
            <w:gridSpan w:val="4"/>
          </w:tcPr>
          <w:p>
            <w:pPr>
              <w:spacing w:after="0"/>
              <w:rPr>
                <w:rFonts w:ascii="Arial" w:cs="Arial" w:eastAsia="Arial" w:hAnsi="Arial"/>
                <w:sz w:val="20"/>
                <w:szCs w:val="20"/>
                <w:b w:val="1"/>
                <w:bCs w:val="1"/>
                <w:color w:val="0076A8"/>
                <w:w w:val="98"/>
              </w:rPr>
            </w:pPr>
            <w:hyperlink w:anchor="page47">
              <w:r>
                <w:rPr>
                  <w:rFonts w:ascii="Arial" w:cs="Arial" w:eastAsia="Arial" w:hAnsi="Arial"/>
                  <w:sz w:val="20"/>
                  <w:szCs w:val="20"/>
                  <w:b w:val="1"/>
                  <w:bCs w:val="1"/>
                  <w:color w:val="0076A8"/>
                  <w:w w:val="98"/>
                </w:rPr>
                <w:t>Executive Officer Stock Ownership Requirements</w:t>
              </w:r>
            </w:hyperlink>
          </w:p>
        </w:tc>
        <w:tc>
          <w:tcPr>
            <w:tcW w:w="2500" w:type="dxa"/>
            <w:vAlign w:val="bottom"/>
            <w:gridSpan w:val="4"/>
          </w:tcPr>
          <w:p>
            <w:pPr>
              <w:spacing w:after="0"/>
              <w:rPr>
                <w:sz w:val="21"/>
                <w:szCs w:val="21"/>
                <w:color w:val="auto"/>
              </w:rPr>
            </w:pPr>
          </w:p>
        </w:tc>
        <w:tc>
          <w:tcPr>
            <w:tcW w:w="1000" w:type="dxa"/>
            <w:vAlign w:val="bottom"/>
            <w:gridSpan w:val="2"/>
          </w:tcPr>
          <w:p>
            <w:pPr>
              <w:jc w:val="right"/>
              <w:spacing w:after="0"/>
              <w:rPr>
                <w:rFonts w:ascii="Arial" w:cs="Arial" w:eastAsia="Arial" w:hAnsi="Arial"/>
                <w:sz w:val="20"/>
                <w:szCs w:val="20"/>
                <w:b w:val="1"/>
                <w:bCs w:val="1"/>
                <w:color w:val="0076A8"/>
              </w:rPr>
            </w:pPr>
            <w:hyperlink w:anchor="page47">
              <w:r>
                <w:rPr>
                  <w:rFonts w:ascii="Arial" w:cs="Arial" w:eastAsia="Arial" w:hAnsi="Arial"/>
                  <w:sz w:val="20"/>
                  <w:szCs w:val="20"/>
                  <w:b w:val="1"/>
                  <w:bCs w:val="1"/>
                  <w:color w:val="0076A8"/>
                </w:rPr>
                <w:t>43</w:t>
              </w:r>
            </w:hyperlink>
          </w:p>
        </w:tc>
      </w:tr>
      <w:tr>
        <w:trPr>
          <w:trHeight w:val="20"/>
        </w:trPr>
        <w:tc>
          <w:tcPr>
            <w:tcW w:w="4660" w:type="dxa"/>
            <w:vAlign w:val="bottom"/>
            <w:gridSpan w:val="4"/>
            <w:shd w:val="clear" w:color="auto" w:fill="0076A8"/>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shd w:val="clear" w:color="auto" w:fill="0076A8"/>
          </w:tcPr>
          <w:p>
            <w:pPr>
              <w:spacing w:after="0" w:line="20" w:lineRule="exact"/>
              <w:rPr>
                <w:sz w:val="1"/>
                <w:szCs w:val="1"/>
                <w:color w:val="auto"/>
              </w:rPr>
            </w:pPr>
          </w:p>
        </w:tc>
      </w:tr>
      <w:tr>
        <w:trPr>
          <w:trHeight w:val="250"/>
        </w:trPr>
        <w:tc>
          <w:tcPr>
            <w:tcW w:w="5180" w:type="dxa"/>
            <w:vAlign w:val="bottom"/>
            <w:gridSpan w:val="5"/>
          </w:tcPr>
          <w:p>
            <w:pPr>
              <w:spacing w:after="0"/>
              <w:rPr>
                <w:rFonts w:ascii="Arial" w:cs="Arial" w:eastAsia="Arial" w:hAnsi="Arial"/>
                <w:sz w:val="20"/>
                <w:szCs w:val="20"/>
                <w:b w:val="1"/>
                <w:bCs w:val="1"/>
                <w:color w:val="0076A8"/>
                <w:w w:val="97"/>
              </w:rPr>
            </w:pPr>
            <w:hyperlink w:anchor="page47">
              <w:r>
                <w:rPr>
                  <w:rFonts w:ascii="Arial" w:cs="Arial" w:eastAsia="Arial" w:hAnsi="Arial"/>
                  <w:sz w:val="20"/>
                  <w:szCs w:val="20"/>
                  <w:b w:val="1"/>
                  <w:bCs w:val="1"/>
                  <w:color w:val="0076A8"/>
                  <w:w w:val="97"/>
                </w:rPr>
                <w:t>Prohibition on Hedging and Certain Other Transactions</w:t>
              </w:r>
            </w:hyperlink>
          </w:p>
        </w:tc>
        <w:tc>
          <w:tcPr>
            <w:tcW w:w="1980" w:type="dxa"/>
            <w:vAlign w:val="bottom"/>
            <w:gridSpan w:val="3"/>
          </w:tcPr>
          <w:p>
            <w:pPr>
              <w:spacing w:after="0"/>
              <w:rPr>
                <w:sz w:val="21"/>
                <w:szCs w:val="21"/>
                <w:color w:val="auto"/>
              </w:rPr>
            </w:pPr>
          </w:p>
        </w:tc>
        <w:tc>
          <w:tcPr>
            <w:tcW w:w="1000" w:type="dxa"/>
            <w:vAlign w:val="bottom"/>
            <w:gridSpan w:val="2"/>
          </w:tcPr>
          <w:p>
            <w:pPr>
              <w:jc w:val="right"/>
              <w:spacing w:after="0"/>
              <w:rPr>
                <w:rFonts w:ascii="Arial" w:cs="Arial" w:eastAsia="Arial" w:hAnsi="Arial"/>
                <w:sz w:val="20"/>
                <w:szCs w:val="20"/>
                <w:b w:val="1"/>
                <w:bCs w:val="1"/>
                <w:color w:val="0076A8"/>
              </w:rPr>
            </w:pPr>
            <w:hyperlink w:anchor="page47">
              <w:r>
                <w:rPr>
                  <w:rFonts w:ascii="Arial" w:cs="Arial" w:eastAsia="Arial" w:hAnsi="Arial"/>
                  <w:sz w:val="20"/>
                  <w:szCs w:val="20"/>
                  <w:b w:val="1"/>
                  <w:bCs w:val="1"/>
                  <w:color w:val="0076A8"/>
                </w:rPr>
                <w:t>43</w:t>
              </w:r>
            </w:hyperlink>
          </w:p>
        </w:tc>
      </w:tr>
      <w:tr>
        <w:trPr>
          <w:trHeight w:val="20"/>
        </w:trPr>
        <w:tc>
          <w:tcPr>
            <w:tcW w:w="5180" w:type="dxa"/>
            <w:vAlign w:val="bottom"/>
            <w:gridSpan w:val="5"/>
            <w:shd w:val="clear" w:color="auto" w:fill="0076A8"/>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shd w:val="clear" w:color="auto" w:fill="0076A8"/>
          </w:tcPr>
          <w:p>
            <w:pPr>
              <w:spacing w:after="0" w:line="20" w:lineRule="exact"/>
              <w:rPr>
                <w:sz w:val="1"/>
                <w:szCs w:val="1"/>
                <w:color w:val="auto"/>
              </w:rPr>
            </w:pPr>
          </w:p>
        </w:tc>
      </w:tr>
      <w:tr>
        <w:trPr>
          <w:trHeight w:val="250"/>
        </w:trPr>
        <w:tc>
          <w:tcPr>
            <w:tcW w:w="7160" w:type="dxa"/>
            <w:vAlign w:val="bottom"/>
            <w:gridSpan w:val="8"/>
          </w:tcPr>
          <w:p>
            <w:pPr>
              <w:spacing w:after="0"/>
              <w:rPr>
                <w:rFonts w:ascii="Arial" w:cs="Arial" w:eastAsia="Arial" w:hAnsi="Arial"/>
                <w:sz w:val="20"/>
                <w:szCs w:val="20"/>
                <w:b w:val="1"/>
                <w:bCs w:val="1"/>
                <w:color w:val="0076A8"/>
              </w:rPr>
            </w:pPr>
            <w:hyperlink w:anchor="page47">
              <w:r>
                <w:rPr>
                  <w:rFonts w:ascii="Arial" w:cs="Arial" w:eastAsia="Arial" w:hAnsi="Arial"/>
                  <w:sz w:val="20"/>
                  <w:szCs w:val="20"/>
                  <w:b w:val="1"/>
                  <w:bCs w:val="1"/>
                  <w:color w:val="0076A8"/>
                </w:rPr>
                <w:t>Compliance with Internal Revenue Code Section 162(m)</w:t>
              </w:r>
            </w:hyperlink>
          </w:p>
        </w:tc>
        <w:tc>
          <w:tcPr>
            <w:tcW w:w="1000" w:type="dxa"/>
            <w:vAlign w:val="bottom"/>
            <w:gridSpan w:val="2"/>
          </w:tcPr>
          <w:p>
            <w:pPr>
              <w:jc w:val="right"/>
              <w:spacing w:after="0"/>
              <w:rPr>
                <w:rFonts w:ascii="Arial" w:cs="Arial" w:eastAsia="Arial" w:hAnsi="Arial"/>
                <w:sz w:val="20"/>
                <w:szCs w:val="20"/>
                <w:b w:val="1"/>
                <w:bCs w:val="1"/>
                <w:color w:val="0076A8"/>
              </w:rPr>
            </w:pPr>
            <w:hyperlink w:anchor="page47">
              <w:r>
                <w:rPr>
                  <w:rFonts w:ascii="Arial" w:cs="Arial" w:eastAsia="Arial" w:hAnsi="Arial"/>
                  <w:sz w:val="20"/>
                  <w:szCs w:val="20"/>
                  <w:b w:val="1"/>
                  <w:bCs w:val="1"/>
                  <w:color w:val="0076A8"/>
                </w:rPr>
                <w:t>43</w:t>
              </w:r>
            </w:hyperlink>
          </w:p>
        </w:tc>
      </w:tr>
      <w:tr>
        <w:trPr>
          <w:trHeight w:val="20"/>
        </w:trPr>
        <w:tc>
          <w:tcPr>
            <w:tcW w:w="2440" w:type="dxa"/>
            <w:vAlign w:val="bottom"/>
            <w:shd w:val="clear" w:color="auto" w:fill="0076A8"/>
          </w:tcPr>
          <w:p>
            <w:pPr>
              <w:spacing w:after="0" w:line="20" w:lineRule="exact"/>
              <w:rPr>
                <w:sz w:val="1"/>
                <w:szCs w:val="1"/>
                <w:color w:val="auto"/>
              </w:rPr>
            </w:pPr>
          </w:p>
        </w:tc>
        <w:tc>
          <w:tcPr>
            <w:tcW w:w="440" w:type="dxa"/>
            <w:vAlign w:val="bottom"/>
            <w:shd w:val="clear" w:color="auto" w:fill="0076A8"/>
          </w:tcPr>
          <w:p>
            <w:pPr>
              <w:spacing w:after="0" w:line="20" w:lineRule="exact"/>
              <w:rPr>
                <w:sz w:val="1"/>
                <w:szCs w:val="1"/>
                <w:color w:val="auto"/>
              </w:rPr>
            </w:pPr>
          </w:p>
        </w:tc>
        <w:tc>
          <w:tcPr>
            <w:tcW w:w="1140" w:type="dxa"/>
            <w:vAlign w:val="bottom"/>
            <w:shd w:val="clear" w:color="auto" w:fill="0076A8"/>
          </w:tcPr>
          <w:p>
            <w:pPr>
              <w:spacing w:after="0" w:line="20" w:lineRule="exact"/>
              <w:rPr>
                <w:sz w:val="1"/>
                <w:szCs w:val="1"/>
                <w:color w:val="auto"/>
              </w:rPr>
            </w:pPr>
          </w:p>
        </w:tc>
        <w:tc>
          <w:tcPr>
            <w:tcW w:w="640" w:type="dxa"/>
            <w:vAlign w:val="bottom"/>
            <w:shd w:val="clear" w:color="auto" w:fill="0076A8"/>
          </w:tcPr>
          <w:p>
            <w:pPr>
              <w:spacing w:after="0" w:line="20" w:lineRule="exact"/>
              <w:rPr>
                <w:sz w:val="1"/>
                <w:szCs w:val="1"/>
                <w:color w:val="auto"/>
              </w:rPr>
            </w:pPr>
          </w:p>
        </w:tc>
        <w:tc>
          <w:tcPr>
            <w:tcW w:w="520" w:type="dxa"/>
            <w:vAlign w:val="bottom"/>
            <w:shd w:val="clear" w:color="auto" w:fill="0076A8"/>
          </w:tcPr>
          <w:p>
            <w:pPr>
              <w:spacing w:after="0" w:line="20" w:lineRule="exact"/>
              <w:rPr>
                <w:sz w:val="1"/>
                <w:szCs w:val="1"/>
                <w:color w:val="auto"/>
              </w:rPr>
            </w:pPr>
          </w:p>
        </w:tc>
        <w:tc>
          <w:tcPr>
            <w:tcW w:w="800" w:type="dxa"/>
            <w:vAlign w:val="bottom"/>
            <w:tcBorders>
              <w:left w:val="single" w:sz="8" w:color="0076A8"/>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shd w:val="clear" w:color="auto" w:fill="0076A8"/>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3080385</wp:posOffset>
            </wp:positionH>
            <wp:positionV relativeFrom="paragraph">
              <wp:posOffset>891540</wp:posOffset>
            </wp:positionV>
            <wp:extent cx="779780" cy="25717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7978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860" w:type="dxa"/>
            <w:vAlign w:val="bottom"/>
          </w:tcPr>
          <w:p>
            <w:pPr>
              <w:ind w:left="660"/>
              <w:spacing w:after="0"/>
              <w:rPr>
                <w:sz w:val="20"/>
                <w:szCs w:val="20"/>
                <w:color w:val="auto"/>
              </w:rPr>
            </w:pPr>
            <w:r>
              <w:rPr>
                <w:rFonts w:ascii="Arial" w:cs="Arial" w:eastAsia="Arial" w:hAnsi="Arial"/>
                <w:sz w:val="16"/>
                <w:szCs w:val="16"/>
                <w:color w:val="auto"/>
              </w:rPr>
              <w:t>Proxy Statement</w:t>
            </w:r>
          </w:p>
        </w:tc>
        <w:tc>
          <w:tcPr>
            <w:tcW w:w="4860" w:type="dxa"/>
            <w:vAlign w:val="bottom"/>
          </w:tcPr>
          <w:p>
            <w:pPr>
              <w:jc w:val="right"/>
              <w:ind w:right="579"/>
              <w:spacing w:after="0"/>
              <w:rPr>
                <w:sz w:val="20"/>
                <w:szCs w:val="20"/>
                <w:color w:val="auto"/>
              </w:rPr>
            </w:pPr>
            <w:r>
              <w:rPr>
                <w:rFonts w:ascii="Arial" w:cs="Arial" w:eastAsia="Arial" w:hAnsi="Arial"/>
                <w:sz w:val="16"/>
                <w:szCs w:val="16"/>
                <w:color w:val="auto"/>
              </w:rPr>
              <w:t>31</w:t>
            </w:r>
          </w:p>
        </w:tc>
      </w:tr>
      <w:tr>
        <w:trPr>
          <w:trHeight w:val="296"/>
        </w:trPr>
        <w:tc>
          <w:tcPr>
            <w:tcW w:w="5860" w:type="dxa"/>
            <w:vAlign w:val="bottom"/>
            <w:tcBorders>
              <w:bottom w:val="single" w:sz="8" w:color="9A9A9A"/>
            </w:tcBorders>
          </w:tcPr>
          <w:p>
            <w:pPr>
              <w:spacing w:after="0"/>
              <w:rPr>
                <w:sz w:val="24"/>
                <w:szCs w:val="24"/>
                <w:color w:val="auto"/>
              </w:rPr>
            </w:pPr>
          </w:p>
        </w:tc>
        <w:tc>
          <w:tcPr>
            <w:tcW w:w="4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type w:val="continuous"/>
        </w:sectPr>
      </w:pPr>
    </w:p>
    <w:bookmarkStart w:id="36" w:name="page37"/>
    <w:bookmarkEnd w:id="36"/>
    <w:p>
      <w:pPr>
        <w:spacing w:after="0"/>
        <w:rPr>
          <w:rFonts w:ascii="Arial" w:cs="Arial" w:eastAsia="Arial" w:hAnsi="Arial"/>
          <w:sz w:val="14"/>
          <w:szCs w:val="14"/>
          <w:color w:val="003366"/>
        </w:rPr>
      </w:pPr>
      <w:hyperlink w:anchor="page3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71" w:lineRule="exact"/>
        <w:rPr>
          <w:sz w:val="20"/>
          <w:szCs w:val="20"/>
          <w:color w:val="auto"/>
        </w:rPr>
      </w:pPr>
    </w:p>
    <w:p>
      <w:pPr>
        <w:ind w:left="660"/>
        <w:spacing w:after="0"/>
        <w:rPr>
          <w:sz w:val="20"/>
          <w:szCs w:val="20"/>
          <w:color w:val="auto"/>
        </w:rPr>
      </w:pPr>
      <w:r>
        <w:rPr>
          <w:rFonts w:ascii="Arial" w:cs="Arial" w:eastAsia="Arial" w:hAnsi="Arial"/>
          <w:sz w:val="23"/>
          <w:szCs w:val="23"/>
          <w:b w:val="1"/>
          <w:bCs w:val="1"/>
          <w:i w:val="1"/>
          <w:iCs w:val="1"/>
          <w:color w:val="auto"/>
        </w:rPr>
        <w:t>Named Executive Officers</w:t>
      </w:r>
    </w:p>
    <w:p>
      <w:pPr>
        <w:spacing w:after="0" w:line="161" w:lineRule="exact"/>
        <w:rPr>
          <w:sz w:val="20"/>
          <w:szCs w:val="20"/>
          <w:color w:val="auto"/>
        </w:rPr>
      </w:pPr>
    </w:p>
    <w:p>
      <w:pPr>
        <w:ind w:left="660"/>
        <w:spacing w:after="0" w:line="254" w:lineRule="auto"/>
        <w:rPr>
          <w:sz w:val="20"/>
          <w:szCs w:val="20"/>
          <w:color w:val="auto"/>
        </w:rPr>
      </w:pPr>
      <w:r>
        <w:rPr>
          <w:rFonts w:ascii="Arial" w:cs="Arial" w:eastAsia="Arial" w:hAnsi="Arial"/>
          <w:sz w:val="20"/>
          <w:szCs w:val="20"/>
          <w:color w:val="191919"/>
        </w:rPr>
        <w:t>This Compensation Discussion and Analysis section discusses the compensation policies and programs for our Chief Executive Officer, our Chief Financial Officer, and our three next most highly paid executive officers during fiscal year 2021, as determined under the rules of the SEC. We refer to this group of executive officers as our “Named Executive Officers.”</w:t>
      </w:r>
    </w:p>
    <w:p>
      <w:pPr>
        <w:spacing w:after="0" w:line="213" w:lineRule="exact"/>
        <w:rPr>
          <w:sz w:val="20"/>
          <w:szCs w:val="20"/>
          <w:color w:val="auto"/>
        </w:rPr>
      </w:pPr>
    </w:p>
    <w:p>
      <w:pPr>
        <w:ind w:left="660"/>
        <w:spacing w:after="0" w:line="261" w:lineRule="auto"/>
        <w:rPr>
          <w:sz w:val="20"/>
          <w:szCs w:val="20"/>
          <w:color w:val="auto"/>
        </w:rPr>
      </w:pPr>
      <w:r>
        <w:rPr>
          <w:rFonts w:ascii="Arial" w:cs="Arial" w:eastAsia="Arial" w:hAnsi="Arial"/>
          <w:sz w:val="20"/>
          <w:szCs w:val="20"/>
          <w:color w:val="191919"/>
        </w:rPr>
        <w:t>For fiscal year 2021, our Named Executive Officers were:</w:t>
      </w:r>
    </w:p>
    <w:p>
      <w:pPr>
        <w:spacing w:after="0" w:line="202" w:lineRule="exact"/>
        <w:rPr>
          <w:sz w:val="20"/>
          <w:szCs w:val="20"/>
          <w:color w:val="auto"/>
        </w:rPr>
      </w:pPr>
    </w:p>
    <w:p>
      <w:pPr>
        <w:ind w:left="840" w:right="580" w:hanging="186"/>
        <w:spacing w:after="0" w:line="253" w:lineRule="auto"/>
        <w:tabs>
          <w:tab w:leader="none" w:pos="840" w:val="left"/>
        </w:tabs>
        <w:numPr>
          <w:ilvl w:val="0"/>
          <w:numId w:val="40"/>
        </w:numPr>
        <w:rPr>
          <w:rFonts w:ascii="Arial" w:cs="Arial" w:eastAsia="Arial" w:hAnsi="Arial"/>
          <w:sz w:val="20"/>
          <w:szCs w:val="20"/>
          <w:color w:val="auto"/>
        </w:rPr>
      </w:pPr>
      <w:r>
        <w:rPr>
          <w:rFonts w:ascii="Arial" w:cs="Arial" w:eastAsia="Arial" w:hAnsi="Arial"/>
          <w:sz w:val="20"/>
          <w:szCs w:val="20"/>
          <w:color w:val="auto"/>
        </w:rPr>
        <w:t>Liam K. Griffin, Chairman, Chief Executive Officer and President;</w:t>
      </w:r>
    </w:p>
    <w:p>
      <w:pPr>
        <w:spacing w:after="0" w:line="1" w:lineRule="exact"/>
        <w:rPr>
          <w:rFonts w:ascii="Arial" w:cs="Arial" w:eastAsia="Arial" w:hAnsi="Arial"/>
          <w:sz w:val="20"/>
          <w:szCs w:val="20"/>
          <w:color w:val="auto"/>
        </w:rPr>
      </w:pPr>
    </w:p>
    <w:p>
      <w:pPr>
        <w:ind w:left="840" w:right="40" w:hanging="186"/>
        <w:spacing w:after="0" w:line="253" w:lineRule="auto"/>
        <w:tabs>
          <w:tab w:leader="none" w:pos="840" w:val="left"/>
        </w:tabs>
        <w:numPr>
          <w:ilvl w:val="0"/>
          <w:numId w:val="40"/>
        </w:numPr>
        <w:rPr>
          <w:rFonts w:ascii="Arial" w:cs="Arial" w:eastAsia="Arial" w:hAnsi="Arial"/>
          <w:sz w:val="20"/>
          <w:szCs w:val="20"/>
          <w:color w:val="auto"/>
        </w:rPr>
      </w:pPr>
      <w:r>
        <w:rPr>
          <w:rFonts w:ascii="Arial" w:cs="Arial" w:eastAsia="Arial" w:hAnsi="Arial"/>
          <w:sz w:val="20"/>
          <w:szCs w:val="20"/>
          <w:color w:val="auto"/>
        </w:rPr>
        <w:t>Kris Sennesael, Senior Vice President and Chief Financial Officer;</w:t>
      </w:r>
    </w:p>
    <w:p>
      <w:pPr>
        <w:spacing w:after="0" w:line="1" w:lineRule="exact"/>
        <w:rPr>
          <w:rFonts w:ascii="Arial" w:cs="Arial" w:eastAsia="Arial" w:hAnsi="Arial"/>
          <w:sz w:val="20"/>
          <w:szCs w:val="20"/>
          <w:color w:val="auto"/>
        </w:rPr>
      </w:pPr>
    </w:p>
    <w:p>
      <w:pPr>
        <w:ind w:left="840" w:right="60" w:hanging="186"/>
        <w:spacing w:after="0" w:line="253" w:lineRule="auto"/>
        <w:tabs>
          <w:tab w:leader="none" w:pos="840" w:val="left"/>
        </w:tabs>
        <w:numPr>
          <w:ilvl w:val="0"/>
          <w:numId w:val="40"/>
        </w:numPr>
        <w:rPr>
          <w:rFonts w:ascii="Arial" w:cs="Arial" w:eastAsia="Arial" w:hAnsi="Arial"/>
          <w:sz w:val="20"/>
          <w:szCs w:val="20"/>
          <w:color w:val="auto"/>
        </w:rPr>
      </w:pPr>
      <w:r>
        <w:rPr>
          <w:rFonts w:ascii="Arial" w:cs="Arial" w:eastAsia="Arial" w:hAnsi="Arial"/>
          <w:sz w:val="20"/>
          <w:szCs w:val="20"/>
          <w:color w:val="auto"/>
        </w:rPr>
        <w:t>Carlos S. Bori, Senior Vice President, Sales and Marketing;</w:t>
      </w:r>
    </w:p>
    <w:p>
      <w:pPr>
        <w:spacing w:after="0" w:line="1" w:lineRule="exact"/>
        <w:rPr>
          <w:rFonts w:ascii="Arial" w:cs="Arial" w:eastAsia="Arial" w:hAnsi="Arial"/>
          <w:sz w:val="20"/>
          <w:szCs w:val="20"/>
          <w:color w:val="auto"/>
        </w:rPr>
      </w:pPr>
    </w:p>
    <w:p>
      <w:pPr>
        <w:ind w:left="840" w:right="180" w:hanging="186"/>
        <w:spacing w:after="0" w:line="253" w:lineRule="auto"/>
        <w:tabs>
          <w:tab w:leader="none" w:pos="840" w:val="left"/>
        </w:tabs>
        <w:numPr>
          <w:ilvl w:val="0"/>
          <w:numId w:val="40"/>
        </w:numPr>
        <w:rPr>
          <w:rFonts w:ascii="Arial" w:cs="Arial" w:eastAsia="Arial" w:hAnsi="Arial"/>
          <w:sz w:val="20"/>
          <w:szCs w:val="20"/>
          <w:color w:val="auto"/>
        </w:rPr>
      </w:pPr>
      <w:r>
        <w:rPr>
          <w:rFonts w:ascii="Arial" w:cs="Arial" w:eastAsia="Arial" w:hAnsi="Arial"/>
          <w:sz w:val="20"/>
          <w:szCs w:val="20"/>
          <w:color w:val="auto"/>
        </w:rPr>
        <w:t>Robert J. Terry, Senior Vice President, General Counsel and Secretary; and</w:t>
      </w:r>
    </w:p>
    <w:p>
      <w:pPr>
        <w:spacing w:after="0" w:line="1" w:lineRule="exact"/>
        <w:rPr>
          <w:rFonts w:ascii="Arial" w:cs="Arial" w:eastAsia="Arial" w:hAnsi="Arial"/>
          <w:sz w:val="20"/>
          <w:szCs w:val="20"/>
          <w:color w:val="auto"/>
        </w:rPr>
      </w:pPr>
    </w:p>
    <w:p>
      <w:pPr>
        <w:ind w:left="840" w:right="600" w:hanging="186"/>
        <w:spacing w:after="0" w:line="261" w:lineRule="auto"/>
        <w:tabs>
          <w:tab w:leader="none" w:pos="840" w:val="left"/>
        </w:tabs>
        <w:numPr>
          <w:ilvl w:val="0"/>
          <w:numId w:val="40"/>
        </w:numPr>
        <w:rPr>
          <w:rFonts w:ascii="Arial" w:cs="Arial" w:eastAsia="Arial" w:hAnsi="Arial"/>
          <w:sz w:val="20"/>
          <w:szCs w:val="20"/>
          <w:color w:val="auto"/>
        </w:rPr>
      </w:pPr>
      <w:r>
        <w:rPr>
          <w:rFonts w:ascii="Arial" w:cs="Arial" w:eastAsia="Arial" w:hAnsi="Arial"/>
          <w:sz w:val="20"/>
          <w:szCs w:val="20"/>
          <w:color w:val="auto"/>
        </w:rPr>
        <w:t>Karilee A. Durham, Senior Vice President, Human Resources.</w:t>
      </w:r>
    </w:p>
    <w:p>
      <w:pPr>
        <w:spacing w:after="0" w:line="222" w:lineRule="exact"/>
        <w:rPr>
          <w:sz w:val="20"/>
          <w:szCs w:val="20"/>
          <w:color w:val="auto"/>
        </w:rPr>
      </w:pPr>
    </w:p>
    <w:p>
      <w:pPr>
        <w:ind w:left="660" w:right="460"/>
        <w:spacing w:after="0" w:line="273" w:lineRule="auto"/>
        <w:rPr>
          <w:sz w:val="20"/>
          <w:szCs w:val="20"/>
          <w:color w:val="auto"/>
        </w:rPr>
      </w:pPr>
      <w:r>
        <w:rPr>
          <w:rFonts w:ascii="Arial" w:cs="Arial" w:eastAsia="Arial" w:hAnsi="Arial"/>
          <w:sz w:val="23"/>
          <w:szCs w:val="23"/>
          <w:b w:val="1"/>
          <w:bCs w:val="1"/>
          <w:i w:val="1"/>
          <w:iCs w:val="1"/>
          <w:color w:val="auto"/>
        </w:rPr>
        <w:t>Engagement with Stockholders Regarding Executive Compensation</w:t>
      </w:r>
    </w:p>
    <w:p>
      <w:pPr>
        <w:spacing w:after="0" w:line="80" w:lineRule="exact"/>
        <w:rPr>
          <w:sz w:val="20"/>
          <w:szCs w:val="20"/>
          <w:color w:val="auto"/>
        </w:rPr>
      </w:pPr>
    </w:p>
    <w:p>
      <w:pPr>
        <w:ind w:left="660" w:right="180"/>
        <w:spacing w:after="0" w:line="268" w:lineRule="auto"/>
        <w:rPr>
          <w:sz w:val="20"/>
          <w:szCs w:val="20"/>
          <w:color w:val="auto"/>
        </w:rPr>
      </w:pPr>
      <w:r>
        <w:rPr>
          <w:rFonts w:ascii="Arial" w:cs="Arial" w:eastAsia="Arial" w:hAnsi="Arial"/>
          <w:sz w:val="19"/>
          <w:szCs w:val="19"/>
          <w:color w:val="191919"/>
        </w:rPr>
        <w:t>In evaluating and establishing our executive compensation policies and programs, our Compensation Committee values and actively considers the opinions expressed by our stockholders through the “say-on-pay” advisory vote at each annual stockholder meeting, as well as through our ongoing stockholder engagement efforts. In order to better understand the lack of broad stockholder support for the “say-on-pay” proposal at our 2021 Annual Meeting of Stockholders, the chairman of our Compensation Committee, Ms. King, took a leading role in our formal post-meeting stockholder outreach, 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60"/>
        <w:spacing w:after="0" w:line="253" w:lineRule="auto"/>
        <w:rPr>
          <w:sz w:val="20"/>
          <w:szCs w:val="20"/>
          <w:color w:val="auto"/>
        </w:rPr>
      </w:pPr>
      <w:r>
        <w:rPr>
          <w:rFonts w:ascii="Arial" w:cs="Arial" w:eastAsia="Arial" w:hAnsi="Arial"/>
          <w:sz w:val="19"/>
          <w:szCs w:val="19"/>
          <w:color w:val="191919"/>
        </w:rPr>
        <w:t>which we solicited feedback on our fiscal year 2020 compensation program from more than thirty of our largest institutional stockholders representing approximately 51% of the Company’s shares outstanding. Our Company management held subsequent engagement meetings with stockholders representing approximately 39% of the Company’s shares outstanding, including eight of our ten largest stockholders, with Ms. King joining more than a dozen meetings with stockholders representing approximately 34% of the Company’s shares outstanding.</w:t>
      </w:r>
    </w:p>
    <w:p>
      <w:pPr>
        <w:spacing w:after="0" w:line="220" w:lineRule="exact"/>
        <w:rPr>
          <w:sz w:val="20"/>
          <w:szCs w:val="20"/>
          <w:color w:val="auto"/>
        </w:rPr>
      </w:pPr>
    </w:p>
    <w:p>
      <w:pPr>
        <w:spacing w:after="0" w:line="267" w:lineRule="auto"/>
        <w:rPr>
          <w:sz w:val="20"/>
          <w:szCs w:val="20"/>
          <w:color w:val="auto"/>
        </w:rPr>
      </w:pPr>
      <w:r>
        <w:rPr>
          <w:rFonts w:ascii="Arial" w:cs="Arial" w:eastAsia="Arial" w:hAnsi="Arial"/>
          <w:sz w:val="19"/>
          <w:szCs w:val="19"/>
          <w:color w:val="191919"/>
        </w:rPr>
        <w:t>During these conversations, our institutional stockholders generally expressed support for the Company’s strategy, performance, and management, with most stockholders who had voted against the “say-on-pay” proposal noting that such opposition had been primarily in response to the one-time stock-based compensation awards made to the Named Executive Officers in November 2019 to address significant retention concerns. Many stockholders, while supporting the majority of the Company’s compensation policies, nonetheless suggested modifications to specific plan designs, including to the metrics and performance periods under the Company’s long-term stock-based compensation program. After considering this input from our stockholders, as well as evaluating practices related to executive compensation by public companies generally, and our peer group specifically, our Compensation Committee committed to several key responsive changes to the Company’s compensation program. The following changes were adopted after the conclusion of the Company’s fiscal year 2021, which is described in this “</w:t>
      </w:r>
      <w:r>
        <w:rPr>
          <w:rFonts w:ascii="Arial" w:cs="Arial" w:eastAsia="Arial" w:hAnsi="Arial"/>
          <w:sz w:val="19"/>
          <w:szCs w:val="19"/>
          <w:i w:val="1"/>
          <w:iCs w:val="1"/>
          <w:color w:val="191919"/>
        </w:rPr>
        <w:t>Compensation</w:t>
      </w:r>
      <w:r>
        <w:rPr>
          <w:rFonts w:ascii="Arial" w:cs="Arial" w:eastAsia="Arial" w:hAnsi="Arial"/>
          <w:sz w:val="19"/>
          <w:szCs w:val="19"/>
          <w:color w:val="191919"/>
        </w:rPr>
        <w:t xml:space="preserve"> </w:t>
      </w:r>
      <w:r>
        <w:rPr>
          <w:rFonts w:ascii="Arial" w:cs="Arial" w:eastAsia="Arial" w:hAnsi="Arial"/>
          <w:sz w:val="19"/>
          <w:szCs w:val="19"/>
          <w:i w:val="1"/>
          <w:iCs w:val="1"/>
          <w:color w:val="191919"/>
        </w:rPr>
        <w:t>Discussion and Analysis</w:t>
      </w:r>
      <w:r>
        <w:rPr>
          <w:rFonts w:ascii="Arial" w:cs="Arial" w:eastAsia="Arial" w:hAnsi="Arial"/>
          <w:sz w:val="19"/>
          <w:szCs w:val="19"/>
          <w:color w:val="191919"/>
        </w:rPr>
        <w:t>” section, and therefore</w:t>
      </w:r>
      <w:r>
        <w:rPr>
          <w:rFonts w:ascii="Arial" w:cs="Arial" w:eastAsia="Arial" w:hAnsi="Arial"/>
          <w:sz w:val="19"/>
          <w:szCs w:val="19"/>
          <w:i w:val="1"/>
          <w:iCs w:val="1"/>
          <w:color w:val="191919"/>
        </w:rPr>
        <w:t xml:space="preserve"> </w:t>
      </w:r>
      <w:r>
        <w:rPr>
          <w:rFonts w:ascii="Arial" w:cs="Arial" w:eastAsia="Arial" w:hAnsi="Arial"/>
          <w:sz w:val="19"/>
          <w:szCs w:val="19"/>
          <w:color w:val="191919"/>
        </w:rPr>
        <w:t>generally apply beginning with the Company’s fiscal year 2022 compensation program:</w:t>
      </w:r>
    </w:p>
    <w:p>
      <w:pPr>
        <w:spacing w:after="0" w:line="683" w:lineRule="exact"/>
        <w:rPr>
          <w:sz w:val="20"/>
          <w:szCs w:val="20"/>
          <w:color w:val="auto"/>
        </w:rPr>
      </w:pPr>
    </w:p>
    <w:p>
      <w:pPr>
        <w:sectPr>
          <w:pgSz w:w="11900" w:h="16838" w:orient="portrait"/>
          <w:cols w:equalWidth="0" w:num="2">
            <w:col w:w="5120" w:space="460"/>
            <w:col w:w="4480"/>
          </w:cols>
          <w:pgMar w:left="580" w:top="131"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60"/>
        <w:spacing w:after="0"/>
        <w:tabs>
          <w:tab w:leader="none" w:pos="4817" w:val="left"/>
        </w:tabs>
        <w:rPr>
          <w:sz w:val="20"/>
          <w:szCs w:val="20"/>
          <w:color w:val="auto"/>
        </w:rPr>
      </w:pPr>
      <w:r>
        <w:rPr>
          <w:rFonts w:ascii="Arial" w:cs="Arial" w:eastAsia="Arial" w:hAnsi="Arial"/>
          <w:sz w:val="16"/>
          <w:szCs w:val="16"/>
          <w:color w:val="auto"/>
        </w:rPr>
        <w:t>32</w:t>
      </w:r>
      <w:r>
        <w:rPr>
          <w:sz w:val="20"/>
          <w:szCs w:val="20"/>
          <w:color w:val="auto"/>
        </w:rPr>
        <w:tab/>
      </w:r>
      <w:r>
        <w:rPr>
          <w:sz w:val="1"/>
          <w:szCs w:val="1"/>
          <w:color w:val="auto"/>
        </w:rPr>
        <w:drawing>
          <wp:inline distT="0" distB="0" distL="0" distR="0">
            <wp:extent cx="779780" cy="257175"/>
            <wp:effectExtent l="0" t="0" r="0" b="0"/>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131" w:right="1259" w:bottom="1440" w:gutter="0" w:footer="0" w:header="0"/>
          <w:type w:val="continuous"/>
        </w:sectPr>
      </w:pPr>
    </w:p>
    <w:bookmarkStart w:id="37" w:name="page38"/>
    <w:bookmarkEnd w:id="37"/>
    <w:p>
      <w:pPr>
        <w:spacing w:after="0"/>
        <w:rPr>
          <w:rFonts w:ascii="Arial" w:cs="Arial" w:eastAsia="Arial" w:hAnsi="Arial"/>
          <w:sz w:val="14"/>
          <w:szCs w:val="14"/>
          <w:color w:val="003366"/>
        </w:rPr>
      </w:pPr>
      <w:hyperlink w:anchor="page3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660" w:type="dxa"/>
        <w:tblCellMar>
          <w:top w:w="0" w:type="dxa"/>
          <w:left w:w="0" w:type="dxa"/>
          <w:bottom w:w="0" w:type="dxa"/>
          <w:right w:w="0" w:type="dxa"/>
        </w:tblCellMar>
      </w:tblPr>
      <w:tr>
        <w:trPr>
          <w:trHeight w:val="237"/>
        </w:trPr>
        <w:tc>
          <w:tcPr>
            <w:tcW w:w="3400" w:type="dxa"/>
            <w:vAlign w:val="bottom"/>
            <w:shd w:val="clear" w:color="auto" w:fill="E5E5E5"/>
          </w:tcPr>
          <w:p>
            <w:pPr>
              <w:ind w:left="100"/>
              <w:spacing w:after="0"/>
              <w:rPr>
                <w:sz w:val="20"/>
                <w:szCs w:val="20"/>
                <w:color w:val="auto"/>
              </w:rPr>
            </w:pPr>
            <w:r>
              <w:rPr>
                <w:rFonts w:ascii="Arial" w:cs="Arial" w:eastAsia="Arial" w:hAnsi="Arial"/>
                <w:sz w:val="16"/>
                <w:szCs w:val="16"/>
                <w:b w:val="1"/>
                <w:bCs w:val="1"/>
                <w:color w:val="0076A8"/>
              </w:rPr>
              <w:t>November 2019 One-Time Awards</w:t>
            </w:r>
          </w:p>
        </w:tc>
        <w:tc>
          <w:tcPr>
            <w:tcW w:w="6000" w:type="dxa"/>
            <w:vAlign w:val="bottom"/>
            <w:shd w:val="clear" w:color="auto" w:fill="E5E5E5"/>
          </w:tcPr>
          <w:p>
            <w:pPr>
              <w:ind w:left="160"/>
              <w:spacing w:after="0"/>
              <w:rPr>
                <w:sz w:val="20"/>
                <w:szCs w:val="20"/>
                <w:color w:val="auto"/>
              </w:rPr>
            </w:pPr>
            <w:r>
              <w:rPr>
                <w:rFonts w:ascii="Arial" w:cs="Arial" w:eastAsia="Arial" w:hAnsi="Arial"/>
                <w:sz w:val="16"/>
                <w:szCs w:val="16"/>
                <w:color w:val="auto"/>
              </w:rPr>
              <w:t>No one-time awards granted to Named Executive Officers in 2020 or 2021 and</w:t>
            </w:r>
          </w:p>
        </w:tc>
      </w:tr>
      <w:tr>
        <w:trPr>
          <w:trHeight w:val="215"/>
        </w:trPr>
        <w:tc>
          <w:tcPr>
            <w:tcW w:w="3400" w:type="dxa"/>
            <w:vAlign w:val="bottom"/>
            <w:tcBorders>
              <w:bottom w:val="single" w:sz="8" w:color="E5E5E5"/>
            </w:tcBorders>
            <w:shd w:val="clear" w:color="auto" w:fill="E5E5E5"/>
          </w:tcPr>
          <w:p>
            <w:pPr>
              <w:spacing w:after="0"/>
              <w:rPr>
                <w:sz w:val="18"/>
                <w:szCs w:val="18"/>
                <w:color w:val="auto"/>
              </w:rPr>
            </w:pPr>
          </w:p>
        </w:tc>
        <w:tc>
          <w:tcPr>
            <w:tcW w:w="6000" w:type="dxa"/>
            <w:vAlign w:val="bottom"/>
            <w:tcBorders>
              <w:bottom w:val="single" w:sz="8" w:color="E5E5E5"/>
            </w:tcBorders>
            <w:shd w:val="clear" w:color="auto" w:fill="E5E5E5"/>
          </w:tcPr>
          <w:p>
            <w:pPr>
              <w:ind w:left="160"/>
              <w:spacing w:after="0"/>
              <w:rPr>
                <w:sz w:val="20"/>
                <w:szCs w:val="20"/>
                <w:color w:val="auto"/>
              </w:rPr>
            </w:pPr>
            <w:r>
              <w:rPr>
                <w:rFonts w:ascii="Arial" w:cs="Arial" w:eastAsia="Arial" w:hAnsi="Arial"/>
                <w:sz w:val="16"/>
                <w:szCs w:val="16"/>
                <w:color w:val="auto"/>
              </w:rPr>
              <w:t>no future one-time grants anticipated</w:t>
            </w:r>
          </w:p>
        </w:tc>
      </w:tr>
      <w:tr>
        <w:trPr>
          <w:trHeight w:val="225"/>
        </w:trPr>
        <w:tc>
          <w:tcPr>
            <w:tcW w:w="3400" w:type="dxa"/>
            <w:vAlign w:val="bottom"/>
          </w:tcPr>
          <w:p>
            <w:pPr>
              <w:ind w:left="100"/>
              <w:spacing w:after="0"/>
              <w:rPr>
                <w:sz w:val="20"/>
                <w:szCs w:val="20"/>
                <w:color w:val="auto"/>
              </w:rPr>
            </w:pPr>
            <w:r>
              <w:rPr>
                <w:rFonts w:ascii="Arial" w:cs="Arial" w:eastAsia="Arial" w:hAnsi="Arial"/>
                <w:sz w:val="16"/>
                <w:szCs w:val="16"/>
                <w:b w:val="1"/>
                <w:bCs w:val="1"/>
                <w:color w:val="0076A8"/>
              </w:rPr>
              <w:t>Long-Term Equity: FY 2022 Performance</w:t>
            </w:r>
          </w:p>
        </w:tc>
        <w:tc>
          <w:tcPr>
            <w:tcW w:w="6000" w:type="dxa"/>
            <w:vAlign w:val="bottom"/>
          </w:tcPr>
          <w:p>
            <w:pPr>
              <w:ind w:left="160"/>
              <w:spacing w:after="0"/>
              <w:rPr>
                <w:sz w:val="20"/>
                <w:szCs w:val="20"/>
                <w:color w:val="auto"/>
              </w:rPr>
            </w:pPr>
            <w:r>
              <w:rPr>
                <w:rFonts w:ascii="Arial" w:cs="Arial" w:eastAsia="Arial" w:hAnsi="Arial"/>
                <w:sz w:val="16"/>
                <w:szCs w:val="16"/>
                <w:color w:val="auto"/>
              </w:rPr>
              <w:t>Transitioned from design win metric (non-disclosable) to relative EBITDA</w:t>
            </w:r>
          </w:p>
        </w:tc>
      </w:tr>
      <w:tr>
        <w:trPr>
          <w:trHeight w:val="215"/>
        </w:trPr>
        <w:tc>
          <w:tcPr>
            <w:tcW w:w="3400" w:type="dxa"/>
            <w:vAlign w:val="bottom"/>
          </w:tcPr>
          <w:p>
            <w:pPr>
              <w:ind w:left="100"/>
              <w:spacing w:after="0"/>
              <w:rPr>
                <w:sz w:val="20"/>
                <w:szCs w:val="20"/>
                <w:color w:val="auto"/>
              </w:rPr>
            </w:pPr>
            <w:r>
              <w:rPr>
                <w:rFonts w:ascii="Arial" w:cs="Arial" w:eastAsia="Arial" w:hAnsi="Arial"/>
                <w:sz w:val="16"/>
                <w:szCs w:val="16"/>
                <w:b w:val="1"/>
                <w:bCs w:val="1"/>
                <w:color w:val="0076A8"/>
              </w:rPr>
              <w:t>Share Award Design</w:t>
            </w:r>
          </w:p>
        </w:tc>
        <w:tc>
          <w:tcPr>
            <w:tcW w:w="6000" w:type="dxa"/>
            <w:vAlign w:val="bottom"/>
          </w:tcPr>
          <w:p>
            <w:pPr>
              <w:ind w:left="160"/>
              <w:spacing w:after="0"/>
              <w:rPr>
                <w:sz w:val="20"/>
                <w:szCs w:val="20"/>
                <w:color w:val="auto"/>
              </w:rPr>
            </w:pPr>
            <w:r>
              <w:rPr>
                <w:rFonts w:ascii="Arial" w:cs="Arial" w:eastAsia="Arial" w:hAnsi="Arial"/>
                <w:sz w:val="16"/>
                <w:szCs w:val="16"/>
                <w:color w:val="auto"/>
              </w:rPr>
              <w:t>margin metric (disclosable)</w:t>
            </w:r>
          </w:p>
        </w:tc>
      </w:tr>
      <w:tr>
        <w:trPr>
          <w:trHeight w:val="311"/>
        </w:trPr>
        <w:tc>
          <w:tcPr>
            <w:tcW w:w="3400" w:type="dxa"/>
            <w:vAlign w:val="bottom"/>
          </w:tcPr>
          <w:p>
            <w:pPr>
              <w:spacing w:after="0"/>
              <w:rPr>
                <w:sz w:val="24"/>
                <w:szCs w:val="24"/>
                <w:color w:val="auto"/>
              </w:rPr>
            </w:pPr>
          </w:p>
        </w:tc>
        <w:tc>
          <w:tcPr>
            <w:tcW w:w="6000" w:type="dxa"/>
            <w:vAlign w:val="bottom"/>
          </w:tcPr>
          <w:p>
            <w:pPr>
              <w:ind w:left="160"/>
              <w:spacing w:after="0"/>
              <w:rPr>
                <w:sz w:val="20"/>
                <w:szCs w:val="20"/>
                <w:color w:val="auto"/>
              </w:rPr>
            </w:pPr>
            <w:r>
              <w:rPr>
                <w:rFonts w:ascii="Arial" w:cs="Arial" w:eastAsia="Arial" w:hAnsi="Arial"/>
                <w:sz w:val="16"/>
                <w:szCs w:val="16"/>
                <w:color w:val="auto"/>
              </w:rPr>
              <w:t>Extended performance period to two years for relative EBITDA margin metric</w:t>
            </w:r>
          </w:p>
        </w:tc>
      </w:tr>
      <w:tr>
        <w:trPr>
          <w:trHeight w:val="310"/>
        </w:trPr>
        <w:tc>
          <w:tcPr>
            <w:tcW w:w="3400" w:type="dxa"/>
            <w:vAlign w:val="bottom"/>
          </w:tcPr>
          <w:p>
            <w:pPr>
              <w:spacing w:after="0"/>
              <w:rPr>
                <w:sz w:val="24"/>
                <w:szCs w:val="24"/>
                <w:color w:val="auto"/>
              </w:rPr>
            </w:pPr>
          </w:p>
        </w:tc>
        <w:tc>
          <w:tcPr>
            <w:tcW w:w="6000" w:type="dxa"/>
            <w:vAlign w:val="bottom"/>
          </w:tcPr>
          <w:p>
            <w:pPr>
              <w:ind w:left="160"/>
              <w:spacing w:after="0"/>
              <w:rPr>
                <w:sz w:val="20"/>
                <w:szCs w:val="20"/>
                <w:color w:val="auto"/>
              </w:rPr>
            </w:pPr>
            <w:r>
              <w:rPr>
                <w:rFonts w:ascii="Arial" w:cs="Arial" w:eastAsia="Arial" w:hAnsi="Arial"/>
                <w:sz w:val="16"/>
                <w:szCs w:val="16"/>
                <w:color w:val="auto"/>
              </w:rPr>
              <w:t>Extended vesting period to two years for one-year emerging revenue growth</w:t>
            </w:r>
          </w:p>
        </w:tc>
      </w:tr>
      <w:tr>
        <w:trPr>
          <w:trHeight w:val="203"/>
        </w:trPr>
        <w:tc>
          <w:tcPr>
            <w:tcW w:w="3400" w:type="dxa"/>
            <w:vAlign w:val="bottom"/>
          </w:tcPr>
          <w:p>
            <w:pPr>
              <w:spacing w:after="0"/>
              <w:rPr>
                <w:sz w:val="17"/>
                <w:szCs w:val="17"/>
                <w:color w:val="auto"/>
              </w:rPr>
            </w:pPr>
          </w:p>
        </w:tc>
        <w:tc>
          <w:tcPr>
            <w:tcW w:w="6000" w:type="dxa"/>
            <w:vAlign w:val="bottom"/>
          </w:tcPr>
          <w:p>
            <w:pPr>
              <w:ind w:left="160"/>
              <w:spacing w:after="0"/>
              <w:rPr>
                <w:sz w:val="20"/>
                <w:szCs w:val="20"/>
                <w:color w:val="auto"/>
              </w:rPr>
            </w:pPr>
            <w:r>
              <w:rPr>
                <w:rFonts w:ascii="Arial" w:cs="Arial" w:eastAsia="Arial" w:hAnsi="Arial"/>
                <w:sz w:val="16"/>
                <w:szCs w:val="16"/>
                <w:color w:val="auto"/>
              </w:rPr>
              <w:t>metric</w:t>
            </w:r>
          </w:p>
        </w:tc>
      </w:tr>
      <w:tr>
        <w:trPr>
          <w:trHeight w:val="311"/>
        </w:trPr>
        <w:tc>
          <w:tcPr>
            <w:tcW w:w="3400" w:type="dxa"/>
            <w:vAlign w:val="bottom"/>
          </w:tcPr>
          <w:p>
            <w:pPr>
              <w:spacing w:after="0"/>
              <w:rPr>
                <w:sz w:val="24"/>
                <w:szCs w:val="24"/>
                <w:color w:val="auto"/>
              </w:rPr>
            </w:pPr>
          </w:p>
        </w:tc>
        <w:tc>
          <w:tcPr>
            <w:tcW w:w="6000" w:type="dxa"/>
            <w:vAlign w:val="bottom"/>
          </w:tcPr>
          <w:p>
            <w:pPr>
              <w:ind w:left="160"/>
              <w:spacing w:after="0"/>
              <w:rPr>
                <w:sz w:val="20"/>
                <w:szCs w:val="20"/>
                <w:color w:val="auto"/>
              </w:rPr>
            </w:pPr>
            <w:r>
              <w:rPr>
                <w:rFonts w:ascii="Arial" w:cs="Arial" w:eastAsia="Arial" w:hAnsi="Arial"/>
                <w:sz w:val="16"/>
                <w:szCs w:val="16"/>
                <w:color w:val="auto"/>
              </w:rPr>
              <w:t>Set target performance at 55th percentile of peer group for both relative</w:t>
            </w:r>
          </w:p>
        </w:tc>
      </w:tr>
      <w:tr>
        <w:trPr>
          <w:trHeight w:val="203"/>
        </w:trPr>
        <w:tc>
          <w:tcPr>
            <w:tcW w:w="3400" w:type="dxa"/>
            <w:vAlign w:val="bottom"/>
          </w:tcPr>
          <w:p>
            <w:pPr>
              <w:spacing w:after="0"/>
              <w:rPr>
                <w:sz w:val="17"/>
                <w:szCs w:val="17"/>
                <w:color w:val="auto"/>
              </w:rPr>
            </w:pPr>
          </w:p>
        </w:tc>
        <w:tc>
          <w:tcPr>
            <w:tcW w:w="6000" w:type="dxa"/>
            <w:vAlign w:val="bottom"/>
          </w:tcPr>
          <w:p>
            <w:pPr>
              <w:ind w:left="160"/>
              <w:spacing w:after="0"/>
              <w:rPr>
                <w:sz w:val="20"/>
                <w:szCs w:val="20"/>
                <w:color w:val="auto"/>
              </w:rPr>
            </w:pPr>
            <w:r>
              <w:rPr>
                <w:rFonts w:ascii="Arial" w:cs="Arial" w:eastAsia="Arial" w:hAnsi="Arial"/>
                <w:sz w:val="16"/>
                <w:szCs w:val="16"/>
                <w:color w:val="auto"/>
              </w:rPr>
              <w:t>EBITDA margin and TSR metrics</w:t>
            </w:r>
          </w:p>
        </w:tc>
      </w:tr>
      <w:tr>
        <w:trPr>
          <w:trHeight w:val="73"/>
        </w:trPr>
        <w:tc>
          <w:tcPr>
            <w:tcW w:w="3400" w:type="dxa"/>
            <w:vAlign w:val="bottom"/>
          </w:tcPr>
          <w:p>
            <w:pPr>
              <w:spacing w:after="0"/>
              <w:rPr>
                <w:sz w:val="6"/>
                <w:szCs w:val="6"/>
                <w:color w:val="auto"/>
              </w:rPr>
            </w:pPr>
          </w:p>
        </w:tc>
        <w:tc>
          <w:tcPr>
            <w:tcW w:w="6000" w:type="dxa"/>
            <w:vAlign w:val="bottom"/>
          </w:tcPr>
          <w:p>
            <w:pPr>
              <w:spacing w:after="0"/>
              <w:rPr>
                <w:sz w:val="6"/>
                <w:szCs w:val="6"/>
                <w:color w:val="auto"/>
              </w:rPr>
            </w:pPr>
          </w:p>
        </w:tc>
      </w:tr>
      <w:tr>
        <w:trPr>
          <w:trHeight w:val="237"/>
        </w:trPr>
        <w:tc>
          <w:tcPr>
            <w:tcW w:w="3400" w:type="dxa"/>
            <w:vAlign w:val="bottom"/>
            <w:shd w:val="clear" w:color="auto" w:fill="E5E5E5"/>
          </w:tcPr>
          <w:p>
            <w:pPr>
              <w:ind w:left="100"/>
              <w:spacing w:after="0"/>
              <w:rPr>
                <w:sz w:val="20"/>
                <w:szCs w:val="20"/>
                <w:color w:val="auto"/>
              </w:rPr>
            </w:pPr>
            <w:r>
              <w:rPr>
                <w:rFonts w:ascii="Arial" w:cs="Arial" w:eastAsia="Arial" w:hAnsi="Arial"/>
                <w:sz w:val="16"/>
                <w:szCs w:val="16"/>
                <w:b w:val="1"/>
                <w:bCs w:val="1"/>
                <w:color w:val="0076A8"/>
              </w:rPr>
              <w:t>Compensation Peer Group</w:t>
            </w:r>
          </w:p>
        </w:tc>
        <w:tc>
          <w:tcPr>
            <w:tcW w:w="6000" w:type="dxa"/>
            <w:vAlign w:val="bottom"/>
            <w:shd w:val="clear" w:color="auto" w:fill="E5E5E5"/>
          </w:tcPr>
          <w:p>
            <w:pPr>
              <w:ind w:left="160"/>
              <w:spacing w:after="0"/>
              <w:rPr>
                <w:sz w:val="20"/>
                <w:szCs w:val="20"/>
                <w:color w:val="auto"/>
              </w:rPr>
            </w:pPr>
            <w:r>
              <w:rPr>
                <w:rFonts w:ascii="Arial" w:cs="Arial" w:eastAsia="Arial" w:hAnsi="Arial"/>
                <w:sz w:val="16"/>
                <w:szCs w:val="16"/>
                <w:color w:val="auto"/>
              </w:rPr>
              <w:t>Adjusted peer group to remove certain large comparator companies and</w:t>
            </w:r>
          </w:p>
        </w:tc>
      </w:tr>
      <w:tr>
        <w:trPr>
          <w:trHeight w:val="216"/>
        </w:trPr>
        <w:tc>
          <w:tcPr>
            <w:tcW w:w="3400" w:type="dxa"/>
            <w:vAlign w:val="bottom"/>
            <w:tcBorders>
              <w:bottom w:val="single" w:sz="8" w:color="E5E5E5"/>
            </w:tcBorders>
            <w:shd w:val="clear" w:color="auto" w:fill="E5E5E5"/>
          </w:tcPr>
          <w:p>
            <w:pPr>
              <w:spacing w:after="0"/>
              <w:rPr>
                <w:sz w:val="18"/>
                <w:szCs w:val="18"/>
                <w:color w:val="auto"/>
              </w:rPr>
            </w:pPr>
          </w:p>
        </w:tc>
        <w:tc>
          <w:tcPr>
            <w:tcW w:w="6000" w:type="dxa"/>
            <w:vAlign w:val="bottom"/>
            <w:tcBorders>
              <w:bottom w:val="single" w:sz="8" w:color="E5E5E5"/>
            </w:tcBorders>
            <w:shd w:val="clear" w:color="auto" w:fill="E5E5E5"/>
          </w:tcPr>
          <w:p>
            <w:pPr>
              <w:ind w:left="160"/>
              <w:spacing w:after="0"/>
              <w:rPr>
                <w:sz w:val="20"/>
                <w:szCs w:val="20"/>
                <w:color w:val="auto"/>
              </w:rPr>
            </w:pPr>
            <w:r>
              <w:rPr>
                <w:rFonts w:ascii="Arial" w:cs="Arial" w:eastAsia="Arial" w:hAnsi="Arial"/>
                <w:sz w:val="16"/>
                <w:szCs w:val="16"/>
                <w:color w:val="auto"/>
              </w:rPr>
              <w:t>improve comparability</w:t>
            </w:r>
          </w:p>
        </w:tc>
      </w:tr>
      <w:tr>
        <w:trPr>
          <w:trHeight w:val="237"/>
        </w:trPr>
        <w:tc>
          <w:tcPr>
            <w:tcW w:w="3400" w:type="dxa"/>
            <w:vAlign w:val="bottom"/>
          </w:tcPr>
          <w:p>
            <w:pPr>
              <w:ind w:left="100"/>
              <w:spacing w:after="0"/>
              <w:rPr>
                <w:sz w:val="20"/>
                <w:szCs w:val="20"/>
                <w:color w:val="auto"/>
              </w:rPr>
            </w:pPr>
            <w:r>
              <w:rPr>
                <w:rFonts w:ascii="Arial" w:cs="Arial" w:eastAsia="Arial" w:hAnsi="Arial"/>
                <w:sz w:val="16"/>
                <w:szCs w:val="16"/>
                <w:b w:val="1"/>
                <w:bCs w:val="1"/>
                <w:color w:val="0076A8"/>
              </w:rPr>
              <w:t>Clawback Policy</w:t>
            </w:r>
          </w:p>
        </w:tc>
        <w:tc>
          <w:tcPr>
            <w:tcW w:w="6000" w:type="dxa"/>
            <w:vAlign w:val="bottom"/>
          </w:tcPr>
          <w:p>
            <w:pPr>
              <w:ind w:left="160"/>
              <w:spacing w:after="0"/>
              <w:rPr>
                <w:sz w:val="20"/>
                <w:szCs w:val="20"/>
                <w:color w:val="auto"/>
              </w:rPr>
            </w:pPr>
            <w:r>
              <w:rPr>
                <w:rFonts w:ascii="Arial" w:cs="Arial" w:eastAsia="Arial" w:hAnsi="Arial"/>
                <w:sz w:val="16"/>
                <w:szCs w:val="16"/>
                <w:color w:val="auto"/>
              </w:rPr>
              <w:t>Adopted a clawback policy that provides for recovery of incentive compensation</w:t>
            </w:r>
          </w:p>
        </w:tc>
      </w:tr>
      <w:tr>
        <w:trPr>
          <w:trHeight w:val="203"/>
        </w:trPr>
        <w:tc>
          <w:tcPr>
            <w:tcW w:w="3400" w:type="dxa"/>
            <w:vAlign w:val="bottom"/>
          </w:tcPr>
          <w:p>
            <w:pPr>
              <w:spacing w:after="0"/>
              <w:rPr>
                <w:sz w:val="17"/>
                <w:szCs w:val="17"/>
                <w:color w:val="auto"/>
              </w:rPr>
            </w:pPr>
          </w:p>
        </w:tc>
        <w:tc>
          <w:tcPr>
            <w:tcW w:w="6000" w:type="dxa"/>
            <w:vAlign w:val="bottom"/>
          </w:tcPr>
          <w:p>
            <w:pPr>
              <w:ind w:left="160"/>
              <w:spacing w:after="0"/>
              <w:rPr>
                <w:sz w:val="20"/>
                <w:szCs w:val="20"/>
                <w:color w:val="auto"/>
              </w:rPr>
            </w:pPr>
            <w:r>
              <w:rPr>
                <w:rFonts w:ascii="Arial" w:cs="Arial" w:eastAsia="Arial" w:hAnsi="Arial"/>
                <w:sz w:val="16"/>
                <w:szCs w:val="16"/>
                <w:color w:val="auto"/>
              </w:rPr>
              <w:t>from executive officers in the event of a financial restatement</w:t>
            </w:r>
          </w:p>
        </w:tc>
      </w:tr>
    </w:tbl>
    <w:p>
      <w:pPr>
        <w:spacing w:after="0" w:line="185" w:lineRule="exact"/>
        <w:rPr>
          <w:sz w:val="20"/>
          <w:szCs w:val="20"/>
          <w:color w:val="auto"/>
        </w:rPr>
      </w:pPr>
    </w:p>
    <w:p>
      <w:pPr>
        <w:sectPr>
          <w:pgSz w:w="11900" w:h="16838" w:orient="portrait"/>
          <w:cols w:equalWidth="0" w:num="1">
            <w:col w:w="10720"/>
          </w:cols>
          <w:pgMar w:left="580" w:top="131" w:right="599" w:bottom="1440" w:gutter="0" w:footer="0" w:header="0"/>
        </w:sectPr>
      </w:pPr>
    </w:p>
    <w:p>
      <w:pPr>
        <w:ind w:left="660" w:right="440"/>
        <w:spacing w:after="0" w:line="273" w:lineRule="auto"/>
        <w:rPr>
          <w:sz w:val="20"/>
          <w:szCs w:val="20"/>
          <w:color w:val="auto"/>
        </w:rPr>
      </w:pPr>
      <w:r>
        <w:rPr>
          <w:rFonts w:ascii="Arial" w:cs="Arial" w:eastAsia="Arial" w:hAnsi="Arial"/>
          <w:sz w:val="23"/>
          <w:szCs w:val="23"/>
          <w:b w:val="1"/>
          <w:bCs w:val="1"/>
          <w:i w:val="1"/>
          <w:iCs w:val="1"/>
          <w:color w:val="auto"/>
        </w:rPr>
        <w:t>Approach for Determining Form and Amounts of Compensation</w:t>
      </w:r>
    </w:p>
    <w:p>
      <w:pPr>
        <w:spacing w:after="0" w:line="66" w:lineRule="exact"/>
        <w:rPr>
          <w:sz w:val="20"/>
          <w:szCs w:val="20"/>
          <w:color w:val="auto"/>
        </w:rPr>
      </w:pPr>
    </w:p>
    <w:p>
      <w:pPr>
        <w:ind w:left="660"/>
        <w:spacing w:after="0" w:line="253" w:lineRule="auto"/>
        <w:rPr>
          <w:sz w:val="20"/>
          <w:szCs w:val="20"/>
          <w:color w:val="auto"/>
        </w:rPr>
      </w:pPr>
      <w:r>
        <w:rPr>
          <w:rFonts w:ascii="Arial" w:cs="Arial" w:eastAsia="Arial" w:hAnsi="Arial"/>
          <w:sz w:val="19"/>
          <w:szCs w:val="19"/>
          <w:color w:val="191919"/>
        </w:rPr>
        <w:t>The Compensation Committee, which is composed solely of independent directors within the meaning of applicable Nasdaq Rules and non-employee directors within the meaning of Rule 16b-3 under the Exchange Act and is described above under “</w:t>
      </w:r>
      <w:r>
        <w:rPr>
          <w:rFonts w:ascii="Arial" w:cs="Arial" w:eastAsia="Arial" w:hAnsi="Arial"/>
          <w:sz w:val="19"/>
          <w:szCs w:val="19"/>
          <w:i w:val="1"/>
          <w:iCs w:val="1"/>
          <w:color w:val="191919"/>
        </w:rPr>
        <w:t>Committees of the Board of Directors</w:t>
      </w:r>
      <w:r>
        <w:rPr>
          <w:rFonts w:ascii="Arial" w:cs="Arial" w:eastAsia="Arial" w:hAnsi="Arial"/>
          <w:sz w:val="19"/>
          <w:szCs w:val="19"/>
          <w:color w:val="191919"/>
        </w:rPr>
        <w:t>,” is responsible for determining all components and amounts of compensation to be paid to our Named Executive Officers, as well as any other executive officers or employees who report directly to the Chief Executive Officer. The Compensation Committee sets compensation for the Named Executive Officers, including base salary, short-term incentives, and long-term stock-based incentives, at levels generally intended to be competitive with the compensation of comparable executives in semiconductor companies with which we compete for executive talent and to link the compensation of our Named Executive Officers to improvements in the Company’s financial performance and increases in stockholder value.</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0076A8"/>
        </w:rPr>
        <w:t>Compensation Program Objectives</w:t>
      </w:r>
    </w:p>
    <w:p>
      <w:pPr>
        <w:spacing w:after="0" w:line="150" w:lineRule="exact"/>
        <w:rPr>
          <w:sz w:val="20"/>
          <w:szCs w:val="20"/>
          <w:color w:val="auto"/>
        </w:rPr>
      </w:pPr>
    </w:p>
    <w:p>
      <w:pPr>
        <w:ind w:left="660" w:right="60"/>
        <w:spacing w:after="0"/>
        <w:rPr>
          <w:sz w:val="20"/>
          <w:szCs w:val="20"/>
          <w:color w:val="auto"/>
        </w:rPr>
      </w:pPr>
      <w:r>
        <w:rPr>
          <w:rFonts w:ascii="Arial" w:cs="Arial" w:eastAsia="Arial" w:hAnsi="Arial"/>
          <w:sz w:val="20"/>
          <w:szCs w:val="20"/>
          <w:color w:val="191919"/>
        </w:rPr>
        <w:t>The objectives of our executive compensation program are to attract, retain, and motivate highly qualified executives to operate our business, and to link the compensation of those executives to improvements in the Company’s financial performance and increases in stockholder value. Accordingly, the Compensation Committee’s goals in establishing our executive compensation program include:</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ind w:left="183" w:right="980" w:hanging="183"/>
        <w:spacing w:after="0" w:line="253" w:lineRule="auto"/>
        <w:tabs>
          <w:tab w:leader="none" w:pos="183" w:val="left"/>
        </w:tabs>
        <w:numPr>
          <w:ilvl w:val="0"/>
          <w:numId w:val="41"/>
        </w:numPr>
        <w:rPr>
          <w:rFonts w:ascii="Arial" w:cs="Arial" w:eastAsia="Arial" w:hAnsi="Arial"/>
          <w:sz w:val="20"/>
          <w:szCs w:val="20"/>
          <w:color w:val="auto"/>
        </w:rPr>
      </w:pPr>
      <w:r>
        <w:rPr>
          <w:rFonts w:ascii="Arial" w:cs="Arial" w:eastAsia="Arial" w:hAnsi="Arial"/>
          <w:sz w:val="20"/>
          <w:szCs w:val="20"/>
          <w:color w:val="auto"/>
        </w:rPr>
        <w:t>ensuring that our executive compensation program is competitive with a group of companies in the semiconductor industry with which we compete for executive talent;</w:t>
      </w:r>
    </w:p>
    <w:p>
      <w:pPr>
        <w:spacing w:after="0" w:line="2" w:lineRule="exact"/>
        <w:rPr>
          <w:rFonts w:ascii="Arial" w:cs="Arial" w:eastAsia="Arial" w:hAnsi="Arial"/>
          <w:sz w:val="20"/>
          <w:szCs w:val="20"/>
          <w:color w:val="auto"/>
        </w:rPr>
      </w:pPr>
    </w:p>
    <w:p>
      <w:pPr>
        <w:ind w:left="183" w:right="800" w:hanging="183"/>
        <w:spacing w:after="0" w:line="250" w:lineRule="auto"/>
        <w:tabs>
          <w:tab w:leader="none" w:pos="183" w:val="left"/>
        </w:tabs>
        <w:numPr>
          <w:ilvl w:val="0"/>
          <w:numId w:val="41"/>
        </w:numPr>
        <w:rPr>
          <w:rFonts w:ascii="Arial" w:cs="Arial" w:eastAsia="Arial" w:hAnsi="Arial"/>
          <w:sz w:val="20"/>
          <w:szCs w:val="20"/>
          <w:color w:val="auto"/>
        </w:rPr>
      </w:pPr>
      <w:r>
        <w:rPr>
          <w:rFonts w:ascii="Arial" w:cs="Arial" w:eastAsia="Arial" w:hAnsi="Arial"/>
          <w:sz w:val="20"/>
          <w:szCs w:val="20"/>
          <w:color w:val="auto"/>
        </w:rPr>
        <w:t>providing a base salary that serves as the foundation of a compensation package that attracts and retains the executive talent needed to achieve our business objectives;</w:t>
      </w:r>
    </w:p>
    <w:p>
      <w:pPr>
        <w:ind w:left="183" w:right="780" w:hanging="183"/>
        <w:spacing w:after="0" w:line="253" w:lineRule="auto"/>
        <w:tabs>
          <w:tab w:leader="none" w:pos="183" w:val="left"/>
        </w:tabs>
        <w:numPr>
          <w:ilvl w:val="0"/>
          <w:numId w:val="41"/>
        </w:numPr>
        <w:rPr>
          <w:rFonts w:ascii="Arial" w:cs="Arial" w:eastAsia="Arial" w:hAnsi="Arial"/>
          <w:sz w:val="20"/>
          <w:szCs w:val="20"/>
          <w:color w:val="auto"/>
        </w:rPr>
      </w:pPr>
      <w:r>
        <w:rPr>
          <w:rFonts w:ascii="Arial" w:cs="Arial" w:eastAsia="Arial" w:hAnsi="Arial"/>
          <w:sz w:val="20"/>
          <w:szCs w:val="20"/>
          <w:color w:val="auto"/>
        </w:rPr>
        <w:t>providing short-term variable compensation that motivates executives and rewards them for achieving Company financial performance targets;</w:t>
      </w:r>
    </w:p>
    <w:p>
      <w:pPr>
        <w:spacing w:after="0" w:line="2" w:lineRule="exact"/>
        <w:rPr>
          <w:rFonts w:ascii="Arial" w:cs="Arial" w:eastAsia="Arial" w:hAnsi="Arial"/>
          <w:sz w:val="20"/>
          <w:szCs w:val="20"/>
          <w:color w:val="auto"/>
        </w:rPr>
      </w:pPr>
    </w:p>
    <w:p>
      <w:pPr>
        <w:ind w:left="183" w:right="860" w:hanging="183"/>
        <w:spacing w:after="0" w:line="266" w:lineRule="auto"/>
        <w:tabs>
          <w:tab w:leader="none" w:pos="183" w:val="left"/>
        </w:tabs>
        <w:numPr>
          <w:ilvl w:val="0"/>
          <w:numId w:val="41"/>
        </w:numPr>
        <w:rPr>
          <w:rFonts w:ascii="Arial" w:cs="Arial" w:eastAsia="Arial" w:hAnsi="Arial"/>
          <w:sz w:val="19"/>
          <w:szCs w:val="19"/>
          <w:color w:val="auto"/>
        </w:rPr>
      </w:pPr>
      <w:r>
        <w:rPr>
          <w:rFonts w:ascii="Arial" w:cs="Arial" w:eastAsia="Arial" w:hAnsi="Arial"/>
          <w:sz w:val="19"/>
          <w:szCs w:val="19"/>
          <w:color w:val="auto"/>
        </w:rPr>
        <w:t>providing long-term stock-based compensation that aligns the interest of our executives with stockholders by rewarding them for long-term increases in stockholder value; and</w:t>
      </w:r>
    </w:p>
    <w:p>
      <w:pPr>
        <w:spacing w:after="0" w:line="3" w:lineRule="exact"/>
        <w:rPr>
          <w:rFonts w:ascii="Arial" w:cs="Arial" w:eastAsia="Arial" w:hAnsi="Arial"/>
          <w:sz w:val="19"/>
          <w:szCs w:val="19"/>
          <w:color w:val="auto"/>
        </w:rPr>
      </w:pPr>
    </w:p>
    <w:p>
      <w:pPr>
        <w:ind w:left="183" w:right="680" w:hanging="183"/>
        <w:spacing w:after="0" w:line="257" w:lineRule="auto"/>
        <w:tabs>
          <w:tab w:leader="none" w:pos="183" w:val="left"/>
        </w:tabs>
        <w:numPr>
          <w:ilvl w:val="0"/>
          <w:numId w:val="41"/>
        </w:numPr>
        <w:rPr>
          <w:rFonts w:ascii="Arial" w:cs="Arial" w:eastAsia="Arial" w:hAnsi="Arial"/>
          <w:sz w:val="20"/>
          <w:szCs w:val="20"/>
          <w:color w:val="auto"/>
        </w:rPr>
      </w:pPr>
      <w:r>
        <w:rPr>
          <w:rFonts w:ascii="Arial" w:cs="Arial" w:eastAsia="Arial" w:hAnsi="Arial"/>
          <w:sz w:val="20"/>
          <w:szCs w:val="20"/>
          <w:color w:val="auto"/>
        </w:rPr>
        <w:t>ensuring that our executive compensation program is perceived as fundamentally fair to our employees.</w:t>
      </w:r>
    </w:p>
    <w:p>
      <w:pPr>
        <w:spacing w:after="0" w:line="168" w:lineRule="exact"/>
        <w:rPr>
          <w:sz w:val="20"/>
          <w:szCs w:val="20"/>
          <w:color w:val="auto"/>
        </w:rPr>
      </w:pPr>
    </w:p>
    <w:p>
      <w:pPr>
        <w:ind w:left="3"/>
        <w:spacing w:after="0"/>
        <w:rPr>
          <w:sz w:val="20"/>
          <w:szCs w:val="20"/>
          <w:color w:val="auto"/>
        </w:rPr>
      </w:pPr>
      <w:r>
        <w:rPr>
          <w:rFonts w:ascii="Arial" w:cs="Arial" w:eastAsia="Arial" w:hAnsi="Arial"/>
          <w:sz w:val="22"/>
          <w:szCs w:val="22"/>
          <w:i w:val="1"/>
          <w:iCs w:val="1"/>
          <w:color w:val="0076A8"/>
        </w:rPr>
        <w:t>Retention of Compensation Consultant</w:t>
      </w:r>
    </w:p>
    <w:p>
      <w:pPr>
        <w:spacing w:after="0" w:line="150" w:lineRule="exact"/>
        <w:rPr>
          <w:sz w:val="20"/>
          <w:szCs w:val="20"/>
          <w:color w:val="auto"/>
        </w:rPr>
      </w:pPr>
    </w:p>
    <w:p>
      <w:pPr>
        <w:ind w:left="3" w:right="740"/>
        <w:spacing w:after="0" w:line="254" w:lineRule="auto"/>
        <w:rPr>
          <w:sz w:val="20"/>
          <w:szCs w:val="20"/>
          <w:color w:val="auto"/>
        </w:rPr>
      </w:pPr>
      <w:r>
        <w:rPr>
          <w:rFonts w:ascii="Arial" w:cs="Arial" w:eastAsia="Arial" w:hAnsi="Arial"/>
          <w:sz w:val="20"/>
          <w:szCs w:val="20"/>
          <w:color w:val="191919"/>
        </w:rPr>
        <w:t>The Compensation Committee has engaged Aon/ Radford to assist in determining the components and amount of executive compensation. Aon/ Radford reports directly to the Compensation Committee, through its chairman, and the Compensation Committee retains the right to terminate or replace the consultant at any time. The Compensation Committee has considered the relationships that Aon/Radford has with the Company, the members of the Compensation Committee and our executive officers, as well as the policies that Aon/Radford has in place to maintain its independence and objectivity, and has determined that Aon/Radford’s work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-460375</wp:posOffset>
            </wp:positionH>
            <wp:positionV relativeFrom="paragraph">
              <wp:posOffset>230505</wp:posOffset>
            </wp:positionV>
            <wp:extent cx="779780" cy="25717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79780" cy="2571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20" w:space="457"/>
            <w:col w:w="5143"/>
          </w:cols>
          <w:pgMar w:left="580" w:top="131" w:right="599" w:bottom="1440" w:gutter="0" w:footer="0" w:header="0"/>
          <w:type w:val="continuous"/>
        </w:sect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860" w:type="dxa"/>
            <w:vAlign w:val="bottom"/>
          </w:tcPr>
          <w:p>
            <w:pPr>
              <w:ind w:left="660"/>
              <w:spacing w:after="0"/>
              <w:rPr>
                <w:sz w:val="20"/>
                <w:szCs w:val="20"/>
                <w:color w:val="auto"/>
              </w:rPr>
            </w:pPr>
            <w:r>
              <w:rPr>
                <w:rFonts w:ascii="Arial" w:cs="Arial" w:eastAsia="Arial" w:hAnsi="Arial"/>
                <w:sz w:val="16"/>
                <w:szCs w:val="16"/>
                <w:color w:val="auto"/>
              </w:rPr>
              <w:t>Proxy Statement</w:t>
            </w:r>
          </w:p>
        </w:tc>
        <w:tc>
          <w:tcPr>
            <w:tcW w:w="4860" w:type="dxa"/>
            <w:vAlign w:val="bottom"/>
          </w:tcPr>
          <w:p>
            <w:pPr>
              <w:jc w:val="right"/>
              <w:ind w:right="579"/>
              <w:spacing w:after="0"/>
              <w:rPr>
                <w:sz w:val="20"/>
                <w:szCs w:val="20"/>
                <w:color w:val="auto"/>
              </w:rPr>
            </w:pPr>
            <w:r>
              <w:rPr>
                <w:rFonts w:ascii="Arial" w:cs="Arial" w:eastAsia="Arial" w:hAnsi="Arial"/>
                <w:sz w:val="16"/>
                <w:szCs w:val="16"/>
                <w:color w:val="auto"/>
              </w:rPr>
              <w:t>33</w:t>
            </w:r>
          </w:p>
        </w:tc>
      </w:tr>
      <w:tr>
        <w:trPr>
          <w:trHeight w:val="297"/>
        </w:trPr>
        <w:tc>
          <w:tcPr>
            <w:tcW w:w="5860" w:type="dxa"/>
            <w:vAlign w:val="bottom"/>
            <w:tcBorders>
              <w:bottom w:val="single" w:sz="8" w:color="9A9A9A"/>
            </w:tcBorders>
          </w:tcPr>
          <w:p>
            <w:pPr>
              <w:spacing w:after="0"/>
              <w:rPr>
                <w:sz w:val="24"/>
                <w:szCs w:val="24"/>
                <w:color w:val="auto"/>
              </w:rPr>
            </w:pPr>
          </w:p>
        </w:tc>
        <w:tc>
          <w:tcPr>
            <w:tcW w:w="4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type w:val="continuous"/>
        </w:sectPr>
      </w:pPr>
    </w:p>
    <w:bookmarkStart w:id="38" w:name="page39"/>
    <w:bookmarkEnd w:id="38"/>
    <w:p>
      <w:pPr>
        <w:spacing w:after="0"/>
        <w:rPr>
          <w:rFonts w:ascii="Arial" w:cs="Arial" w:eastAsia="Arial" w:hAnsi="Arial"/>
          <w:sz w:val="14"/>
          <w:szCs w:val="14"/>
          <w:color w:val="003366"/>
        </w:rPr>
      </w:pPr>
      <w:hyperlink w:anchor="page35">
        <w:r>
          <w:rPr>
            <w:rFonts w:ascii="Arial" w:cs="Arial" w:eastAsia="Arial" w:hAnsi="Arial"/>
            <w:sz w:val="14"/>
            <w:szCs w:val="14"/>
            <w:color w:val="003366"/>
          </w:rPr>
          <w:t>TABLE OF CONTENTS</w:t>
        </w:r>
      </w:hyperlink>
    </w:p>
    <w:p>
      <w:pPr>
        <w:sectPr>
          <w:pgSz w:w="11900" w:h="16838" w:orient="portrait"/>
          <w:cols w:equalWidth="0" w:num="1">
            <w:col w:w="10060"/>
          </w:cols>
          <w:pgMar w:left="580" w:top="132" w:right="1259" w:bottom="1440" w:gutter="0" w:footer="0" w:header="0"/>
        </w:sectPr>
      </w:pPr>
    </w:p>
    <w:p>
      <w:pPr>
        <w:spacing w:after="0" w:line="200" w:lineRule="exact"/>
        <w:rPr>
          <w:sz w:val="20"/>
          <w:szCs w:val="20"/>
          <w:color w:val="auto"/>
        </w:rPr>
      </w:pPr>
    </w:p>
    <w:p>
      <w:pPr>
        <w:spacing w:after="0" w:line="278" w:lineRule="exact"/>
        <w:rPr>
          <w:sz w:val="20"/>
          <w:szCs w:val="20"/>
          <w:color w:val="auto"/>
        </w:rPr>
      </w:pPr>
    </w:p>
    <w:p>
      <w:pPr>
        <w:ind w:left="660"/>
        <w:spacing w:after="0" w:line="253" w:lineRule="auto"/>
        <w:rPr>
          <w:sz w:val="20"/>
          <w:szCs w:val="20"/>
          <w:color w:val="auto"/>
        </w:rPr>
      </w:pPr>
      <w:r>
        <w:rPr>
          <w:rFonts w:ascii="Arial" w:cs="Arial" w:eastAsia="Arial" w:hAnsi="Arial"/>
          <w:sz w:val="19"/>
          <w:szCs w:val="19"/>
          <w:color w:val="191919"/>
        </w:rPr>
        <w:t>Compensation Committee has not raised any conflicts of interest. Company management also purchases published compensation and benefits surveys from Aon/Radford, and on occasion engages certain affiliates of Aon/Radford in various jurisdictions for services unrelated to executive compensation and benefits, engagements for which the Company’s management has not sought the Compensation Committee’s approval. The fees paid to Aon/Radford and its affiliates in fiscal year 2021 for these surveys and additional services did not exceed $120,000.</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0076A8"/>
        </w:rPr>
        <w:t>Use of Comparator Group Data</w:t>
      </w:r>
    </w:p>
    <w:p>
      <w:pPr>
        <w:spacing w:after="0" w:line="150" w:lineRule="exact"/>
        <w:rPr>
          <w:sz w:val="20"/>
          <w:szCs w:val="20"/>
          <w:color w:val="auto"/>
        </w:rPr>
      </w:pPr>
    </w:p>
    <w:p>
      <w:pPr>
        <w:ind w:left="660" w:right="40"/>
        <w:spacing w:after="0" w:line="255" w:lineRule="auto"/>
        <w:rPr>
          <w:sz w:val="20"/>
          <w:szCs w:val="20"/>
          <w:color w:val="auto"/>
        </w:rPr>
      </w:pPr>
      <w:r>
        <w:rPr>
          <w:rFonts w:ascii="Arial" w:cs="Arial" w:eastAsia="Arial" w:hAnsi="Arial"/>
          <w:sz w:val="19"/>
          <w:szCs w:val="19"/>
          <w:color w:val="191919"/>
        </w:rPr>
        <w:t>The Compensation Committee annually compares the components and amounts of compensation that we provide to our Chief Executive Officer and each of the other Named Executive Officers with “Comparator Group” data for each position and uses this comparison data to help inform its review and determination of base salaries,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1" w:lineRule="exact"/>
        <w:rPr>
          <w:sz w:val="20"/>
          <w:szCs w:val="20"/>
          <w:color w:val="auto"/>
        </w:rPr>
      </w:pPr>
    </w:p>
    <w:p>
      <w:pPr>
        <w:ind w:right="60"/>
        <w:spacing w:after="0" w:line="253" w:lineRule="auto"/>
        <w:rPr>
          <w:sz w:val="20"/>
          <w:szCs w:val="20"/>
          <w:color w:val="auto"/>
        </w:rPr>
      </w:pPr>
      <w:r>
        <w:rPr>
          <w:rFonts w:ascii="Arial" w:cs="Arial" w:eastAsia="Arial" w:hAnsi="Arial"/>
          <w:sz w:val="20"/>
          <w:szCs w:val="20"/>
          <w:color w:val="191919"/>
        </w:rPr>
        <w:t>short-term incentives, and long-term stock-based compensation awards, as discussed in further detail below under “</w:t>
      </w:r>
      <w:r>
        <w:rPr>
          <w:rFonts w:ascii="Arial" w:cs="Arial" w:eastAsia="Arial" w:hAnsi="Arial"/>
          <w:sz w:val="20"/>
          <w:szCs w:val="20"/>
          <w:i w:val="1"/>
          <w:iCs w:val="1"/>
          <w:color w:val="000000"/>
        </w:rPr>
        <w:t>Components of</w:t>
      </w:r>
      <w:r>
        <w:rPr>
          <w:rFonts w:ascii="Arial" w:cs="Arial" w:eastAsia="Arial" w:hAnsi="Arial"/>
          <w:sz w:val="20"/>
          <w:szCs w:val="20"/>
          <w:color w:val="191919"/>
        </w:rPr>
        <w:t xml:space="preserve"> </w:t>
      </w:r>
      <w:r>
        <w:rPr>
          <w:rFonts w:ascii="Arial" w:cs="Arial" w:eastAsia="Arial" w:hAnsi="Arial"/>
          <w:sz w:val="20"/>
          <w:szCs w:val="20"/>
          <w:i w:val="1"/>
          <w:iCs w:val="1"/>
          <w:color w:val="000000"/>
        </w:rPr>
        <w:t>Compensation</w:t>
      </w:r>
      <w:r>
        <w:rPr>
          <w:rFonts w:ascii="Arial" w:cs="Arial" w:eastAsia="Arial" w:hAnsi="Arial"/>
          <w:sz w:val="20"/>
          <w:szCs w:val="20"/>
          <w:color w:val="191919"/>
        </w:rPr>
        <w:t>.” For fiscal year 2021, the</w:t>
      </w:r>
      <w:r>
        <w:rPr>
          <w:rFonts w:ascii="Arial" w:cs="Arial" w:eastAsia="Arial" w:hAnsi="Arial"/>
          <w:sz w:val="20"/>
          <w:szCs w:val="20"/>
          <w:i w:val="1"/>
          <w:iCs w:val="1"/>
          <w:color w:val="000000"/>
        </w:rPr>
        <w:t xml:space="preserve"> </w:t>
      </w:r>
      <w:r>
        <w:rPr>
          <w:rFonts w:ascii="Arial" w:cs="Arial" w:eastAsia="Arial" w:hAnsi="Arial"/>
          <w:sz w:val="20"/>
          <w:szCs w:val="20"/>
          <w:color w:val="191919"/>
        </w:rPr>
        <w:t>Compensation Committee approved Comparator Group data consisting of a 50/50 blend of (i) Aon/ Radford survey data of semiconductor companies (where sufficient data was not available in the Aon/Radford semiconductor survey data for a given executive position, the Comparator Group data also included survey data regarding high-technology companies), and (ii) data from the group of 16 publicly traded semiconductor companies listed below. Our selected peer group for fiscal year 2021 remained unchanged from that used by the Compensation Committee for the prior fiscal year. The peer group includes many business competitors, as well as certain larger semiconductor companies with which we compete for executive talent.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-3128645</wp:posOffset>
            </wp:positionH>
            <wp:positionV relativeFrom="paragraph">
              <wp:posOffset>215265</wp:posOffset>
            </wp:positionV>
            <wp:extent cx="5974715" cy="26543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974715" cy="265430"/>
                    </a:xfrm>
                    <a:prstGeom prst="rect">
                      <a:avLst/>
                    </a:prstGeom>
                    <a:noFill/>
                  </pic:spPr>
                </pic:pic>
              </a:graphicData>
            </a:graphic>
          </wp:anchor>
        </w:drawing>
      </w:r>
    </w:p>
    <w:p>
      <w:pPr>
        <w:spacing w:after="0" w:line="310" w:lineRule="exact"/>
        <w:rPr>
          <w:sz w:val="20"/>
          <w:szCs w:val="20"/>
          <w:color w:val="auto"/>
        </w:rPr>
      </w:pPr>
    </w:p>
    <w:p>
      <w:pPr>
        <w:sectPr>
          <w:pgSz w:w="11900" w:h="16838" w:orient="portrait"/>
          <w:cols w:equalWidth="0" w:num="2">
            <w:col w:w="5120" w:space="460"/>
            <w:col w:w="4480"/>
          </w:cols>
          <w:pgMar w:left="580" w:top="132" w:right="1259" w:bottom="1440" w:gutter="0" w:footer="0" w:header="0"/>
          <w:type w:val="continuous"/>
        </w:sectPr>
      </w:pPr>
    </w:p>
    <w:p>
      <w:pPr>
        <w:spacing w:after="0" w:line="122" w:lineRule="exact"/>
        <w:rPr>
          <w:sz w:val="20"/>
          <w:szCs w:val="20"/>
          <w:color w:val="auto"/>
        </w:rPr>
      </w:pPr>
    </w:p>
    <w:p>
      <w:pPr>
        <w:ind w:left="3360"/>
        <w:spacing w:after="0"/>
        <w:rPr>
          <w:sz w:val="20"/>
          <w:szCs w:val="20"/>
          <w:color w:val="auto"/>
        </w:rPr>
      </w:pPr>
      <w:r>
        <w:rPr>
          <w:rFonts w:ascii="Arial" w:cs="Arial" w:eastAsia="Arial" w:hAnsi="Arial"/>
          <w:sz w:val="18"/>
          <w:szCs w:val="18"/>
          <w:color w:val="FFFFFF"/>
        </w:rPr>
        <w:t>Peer Group for Fiscal Year 2021 Compensation(1)</w:t>
      </w:r>
    </w:p>
    <w:p>
      <w:pPr>
        <w:spacing w:after="0" w:line="84" w:lineRule="exact"/>
        <w:rPr>
          <w:sz w:val="20"/>
          <w:szCs w:val="20"/>
          <w:color w:val="auto"/>
        </w:rPr>
      </w:pPr>
    </w:p>
    <w:tbl>
      <w:tblPr>
        <w:tblLayout w:type="fixed"/>
        <w:tblInd w:w="660" w:type="dxa"/>
        <w:tblCellMar>
          <w:top w:w="0" w:type="dxa"/>
          <w:left w:w="0" w:type="dxa"/>
          <w:bottom w:w="0" w:type="dxa"/>
          <w:right w:w="0" w:type="dxa"/>
        </w:tblCellMar>
      </w:tblPr>
      <w:tr>
        <w:trPr>
          <w:trHeight w:val="305"/>
        </w:trPr>
        <w:tc>
          <w:tcPr>
            <w:tcW w:w="80" w:type="dxa"/>
            <w:vAlign w:val="bottom"/>
            <w:tcBorders>
              <w:top w:val="single" w:sz="8" w:color="E5E5E5"/>
            </w:tcBorders>
            <w:shd w:val="clear" w:color="auto" w:fill="E5E5E5"/>
          </w:tcPr>
          <w:p>
            <w:pPr>
              <w:spacing w:after="0"/>
              <w:rPr>
                <w:sz w:val="24"/>
                <w:szCs w:val="24"/>
                <w:color w:val="auto"/>
              </w:rPr>
            </w:pPr>
          </w:p>
        </w:tc>
        <w:tc>
          <w:tcPr>
            <w:tcW w:w="2080" w:type="dxa"/>
            <w:vAlign w:val="bottom"/>
            <w:tcBorders>
              <w:top w:val="single" w:sz="8" w:color="0076A8"/>
            </w:tcBorders>
            <w:shd w:val="clear" w:color="auto" w:fill="E5E5E5"/>
          </w:tcPr>
          <w:p>
            <w:pPr>
              <w:ind w:left="20"/>
              <w:spacing w:after="0"/>
              <w:rPr>
                <w:sz w:val="20"/>
                <w:szCs w:val="20"/>
                <w:color w:val="auto"/>
              </w:rPr>
            </w:pPr>
            <w:r>
              <w:rPr>
                <w:rFonts w:ascii="Arial" w:cs="Arial" w:eastAsia="Arial" w:hAnsi="Arial"/>
                <w:sz w:val="16"/>
                <w:szCs w:val="16"/>
                <w:color w:val="auto"/>
              </w:rPr>
              <w:t>Advanced Micro Devices</w:t>
            </w:r>
          </w:p>
        </w:tc>
        <w:tc>
          <w:tcPr>
            <w:tcW w:w="2420" w:type="dxa"/>
            <w:vAlign w:val="bottom"/>
            <w:tcBorders>
              <w:top w:val="single" w:sz="8" w:color="0076A8"/>
            </w:tcBorders>
            <w:shd w:val="clear" w:color="auto" w:fill="E5E5E5"/>
          </w:tcPr>
          <w:p>
            <w:pPr>
              <w:ind w:left="280"/>
              <w:spacing w:after="0"/>
              <w:rPr>
                <w:sz w:val="20"/>
                <w:szCs w:val="20"/>
                <w:color w:val="auto"/>
              </w:rPr>
            </w:pPr>
            <w:r>
              <w:rPr>
                <w:rFonts w:ascii="Arial" w:cs="Arial" w:eastAsia="Arial" w:hAnsi="Arial"/>
                <w:sz w:val="16"/>
                <w:szCs w:val="16"/>
                <w:color w:val="auto"/>
              </w:rPr>
              <w:t>KLA Corporation</w:t>
            </w:r>
          </w:p>
        </w:tc>
        <w:tc>
          <w:tcPr>
            <w:tcW w:w="2180" w:type="dxa"/>
            <w:vAlign w:val="bottom"/>
            <w:tcBorders>
              <w:top w:val="single" w:sz="8" w:color="0076A8"/>
            </w:tcBorders>
            <w:shd w:val="clear" w:color="auto" w:fill="E5E5E5"/>
          </w:tcPr>
          <w:p>
            <w:pPr>
              <w:ind w:left="240"/>
              <w:spacing w:after="0"/>
              <w:rPr>
                <w:sz w:val="20"/>
                <w:szCs w:val="20"/>
                <w:color w:val="auto"/>
              </w:rPr>
            </w:pPr>
            <w:r>
              <w:rPr>
                <w:rFonts w:ascii="Arial" w:cs="Arial" w:eastAsia="Arial" w:hAnsi="Arial"/>
                <w:sz w:val="16"/>
                <w:szCs w:val="16"/>
                <w:color w:val="auto"/>
              </w:rPr>
              <w:t>Microchip Technology</w:t>
            </w:r>
          </w:p>
        </w:tc>
        <w:tc>
          <w:tcPr>
            <w:tcW w:w="2640" w:type="dxa"/>
            <w:vAlign w:val="bottom"/>
            <w:tcBorders>
              <w:top w:val="single" w:sz="8" w:color="0076A8"/>
            </w:tcBorders>
            <w:shd w:val="clear" w:color="auto" w:fill="E5E5E5"/>
          </w:tcPr>
          <w:p>
            <w:pPr>
              <w:ind w:left="420"/>
              <w:spacing w:after="0"/>
              <w:rPr>
                <w:sz w:val="20"/>
                <w:szCs w:val="20"/>
                <w:color w:val="auto"/>
              </w:rPr>
            </w:pPr>
            <w:r>
              <w:rPr>
                <w:rFonts w:ascii="Arial" w:cs="Arial" w:eastAsia="Arial" w:hAnsi="Arial"/>
                <w:sz w:val="16"/>
                <w:szCs w:val="16"/>
                <w:color w:val="auto"/>
              </w:rPr>
              <w:t>Qorvo</w:t>
            </w:r>
          </w:p>
        </w:tc>
      </w:tr>
      <w:tr>
        <w:trPr>
          <w:trHeight w:val="100"/>
        </w:trPr>
        <w:tc>
          <w:tcPr>
            <w:tcW w:w="80" w:type="dxa"/>
            <w:vAlign w:val="bottom"/>
            <w:shd w:val="clear" w:color="auto" w:fill="E5E5E5"/>
          </w:tcPr>
          <w:p>
            <w:pPr>
              <w:spacing w:after="0"/>
              <w:rPr>
                <w:sz w:val="8"/>
                <w:szCs w:val="8"/>
                <w:color w:val="auto"/>
              </w:rPr>
            </w:pPr>
          </w:p>
        </w:tc>
        <w:tc>
          <w:tcPr>
            <w:tcW w:w="2080" w:type="dxa"/>
            <w:vAlign w:val="bottom"/>
            <w:shd w:val="clear" w:color="auto" w:fill="E5E5E5"/>
          </w:tcPr>
          <w:p>
            <w:pPr>
              <w:spacing w:after="0"/>
              <w:rPr>
                <w:sz w:val="8"/>
                <w:szCs w:val="8"/>
                <w:color w:val="auto"/>
              </w:rPr>
            </w:pPr>
          </w:p>
        </w:tc>
        <w:tc>
          <w:tcPr>
            <w:tcW w:w="2420" w:type="dxa"/>
            <w:vAlign w:val="bottom"/>
            <w:shd w:val="clear" w:color="auto" w:fill="E5E5E5"/>
          </w:tcPr>
          <w:p>
            <w:pPr>
              <w:spacing w:after="0"/>
              <w:rPr>
                <w:sz w:val="8"/>
                <w:szCs w:val="8"/>
                <w:color w:val="auto"/>
              </w:rPr>
            </w:pPr>
          </w:p>
        </w:tc>
        <w:tc>
          <w:tcPr>
            <w:tcW w:w="2180" w:type="dxa"/>
            <w:vAlign w:val="bottom"/>
            <w:shd w:val="clear" w:color="auto" w:fill="E5E5E5"/>
          </w:tcPr>
          <w:p>
            <w:pPr>
              <w:spacing w:after="0"/>
              <w:rPr>
                <w:sz w:val="8"/>
                <w:szCs w:val="8"/>
                <w:color w:val="auto"/>
              </w:rPr>
            </w:pPr>
          </w:p>
        </w:tc>
        <w:tc>
          <w:tcPr>
            <w:tcW w:w="2640" w:type="dxa"/>
            <w:vAlign w:val="bottom"/>
            <w:shd w:val="clear" w:color="auto" w:fill="E5E5E5"/>
          </w:tcPr>
          <w:p>
            <w:pPr>
              <w:spacing w:after="0"/>
              <w:rPr>
                <w:sz w:val="8"/>
                <w:szCs w:val="8"/>
                <w:color w:val="auto"/>
              </w:rPr>
            </w:pPr>
          </w:p>
        </w:tc>
      </w:tr>
      <w:tr>
        <w:trPr>
          <w:trHeight w:val="291"/>
        </w:trPr>
        <w:tc>
          <w:tcPr>
            <w:tcW w:w="80" w:type="dxa"/>
            <w:vAlign w:val="bottom"/>
          </w:tcPr>
          <w:p>
            <w:pPr>
              <w:spacing w:after="0"/>
              <w:rPr>
                <w:sz w:val="24"/>
                <w:szCs w:val="24"/>
                <w:color w:val="auto"/>
              </w:rPr>
            </w:pPr>
          </w:p>
        </w:tc>
        <w:tc>
          <w:tcPr>
            <w:tcW w:w="2080" w:type="dxa"/>
            <w:vAlign w:val="bottom"/>
          </w:tcPr>
          <w:p>
            <w:pPr>
              <w:ind w:left="20"/>
              <w:spacing w:after="0"/>
              <w:rPr>
                <w:sz w:val="20"/>
                <w:szCs w:val="20"/>
                <w:color w:val="auto"/>
              </w:rPr>
            </w:pPr>
            <w:r>
              <w:rPr>
                <w:rFonts w:ascii="Arial" w:cs="Arial" w:eastAsia="Arial" w:hAnsi="Arial"/>
                <w:sz w:val="16"/>
                <w:szCs w:val="16"/>
                <w:color w:val="auto"/>
              </w:rPr>
              <w:t>Analog Devices</w:t>
            </w:r>
          </w:p>
        </w:tc>
        <w:tc>
          <w:tcPr>
            <w:tcW w:w="2420" w:type="dxa"/>
            <w:vAlign w:val="bottom"/>
          </w:tcPr>
          <w:p>
            <w:pPr>
              <w:ind w:left="280"/>
              <w:spacing w:after="0"/>
              <w:rPr>
                <w:sz w:val="20"/>
                <w:szCs w:val="20"/>
                <w:color w:val="auto"/>
              </w:rPr>
            </w:pPr>
            <w:r>
              <w:rPr>
                <w:rFonts w:ascii="Arial" w:cs="Arial" w:eastAsia="Arial" w:hAnsi="Arial"/>
                <w:sz w:val="16"/>
                <w:szCs w:val="16"/>
                <w:color w:val="auto"/>
              </w:rPr>
              <w:t>Lam Research</w:t>
            </w:r>
          </w:p>
        </w:tc>
        <w:tc>
          <w:tcPr>
            <w:tcW w:w="2180" w:type="dxa"/>
            <w:vAlign w:val="bottom"/>
          </w:tcPr>
          <w:p>
            <w:pPr>
              <w:ind w:left="240"/>
              <w:spacing w:after="0"/>
              <w:rPr>
                <w:sz w:val="20"/>
                <w:szCs w:val="20"/>
                <w:color w:val="auto"/>
              </w:rPr>
            </w:pPr>
            <w:r>
              <w:rPr>
                <w:rFonts w:ascii="Arial" w:cs="Arial" w:eastAsia="Arial" w:hAnsi="Arial"/>
                <w:sz w:val="16"/>
                <w:szCs w:val="16"/>
                <w:color w:val="auto"/>
              </w:rPr>
              <w:t>Micron Technology</w:t>
            </w:r>
          </w:p>
        </w:tc>
        <w:tc>
          <w:tcPr>
            <w:tcW w:w="2640" w:type="dxa"/>
            <w:vAlign w:val="bottom"/>
          </w:tcPr>
          <w:p>
            <w:pPr>
              <w:ind w:left="420"/>
              <w:spacing w:after="0"/>
              <w:rPr>
                <w:sz w:val="20"/>
                <w:szCs w:val="20"/>
                <w:color w:val="auto"/>
              </w:rPr>
            </w:pPr>
            <w:r>
              <w:rPr>
                <w:rFonts w:ascii="Arial" w:cs="Arial" w:eastAsia="Arial" w:hAnsi="Arial"/>
                <w:sz w:val="16"/>
                <w:szCs w:val="16"/>
                <w:color w:val="auto"/>
              </w:rPr>
              <w:t>QUALCOMM</w:t>
            </w:r>
          </w:p>
        </w:tc>
      </w:tr>
      <w:tr>
        <w:trPr>
          <w:trHeight w:val="101"/>
        </w:trPr>
        <w:tc>
          <w:tcPr>
            <w:tcW w:w="80" w:type="dxa"/>
            <w:vAlign w:val="bottom"/>
          </w:tcPr>
          <w:p>
            <w:pPr>
              <w:spacing w:after="0"/>
              <w:rPr>
                <w:sz w:val="8"/>
                <w:szCs w:val="8"/>
                <w:color w:val="auto"/>
              </w:rPr>
            </w:pPr>
          </w:p>
        </w:tc>
        <w:tc>
          <w:tcPr>
            <w:tcW w:w="2080" w:type="dxa"/>
            <w:vAlign w:val="bottom"/>
          </w:tcPr>
          <w:p>
            <w:pPr>
              <w:spacing w:after="0"/>
              <w:rPr>
                <w:sz w:val="8"/>
                <w:szCs w:val="8"/>
                <w:color w:val="auto"/>
              </w:rPr>
            </w:pPr>
          </w:p>
        </w:tc>
        <w:tc>
          <w:tcPr>
            <w:tcW w:w="2420" w:type="dxa"/>
            <w:vAlign w:val="bottom"/>
          </w:tcPr>
          <w:p>
            <w:pPr>
              <w:spacing w:after="0"/>
              <w:rPr>
                <w:sz w:val="8"/>
                <w:szCs w:val="8"/>
                <w:color w:val="auto"/>
              </w:rPr>
            </w:pPr>
          </w:p>
        </w:tc>
        <w:tc>
          <w:tcPr>
            <w:tcW w:w="2180" w:type="dxa"/>
            <w:vAlign w:val="bottom"/>
          </w:tcPr>
          <w:p>
            <w:pPr>
              <w:spacing w:after="0"/>
              <w:rPr>
                <w:sz w:val="8"/>
                <w:szCs w:val="8"/>
                <w:color w:val="auto"/>
              </w:rPr>
            </w:pPr>
          </w:p>
        </w:tc>
        <w:tc>
          <w:tcPr>
            <w:tcW w:w="2640" w:type="dxa"/>
            <w:vAlign w:val="bottom"/>
          </w:tcPr>
          <w:p>
            <w:pPr>
              <w:spacing w:after="0"/>
              <w:rPr>
                <w:sz w:val="8"/>
                <w:szCs w:val="8"/>
                <w:color w:val="auto"/>
              </w:rPr>
            </w:pPr>
          </w:p>
        </w:tc>
      </w:tr>
      <w:tr>
        <w:trPr>
          <w:trHeight w:val="291"/>
        </w:trPr>
        <w:tc>
          <w:tcPr>
            <w:tcW w:w="80" w:type="dxa"/>
            <w:vAlign w:val="bottom"/>
            <w:shd w:val="clear" w:color="auto" w:fill="E5E5E5"/>
          </w:tcPr>
          <w:p>
            <w:pPr>
              <w:spacing w:after="0"/>
              <w:rPr>
                <w:sz w:val="24"/>
                <w:szCs w:val="24"/>
                <w:color w:val="auto"/>
              </w:rPr>
            </w:pPr>
          </w:p>
        </w:tc>
        <w:tc>
          <w:tcPr>
            <w:tcW w:w="2080" w:type="dxa"/>
            <w:vAlign w:val="bottom"/>
            <w:shd w:val="clear" w:color="auto" w:fill="E5E5E5"/>
          </w:tcPr>
          <w:p>
            <w:pPr>
              <w:ind w:left="20"/>
              <w:spacing w:after="0"/>
              <w:rPr>
                <w:sz w:val="20"/>
                <w:szCs w:val="20"/>
                <w:color w:val="auto"/>
              </w:rPr>
            </w:pPr>
            <w:r>
              <w:rPr>
                <w:rFonts w:ascii="Arial" w:cs="Arial" w:eastAsia="Arial" w:hAnsi="Arial"/>
                <w:sz w:val="16"/>
                <w:szCs w:val="16"/>
                <w:color w:val="auto"/>
              </w:rPr>
              <w:t>Applied Materials</w:t>
            </w:r>
          </w:p>
        </w:tc>
        <w:tc>
          <w:tcPr>
            <w:tcW w:w="2420" w:type="dxa"/>
            <w:vAlign w:val="bottom"/>
            <w:shd w:val="clear" w:color="auto" w:fill="E5E5E5"/>
          </w:tcPr>
          <w:p>
            <w:pPr>
              <w:ind w:left="280"/>
              <w:spacing w:after="0"/>
              <w:rPr>
                <w:sz w:val="20"/>
                <w:szCs w:val="20"/>
                <w:color w:val="auto"/>
              </w:rPr>
            </w:pPr>
            <w:r>
              <w:rPr>
                <w:rFonts w:ascii="Arial" w:cs="Arial" w:eastAsia="Arial" w:hAnsi="Arial"/>
                <w:sz w:val="16"/>
                <w:szCs w:val="16"/>
                <w:color w:val="auto"/>
              </w:rPr>
              <w:t>Marvell Technology</w:t>
            </w:r>
          </w:p>
        </w:tc>
        <w:tc>
          <w:tcPr>
            <w:tcW w:w="2180" w:type="dxa"/>
            <w:vAlign w:val="bottom"/>
            <w:shd w:val="clear" w:color="auto" w:fill="E5E5E5"/>
          </w:tcPr>
          <w:p>
            <w:pPr>
              <w:ind w:left="240"/>
              <w:spacing w:after="0"/>
              <w:rPr>
                <w:sz w:val="20"/>
                <w:szCs w:val="20"/>
                <w:color w:val="auto"/>
              </w:rPr>
            </w:pPr>
            <w:r>
              <w:rPr>
                <w:rFonts w:ascii="Arial" w:cs="Arial" w:eastAsia="Arial" w:hAnsi="Arial"/>
                <w:sz w:val="16"/>
                <w:szCs w:val="16"/>
                <w:color w:val="auto"/>
              </w:rPr>
              <w:t>NVIDIA</w:t>
            </w:r>
          </w:p>
        </w:tc>
        <w:tc>
          <w:tcPr>
            <w:tcW w:w="2640" w:type="dxa"/>
            <w:vAlign w:val="bottom"/>
            <w:shd w:val="clear" w:color="auto" w:fill="E5E5E5"/>
          </w:tcPr>
          <w:p>
            <w:pPr>
              <w:ind w:left="420"/>
              <w:spacing w:after="0"/>
              <w:rPr>
                <w:sz w:val="20"/>
                <w:szCs w:val="20"/>
                <w:color w:val="auto"/>
              </w:rPr>
            </w:pPr>
            <w:r>
              <w:rPr>
                <w:rFonts w:ascii="Arial" w:cs="Arial" w:eastAsia="Arial" w:hAnsi="Arial"/>
                <w:sz w:val="16"/>
                <w:szCs w:val="16"/>
                <w:color w:val="auto"/>
              </w:rPr>
              <w:t>Texas Instruments</w:t>
            </w:r>
          </w:p>
        </w:tc>
      </w:tr>
      <w:tr>
        <w:trPr>
          <w:trHeight w:val="100"/>
        </w:trPr>
        <w:tc>
          <w:tcPr>
            <w:tcW w:w="80" w:type="dxa"/>
            <w:vAlign w:val="bottom"/>
            <w:shd w:val="clear" w:color="auto" w:fill="E5E5E5"/>
          </w:tcPr>
          <w:p>
            <w:pPr>
              <w:spacing w:after="0"/>
              <w:rPr>
                <w:sz w:val="8"/>
                <w:szCs w:val="8"/>
                <w:color w:val="auto"/>
              </w:rPr>
            </w:pPr>
          </w:p>
        </w:tc>
        <w:tc>
          <w:tcPr>
            <w:tcW w:w="2080" w:type="dxa"/>
            <w:vAlign w:val="bottom"/>
            <w:shd w:val="clear" w:color="auto" w:fill="E5E5E5"/>
          </w:tcPr>
          <w:p>
            <w:pPr>
              <w:spacing w:after="0"/>
              <w:rPr>
                <w:sz w:val="8"/>
                <w:szCs w:val="8"/>
                <w:color w:val="auto"/>
              </w:rPr>
            </w:pPr>
          </w:p>
        </w:tc>
        <w:tc>
          <w:tcPr>
            <w:tcW w:w="2420" w:type="dxa"/>
            <w:vAlign w:val="bottom"/>
            <w:shd w:val="clear" w:color="auto" w:fill="E5E5E5"/>
          </w:tcPr>
          <w:p>
            <w:pPr>
              <w:spacing w:after="0"/>
              <w:rPr>
                <w:sz w:val="8"/>
                <w:szCs w:val="8"/>
                <w:color w:val="auto"/>
              </w:rPr>
            </w:pPr>
          </w:p>
        </w:tc>
        <w:tc>
          <w:tcPr>
            <w:tcW w:w="2180" w:type="dxa"/>
            <w:vAlign w:val="bottom"/>
            <w:shd w:val="clear" w:color="auto" w:fill="E5E5E5"/>
          </w:tcPr>
          <w:p>
            <w:pPr>
              <w:spacing w:after="0"/>
              <w:rPr>
                <w:sz w:val="8"/>
                <w:szCs w:val="8"/>
                <w:color w:val="auto"/>
              </w:rPr>
            </w:pPr>
          </w:p>
        </w:tc>
        <w:tc>
          <w:tcPr>
            <w:tcW w:w="2640" w:type="dxa"/>
            <w:vAlign w:val="bottom"/>
            <w:shd w:val="clear" w:color="auto" w:fill="E5E5E5"/>
          </w:tcPr>
          <w:p>
            <w:pPr>
              <w:spacing w:after="0"/>
              <w:rPr>
                <w:sz w:val="8"/>
                <w:szCs w:val="8"/>
                <w:color w:val="auto"/>
              </w:rPr>
            </w:pPr>
          </w:p>
        </w:tc>
      </w:tr>
      <w:tr>
        <w:trPr>
          <w:trHeight w:val="321"/>
        </w:trPr>
        <w:tc>
          <w:tcPr>
            <w:tcW w:w="80" w:type="dxa"/>
            <w:vAlign w:val="bottom"/>
            <w:tcBorders>
              <w:bottom w:val="single" w:sz="8" w:color="CCCCCC"/>
            </w:tcBorders>
          </w:tcPr>
          <w:p>
            <w:pPr>
              <w:spacing w:after="0"/>
              <w:rPr>
                <w:sz w:val="24"/>
                <w:szCs w:val="24"/>
                <w:color w:val="auto"/>
              </w:rPr>
            </w:pPr>
          </w:p>
        </w:tc>
        <w:tc>
          <w:tcPr>
            <w:tcW w:w="2080" w:type="dxa"/>
            <w:vAlign w:val="bottom"/>
            <w:tcBorders>
              <w:bottom w:val="single" w:sz="8" w:color="CCCCCC"/>
            </w:tcBorders>
          </w:tcPr>
          <w:p>
            <w:pPr>
              <w:spacing w:after="0"/>
              <w:rPr>
                <w:sz w:val="20"/>
                <w:szCs w:val="20"/>
                <w:color w:val="auto"/>
              </w:rPr>
            </w:pPr>
            <w:r>
              <w:rPr>
                <w:rFonts w:ascii="Arial" w:cs="Arial" w:eastAsia="Arial" w:hAnsi="Arial"/>
                <w:sz w:val="16"/>
                <w:szCs w:val="16"/>
                <w:color w:val="auto"/>
              </w:rPr>
              <w:t>Broadcom</w:t>
            </w:r>
          </w:p>
        </w:tc>
        <w:tc>
          <w:tcPr>
            <w:tcW w:w="2420" w:type="dxa"/>
            <w:vAlign w:val="bottom"/>
            <w:tcBorders>
              <w:bottom w:val="single" w:sz="8" w:color="CCCCCC"/>
            </w:tcBorders>
          </w:tcPr>
          <w:p>
            <w:pPr>
              <w:ind w:left="260"/>
              <w:spacing w:after="0"/>
              <w:rPr>
                <w:sz w:val="20"/>
                <w:szCs w:val="20"/>
                <w:color w:val="auto"/>
              </w:rPr>
            </w:pPr>
            <w:r>
              <w:rPr>
                <w:rFonts w:ascii="Arial" w:cs="Arial" w:eastAsia="Arial" w:hAnsi="Arial"/>
                <w:sz w:val="16"/>
                <w:szCs w:val="16"/>
                <w:color w:val="auto"/>
              </w:rPr>
              <w:t>Maxim Integrated Products</w:t>
            </w:r>
          </w:p>
        </w:tc>
        <w:tc>
          <w:tcPr>
            <w:tcW w:w="2180" w:type="dxa"/>
            <w:vAlign w:val="bottom"/>
            <w:tcBorders>
              <w:bottom w:val="single" w:sz="8" w:color="CCCCCC"/>
            </w:tcBorders>
          </w:tcPr>
          <w:p>
            <w:pPr>
              <w:ind w:left="220"/>
              <w:spacing w:after="0"/>
              <w:rPr>
                <w:sz w:val="20"/>
                <w:szCs w:val="20"/>
                <w:color w:val="auto"/>
              </w:rPr>
            </w:pPr>
            <w:r>
              <w:rPr>
                <w:rFonts w:ascii="Arial" w:cs="Arial" w:eastAsia="Arial" w:hAnsi="Arial"/>
                <w:sz w:val="16"/>
                <w:szCs w:val="16"/>
                <w:color w:val="auto"/>
              </w:rPr>
              <w:t>ON Semiconductor</w:t>
            </w:r>
          </w:p>
        </w:tc>
        <w:tc>
          <w:tcPr>
            <w:tcW w:w="2640" w:type="dxa"/>
            <w:vAlign w:val="bottom"/>
            <w:tcBorders>
              <w:bottom w:val="single" w:sz="8" w:color="CCCCCC"/>
            </w:tcBorders>
          </w:tcPr>
          <w:p>
            <w:pPr>
              <w:ind w:left="400"/>
              <w:spacing w:after="0"/>
              <w:rPr>
                <w:sz w:val="20"/>
                <w:szCs w:val="20"/>
                <w:color w:val="auto"/>
              </w:rPr>
            </w:pPr>
            <w:r>
              <w:rPr>
                <w:rFonts w:ascii="Arial" w:cs="Arial" w:eastAsia="Arial" w:hAnsi="Arial"/>
                <w:sz w:val="16"/>
                <w:szCs w:val="16"/>
                <w:color w:val="auto"/>
              </w:rPr>
              <w:t>Xilinx</w:t>
            </w:r>
          </w:p>
        </w:tc>
      </w:tr>
    </w:tbl>
    <w:p>
      <w:pPr>
        <w:spacing w:after="0" w:line="80" w:lineRule="exact"/>
        <w:rPr>
          <w:sz w:val="20"/>
          <w:szCs w:val="20"/>
          <w:color w:val="auto"/>
        </w:rPr>
      </w:pPr>
    </w:p>
    <w:p>
      <w:pPr>
        <w:ind w:left="1080" w:right="240" w:hanging="354"/>
        <w:spacing w:after="0" w:line="258" w:lineRule="auto"/>
        <w:tabs>
          <w:tab w:leader="none" w:pos="1080" w:val="left"/>
        </w:tabs>
        <w:numPr>
          <w:ilvl w:val="0"/>
          <w:numId w:val="42"/>
        </w:numPr>
        <w:rPr>
          <w:rFonts w:ascii="Arial" w:cs="Arial" w:eastAsia="Arial" w:hAnsi="Arial"/>
          <w:sz w:val="16"/>
          <w:szCs w:val="16"/>
          <w:i w:val="1"/>
          <w:iCs w:val="1"/>
          <w:color w:val="auto"/>
        </w:rPr>
      </w:pPr>
      <w:r>
        <w:rPr>
          <w:rFonts w:ascii="Arial" w:cs="Arial" w:eastAsia="Arial" w:hAnsi="Arial"/>
          <w:sz w:val="16"/>
          <w:szCs w:val="16"/>
          <w:i w:val="1"/>
          <w:iCs w:val="1"/>
          <w:color w:val="auto"/>
        </w:rPr>
        <w:t>For the Company’s fiscal year 2022 compensation program, we made adjustments to our peer group to improve comparability. Specifically, we removed Applied Materials, Broadcom, and NVIDIA, all of which are significantly larger than the Company, as measured by multiple factors including market capitalization and annual revenue, and added Western Digital and NXP Semiconductors, both of which are more comparable in size to the Company.</w:t>
      </w:r>
    </w:p>
    <w:p>
      <w:pPr>
        <w:sectPr>
          <w:pgSz w:w="11900" w:h="16838" w:orient="portrait"/>
          <w:cols w:equalWidth="0" w:num="1">
            <w:col w:w="10060"/>
          </w:cols>
          <w:pgMar w:left="580" w:top="132" w:right="1259" w:bottom="1440" w:gutter="0" w:footer="0" w:header="0"/>
          <w:type w:val="continuous"/>
        </w:sectPr>
      </w:pPr>
    </w:p>
    <w:p>
      <w:pPr>
        <w:spacing w:after="0" w:line="83" w:lineRule="exact"/>
        <w:rPr>
          <w:sz w:val="20"/>
          <w:szCs w:val="20"/>
          <w:color w:val="auto"/>
        </w:rPr>
      </w:pPr>
    </w:p>
    <w:p>
      <w:pPr>
        <w:ind w:left="660"/>
        <w:spacing w:after="0" w:line="268" w:lineRule="auto"/>
        <w:rPr>
          <w:sz w:val="20"/>
          <w:szCs w:val="20"/>
          <w:color w:val="auto"/>
        </w:rPr>
      </w:pPr>
      <w:r>
        <w:rPr>
          <w:rFonts w:ascii="Arial" w:cs="Arial" w:eastAsia="Arial" w:hAnsi="Arial"/>
          <w:sz w:val="19"/>
          <w:szCs w:val="19"/>
          <w:color w:val="191919"/>
        </w:rPr>
        <w:t>The Compensation Committee generally seeks to make decisions regarding each Named Executive Officer’s compensation that are competitive within the Comparator Group, with consideration given to the executive’s role, responsibility, performance, and length of service. After reviewing the Comparator Group data and considering the input of Aon/Radford, the Compensation Committee established (and the full Board was advised of) the base salary, short-term incentive target, and stock-based compensation for each Named Executive Officer for fiscal year 2021. Aon/Radford advised the Compensation Committee that such components of executive compensation for fiscal year 2021 were competitive for chief executive officers and other</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ind w:left="3" w:right="80"/>
        <w:spacing w:after="0" w:line="261" w:lineRule="auto"/>
        <w:rPr>
          <w:sz w:val="20"/>
          <w:szCs w:val="20"/>
          <w:color w:val="auto"/>
        </w:rPr>
      </w:pPr>
      <w:r>
        <w:rPr>
          <w:rFonts w:ascii="Arial" w:cs="Arial" w:eastAsia="Arial" w:hAnsi="Arial"/>
          <w:sz w:val="20"/>
          <w:szCs w:val="20"/>
          <w:color w:val="191919"/>
        </w:rPr>
        <w:t>executive officers at companies of similar size and complexity in the semiconductor industry.</w:t>
      </w:r>
    </w:p>
    <w:p>
      <w:pPr>
        <w:spacing w:after="0" w:line="202" w:lineRule="exact"/>
        <w:rPr>
          <w:sz w:val="20"/>
          <w:szCs w:val="20"/>
          <w:color w:val="auto"/>
        </w:rPr>
      </w:pPr>
    </w:p>
    <w:p>
      <w:pPr>
        <w:ind w:left="3" w:right="540"/>
        <w:spacing w:after="0" w:line="253" w:lineRule="auto"/>
        <w:rPr>
          <w:sz w:val="20"/>
          <w:szCs w:val="20"/>
          <w:color w:val="auto"/>
        </w:rPr>
      </w:pPr>
      <w:r>
        <w:rPr>
          <w:rFonts w:ascii="Arial" w:cs="Arial" w:eastAsia="Arial" w:hAnsi="Arial"/>
          <w:sz w:val="20"/>
          <w:szCs w:val="20"/>
          <w:color w:val="191919"/>
        </w:rPr>
        <w:t>In determining the compensation of our Chief Executive Officer for fiscal year 2021, the Compensation Committee focused on</w:t>
      </w:r>
    </w:p>
    <w:p>
      <w:pPr>
        <w:spacing w:after="0" w:line="2" w:lineRule="exact"/>
        <w:rPr>
          <w:sz w:val="20"/>
          <w:szCs w:val="20"/>
          <w:color w:val="auto"/>
        </w:rPr>
      </w:pPr>
    </w:p>
    <w:p>
      <w:pPr>
        <w:ind w:left="3" w:right="80" w:hanging="3"/>
        <w:spacing w:after="0" w:line="266" w:lineRule="auto"/>
        <w:tabs>
          <w:tab w:leader="none" w:pos="234" w:val="left"/>
        </w:tabs>
        <w:numPr>
          <w:ilvl w:val="0"/>
          <w:numId w:val="43"/>
        </w:numPr>
        <w:rPr>
          <w:rFonts w:ascii="Arial" w:cs="Arial" w:eastAsia="Arial" w:hAnsi="Arial"/>
          <w:sz w:val="19"/>
          <w:szCs w:val="19"/>
          <w:color w:val="191919"/>
        </w:rPr>
      </w:pPr>
      <w:r>
        <w:rPr>
          <w:rFonts w:ascii="Arial" w:cs="Arial" w:eastAsia="Arial" w:hAnsi="Arial"/>
          <w:sz w:val="19"/>
          <w:szCs w:val="19"/>
          <w:color w:val="191919"/>
        </w:rPr>
        <w:t>competitive levels of compensation for chief executive officers who are leading a company of similar size and complexity, (ii) the importance of retaining and incentivizing a chief executive officer with the strategic, financial, and leadership skills necessary to ensure our continued growth and success, (iii) our Chief Executive Officer’s role relative to the other Named Executive Officers,</w:t>
      </w:r>
    </w:p>
    <w:p>
      <w:pPr>
        <w:spacing w:after="0" w:line="6" w:lineRule="exact"/>
        <w:rPr>
          <w:rFonts w:ascii="Arial" w:cs="Arial" w:eastAsia="Arial" w:hAnsi="Arial"/>
          <w:sz w:val="19"/>
          <w:szCs w:val="19"/>
          <w:color w:val="191919"/>
        </w:rPr>
      </w:pPr>
    </w:p>
    <w:p>
      <w:pPr>
        <w:ind w:left="3" w:hanging="3"/>
        <w:spacing w:after="0" w:line="287" w:lineRule="auto"/>
        <w:tabs>
          <w:tab w:leader="none" w:pos="332" w:val="left"/>
        </w:tabs>
        <w:numPr>
          <w:ilvl w:val="0"/>
          <w:numId w:val="44"/>
        </w:numPr>
        <w:rPr>
          <w:rFonts w:ascii="Arial" w:cs="Arial" w:eastAsia="Arial" w:hAnsi="Arial"/>
          <w:sz w:val="19"/>
          <w:szCs w:val="19"/>
          <w:color w:val="191919"/>
        </w:rPr>
      </w:pPr>
      <w:r>
        <w:rPr>
          <w:rFonts w:ascii="Arial" w:cs="Arial" w:eastAsia="Arial" w:hAnsi="Arial"/>
          <w:sz w:val="19"/>
          <w:szCs w:val="19"/>
          <w:color w:val="191919"/>
        </w:rPr>
        <w:t>input from the full Board on our Chief Executive Officer’s performance, and (v) the length of our</w:t>
      </w:r>
    </w:p>
    <w:p>
      <w:pPr>
        <w:spacing w:after="0" w:line="200" w:lineRule="exact"/>
        <w:rPr>
          <w:sz w:val="20"/>
          <w:szCs w:val="20"/>
          <w:color w:val="auto"/>
        </w:rPr>
      </w:pPr>
    </w:p>
    <w:p>
      <w:pPr>
        <w:sectPr>
          <w:pgSz w:w="11900" w:h="16838" w:orient="portrait"/>
          <w:cols w:equalWidth="0" w:num="2">
            <w:col w:w="5080" w:space="497"/>
            <w:col w:w="4483"/>
          </w:cols>
          <w:pgMar w:left="580" w:top="132" w:right="1259" w:bottom="1440" w:gutter="0" w:footer="0" w:header="0"/>
          <w:type w:val="continuous"/>
        </w:sectPr>
      </w:pPr>
    </w:p>
    <w:p>
      <w:pPr>
        <w:spacing w:after="0" w:line="125" w:lineRule="exact"/>
        <w:rPr>
          <w:sz w:val="20"/>
          <w:szCs w:val="20"/>
          <w:color w:val="auto"/>
        </w:rPr>
      </w:pPr>
    </w:p>
    <w:p>
      <w:pPr>
        <w:ind w:left="660"/>
        <w:spacing w:after="0"/>
        <w:tabs>
          <w:tab w:leader="none" w:pos="4817" w:val="left"/>
        </w:tabs>
        <w:rPr>
          <w:sz w:val="20"/>
          <w:szCs w:val="20"/>
          <w:color w:val="auto"/>
        </w:rPr>
      </w:pPr>
      <w:r>
        <w:rPr>
          <w:rFonts w:ascii="Arial" w:cs="Arial" w:eastAsia="Arial" w:hAnsi="Arial"/>
          <w:sz w:val="16"/>
          <w:szCs w:val="16"/>
          <w:color w:val="auto"/>
        </w:rPr>
        <w:t>34</w:t>
      </w:r>
      <w:r>
        <w:rPr>
          <w:sz w:val="20"/>
          <w:szCs w:val="20"/>
          <w:color w:val="auto"/>
        </w:rPr>
        <w:tab/>
      </w:r>
      <w:r>
        <w:rPr>
          <w:sz w:val="1"/>
          <w:szCs w:val="1"/>
          <w:color w:val="auto"/>
        </w:rPr>
        <w:drawing>
          <wp:inline distT="0" distB="0" distL="0" distR="0">
            <wp:extent cx="779780" cy="257175"/>
            <wp:effectExtent l="0" t="0" r="0" b="0"/>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132" w:right="1259" w:bottom="1440" w:gutter="0" w:footer="0" w:header="0"/>
          <w:type w:val="continuous"/>
        </w:sectPr>
      </w:pPr>
    </w:p>
    <w:bookmarkStart w:id="39" w:name="page40"/>
    <w:bookmarkEnd w:id="39"/>
    <w:p>
      <w:pPr>
        <w:spacing w:after="0"/>
        <w:rPr>
          <w:rFonts w:ascii="Arial" w:cs="Arial" w:eastAsia="Arial" w:hAnsi="Arial"/>
          <w:sz w:val="14"/>
          <w:szCs w:val="14"/>
          <w:color w:val="003366"/>
        </w:rPr>
      </w:pPr>
      <w:hyperlink w:anchor="page3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91" w:lineRule="exact"/>
        <w:rPr>
          <w:sz w:val="20"/>
          <w:szCs w:val="20"/>
          <w:color w:val="auto"/>
        </w:rPr>
      </w:pPr>
    </w:p>
    <w:p>
      <w:pPr>
        <w:ind w:left="660" w:right="20"/>
        <w:spacing w:after="0" w:line="273" w:lineRule="auto"/>
        <w:rPr>
          <w:sz w:val="20"/>
          <w:szCs w:val="20"/>
          <w:color w:val="auto"/>
        </w:rPr>
      </w:pPr>
      <w:r>
        <w:rPr>
          <w:rFonts w:ascii="Arial" w:cs="Arial" w:eastAsia="Arial" w:hAnsi="Arial"/>
          <w:sz w:val="19"/>
          <w:szCs w:val="19"/>
          <w:color w:val="191919"/>
        </w:rPr>
        <w:t>Chief Executive Officer’s service to the Company. Our Chief Executive Officer was not present during the voting or deliberations of the Compensation Committee concerning his compensation.</w:t>
      </w:r>
    </w:p>
    <w:p>
      <w:pPr>
        <w:spacing w:after="0" w:line="194" w:lineRule="exact"/>
        <w:rPr>
          <w:sz w:val="20"/>
          <w:szCs w:val="20"/>
          <w:color w:val="auto"/>
        </w:rPr>
      </w:pPr>
    </w:p>
    <w:p>
      <w:pPr>
        <w:ind w:left="660"/>
        <w:spacing w:after="0" w:line="268" w:lineRule="auto"/>
        <w:rPr>
          <w:sz w:val="20"/>
          <w:szCs w:val="20"/>
          <w:color w:val="auto"/>
        </w:rPr>
      </w:pPr>
      <w:r>
        <w:rPr>
          <w:rFonts w:ascii="Arial" w:cs="Arial" w:eastAsia="Arial" w:hAnsi="Arial"/>
          <w:sz w:val="19"/>
          <w:szCs w:val="19"/>
          <w:color w:val="191919"/>
        </w:rPr>
        <w:t>The Compensation Committee considered the recommendations of the Chief Executive Officer regarding the compensation of the other Named Executive Officers and each of his other direct reports. These recommendations were based on an assessment of each individual’s responsibilities, experience, performance, and contribution to the Company’s performance, and also took into account internal factors such as scope of role and level in the organization, in addition to external factors such as the current environment for attracting and retaining executives.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23"/>
          <w:szCs w:val="23"/>
          <w:b w:val="1"/>
          <w:bCs w:val="1"/>
          <w:i w:val="1"/>
          <w:iCs w:val="1"/>
          <w:color w:val="auto"/>
        </w:rPr>
        <w:t>Components of Compensation</w:t>
      </w:r>
    </w:p>
    <w:p>
      <w:pPr>
        <w:spacing w:after="0" w:line="161" w:lineRule="exact"/>
        <w:rPr>
          <w:sz w:val="20"/>
          <w:szCs w:val="20"/>
          <w:color w:val="auto"/>
        </w:rPr>
      </w:pPr>
    </w:p>
    <w:p>
      <w:pPr>
        <w:ind w:left="660" w:right="20"/>
        <w:spacing w:after="0" w:line="269" w:lineRule="auto"/>
        <w:rPr>
          <w:sz w:val="20"/>
          <w:szCs w:val="20"/>
          <w:color w:val="auto"/>
        </w:rPr>
      </w:pPr>
      <w:r>
        <w:rPr>
          <w:rFonts w:ascii="Arial" w:cs="Arial" w:eastAsia="Arial" w:hAnsi="Arial"/>
          <w:sz w:val="19"/>
          <w:szCs w:val="19"/>
          <w:color w:val="191919"/>
        </w:rPr>
        <w:t>The key elements of compensation for our Named Executive Officers are base salary, short-term incentives, long-term stock-based incentives, and health and welfare benefits. For fiscal year 2021, the Compensation Committee sought to make decisions that would result in each Named Executive Officer’s target total direct compensation being competitive within the Comparator Group, with consideration given to the executive’s role, responsibility, performance, and length of service.</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0076A8"/>
        </w:rPr>
        <w:t>Base Salary</w:t>
      </w:r>
    </w:p>
    <w:p>
      <w:pPr>
        <w:spacing w:after="0" w:line="150" w:lineRule="exact"/>
        <w:rPr>
          <w:sz w:val="20"/>
          <w:szCs w:val="20"/>
          <w:color w:val="auto"/>
        </w:rPr>
      </w:pPr>
    </w:p>
    <w:p>
      <w:pPr>
        <w:ind w:left="660" w:right="40"/>
        <w:spacing w:after="0" w:line="268" w:lineRule="auto"/>
        <w:rPr>
          <w:sz w:val="20"/>
          <w:szCs w:val="20"/>
          <w:color w:val="auto"/>
        </w:rPr>
      </w:pPr>
      <w:r>
        <w:rPr>
          <w:rFonts w:ascii="Arial" w:cs="Arial" w:eastAsia="Arial" w:hAnsi="Arial"/>
          <w:sz w:val="19"/>
          <w:szCs w:val="19"/>
          <w:color w:val="191919"/>
        </w:rPr>
        <w:t>The Compensation Committee determines a competitive base salary for each executive officer using the Comparator Group data and input provided by Aon/Radford. In order to provide flexibility in consideration of differences in individual executives’ scope of responsibilities, length of service, and performance, the Compensation Committee did not target a specific percentile of the Comparator Group for executive officer salaries; however, the salaries of the executive officers were generally near the median of the Comparator Group. The base salary for fiscal year 2021 for each Named Executive Officer, as reflected in the table below, increased on average 4.5% from the Named Executive Officer’s base salary in fiscal year 2020, with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660"/>
        <w:spacing w:after="0" w:line="255" w:lineRule="auto"/>
        <w:rPr>
          <w:sz w:val="20"/>
          <w:szCs w:val="20"/>
          <w:color w:val="auto"/>
        </w:rPr>
      </w:pPr>
      <w:r>
        <w:rPr>
          <w:rFonts w:ascii="Arial" w:cs="Arial" w:eastAsia="Arial" w:hAnsi="Arial"/>
          <w:sz w:val="20"/>
          <w:szCs w:val="20"/>
          <w:color w:val="191919"/>
        </w:rPr>
        <w:t>increases ranging from 3.9% to 5.7%. Salary increases were based on the market-based salary adjustments recommended by Aon/Radford as well as recommendations by the Chief Executive Officer (for Named Executive Officers other than himself).</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540" w:type="dxa"/>
            <w:vAlign w:val="bottom"/>
            <w:shd w:val="clear" w:color="auto" w:fill="0076A8"/>
          </w:tcPr>
          <w:p>
            <w:pPr>
              <w:spacing w:after="0"/>
              <w:rPr>
                <w:sz w:val="19"/>
                <w:szCs w:val="19"/>
                <w:color w:val="auto"/>
              </w:rPr>
            </w:pPr>
          </w:p>
        </w:tc>
        <w:tc>
          <w:tcPr>
            <w:tcW w:w="1540" w:type="dxa"/>
            <w:vAlign w:val="bottom"/>
            <w:shd w:val="clear" w:color="auto" w:fill="0076A8"/>
          </w:tcPr>
          <w:p>
            <w:pPr>
              <w:jc w:val="right"/>
              <w:ind w:right="336"/>
              <w:spacing w:after="0"/>
              <w:rPr>
                <w:sz w:val="20"/>
                <w:szCs w:val="20"/>
                <w:color w:val="auto"/>
              </w:rPr>
            </w:pPr>
            <w:r>
              <w:rPr>
                <w:rFonts w:ascii="Arial" w:cs="Arial" w:eastAsia="Arial" w:hAnsi="Arial"/>
                <w:sz w:val="18"/>
                <w:szCs w:val="18"/>
                <w:color w:val="FFFFFF"/>
              </w:rPr>
              <w:t>FY2021</w:t>
            </w:r>
          </w:p>
        </w:tc>
        <w:tc>
          <w:tcPr>
            <w:tcW w:w="1400" w:type="dxa"/>
            <w:vAlign w:val="bottom"/>
            <w:shd w:val="clear" w:color="auto" w:fill="0076A8"/>
          </w:tcPr>
          <w:p>
            <w:pPr>
              <w:jc w:val="right"/>
              <w:ind w:right="276"/>
              <w:spacing w:after="0"/>
              <w:rPr>
                <w:sz w:val="20"/>
                <w:szCs w:val="20"/>
                <w:color w:val="auto"/>
              </w:rPr>
            </w:pPr>
            <w:r>
              <w:rPr>
                <w:rFonts w:ascii="Arial" w:cs="Arial" w:eastAsia="Arial" w:hAnsi="Arial"/>
                <w:sz w:val="18"/>
                <w:szCs w:val="18"/>
                <w:color w:val="FFFFFF"/>
              </w:rPr>
              <w:t>FY2020</w:t>
            </w:r>
          </w:p>
        </w:tc>
      </w:tr>
      <w:tr>
        <w:trPr>
          <w:trHeight w:val="230"/>
        </w:trPr>
        <w:tc>
          <w:tcPr>
            <w:tcW w:w="1540" w:type="dxa"/>
            <w:vAlign w:val="bottom"/>
            <w:shd w:val="clear" w:color="auto" w:fill="0076A8"/>
          </w:tcPr>
          <w:p>
            <w:pPr>
              <w:spacing w:after="0"/>
              <w:rPr>
                <w:sz w:val="20"/>
                <w:szCs w:val="20"/>
                <w:color w:val="auto"/>
              </w:rPr>
            </w:pPr>
          </w:p>
        </w:tc>
        <w:tc>
          <w:tcPr>
            <w:tcW w:w="1540" w:type="dxa"/>
            <w:vAlign w:val="bottom"/>
            <w:shd w:val="clear" w:color="auto" w:fill="0076A8"/>
          </w:tcPr>
          <w:p>
            <w:pPr>
              <w:jc w:val="right"/>
              <w:ind w:right="36"/>
              <w:spacing w:after="0"/>
              <w:rPr>
                <w:sz w:val="20"/>
                <w:szCs w:val="20"/>
                <w:color w:val="auto"/>
              </w:rPr>
            </w:pPr>
            <w:r>
              <w:rPr>
                <w:rFonts w:ascii="Arial" w:cs="Arial" w:eastAsia="Arial" w:hAnsi="Arial"/>
                <w:sz w:val="18"/>
                <w:szCs w:val="18"/>
                <w:color w:val="FFFFFF"/>
              </w:rPr>
              <w:t>Base Salary ($)</w:t>
            </w:r>
          </w:p>
        </w:tc>
        <w:tc>
          <w:tcPr>
            <w:tcW w:w="1400" w:type="dxa"/>
            <w:vAlign w:val="bottom"/>
            <w:shd w:val="clear" w:color="auto" w:fill="0076A8"/>
          </w:tcPr>
          <w:p>
            <w:pPr>
              <w:jc w:val="right"/>
              <w:spacing w:after="0"/>
              <w:rPr>
                <w:sz w:val="20"/>
                <w:szCs w:val="20"/>
                <w:color w:val="auto"/>
              </w:rPr>
            </w:pPr>
            <w:r>
              <w:rPr>
                <w:rFonts w:ascii="Arial" w:cs="Arial" w:eastAsia="Arial" w:hAnsi="Arial"/>
                <w:sz w:val="18"/>
                <w:szCs w:val="18"/>
                <w:color w:val="FFFFFF"/>
              </w:rPr>
              <w:t>Base Salary ($)</w:t>
            </w:r>
          </w:p>
        </w:tc>
      </w:tr>
      <w:tr>
        <w:trPr>
          <w:trHeight w:val="270"/>
        </w:trPr>
        <w:tc>
          <w:tcPr>
            <w:tcW w:w="1540" w:type="dxa"/>
            <w:vAlign w:val="bottom"/>
            <w:shd w:val="clear" w:color="auto" w:fill="E5E5E5"/>
          </w:tcPr>
          <w:p>
            <w:pPr>
              <w:ind w:left="40"/>
              <w:spacing w:after="0"/>
              <w:rPr>
                <w:sz w:val="20"/>
                <w:szCs w:val="20"/>
                <w:color w:val="auto"/>
              </w:rPr>
            </w:pPr>
            <w:r>
              <w:rPr>
                <w:rFonts w:ascii="Arial" w:cs="Arial" w:eastAsia="Arial" w:hAnsi="Arial"/>
                <w:sz w:val="16"/>
                <w:szCs w:val="16"/>
                <w:color w:val="auto"/>
              </w:rPr>
              <w:t>Liam K. Griffin</w:t>
            </w:r>
          </w:p>
        </w:tc>
        <w:tc>
          <w:tcPr>
            <w:tcW w:w="1540" w:type="dxa"/>
            <w:vAlign w:val="bottom"/>
            <w:shd w:val="clear" w:color="auto" w:fill="E5E5E5"/>
          </w:tcPr>
          <w:p>
            <w:pPr>
              <w:jc w:val="right"/>
              <w:ind w:right="276"/>
              <w:spacing w:after="0"/>
              <w:rPr>
                <w:sz w:val="20"/>
                <w:szCs w:val="20"/>
                <w:color w:val="auto"/>
              </w:rPr>
            </w:pPr>
            <w:r>
              <w:rPr>
                <w:rFonts w:ascii="Arial" w:cs="Arial" w:eastAsia="Arial" w:hAnsi="Arial"/>
                <w:sz w:val="16"/>
                <w:szCs w:val="16"/>
                <w:color w:val="auto"/>
              </w:rPr>
              <w:t>1,075,000</w:t>
            </w:r>
          </w:p>
        </w:tc>
        <w:tc>
          <w:tcPr>
            <w:tcW w:w="1400" w:type="dxa"/>
            <w:vAlign w:val="bottom"/>
            <w:shd w:val="clear" w:color="auto" w:fill="E5E5E5"/>
          </w:tcPr>
          <w:p>
            <w:pPr>
              <w:jc w:val="right"/>
              <w:ind w:right="236"/>
              <w:spacing w:after="0"/>
              <w:rPr>
                <w:sz w:val="20"/>
                <w:szCs w:val="20"/>
                <w:color w:val="auto"/>
              </w:rPr>
            </w:pPr>
            <w:r>
              <w:rPr>
                <w:rFonts w:ascii="Arial" w:cs="Arial" w:eastAsia="Arial" w:hAnsi="Arial"/>
                <w:sz w:val="16"/>
                <w:szCs w:val="16"/>
                <w:color w:val="auto"/>
              </w:rPr>
              <w:t>1,029,000</w:t>
            </w:r>
          </w:p>
        </w:tc>
      </w:tr>
      <w:tr>
        <w:trPr>
          <w:trHeight w:val="267"/>
        </w:trPr>
        <w:tc>
          <w:tcPr>
            <w:tcW w:w="1540" w:type="dxa"/>
            <w:vAlign w:val="bottom"/>
          </w:tcPr>
          <w:p>
            <w:pPr>
              <w:ind w:left="40"/>
              <w:spacing w:after="0"/>
              <w:rPr>
                <w:sz w:val="20"/>
                <w:szCs w:val="20"/>
                <w:color w:val="auto"/>
              </w:rPr>
            </w:pPr>
            <w:r>
              <w:rPr>
                <w:rFonts w:ascii="Arial" w:cs="Arial" w:eastAsia="Arial" w:hAnsi="Arial"/>
                <w:sz w:val="16"/>
                <w:szCs w:val="16"/>
                <w:color w:val="auto"/>
              </w:rPr>
              <w:t>Kris Sennesael</w:t>
            </w:r>
          </w:p>
        </w:tc>
        <w:tc>
          <w:tcPr>
            <w:tcW w:w="1540" w:type="dxa"/>
            <w:vAlign w:val="bottom"/>
          </w:tcPr>
          <w:p>
            <w:pPr>
              <w:jc w:val="right"/>
              <w:ind w:right="276"/>
              <w:spacing w:after="0"/>
              <w:rPr>
                <w:sz w:val="20"/>
                <w:szCs w:val="20"/>
                <w:color w:val="auto"/>
              </w:rPr>
            </w:pPr>
            <w:r>
              <w:rPr>
                <w:rFonts w:ascii="Arial" w:cs="Arial" w:eastAsia="Arial" w:hAnsi="Arial"/>
                <w:sz w:val="16"/>
                <w:szCs w:val="16"/>
                <w:color w:val="auto"/>
              </w:rPr>
              <w:t>560,000</w:t>
            </w:r>
          </w:p>
        </w:tc>
        <w:tc>
          <w:tcPr>
            <w:tcW w:w="1400" w:type="dxa"/>
            <w:vAlign w:val="bottom"/>
          </w:tcPr>
          <w:p>
            <w:pPr>
              <w:jc w:val="right"/>
              <w:ind w:right="236"/>
              <w:spacing w:after="0"/>
              <w:rPr>
                <w:sz w:val="20"/>
                <w:szCs w:val="20"/>
                <w:color w:val="auto"/>
              </w:rPr>
            </w:pPr>
            <w:r>
              <w:rPr>
                <w:rFonts w:ascii="Arial" w:cs="Arial" w:eastAsia="Arial" w:hAnsi="Arial"/>
                <w:sz w:val="16"/>
                <w:szCs w:val="16"/>
                <w:color w:val="auto"/>
              </w:rPr>
              <w:t>530,000</w:t>
            </w:r>
          </w:p>
        </w:tc>
      </w:tr>
      <w:tr>
        <w:trPr>
          <w:trHeight w:val="273"/>
        </w:trPr>
        <w:tc>
          <w:tcPr>
            <w:tcW w:w="1540" w:type="dxa"/>
            <w:vAlign w:val="bottom"/>
            <w:shd w:val="clear" w:color="auto" w:fill="E5E5E5"/>
          </w:tcPr>
          <w:p>
            <w:pPr>
              <w:ind w:left="40"/>
              <w:spacing w:after="0"/>
              <w:rPr>
                <w:sz w:val="20"/>
                <w:szCs w:val="20"/>
                <w:color w:val="auto"/>
              </w:rPr>
            </w:pPr>
            <w:r>
              <w:rPr>
                <w:rFonts w:ascii="Arial" w:cs="Arial" w:eastAsia="Arial" w:hAnsi="Arial"/>
                <w:sz w:val="16"/>
                <w:szCs w:val="16"/>
                <w:color w:val="auto"/>
              </w:rPr>
              <w:t>Carlos S. Bori</w:t>
            </w:r>
          </w:p>
        </w:tc>
        <w:tc>
          <w:tcPr>
            <w:tcW w:w="1540" w:type="dxa"/>
            <w:vAlign w:val="bottom"/>
            <w:shd w:val="clear" w:color="auto" w:fill="E5E5E5"/>
          </w:tcPr>
          <w:p>
            <w:pPr>
              <w:jc w:val="right"/>
              <w:ind w:right="276"/>
              <w:spacing w:after="0"/>
              <w:rPr>
                <w:sz w:val="20"/>
                <w:szCs w:val="20"/>
                <w:color w:val="auto"/>
              </w:rPr>
            </w:pPr>
            <w:r>
              <w:rPr>
                <w:rFonts w:ascii="Arial" w:cs="Arial" w:eastAsia="Arial" w:hAnsi="Arial"/>
                <w:sz w:val="16"/>
                <w:szCs w:val="16"/>
                <w:color w:val="auto"/>
              </w:rPr>
              <w:t>475,000</w:t>
            </w:r>
          </w:p>
        </w:tc>
        <w:tc>
          <w:tcPr>
            <w:tcW w:w="1400" w:type="dxa"/>
            <w:vAlign w:val="bottom"/>
            <w:shd w:val="clear" w:color="auto" w:fill="E5E5E5"/>
          </w:tcPr>
          <w:p>
            <w:pPr>
              <w:jc w:val="right"/>
              <w:ind w:right="236"/>
              <w:spacing w:after="0"/>
              <w:rPr>
                <w:sz w:val="20"/>
                <w:szCs w:val="20"/>
                <w:color w:val="auto"/>
              </w:rPr>
            </w:pPr>
            <w:r>
              <w:rPr>
                <w:rFonts w:ascii="Arial" w:cs="Arial" w:eastAsia="Arial" w:hAnsi="Arial"/>
                <w:sz w:val="16"/>
                <w:szCs w:val="16"/>
                <w:color w:val="auto"/>
              </w:rPr>
              <w:t>457,000</w:t>
            </w:r>
          </w:p>
        </w:tc>
      </w:tr>
      <w:tr>
        <w:trPr>
          <w:trHeight w:val="267"/>
        </w:trPr>
        <w:tc>
          <w:tcPr>
            <w:tcW w:w="1540" w:type="dxa"/>
            <w:vAlign w:val="bottom"/>
          </w:tcPr>
          <w:p>
            <w:pPr>
              <w:ind w:left="40"/>
              <w:spacing w:after="0"/>
              <w:rPr>
                <w:sz w:val="20"/>
                <w:szCs w:val="20"/>
                <w:color w:val="auto"/>
              </w:rPr>
            </w:pPr>
            <w:r>
              <w:rPr>
                <w:rFonts w:ascii="Arial" w:cs="Arial" w:eastAsia="Arial" w:hAnsi="Arial"/>
                <w:sz w:val="16"/>
                <w:szCs w:val="16"/>
                <w:color w:val="auto"/>
              </w:rPr>
              <w:t>Robert J. Terry</w:t>
            </w:r>
          </w:p>
        </w:tc>
        <w:tc>
          <w:tcPr>
            <w:tcW w:w="1540" w:type="dxa"/>
            <w:vAlign w:val="bottom"/>
          </w:tcPr>
          <w:p>
            <w:pPr>
              <w:jc w:val="right"/>
              <w:ind w:right="276"/>
              <w:spacing w:after="0"/>
              <w:rPr>
                <w:sz w:val="20"/>
                <w:szCs w:val="20"/>
                <w:color w:val="auto"/>
              </w:rPr>
            </w:pPr>
            <w:r>
              <w:rPr>
                <w:rFonts w:ascii="Arial" w:cs="Arial" w:eastAsia="Arial" w:hAnsi="Arial"/>
                <w:sz w:val="16"/>
                <w:szCs w:val="16"/>
                <w:color w:val="auto"/>
              </w:rPr>
              <w:t>492,000</w:t>
            </w:r>
          </w:p>
        </w:tc>
        <w:tc>
          <w:tcPr>
            <w:tcW w:w="1400" w:type="dxa"/>
            <w:vAlign w:val="bottom"/>
          </w:tcPr>
          <w:p>
            <w:pPr>
              <w:jc w:val="right"/>
              <w:ind w:right="236"/>
              <w:spacing w:after="0"/>
              <w:rPr>
                <w:sz w:val="20"/>
                <w:szCs w:val="20"/>
                <w:color w:val="auto"/>
              </w:rPr>
            </w:pPr>
            <w:r>
              <w:rPr>
                <w:rFonts w:ascii="Arial" w:cs="Arial" w:eastAsia="Arial" w:hAnsi="Arial"/>
                <w:sz w:val="16"/>
                <w:szCs w:val="16"/>
                <w:color w:val="auto"/>
              </w:rPr>
              <w:t>473,000</w:t>
            </w:r>
          </w:p>
        </w:tc>
      </w:tr>
      <w:tr>
        <w:trPr>
          <w:trHeight w:val="260"/>
        </w:trPr>
        <w:tc>
          <w:tcPr>
            <w:tcW w:w="1540" w:type="dxa"/>
            <w:vAlign w:val="bottom"/>
            <w:shd w:val="clear" w:color="auto" w:fill="E5E5E5"/>
          </w:tcPr>
          <w:p>
            <w:pPr>
              <w:ind w:left="40"/>
              <w:spacing w:after="0"/>
              <w:rPr>
                <w:sz w:val="20"/>
                <w:szCs w:val="20"/>
                <w:color w:val="auto"/>
              </w:rPr>
            </w:pPr>
            <w:r>
              <w:rPr>
                <w:rFonts w:ascii="Arial" w:cs="Arial" w:eastAsia="Arial" w:hAnsi="Arial"/>
                <w:sz w:val="16"/>
                <w:szCs w:val="16"/>
                <w:color w:val="auto"/>
              </w:rPr>
              <w:t>Karilee A. Durham</w:t>
            </w:r>
          </w:p>
        </w:tc>
        <w:tc>
          <w:tcPr>
            <w:tcW w:w="1540" w:type="dxa"/>
            <w:vAlign w:val="bottom"/>
            <w:shd w:val="clear" w:color="auto" w:fill="E5E5E5"/>
          </w:tcPr>
          <w:p>
            <w:pPr>
              <w:jc w:val="right"/>
              <w:ind w:right="276"/>
              <w:spacing w:after="0"/>
              <w:rPr>
                <w:sz w:val="20"/>
                <w:szCs w:val="20"/>
                <w:color w:val="auto"/>
              </w:rPr>
            </w:pPr>
            <w:r>
              <w:rPr>
                <w:rFonts w:ascii="Arial" w:cs="Arial" w:eastAsia="Arial" w:hAnsi="Arial"/>
                <w:sz w:val="16"/>
                <w:szCs w:val="16"/>
                <w:color w:val="auto"/>
              </w:rPr>
              <w:t>450,000</w:t>
            </w:r>
          </w:p>
        </w:tc>
        <w:tc>
          <w:tcPr>
            <w:tcW w:w="1400" w:type="dxa"/>
            <w:vAlign w:val="bottom"/>
            <w:shd w:val="clear" w:color="auto" w:fill="E5E5E5"/>
          </w:tcPr>
          <w:p>
            <w:pPr>
              <w:jc w:val="right"/>
              <w:ind w:right="236"/>
              <w:spacing w:after="0"/>
              <w:rPr>
                <w:sz w:val="20"/>
                <w:szCs w:val="20"/>
                <w:color w:val="auto"/>
              </w:rPr>
            </w:pPr>
            <w:r>
              <w:rPr>
                <w:rFonts w:ascii="Arial" w:cs="Arial" w:eastAsia="Arial" w:hAnsi="Arial"/>
                <w:sz w:val="16"/>
                <w:szCs w:val="16"/>
                <w:color w:val="auto"/>
              </w:rPr>
              <w:t>432,000</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22"/>
          <w:szCs w:val="22"/>
          <w:i w:val="1"/>
          <w:iCs w:val="1"/>
          <w:color w:val="0076A8"/>
        </w:rPr>
        <w:t>Short-Term Incentives</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159" w:lineRule="exact"/>
        <w:rPr>
          <w:sz w:val="20"/>
          <w:szCs w:val="20"/>
          <w:color w:val="auto"/>
        </w:rPr>
      </w:pPr>
    </w:p>
    <w:p>
      <w:pPr>
        <w:ind w:right="760"/>
        <w:spacing w:after="0" w:line="268" w:lineRule="auto"/>
        <w:rPr>
          <w:sz w:val="20"/>
          <w:szCs w:val="20"/>
          <w:color w:val="auto"/>
        </w:rPr>
      </w:pPr>
      <w:r>
        <w:rPr>
          <w:rFonts w:ascii="Arial" w:cs="Arial" w:eastAsia="Arial" w:hAnsi="Arial"/>
          <w:sz w:val="19"/>
          <w:szCs w:val="19"/>
          <w:color w:val="191919"/>
        </w:rPr>
        <w:t>Our short-term incentive compensation plan for executive officers is established annually by the Compensation Committee and is intended to motivate and reward executives by tying a significant portion of their total cash compensation to the Company’s achievement of pre-established performance goals that are generally one year or less in duration. The Fiscal Year 2021 Executive Incentive Plan (the “Incentive Plan”) adopted by the Compensation Committee on December 14, 2020, was based on the Company’s achievement of corporate performance goals established on a semi-annual basis during fiscal year 2021.</w:t>
      </w:r>
    </w:p>
    <w:p>
      <w:pPr>
        <w:spacing w:after="0" w:line="203" w:lineRule="exact"/>
        <w:rPr>
          <w:sz w:val="20"/>
          <w:szCs w:val="20"/>
          <w:color w:val="auto"/>
        </w:rPr>
      </w:pPr>
    </w:p>
    <w:p>
      <w:pPr>
        <w:ind w:right="720"/>
        <w:spacing w:after="0" w:line="254" w:lineRule="auto"/>
        <w:rPr>
          <w:sz w:val="20"/>
          <w:szCs w:val="20"/>
          <w:color w:val="auto"/>
        </w:rPr>
      </w:pPr>
      <w:r>
        <w:rPr>
          <w:rFonts w:ascii="Arial" w:cs="Arial" w:eastAsia="Arial" w:hAnsi="Arial"/>
          <w:sz w:val="20"/>
          <w:szCs w:val="20"/>
          <w:color w:val="191919"/>
        </w:rPr>
        <w:t>Consistent with the plan structure from the prior fiscal year, the Incentive Plan was established with two six-month performance periods. The Compensation Committee determined that semi-annual performance periods remained appropriate for fiscal year 2021 in light of continued uncertainties related to the COVID-19 pandemic. As with the prior year, this approach proved to be appropriate for fiscal year 2021, as the performance goals set by the Compensation Committee for the second performance period, as discussed below, reflected a significantly improved business outlook that resulted from greater-than-expected increases in overall demand for our wireless connectivity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-462280</wp:posOffset>
            </wp:positionH>
            <wp:positionV relativeFrom="paragraph">
              <wp:posOffset>229870</wp:posOffset>
            </wp:positionV>
            <wp:extent cx="779780" cy="25717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79780" cy="2571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20" w:space="460"/>
            <w:col w:w="5140"/>
          </w:cols>
          <w:pgMar w:left="580" w:top="132" w:right="599" w:bottom="1440" w:gutter="0" w:footer="0" w:header="0"/>
        </w:sect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860" w:type="dxa"/>
            <w:vAlign w:val="bottom"/>
          </w:tcPr>
          <w:p>
            <w:pPr>
              <w:ind w:left="660"/>
              <w:spacing w:after="0"/>
              <w:rPr>
                <w:sz w:val="20"/>
                <w:szCs w:val="20"/>
                <w:color w:val="auto"/>
              </w:rPr>
            </w:pPr>
            <w:r>
              <w:rPr>
                <w:rFonts w:ascii="Arial" w:cs="Arial" w:eastAsia="Arial" w:hAnsi="Arial"/>
                <w:sz w:val="16"/>
                <w:szCs w:val="16"/>
                <w:color w:val="auto"/>
              </w:rPr>
              <w:t>Proxy Statement</w:t>
            </w:r>
          </w:p>
        </w:tc>
        <w:tc>
          <w:tcPr>
            <w:tcW w:w="4860" w:type="dxa"/>
            <w:vAlign w:val="bottom"/>
          </w:tcPr>
          <w:p>
            <w:pPr>
              <w:jc w:val="right"/>
              <w:ind w:right="579"/>
              <w:spacing w:after="0"/>
              <w:rPr>
                <w:sz w:val="20"/>
                <w:szCs w:val="20"/>
                <w:color w:val="auto"/>
              </w:rPr>
            </w:pPr>
            <w:r>
              <w:rPr>
                <w:rFonts w:ascii="Arial" w:cs="Arial" w:eastAsia="Arial" w:hAnsi="Arial"/>
                <w:sz w:val="16"/>
                <w:szCs w:val="16"/>
                <w:color w:val="auto"/>
              </w:rPr>
              <w:t>35</w:t>
            </w:r>
          </w:p>
        </w:tc>
      </w:tr>
      <w:tr>
        <w:trPr>
          <w:trHeight w:val="297"/>
        </w:trPr>
        <w:tc>
          <w:tcPr>
            <w:tcW w:w="5860" w:type="dxa"/>
            <w:vAlign w:val="bottom"/>
            <w:tcBorders>
              <w:bottom w:val="single" w:sz="8" w:color="9A9A9A"/>
            </w:tcBorders>
          </w:tcPr>
          <w:p>
            <w:pPr>
              <w:spacing w:after="0"/>
              <w:rPr>
                <w:sz w:val="24"/>
                <w:szCs w:val="24"/>
                <w:color w:val="auto"/>
              </w:rPr>
            </w:pPr>
          </w:p>
        </w:tc>
        <w:tc>
          <w:tcPr>
            <w:tcW w:w="4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type w:val="continuous"/>
        </w:sectPr>
      </w:pPr>
    </w:p>
    <w:bookmarkStart w:id="40" w:name="page41"/>
    <w:bookmarkEnd w:id="40"/>
    <w:p>
      <w:pPr>
        <w:spacing w:after="0"/>
        <w:rPr>
          <w:rFonts w:ascii="Arial" w:cs="Arial" w:eastAsia="Arial" w:hAnsi="Arial"/>
          <w:sz w:val="14"/>
          <w:szCs w:val="14"/>
          <w:color w:val="003366"/>
        </w:rPr>
      </w:pPr>
      <w:hyperlink w:anchor="page3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67"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Incentive Opportunities</w:t>
      </w:r>
    </w:p>
    <w:p>
      <w:pPr>
        <w:spacing w:after="0" w:line="145" w:lineRule="exact"/>
        <w:rPr>
          <w:sz w:val="20"/>
          <w:szCs w:val="20"/>
          <w:color w:val="auto"/>
        </w:rPr>
      </w:pPr>
    </w:p>
    <w:p>
      <w:pPr>
        <w:ind w:left="660"/>
        <w:spacing w:after="0" w:line="239" w:lineRule="auto"/>
        <w:rPr>
          <w:sz w:val="20"/>
          <w:szCs w:val="20"/>
          <w:color w:val="auto"/>
        </w:rPr>
      </w:pPr>
      <w:r>
        <w:rPr>
          <w:rFonts w:ascii="Arial" w:cs="Arial" w:eastAsia="Arial" w:hAnsi="Arial"/>
          <w:sz w:val="20"/>
          <w:szCs w:val="20"/>
          <w:color w:val="191919"/>
        </w:rPr>
        <w:t>For each executive officer, short-term incentive compensation at the “target” level is designed to be near the median short-term incentive compensation of the Comparator Group. After reviewing Comparator Group data, the Compensation Committee determined that the target incentive under the Incentive Plan, as</w:t>
      </w:r>
    </w:p>
    <w:p>
      <w:pPr>
        <w:spacing w:after="0" w:line="3" w:lineRule="exact"/>
        <w:rPr>
          <w:sz w:val="20"/>
          <w:szCs w:val="20"/>
          <w:color w:val="auto"/>
        </w:rPr>
      </w:pPr>
    </w:p>
    <w:p>
      <w:pPr>
        <w:ind w:left="660" w:right="80"/>
        <w:spacing w:after="0" w:line="241" w:lineRule="auto"/>
        <w:rPr>
          <w:sz w:val="20"/>
          <w:szCs w:val="20"/>
          <w:color w:val="auto"/>
        </w:rPr>
      </w:pPr>
      <w:r>
        <w:rPr>
          <w:rFonts w:ascii="Arial" w:cs="Arial" w:eastAsia="Arial" w:hAnsi="Arial"/>
          <w:sz w:val="20"/>
          <w:szCs w:val="20"/>
          <w:color w:val="191919"/>
        </w:rPr>
        <w:t>a percentage of base salary, for each of the Named Executive Officers should not be changed, as compared to the target incentives under the prior year’s short-term incentive plan.</w:t>
      </w:r>
    </w:p>
    <w:p>
      <w:pPr>
        <w:spacing w:after="0" w:line="210" w:lineRule="exact"/>
        <w:rPr>
          <w:sz w:val="20"/>
          <w:szCs w:val="20"/>
          <w:color w:val="auto"/>
        </w:rPr>
      </w:pPr>
    </w:p>
    <w:p>
      <w:pPr>
        <w:ind w:left="660" w:right="100"/>
        <w:spacing w:after="0" w:line="241" w:lineRule="auto"/>
        <w:rPr>
          <w:sz w:val="20"/>
          <w:szCs w:val="20"/>
          <w:color w:val="auto"/>
        </w:rPr>
      </w:pPr>
      <w:r>
        <w:rPr>
          <w:rFonts w:ascii="Arial" w:cs="Arial" w:eastAsia="Arial" w:hAnsi="Arial"/>
          <w:sz w:val="20"/>
          <w:szCs w:val="20"/>
          <w:color w:val="191919"/>
        </w:rPr>
        <w:t>The following table shows the range of short-term incentive compensation that each Named Executive Officer could earn in fiscal year 2021 as a percentage of such executive officer’s annual base salary.</w:t>
      </w:r>
    </w:p>
    <w:p>
      <w:pPr>
        <w:spacing w:after="0" w:line="266" w:lineRule="exact"/>
        <w:rPr>
          <w:sz w:val="20"/>
          <w:szCs w:val="20"/>
          <w:color w:val="auto"/>
        </w:rPr>
      </w:pPr>
    </w:p>
    <w:tbl>
      <w:tblPr>
        <w:tblLayout w:type="fixed"/>
        <w:tblInd w:w="660" w:type="dxa"/>
        <w:tblCellMar>
          <w:top w:w="0" w:type="dxa"/>
          <w:left w:w="0" w:type="dxa"/>
          <w:bottom w:w="0" w:type="dxa"/>
          <w:right w:w="0" w:type="dxa"/>
        </w:tblCellMar>
      </w:tblPr>
      <w:tr>
        <w:trPr>
          <w:trHeight w:val="257"/>
        </w:trPr>
        <w:tc>
          <w:tcPr>
            <w:tcW w:w="1900" w:type="dxa"/>
            <w:vAlign w:val="bottom"/>
            <w:shd w:val="clear" w:color="auto" w:fill="0076A8"/>
          </w:tcPr>
          <w:p>
            <w:pPr>
              <w:spacing w:after="0"/>
              <w:rPr>
                <w:sz w:val="22"/>
                <w:szCs w:val="22"/>
                <w:color w:val="auto"/>
              </w:rPr>
            </w:pPr>
          </w:p>
        </w:tc>
        <w:tc>
          <w:tcPr>
            <w:tcW w:w="980" w:type="dxa"/>
            <w:vAlign w:val="bottom"/>
            <w:shd w:val="clear" w:color="auto" w:fill="0076A8"/>
          </w:tcPr>
          <w:p>
            <w:pPr>
              <w:jc w:val="right"/>
              <w:spacing w:after="0"/>
              <w:rPr>
                <w:sz w:val="20"/>
                <w:szCs w:val="20"/>
                <w:color w:val="auto"/>
              </w:rPr>
            </w:pPr>
            <w:r>
              <w:rPr>
                <w:rFonts w:ascii="Arial" w:cs="Arial" w:eastAsia="Arial" w:hAnsi="Arial"/>
                <w:sz w:val="18"/>
                <w:szCs w:val="18"/>
                <w:color w:val="FFFFFF"/>
              </w:rPr>
              <w:t>Threshold</w:t>
            </w:r>
          </w:p>
        </w:tc>
        <w:tc>
          <w:tcPr>
            <w:tcW w:w="660" w:type="dxa"/>
            <w:vAlign w:val="bottom"/>
            <w:shd w:val="clear" w:color="auto" w:fill="0076A8"/>
          </w:tcPr>
          <w:p>
            <w:pPr>
              <w:jc w:val="right"/>
              <w:spacing w:after="0"/>
              <w:rPr>
                <w:sz w:val="20"/>
                <w:szCs w:val="20"/>
                <w:color w:val="auto"/>
              </w:rPr>
            </w:pPr>
            <w:r>
              <w:rPr>
                <w:rFonts w:ascii="Arial" w:cs="Arial" w:eastAsia="Arial" w:hAnsi="Arial"/>
                <w:sz w:val="18"/>
                <w:szCs w:val="18"/>
                <w:color w:val="FFFFFF"/>
              </w:rPr>
              <w:t>Target</w:t>
            </w:r>
          </w:p>
        </w:tc>
        <w:tc>
          <w:tcPr>
            <w:tcW w:w="940" w:type="dxa"/>
            <w:vAlign w:val="bottom"/>
            <w:shd w:val="clear" w:color="auto" w:fill="0076A8"/>
          </w:tcPr>
          <w:p>
            <w:pPr>
              <w:jc w:val="right"/>
              <w:ind w:right="17"/>
              <w:spacing w:after="0"/>
              <w:rPr>
                <w:sz w:val="20"/>
                <w:szCs w:val="20"/>
                <w:color w:val="auto"/>
              </w:rPr>
            </w:pPr>
            <w:r>
              <w:rPr>
                <w:rFonts w:ascii="Arial" w:cs="Arial" w:eastAsia="Arial" w:hAnsi="Arial"/>
                <w:sz w:val="18"/>
                <w:szCs w:val="18"/>
                <w:color w:val="FFFFFF"/>
              </w:rPr>
              <w:t>Maximum</w:t>
            </w:r>
          </w:p>
        </w:tc>
      </w:tr>
      <w:tr>
        <w:trPr>
          <w:trHeight w:val="270"/>
        </w:trPr>
        <w:tc>
          <w:tcPr>
            <w:tcW w:w="1900" w:type="dxa"/>
            <w:vAlign w:val="bottom"/>
            <w:shd w:val="clear" w:color="auto" w:fill="E5E5E5"/>
          </w:tcPr>
          <w:p>
            <w:pPr>
              <w:ind w:left="40"/>
              <w:spacing w:after="0"/>
              <w:rPr>
                <w:sz w:val="20"/>
                <w:szCs w:val="20"/>
                <w:color w:val="auto"/>
              </w:rPr>
            </w:pPr>
            <w:r>
              <w:rPr>
                <w:rFonts w:ascii="Arial" w:cs="Arial" w:eastAsia="Arial" w:hAnsi="Arial"/>
                <w:sz w:val="16"/>
                <w:szCs w:val="16"/>
                <w:color w:val="auto"/>
              </w:rPr>
              <w:t>Chief Executive Officer</w:t>
            </w:r>
          </w:p>
        </w:tc>
        <w:tc>
          <w:tcPr>
            <w:tcW w:w="980" w:type="dxa"/>
            <w:vAlign w:val="bottom"/>
            <w:shd w:val="clear" w:color="auto" w:fill="E5E5E5"/>
          </w:tcPr>
          <w:p>
            <w:pPr>
              <w:jc w:val="right"/>
              <w:ind w:right="157"/>
              <w:spacing w:after="0"/>
              <w:rPr>
                <w:sz w:val="20"/>
                <w:szCs w:val="20"/>
                <w:color w:val="auto"/>
              </w:rPr>
            </w:pPr>
            <w:r>
              <w:rPr>
                <w:rFonts w:ascii="Arial" w:cs="Arial" w:eastAsia="Arial" w:hAnsi="Arial"/>
                <w:sz w:val="16"/>
                <w:szCs w:val="16"/>
                <w:color w:val="auto"/>
              </w:rPr>
              <w:t>80%</w:t>
            </w:r>
          </w:p>
        </w:tc>
        <w:tc>
          <w:tcPr>
            <w:tcW w:w="6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160%</w:t>
            </w:r>
          </w:p>
        </w:tc>
        <w:tc>
          <w:tcPr>
            <w:tcW w:w="940" w:type="dxa"/>
            <w:vAlign w:val="bottom"/>
            <w:shd w:val="clear" w:color="auto" w:fill="E5E5E5"/>
          </w:tcPr>
          <w:p>
            <w:pPr>
              <w:jc w:val="right"/>
              <w:ind w:right="117"/>
              <w:spacing w:after="0"/>
              <w:rPr>
                <w:sz w:val="20"/>
                <w:szCs w:val="20"/>
                <w:color w:val="auto"/>
              </w:rPr>
            </w:pPr>
            <w:r>
              <w:rPr>
                <w:rFonts w:ascii="Arial" w:cs="Arial" w:eastAsia="Arial" w:hAnsi="Arial"/>
                <w:sz w:val="16"/>
                <w:szCs w:val="16"/>
                <w:color w:val="auto"/>
              </w:rPr>
              <w:t>320%</w:t>
            </w:r>
          </w:p>
        </w:tc>
      </w:tr>
      <w:tr>
        <w:trPr>
          <w:trHeight w:val="267"/>
        </w:trPr>
        <w:tc>
          <w:tcPr>
            <w:tcW w:w="1900" w:type="dxa"/>
            <w:vAlign w:val="bottom"/>
          </w:tcPr>
          <w:p>
            <w:pPr>
              <w:ind w:left="40"/>
              <w:spacing w:after="0"/>
              <w:rPr>
                <w:sz w:val="20"/>
                <w:szCs w:val="20"/>
                <w:color w:val="auto"/>
              </w:rPr>
            </w:pPr>
            <w:r>
              <w:rPr>
                <w:rFonts w:ascii="Arial" w:cs="Arial" w:eastAsia="Arial" w:hAnsi="Arial"/>
                <w:sz w:val="16"/>
                <w:szCs w:val="16"/>
                <w:color w:val="auto"/>
              </w:rPr>
              <w:t>Chief Financial Officer</w:t>
            </w:r>
          </w:p>
        </w:tc>
        <w:tc>
          <w:tcPr>
            <w:tcW w:w="980" w:type="dxa"/>
            <w:vAlign w:val="bottom"/>
          </w:tcPr>
          <w:p>
            <w:pPr>
              <w:jc w:val="right"/>
              <w:ind w:right="157"/>
              <w:spacing w:after="0"/>
              <w:rPr>
                <w:sz w:val="20"/>
                <w:szCs w:val="20"/>
                <w:color w:val="auto"/>
              </w:rPr>
            </w:pPr>
            <w:r>
              <w:rPr>
                <w:rFonts w:ascii="Arial" w:cs="Arial" w:eastAsia="Arial" w:hAnsi="Arial"/>
                <w:sz w:val="16"/>
                <w:szCs w:val="16"/>
                <w:color w:val="auto"/>
              </w:rPr>
              <w:t>50%</w:t>
            </w:r>
          </w:p>
        </w:tc>
        <w:tc>
          <w:tcPr>
            <w:tcW w:w="660" w:type="dxa"/>
            <w:vAlign w:val="bottom"/>
          </w:tcPr>
          <w:p>
            <w:pPr>
              <w:jc w:val="right"/>
              <w:spacing w:after="0"/>
              <w:rPr>
                <w:sz w:val="20"/>
                <w:szCs w:val="20"/>
                <w:color w:val="auto"/>
              </w:rPr>
            </w:pPr>
            <w:r>
              <w:rPr>
                <w:rFonts w:ascii="Arial" w:cs="Arial" w:eastAsia="Arial" w:hAnsi="Arial"/>
                <w:sz w:val="16"/>
                <w:szCs w:val="16"/>
                <w:color w:val="auto"/>
              </w:rPr>
              <w:t>100%</w:t>
            </w:r>
          </w:p>
        </w:tc>
        <w:tc>
          <w:tcPr>
            <w:tcW w:w="940" w:type="dxa"/>
            <w:vAlign w:val="bottom"/>
          </w:tcPr>
          <w:p>
            <w:pPr>
              <w:jc w:val="right"/>
              <w:ind w:right="117"/>
              <w:spacing w:after="0"/>
              <w:rPr>
                <w:sz w:val="20"/>
                <w:szCs w:val="20"/>
                <w:color w:val="auto"/>
              </w:rPr>
            </w:pPr>
            <w:r>
              <w:rPr>
                <w:rFonts w:ascii="Arial" w:cs="Arial" w:eastAsia="Arial" w:hAnsi="Arial"/>
                <w:sz w:val="16"/>
                <w:szCs w:val="16"/>
                <w:color w:val="auto"/>
              </w:rPr>
              <w:t>200%</w:t>
            </w:r>
          </w:p>
        </w:tc>
      </w:tr>
      <w:tr>
        <w:trPr>
          <w:trHeight w:val="259"/>
        </w:trPr>
        <w:tc>
          <w:tcPr>
            <w:tcW w:w="1900" w:type="dxa"/>
            <w:vAlign w:val="bottom"/>
            <w:shd w:val="clear" w:color="auto" w:fill="E5E5E5"/>
          </w:tcPr>
          <w:p>
            <w:pPr>
              <w:ind w:left="40"/>
              <w:spacing w:after="0"/>
              <w:rPr>
                <w:sz w:val="20"/>
                <w:szCs w:val="20"/>
                <w:color w:val="auto"/>
              </w:rPr>
            </w:pPr>
            <w:r>
              <w:rPr>
                <w:rFonts w:ascii="Arial" w:cs="Arial" w:eastAsia="Arial" w:hAnsi="Arial"/>
                <w:sz w:val="16"/>
                <w:szCs w:val="16"/>
                <w:color w:val="auto"/>
              </w:rPr>
              <w:t>Other Executive Officers</w:t>
            </w:r>
          </w:p>
        </w:tc>
        <w:tc>
          <w:tcPr>
            <w:tcW w:w="980" w:type="dxa"/>
            <w:vAlign w:val="bottom"/>
            <w:shd w:val="clear" w:color="auto" w:fill="E5E5E5"/>
          </w:tcPr>
          <w:p>
            <w:pPr>
              <w:jc w:val="right"/>
              <w:ind w:right="157"/>
              <w:spacing w:after="0"/>
              <w:rPr>
                <w:sz w:val="20"/>
                <w:szCs w:val="20"/>
                <w:color w:val="auto"/>
              </w:rPr>
            </w:pPr>
            <w:r>
              <w:rPr>
                <w:rFonts w:ascii="Arial" w:cs="Arial" w:eastAsia="Arial" w:hAnsi="Arial"/>
                <w:sz w:val="16"/>
                <w:szCs w:val="16"/>
                <w:color w:val="auto"/>
              </w:rPr>
              <w:t>40%</w:t>
            </w:r>
          </w:p>
        </w:tc>
        <w:tc>
          <w:tcPr>
            <w:tcW w:w="6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80%</w:t>
            </w:r>
          </w:p>
        </w:tc>
        <w:tc>
          <w:tcPr>
            <w:tcW w:w="940" w:type="dxa"/>
            <w:vAlign w:val="bottom"/>
            <w:shd w:val="clear" w:color="auto" w:fill="E5E5E5"/>
          </w:tcPr>
          <w:p>
            <w:pPr>
              <w:jc w:val="right"/>
              <w:ind w:right="117"/>
              <w:spacing w:after="0"/>
              <w:rPr>
                <w:sz w:val="20"/>
                <w:szCs w:val="20"/>
                <w:color w:val="auto"/>
              </w:rPr>
            </w:pPr>
            <w:r>
              <w:rPr>
                <w:rFonts w:ascii="Arial" w:cs="Arial" w:eastAsia="Arial" w:hAnsi="Arial"/>
                <w:sz w:val="16"/>
                <w:szCs w:val="16"/>
                <w:color w:val="auto"/>
              </w:rPr>
              <w:t>160%</w:t>
            </w:r>
          </w:p>
        </w:tc>
      </w:tr>
    </w:tbl>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Performance Goals</w:t>
      </w:r>
    </w:p>
    <w:p>
      <w:pPr>
        <w:spacing w:after="0" w:line="159" w:lineRule="exact"/>
        <w:rPr>
          <w:sz w:val="20"/>
          <w:szCs w:val="20"/>
          <w:color w:val="auto"/>
        </w:rPr>
      </w:pPr>
    </w:p>
    <w:p>
      <w:pPr>
        <w:ind w:left="660" w:right="40"/>
        <w:spacing w:after="0" w:line="239" w:lineRule="auto"/>
        <w:rPr>
          <w:sz w:val="20"/>
          <w:szCs w:val="20"/>
          <w:color w:val="auto"/>
        </w:rPr>
      </w:pPr>
      <w:r>
        <w:rPr>
          <w:rFonts w:ascii="Arial" w:cs="Arial" w:eastAsia="Arial" w:hAnsi="Arial"/>
          <w:sz w:val="20"/>
          <w:szCs w:val="20"/>
          <w:color w:val="191919"/>
        </w:rPr>
        <w:t>In December 2020 and May 2021, the Compensation Committee established performance goals for the applicable semi-annual performance period, with each executive eligible to earn up to half of his or her annual short-term incentive compensation with respect to each six-month period. Under the Incentive Plan, any unearned amounts with respect to the first performance period were to be forfeited and could not be earned later based on performance during the second performance period or full-year performance. Payments under the Incentive Plan were based on achieving revenue and non-GAAP EBITDA performance goals, each of which was weighted at 50% for each respective performance period. EBITDA, for purposes of the non-GAAP EBITDA performance goal, was calculated by adding depreciation and amortization to the Company’s non-GAAP operating income, as publicly reported in the Company’s earnings release for the applicable period.</w:t>
      </w:r>
    </w:p>
    <w:p>
      <w:pPr>
        <w:spacing w:after="0" w:line="226" w:lineRule="exact"/>
        <w:rPr>
          <w:sz w:val="20"/>
          <w:szCs w:val="20"/>
          <w:color w:val="auto"/>
        </w:rPr>
      </w:pPr>
    </w:p>
    <w:p>
      <w:pPr>
        <w:ind w:left="660" w:right="540"/>
        <w:spacing w:after="0" w:line="272" w:lineRule="auto"/>
        <w:rPr>
          <w:sz w:val="20"/>
          <w:szCs w:val="20"/>
          <w:color w:val="auto"/>
        </w:rPr>
      </w:pPr>
      <w:r>
        <w:rPr>
          <w:rFonts w:ascii="Arial" w:cs="Arial" w:eastAsia="Arial" w:hAnsi="Arial"/>
          <w:sz w:val="19"/>
          <w:szCs w:val="19"/>
          <w:color w:val="191919"/>
        </w:rPr>
        <w:t>The target level performance goals were established by the Compensation Committee</w:t>
      </w:r>
    </w:p>
    <w:p>
      <w:pPr>
        <w:spacing w:after="0" w:line="200" w:lineRule="exact"/>
        <w:rPr>
          <w:sz w:val="20"/>
          <w:szCs w:val="20"/>
          <w:color w:val="auto"/>
        </w:rPr>
      </w:pPr>
    </w:p>
    <w:p>
      <w:pPr>
        <w:spacing w:after="0" w:line="25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60"/>
        <w:spacing w:after="0" w:line="267" w:lineRule="auto"/>
        <w:rPr>
          <w:sz w:val="20"/>
          <w:szCs w:val="20"/>
          <w:color w:val="auto"/>
        </w:rPr>
      </w:pPr>
      <w:r>
        <w:rPr>
          <w:rFonts w:ascii="Arial" w:cs="Arial" w:eastAsia="Arial" w:hAnsi="Arial"/>
          <w:sz w:val="19"/>
          <w:szCs w:val="19"/>
          <w:color w:val="191919"/>
        </w:rPr>
        <w:t>under the Incentive Plan after reviewing the Company’s historical operating results and growth rates as well as the Company’s expected future results relative to peers and were designed to require significant effort and operational success on the part of our executives and the Company. The threshold level performance goals established by the Compensation Committee under the Incentive Plan in each case exceeded the Company’s actual performance during the corresponding performance period during the prior fiscal year. The maximum level performance goals established by the Compensation Committee have historically been difficult to achieve and are designed to represent outstanding performance that the Compensation Committee believes should be rewarded. The performance goals established for the second half of fiscal year 2021 were based on the Company’s outlook in May 2021 for the remainder of the fiscal year, which included expectations for revenue and non-GAAP EBITDA that were significantly higher than the Company’s original operating plan, resulting in an upward adjustment to the metrics from the preliminary metrics discussed in December 2020.</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color w:val="191919"/>
        </w:rPr>
        <w:t>The performance goals established under the</w:t>
      </w:r>
    </w:p>
    <w:p>
      <w:pPr>
        <w:spacing w:after="0" w:line="13" w:lineRule="exact"/>
        <w:rPr>
          <w:sz w:val="20"/>
          <w:szCs w:val="20"/>
          <w:color w:val="auto"/>
        </w:rPr>
      </w:pPr>
    </w:p>
    <w:p>
      <w:pPr>
        <w:spacing w:after="0"/>
        <w:rPr>
          <w:sz w:val="20"/>
          <w:szCs w:val="20"/>
          <w:color w:val="auto"/>
        </w:rPr>
      </w:pPr>
      <w:r>
        <w:rPr>
          <w:rFonts w:ascii="Arial" w:cs="Arial" w:eastAsia="Arial" w:hAnsi="Arial"/>
          <w:sz w:val="19"/>
          <w:szCs w:val="19"/>
          <w:color w:val="191919"/>
        </w:rPr>
        <w:t>Incentive Plan for fiscal year 2021 were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60" w:type="dxa"/>
            <w:vAlign w:val="bottom"/>
            <w:shd w:val="clear" w:color="auto" w:fill="0076A8"/>
          </w:tcPr>
          <w:p>
            <w:pPr>
              <w:spacing w:after="0"/>
              <w:rPr>
                <w:sz w:val="22"/>
                <w:szCs w:val="22"/>
                <w:color w:val="auto"/>
              </w:rPr>
            </w:pPr>
          </w:p>
        </w:tc>
        <w:tc>
          <w:tcPr>
            <w:tcW w:w="1560" w:type="dxa"/>
            <w:vAlign w:val="bottom"/>
            <w:gridSpan w:val="2"/>
            <w:shd w:val="clear" w:color="auto" w:fill="0076A8"/>
          </w:tcPr>
          <w:p>
            <w:pPr>
              <w:ind w:left="420"/>
              <w:spacing w:after="0"/>
              <w:rPr>
                <w:sz w:val="20"/>
                <w:szCs w:val="20"/>
                <w:color w:val="auto"/>
              </w:rPr>
            </w:pPr>
            <w:r>
              <w:rPr>
                <w:rFonts w:ascii="Arial" w:cs="Arial" w:eastAsia="Arial" w:hAnsi="Arial"/>
                <w:sz w:val="18"/>
                <w:szCs w:val="18"/>
                <w:color w:val="FFFFFF"/>
              </w:rPr>
              <w:t>Revenue</w:t>
            </w:r>
          </w:p>
        </w:tc>
        <w:tc>
          <w:tcPr>
            <w:tcW w:w="1760" w:type="dxa"/>
            <w:vAlign w:val="bottom"/>
            <w:gridSpan w:val="3"/>
            <w:shd w:val="clear" w:color="auto" w:fill="0076A8"/>
          </w:tcPr>
          <w:p>
            <w:pPr>
              <w:jc w:val="right"/>
              <w:spacing w:after="0"/>
              <w:rPr>
                <w:sz w:val="20"/>
                <w:szCs w:val="20"/>
                <w:color w:val="auto"/>
              </w:rPr>
            </w:pPr>
            <w:r>
              <w:rPr>
                <w:rFonts w:ascii="Arial" w:cs="Arial" w:eastAsia="Arial" w:hAnsi="Arial"/>
                <w:sz w:val="18"/>
                <w:szCs w:val="18"/>
                <w:color w:val="FFFFFF"/>
              </w:rPr>
              <w:t>Non-GAAP EBITDA</w:t>
            </w:r>
          </w:p>
        </w:tc>
      </w:tr>
      <w:tr>
        <w:trPr>
          <w:trHeight w:val="34"/>
        </w:trPr>
        <w:tc>
          <w:tcPr>
            <w:tcW w:w="1160" w:type="dxa"/>
            <w:vAlign w:val="bottom"/>
            <w:shd w:val="clear" w:color="auto" w:fill="0076A8"/>
          </w:tcPr>
          <w:p>
            <w:pPr>
              <w:spacing w:after="0"/>
              <w:rPr>
                <w:sz w:val="2"/>
                <w:szCs w:val="2"/>
                <w:color w:val="auto"/>
              </w:rPr>
            </w:pPr>
          </w:p>
        </w:tc>
        <w:tc>
          <w:tcPr>
            <w:tcW w:w="740" w:type="dxa"/>
            <w:vAlign w:val="bottom"/>
            <w:shd w:val="clear" w:color="auto" w:fill="0076A8"/>
          </w:tcPr>
          <w:p>
            <w:pPr>
              <w:spacing w:after="0"/>
              <w:rPr>
                <w:sz w:val="2"/>
                <w:szCs w:val="2"/>
                <w:color w:val="auto"/>
              </w:rPr>
            </w:pPr>
          </w:p>
        </w:tc>
        <w:tc>
          <w:tcPr>
            <w:tcW w:w="820" w:type="dxa"/>
            <w:vAlign w:val="bottom"/>
            <w:shd w:val="clear" w:color="auto" w:fill="0076A8"/>
          </w:tcPr>
          <w:p>
            <w:pPr>
              <w:spacing w:after="0"/>
              <w:rPr>
                <w:sz w:val="2"/>
                <w:szCs w:val="2"/>
                <w:color w:val="auto"/>
              </w:rPr>
            </w:pPr>
          </w:p>
        </w:tc>
        <w:tc>
          <w:tcPr>
            <w:tcW w:w="840" w:type="dxa"/>
            <w:vAlign w:val="bottom"/>
            <w:shd w:val="clear" w:color="auto" w:fill="0076A8"/>
          </w:tcPr>
          <w:p>
            <w:pPr>
              <w:spacing w:after="0"/>
              <w:rPr>
                <w:sz w:val="2"/>
                <w:szCs w:val="2"/>
                <w:color w:val="auto"/>
              </w:rPr>
            </w:pPr>
          </w:p>
        </w:tc>
        <w:tc>
          <w:tcPr>
            <w:tcW w:w="920" w:type="dxa"/>
            <w:vAlign w:val="bottom"/>
            <w:gridSpan w:val="2"/>
            <w:shd w:val="clear" w:color="auto" w:fill="0076A8"/>
          </w:tcPr>
          <w:p>
            <w:pPr>
              <w:spacing w:after="0"/>
              <w:rPr>
                <w:sz w:val="2"/>
                <w:szCs w:val="2"/>
                <w:color w:val="auto"/>
              </w:rPr>
            </w:pPr>
          </w:p>
        </w:tc>
      </w:tr>
      <w:tr>
        <w:trPr>
          <w:trHeight w:val="277"/>
        </w:trPr>
        <w:tc>
          <w:tcPr>
            <w:tcW w:w="1160" w:type="dxa"/>
            <w:vAlign w:val="bottom"/>
            <w:shd w:val="clear" w:color="auto" w:fill="0076A8"/>
          </w:tcPr>
          <w:p>
            <w:pPr>
              <w:ind w:left="40"/>
              <w:spacing w:after="0"/>
              <w:rPr>
                <w:sz w:val="20"/>
                <w:szCs w:val="20"/>
                <w:color w:val="auto"/>
              </w:rPr>
            </w:pPr>
            <w:r>
              <w:rPr>
                <w:rFonts w:ascii="Arial" w:cs="Arial" w:eastAsia="Arial" w:hAnsi="Arial"/>
                <w:sz w:val="18"/>
                <w:szCs w:val="18"/>
                <w:color w:val="FFFFFF"/>
              </w:rPr>
              <w:t>(in millions)</w:t>
            </w:r>
          </w:p>
        </w:tc>
        <w:tc>
          <w:tcPr>
            <w:tcW w:w="740" w:type="dxa"/>
            <w:vAlign w:val="bottom"/>
            <w:shd w:val="clear" w:color="auto" w:fill="0076A8"/>
          </w:tcPr>
          <w:p>
            <w:pPr>
              <w:jc w:val="center"/>
              <w:spacing w:after="0"/>
              <w:rPr>
                <w:sz w:val="20"/>
                <w:szCs w:val="20"/>
                <w:color w:val="auto"/>
              </w:rPr>
            </w:pPr>
            <w:r>
              <w:rPr>
                <w:rFonts w:ascii="Arial" w:cs="Arial" w:eastAsia="Arial" w:hAnsi="Arial"/>
                <w:sz w:val="18"/>
                <w:szCs w:val="18"/>
                <w:color w:val="FFFFFF"/>
                <w:w w:val="98"/>
              </w:rPr>
              <w:t>1st Half</w:t>
            </w:r>
          </w:p>
        </w:tc>
        <w:tc>
          <w:tcPr>
            <w:tcW w:w="820" w:type="dxa"/>
            <w:vAlign w:val="bottom"/>
            <w:shd w:val="clear" w:color="auto" w:fill="0076A8"/>
          </w:tcPr>
          <w:p>
            <w:pPr>
              <w:jc w:val="center"/>
              <w:spacing w:after="0"/>
              <w:rPr>
                <w:sz w:val="20"/>
                <w:szCs w:val="20"/>
                <w:color w:val="auto"/>
              </w:rPr>
            </w:pPr>
            <w:r>
              <w:rPr>
                <w:rFonts w:ascii="Arial" w:cs="Arial" w:eastAsia="Arial" w:hAnsi="Arial"/>
                <w:sz w:val="18"/>
                <w:szCs w:val="18"/>
                <w:color w:val="FFFFFF"/>
                <w:w w:val="98"/>
              </w:rPr>
              <w:t>2nd Half</w:t>
            </w:r>
          </w:p>
        </w:tc>
        <w:tc>
          <w:tcPr>
            <w:tcW w:w="840" w:type="dxa"/>
            <w:vAlign w:val="bottom"/>
            <w:shd w:val="clear" w:color="auto" w:fill="0076A8"/>
          </w:tcPr>
          <w:p>
            <w:pPr>
              <w:jc w:val="center"/>
              <w:spacing w:after="0"/>
              <w:rPr>
                <w:sz w:val="20"/>
                <w:szCs w:val="20"/>
                <w:color w:val="auto"/>
              </w:rPr>
            </w:pPr>
            <w:r>
              <w:rPr>
                <w:rFonts w:ascii="Arial" w:cs="Arial" w:eastAsia="Arial" w:hAnsi="Arial"/>
                <w:sz w:val="18"/>
                <w:szCs w:val="18"/>
                <w:color w:val="FFFFFF"/>
                <w:w w:val="98"/>
              </w:rPr>
              <w:t>1st Half</w:t>
            </w:r>
          </w:p>
        </w:tc>
        <w:tc>
          <w:tcPr>
            <w:tcW w:w="920" w:type="dxa"/>
            <w:vAlign w:val="bottom"/>
            <w:gridSpan w:val="2"/>
            <w:shd w:val="clear" w:color="auto" w:fill="0076A8"/>
          </w:tcPr>
          <w:p>
            <w:pPr>
              <w:jc w:val="right"/>
              <w:ind w:right="39"/>
              <w:spacing w:after="0"/>
              <w:rPr>
                <w:sz w:val="20"/>
                <w:szCs w:val="20"/>
                <w:color w:val="auto"/>
              </w:rPr>
            </w:pPr>
            <w:r>
              <w:rPr>
                <w:rFonts w:ascii="Arial" w:cs="Arial" w:eastAsia="Arial" w:hAnsi="Arial"/>
                <w:sz w:val="18"/>
                <w:szCs w:val="18"/>
                <w:color w:val="FFFFFF"/>
              </w:rPr>
              <w:t>2nd Half</w:t>
            </w:r>
          </w:p>
        </w:tc>
      </w:tr>
      <w:tr>
        <w:trPr>
          <w:trHeight w:val="256"/>
        </w:trPr>
        <w:tc>
          <w:tcPr>
            <w:tcW w:w="1160" w:type="dxa"/>
            <w:vAlign w:val="bottom"/>
            <w:shd w:val="clear" w:color="auto" w:fill="E5E5E5"/>
          </w:tcPr>
          <w:p>
            <w:pPr>
              <w:ind w:left="40"/>
              <w:spacing w:after="0"/>
              <w:rPr>
                <w:sz w:val="20"/>
                <w:szCs w:val="20"/>
                <w:color w:val="auto"/>
              </w:rPr>
            </w:pPr>
            <w:r>
              <w:rPr>
                <w:rFonts w:ascii="Arial" w:cs="Arial" w:eastAsia="Arial" w:hAnsi="Arial"/>
                <w:sz w:val="16"/>
                <w:szCs w:val="16"/>
                <w:color w:val="auto"/>
              </w:rPr>
              <w:t>Threshold</w:t>
            </w:r>
          </w:p>
        </w:tc>
        <w:tc>
          <w:tcPr>
            <w:tcW w:w="74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$1,700</w:t>
            </w:r>
          </w:p>
        </w:tc>
        <w:tc>
          <w:tcPr>
            <w:tcW w:w="82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$2,018</w:t>
            </w:r>
          </w:p>
        </w:tc>
        <w:tc>
          <w:tcPr>
            <w:tcW w:w="84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$730</w:t>
            </w:r>
          </w:p>
        </w:tc>
        <w:tc>
          <w:tcPr>
            <w:tcW w:w="3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E5E5E5"/>
          </w:tcPr>
          <w:p>
            <w:pPr>
              <w:jc w:val="right"/>
              <w:ind w:right="119"/>
              <w:spacing w:after="0"/>
              <w:rPr>
                <w:sz w:val="20"/>
                <w:szCs w:val="20"/>
                <w:color w:val="auto"/>
              </w:rPr>
            </w:pPr>
            <w:r>
              <w:rPr>
                <w:rFonts w:ascii="Arial" w:cs="Arial" w:eastAsia="Arial" w:hAnsi="Arial"/>
                <w:sz w:val="16"/>
                <w:szCs w:val="16"/>
                <w:color w:val="auto"/>
              </w:rPr>
              <w:t>855</w:t>
            </w:r>
          </w:p>
        </w:tc>
      </w:tr>
      <w:tr>
        <w:trPr>
          <w:trHeight w:val="267"/>
        </w:trPr>
        <w:tc>
          <w:tcPr>
            <w:tcW w:w="1160" w:type="dxa"/>
            <w:vAlign w:val="bottom"/>
          </w:tcPr>
          <w:p>
            <w:pPr>
              <w:ind w:left="40"/>
              <w:spacing w:after="0"/>
              <w:rPr>
                <w:sz w:val="20"/>
                <w:szCs w:val="20"/>
                <w:color w:val="auto"/>
              </w:rPr>
            </w:pPr>
            <w:r>
              <w:rPr>
                <w:rFonts w:ascii="Arial" w:cs="Arial" w:eastAsia="Arial" w:hAnsi="Arial"/>
                <w:sz w:val="16"/>
                <w:szCs w:val="16"/>
                <w:color w:val="auto"/>
              </w:rPr>
              <w:t>Target</w:t>
            </w:r>
          </w:p>
        </w:tc>
        <w:tc>
          <w:tcPr>
            <w:tcW w:w="740" w:type="dxa"/>
            <w:vAlign w:val="bottom"/>
          </w:tcPr>
          <w:p>
            <w:pPr>
              <w:jc w:val="center"/>
              <w:spacing w:after="0"/>
              <w:rPr>
                <w:sz w:val="20"/>
                <w:szCs w:val="20"/>
                <w:color w:val="auto"/>
              </w:rPr>
            </w:pPr>
            <w:r>
              <w:rPr>
                <w:rFonts w:ascii="Arial" w:cs="Arial" w:eastAsia="Arial" w:hAnsi="Arial"/>
                <w:sz w:val="16"/>
                <w:szCs w:val="16"/>
                <w:color w:val="auto"/>
              </w:rPr>
              <w:t>$1,835</w:t>
            </w:r>
          </w:p>
        </w:tc>
        <w:tc>
          <w:tcPr>
            <w:tcW w:w="820" w:type="dxa"/>
            <w:vAlign w:val="bottom"/>
          </w:tcPr>
          <w:p>
            <w:pPr>
              <w:jc w:val="center"/>
              <w:spacing w:after="0"/>
              <w:rPr>
                <w:sz w:val="20"/>
                <w:szCs w:val="20"/>
                <w:color w:val="auto"/>
              </w:rPr>
            </w:pPr>
            <w:r>
              <w:rPr>
                <w:rFonts w:ascii="Arial" w:cs="Arial" w:eastAsia="Arial" w:hAnsi="Arial"/>
                <w:sz w:val="16"/>
                <w:szCs w:val="16"/>
                <w:color w:val="auto"/>
              </w:rPr>
              <w:t>$2,168</w:t>
            </w:r>
          </w:p>
        </w:tc>
        <w:tc>
          <w:tcPr>
            <w:tcW w:w="840" w:type="dxa"/>
            <w:vAlign w:val="bottom"/>
          </w:tcPr>
          <w:p>
            <w:pPr>
              <w:jc w:val="center"/>
              <w:spacing w:after="0"/>
              <w:rPr>
                <w:sz w:val="20"/>
                <w:szCs w:val="20"/>
                <w:color w:val="auto"/>
              </w:rPr>
            </w:pPr>
            <w:r>
              <w:rPr>
                <w:rFonts w:ascii="Arial" w:cs="Arial" w:eastAsia="Arial" w:hAnsi="Arial"/>
                <w:sz w:val="16"/>
                <w:szCs w:val="16"/>
                <w:color w:val="auto"/>
              </w:rPr>
              <w:t>$795</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19"/>
              <w:spacing w:after="0"/>
              <w:rPr>
                <w:sz w:val="20"/>
                <w:szCs w:val="20"/>
                <w:color w:val="auto"/>
              </w:rPr>
            </w:pPr>
            <w:r>
              <w:rPr>
                <w:rFonts w:ascii="Arial" w:cs="Arial" w:eastAsia="Arial" w:hAnsi="Arial"/>
                <w:sz w:val="16"/>
                <w:szCs w:val="16"/>
                <w:color w:val="auto"/>
              </w:rPr>
              <w:t>940</w:t>
            </w:r>
          </w:p>
        </w:tc>
      </w:tr>
      <w:tr>
        <w:trPr>
          <w:trHeight w:val="260"/>
        </w:trPr>
        <w:tc>
          <w:tcPr>
            <w:tcW w:w="1160" w:type="dxa"/>
            <w:vAlign w:val="bottom"/>
            <w:shd w:val="clear" w:color="auto" w:fill="E5E5E5"/>
          </w:tcPr>
          <w:p>
            <w:pPr>
              <w:ind w:left="40"/>
              <w:spacing w:after="0"/>
              <w:rPr>
                <w:sz w:val="20"/>
                <w:szCs w:val="20"/>
                <w:color w:val="auto"/>
              </w:rPr>
            </w:pPr>
            <w:r>
              <w:rPr>
                <w:rFonts w:ascii="Arial" w:cs="Arial" w:eastAsia="Arial" w:hAnsi="Arial"/>
                <w:sz w:val="16"/>
                <w:szCs w:val="16"/>
                <w:color w:val="auto"/>
              </w:rPr>
              <w:t>Maximum</w:t>
            </w:r>
          </w:p>
        </w:tc>
        <w:tc>
          <w:tcPr>
            <w:tcW w:w="74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$1,900</w:t>
            </w:r>
          </w:p>
        </w:tc>
        <w:tc>
          <w:tcPr>
            <w:tcW w:w="82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$2,318</w:t>
            </w:r>
          </w:p>
        </w:tc>
        <w:tc>
          <w:tcPr>
            <w:tcW w:w="84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$825</w:t>
            </w:r>
          </w:p>
        </w:tc>
        <w:tc>
          <w:tcPr>
            <w:tcW w:w="3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E5E5E5"/>
          </w:tcPr>
          <w:p>
            <w:pPr>
              <w:jc w:val="right"/>
              <w:ind w:right="119"/>
              <w:spacing w:after="0"/>
              <w:rPr>
                <w:sz w:val="20"/>
                <w:szCs w:val="20"/>
                <w:color w:val="auto"/>
              </w:rPr>
            </w:pPr>
            <w:r>
              <w:rPr>
                <w:rFonts w:ascii="Arial" w:cs="Arial" w:eastAsia="Arial" w:hAnsi="Arial"/>
                <w:sz w:val="16"/>
                <w:szCs w:val="16"/>
                <w:color w:val="auto"/>
                <w:w w:val="99"/>
              </w:rPr>
              <w:t>1,025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711200</wp:posOffset>
            </wp:positionH>
            <wp:positionV relativeFrom="paragraph">
              <wp:posOffset>-676910</wp:posOffset>
            </wp:positionV>
            <wp:extent cx="254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5400" cy="8890"/>
                    </a:xfrm>
                    <a:prstGeom prst="rect">
                      <a:avLst/>
                    </a:prstGeom>
                    <a:noFill/>
                  </pic:spPr>
                </pic:pic>
              </a:graphicData>
            </a:graphic>
          </wp:anchor>
        </w:drawing>
      </w:r>
    </w:p>
    <w:p>
      <w:pPr>
        <w:spacing w:after="0" w:line="206" w:lineRule="exact"/>
        <w:rPr>
          <w:sz w:val="20"/>
          <w:szCs w:val="20"/>
          <w:color w:val="auto"/>
        </w:rPr>
      </w:pPr>
    </w:p>
    <w:p>
      <w:pPr>
        <w:spacing w:after="0" w:line="226" w:lineRule="auto"/>
        <w:rPr>
          <w:sz w:val="20"/>
          <w:szCs w:val="20"/>
          <w:color w:val="auto"/>
        </w:rPr>
      </w:pPr>
      <w:r>
        <w:rPr>
          <w:rFonts w:ascii="Arial" w:cs="Arial" w:eastAsia="Arial" w:hAnsi="Arial"/>
          <w:sz w:val="20"/>
          <w:szCs w:val="20"/>
          <w:color w:val="191919"/>
        </w:rPr>
        <w:t>The Incentive Plan stipulated that payouts to executives following the end of the fiscal year, under either of the performance metrics, were conditioned upon the Company achieving full-year non-GAAP operating income of $ 650 million, which is increased from the $500 million threshold that applied for the prior fiscal year. Non-GAAP operating income, for purposes of the Incentive Plan, is based on the Company’s publicly disclosed non-GAAP operating income — which is calculated by excluding from GAAP operating income share-based compensation expense; acquisition-related expenses; amortization of acquisition-related intangibles; settlements,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-471170</wp:posOffset>
            </wp:positionH>
            <wp:positionV relativeFrom="paragraph">
              <wp:posOffset>228600</wp:posOffset>
            </wp:positionV>
            <wp:extent cx="779780" cy="25717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79780" cy="257175"/>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ind w:left="3280"/>
        <w:spacing w:after="0"/>
        <w:rPr>
          <w:sz w:val="20"/>
          <w:szCs w:val="20"/>
          <w:color w:val="auto"/>
        </w:rPr>
      </w:pP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-3552190</wp:posOffset>
            </wp:positionH>
            <wp:positionV relativeFrom="paragraph">
              <wp:posOffset>177800</wp:posOffset>
            </wp:positionV>
            <wp:extent cx="683196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2">
            <w:col w:w="5140" w:space="440"/>
            <w:col w:w="4480"/>
          </w:cols>
          <w:pgMar w:left="580" w:top="132" w:right="1259" w:bottom="1440" w:gutter="0" w:footer="0" w:header="0"/>
        </w:sectPr>
      </w:pPr>
    </w:p>
    <w:bookmarkStart w:id="41" w:name="page42"/>
    <w:bookmarkEnd w:id="41"/>
    <w:p>
      <w:pPr>
        <w:spacing w:after="0"/>
        <w:rPr>
          <w:rFonts w:ascii="Arial" w:cs="Arial" w:eastAsia="Arial" w:hAnsi="Arial"/>
          <w:sz w:val="14"/>
          <w:szCs w:val="14"/>
          <w:color w:val="003366"/>
        </w:rPr>
      </w:pPr>
      <w:hyperlink w:anchor="page3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91" w:lineRule="exact"/>
        <w:rPr>
          <w:sz w:val="20"/>
          <w:szCs w:val="20"/>
          <w:color w:val="auto"/>
        </w:rPr>
      </w:pPr>
    </w:p>
    <w:p>
      <w:pPr>
        <w:ind w:left="660"/>
        <w:spacing w:after="0" w:line="229" w:lineRule="auto"/>
        <w:rPr>
          <w:sz w:val="20"/>
          <w:szCs w:val="20"/>
          <w:color w:val="auto"/>
        </w:rPr>
      </w:pPr>
      <w:r>
        <w:rPr>
          <w:rFonts w:ascii="Arial" w:cs="Arial" w:eastAsia="Arial" w:hAnsi="Arial"/>
          <w:sz w:val="20"/>
          <w:szCs w:val="20"/>
          <w:color w:val="191919"/>
        </w:rPr>
        <w:t>gains, losses, and impairments; restructuring-related charges; and certain deferred executive compensation — after accounting for any incentive award payments, including those to be made under the Incentive Plan.</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Calculation of Incentive Plan Payments</w:t>
      </w:r>
    </w:p>
    <w:p>
      <w:pPr>
        <w:spacing w:after="0" w:line="159" w:lineRule="exact"/>
        <w:rPr>
          <w:sz w:val="20"/>
          <w:szCs w:val="20"/>
          <w:color w:val="auto"/>
        </w:rPr>
      </w:pPr>
    </w:p>
    <w:p>
      <w:pPr>
        <w:ind w:left="660"/>
        <w:spacing w:after="0" w:line="226" w:lineRule="auto"/>
        <w:rPr>
          <w:sz w:val="20"/>
          <w:szCs w:val="20"/>
          <w:color w:val="auto"/>
        </w:rPr>
      </w:pPr>
      <w:r>
        <w:rPr>
          <w:rFonts w:ascii="Arial" w:cs="Arial" w:eastAsia="Arial" w:hAnsi="Arial"/>
          <w:sz w:val="20"/>
          <w:szCs w:val="20"/>
          <w:color w:val="191919"/>
        </w:rPr>
        <w:t>Under the Incentive Plan, upon completion of the first six months of the fiscal year, the Compensation Committee determined the extent to which the Company’s performance goals for the first performance period were attained, reviewed the CEO’s recommended payouts under the Incentive Plan, and approved the awards to be made under the Incentive Plan with respect to the first performance period. Upon completion of the fiscal year, the Compensation Committee completed the same process with respect to the second performance period. Payments with respect to the first performance period were capped at 100% of the first half target level attributable to the applicable metric, with amounts over the target level held back and paid after the end of the fiscal year upon certification that the Company had achieved its nominal level of non-GAAP operating income for the fiscal year.</w:t>
      </w:r>
    </w:p>
    <w:p>
      <w:pPr>
        <w:spacing w:after="0" w:line="97" w:lineRule="exact"/>
        <w:rPr>
          <w:sz w:val="20"/>
          <w:szCs w:val="20"/>
          <w:color w:val="auto"/>
        </w:rPr>
      </w:pPr>
    </w:p>
    <w:p>
      <w:pPr>
        <w:ind w:left="660" w:right="160"/>
        <w:spacing w:after="0" w:line="227" w:lineRule="auto"/>
        <w:rPr>
          <w:sz w:val="20"/>
          <w:szCs w:val="20"/>
          <w:color w:val="auto"/>
        </w:rPr>
      </w:pPr>
      <w:r>
        <w:rPr>
          <w:rFonts w:ascii="Arial" w:cs="Arial" w:eastAsia="Arial" w:hAnsi="Arial"/>
          <w:sz w:val="20"/>
          <w:szCs w:val="20"/>
          <w:color w:val="191919"/>
        </w:rPr>
        <w:t>Achievement under the performance goals at the “threshold,” “target,” or “maximum” level corresponds to payment under the Incentive Plan at the “threshold,” “target,” or “maximum” percentage, as applicable, with such percentage multiplied by the executive’s base salary for the six-month period and then multiplied by the weighting assigned to that performance goal. The payout for achievement under the performance goals between either the “threshold” and “target” levels or the “target” and “maximum” levels would be based on linear interpolation between the two relevant amounts.</w:t>
      </w:r>
    </w:p>
    <w:p>
      <w:pPr>
        <w:spacing w:after="0" w:line="88" w:lineRule="exact"/>
        <w:rPr>
          <w:sz w:val="20"/>
          <w:szCs w:val="20"/>
          <w:color w:val="auto"/>
        </w:rPr>
      </w:pPr>
    </w:p>
    <w:p>
      <w:pPr>
        <w:ind w:left="660"/>
        <w:spacing w:after="0" w:line="227" w:lineRule="auto"/>
        <w:rPr>
          <w:sz w:val="20"/>
          <w:szCs w:val="20"/>
          <w:color w:val="auto"/>
        </w:rPr>
      </w:pPr>
      <w:r>
        <w:rPr>
          <w:rFonts w:ascii="Arial" w:cs="Arial" w:eastAsia="Arial" w:hAnsi="Arial"/>
          <w:sz w:val="20"/>
          <w:szCs w:val="20"/>
          <w:color w:val="191919"/>
        </w:rPr>
        <w:t>Each executive’s payment under the Incentive Plan is calculated by evaluating achievement of each performance goal individually, determining the portion of the total eligible incentive payment earned with respect to each such performance goal, and totaling the resulting amounts. The Compensation Committee retained the discretion to make payments, upon consideration of recommendations by the Chief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680"/>
        <w:spacing w:after="0" w:line="239" w:lineRule="auto"/>
        <w:rPr>
          <w:sz w:val="20"/>
          <w:szCs w:val="20"/>
          <w:color w:val="auto"/>
        </w:rPr>
      </w:pPr>
      <w:r>
        <w:rPr>
          <w:rFonts w:ascii="Arial" w:cs="Arial" w:eastAsia="Arial" w:hAnsi="Arial"/>
          <w:sz w:val="19"/>
          <w:szCs w:val="19"/>
          <w:color w:val="191919"/>
        </w:rPr>
        <w:t>even if the threshold performance metrics were not met or if the nominal level of non-GAAP operating income was not met, or to make payments in excess of the maximum level if the Company’s performance exceeded the maximum metrics. While the Compensation Committee believed it was appropriate to retain this discretion in order to make short-term incentive compensation awards in appropriate extraordinary circumstances, no such adjustments were actually made.</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Fiscal Year Results</w:t>
      </w:r>
    </w:p>
    <w:p>
      <w:pPr>
        <w:spacing w:after="0" w:line="159" w:lineRule="exact"/>
        <w:rPr>
          <w:sz w:val="20"/>
          <w:szCs w:val="20"/>
          <w:color w:val="auto"/>
        </w:rPr>
      </w:pPr>
    </w:p>
    <w:p>
      <w:pPr>
        <w:ind w:right="680"/>
        <w:spacing w:after="0" w:line="237" w:lineRule="auto"/>
        <w:rPr>
          <w:sz w:val="20"/>
          <w:szCs w:val="20"/>
          <w:color w:val="auto"/>
        </w:rPr>
      </w:pPr>
      <w:r>
        <w:rPr>
          <w:rFonts w:ascii="Arial" w:cs="Arial" w:eastAsia="Arial" w:hAnsi="Arial"/>
          <w:sz w:val="19"/>
          <w:szCs w:val="19"/>
          <w:color w:val="191919"/>
        </w:rPr>
        <w:t>For the first half of fiscal year 2021, the Company’s revenue and non-GAAP EBITDA achieved were $2,682 million and $1,226 million, respectively, resulting in a short-term compensation award for each Named Executive Officer with respect to such performance period equal to his or her maximum payment level, or 200% of the target payment level. A payment of the target amount was made to each Named Executive Officer in May 2021, with the remainder held back for potential payment following the completion of the fiscal year. For the second half of fiscal year 2021, the Company’s revenue and non-GAAP EBITDA achieved were $2,367 million and $1,050 million, respectively, resulting in a short-term compensation award for each Named Executive Officer with respect to such performance period equal to his or her maximum payment level, or 200% of the target payment level. In determining the Company’s performance for the second half of fiscal year 2021, the Company excluded all impacts to revenue and non-GAAP EBITDA resulting from the acquisition in July 2021 of Silicon Labs’ Infrastructure and Automotive business. In November 2021, upon certifying that the nominal level of non-GAAP operating income had been achieved for the fiscal year, the Compensation Committee approved payment of the short-term incentive achieved with respect to the second performance period as well as payment of the remaining portion of the short-term incentive achieved with respect to the first performance period, which had been held back. The Compensation Committee did not exercise discretion, either upward or downward, to executives’ payments under the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-462280</wp:posOffset>
            </wp:positionH>
            <wp:positionV relativeFrom="paragraph">
              <wp:posOffset>959485</wp:posOffset>
            </wp:positionV>
            <wp:extent cx="779780" cy="25717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79780" cy="257175"/>
                    </a:xfrm>
                    <a:prstGeom prst="rect">
                      <a:avLst/>
                    </a:prstGeom>
                    <a:noFill/>
                  </pic:spPr>
                </pic:pic>
              </a:graphicData>
            </a:graphic>
          </wp:anchor>
        </w:drawing>
      </w:r>
    </w:p>
    <w:p>
      <w:pPr>
        <w:spacing w:after="0" w:line="654" w:lineRule="exact"/>
        <w:rPr>
          <w:sz w:val="20"/>
          <w:szCs w:val="20"/>
          <w:color w:val="auto"/>
        </w:rPr>
      </w:pPr>
    </w:p>
    <w:p>
      <w:pPr>
        <w:sectPr>
          <w:pgSz w:w="11900" w:h="16838" w:orient="portrait"/>
          <w:cols w:equalWidth="0" w:num="2">
            <w:col w:w="5140" w:space="440"/>
            <w:col w:w="5140"/>
          </w:cols>
          <w:pgMar w:left="580" w:top="132" w:right="5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860" w:type="dxa"/>
            <w:vAlign w:val="bottom"/>
          </w:tcPr>
          <w:p>
            <w:pPr>
              <w:ind w:left="660"/>
              <w:spacing w:after="0"/>
              <w:rPr>
                <w:sz w:val="20"/>
                <w:szCs w:val="20"/>
                <w:color w:val="auto"/>
              </w:rPr>
            </w:pPr>
            <w:r>
              <w:rPr>
                <w:rFonts w:ascii="Arial" w:cs="Arial" w:eastAsia="Arial" w:hAnsi="Arial"/>
                <w:sz w:val="16"/>
                <w:szCs w:val="16"/>
                <w:color w:val="auto"/>
              </w:rPr>
              <w:t>Proxy Statement</w:t>
            </w:r>
          </w:p>
        </w:tc>
        <w:tc>
          <w:tcPr>
            <w:tcW w:w="4860" w:type="dxa"/>
            <w:vAlign w:val="bottom"/>
          </w:tcPr>
          <w:p>
            <w:pPr>
              <w:jc w:val="right"/>
              <w:ind w:right="579"/>
              <w:spacing w:after="0"/>
              <w:rPr>
                <w:sz w:val="20"/>
                <w:szCs w:val="20"/>
                <w:color w:val="auto"/>
              </w:rPr>
            </w:pPr>
            <w:r>
              <w:rPr>
                <w:rFonts w:ascii="Arial" w:cs="Arial" w:eastAsia="Arial" w:hAnsi="Arial"/>
                <w:sz w:val="16"/>
                <w:szCs w:val="16"/>
                <w:color w:val="auto"/>
              </w:rPr>
              <w:t>37</w:t>
            </w:r>
          </w:p>
        </w:tc>
      </w:tr>
      <w:tr>
        <w:trPr>
          <w:trHeight w:val="310"/>
        </w:trPr>
        <w:tc>
          <w:tcPr>
            <w:tcW w:w="5860" w:type="dxa"/>
            <w:vAlign w:val="bottom"/>
            <w:tcBorders>
              <w:bottom w:val="single" w:sz="8" w:color="9A9A9A"/>
            </w:tcBorders>
          </w:tcPr>
          <w:p>
            <w:pPr>
              <w:spacing w:after="0"/>
              <w:rPr>
                <w:sz w:val="24"/>
                <w:szCs w:val="24"/>
                <w:color w:val="auto"/>
              </w:rPr>
            </w:pPr>
          </w:p>
        </w:tc>
        <w:tc>
          <w:tcPr>
            <w:tcW w:w="4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type w:val="continuous"/>
        </w:sectPr>
      </w:pPr>
    </w:p>
    <w:bookmarkStart w:id="42" w:name="page43"/>
    <w:bookmarkEnd w:id="42"/>
    <w:p>
      <w:pPr>
        <w:spacing w:after="0"/>
        <w:rPr>
          <w:rFonts w:ascii="Arial" w:cs="Arial" w:eastAsia="Arial" w:hAnsi="Arial"/>
          <w:sz w:val="14"/>
          <w:szCs w:val="14"/>
          <w:color w:val="003366"/>
        </w:rPr>
      </w:pPr>
      <w:hyperlink w:anchor="page35">
        <w:r>
          <w:rPr>
            <w:rFonts w:ascii="Arial" w:cs="Arial" w:eastAsia="Arial" w:hAnsi="Arial"/>
            <w:sz w:val="14"/>
            <w:szCs w:val="14"/>
            <w:color w:val="003366"/>
          </w:rPr>
          <w:t>TABLE OF CONTENTS</w:t>
        </w:r>
      </w:hyperlink>
    </w:p>
    <w:p>
      <w:pPr>
        <w:sectPr>
          <w:pgSz w:w="11900" w:h="16838" w:orient="portrait"/>
          <w:cols w:equalWidth="0" w:num="1">
            <w:col w:w="10060"/>
          </w:cols>
          <w:pgMar w:left="580" w:top="132" w:right="1259" w:bottom="1440" w:gutter="0" w:footer="0" w:header="0"/>
        </w:sectPr>
      </w:pPr>
    </w:p>
    <w:p>
      <w:pPr>
        <w:spacing w:after="0" w:line="200" w:lineRule="exact"/>
        <w:rPr>
          <w:sz w:val="20"/>
          <w:szCs w:val="20"/>
          <w:color w:val="auto"/>
        </w:rPr>
      </w:pPr>
    </w:p>
    <w:p>
      <w:pPr>
        <w:spacing w:after="0" w:line="291" w:lineRule="exact"/>
        <w:rPr>
          <w:sz w:val="20"/>
          <w:szCs w:val="20"/>
          <w:color w:val="auto"/>
        </w:rPr>
      </w:pPr>
    </w:p>
    <w:p>
      <w:pPr>
        <w:ind w:left="660" w:right="840"/>
        <w:spacing w:after="0" w:line="287" w:lineRule="auto"/>
        <w:rPr>
          <w:sz w:val="20"/>
          <w:szCs w:val="20"/>
          <w:color w:val="auto"/>
        </w:rPr>
      </w:pPr>
      <w:r>
        <w:rPr>
          <w:rFonts w:ascii="Arial" w:cs="Arial" w:eastAsia="Arial" w:hAnsi="Arial"/>
          <w:sz w:val="19"/>
          <w:szCs w:val="19"/>
          <w:color w:val="191919"/>
        </w:rPr>
        <w:t>The following table shows the Company’s achievement under the Incentive Plan:</w:t>
      </w:r>
    </w:p>
    <w:p>
      <w:pPr>
        <w:spacing w:after="0" w:line="224" w:lineRule="exact"/>
        <w:rPr>
          <w:sz w:val="20"/>
          <w:szCs w:val="20"/>
          <w:color w:val="auto"/>
        </w:rPr>
      </w:pPr>
    </w:p>
    <w:tbl>
      <w:tblPr>
        <w:tblLayout w:type="fixed"/>
        <w:tblInd w:w="660" w:type="dxa"/>
        <w:tblCellMar>
          <w:top w:w="0" w:type="dxa"/>
          <w:left w:w="0" w:type="dxa"/>
          <w:bottom w:w="0" w:type="dxa"/>
          <w:right w:w="0" w:type="dxa"/>
        </w:tblCellMar>
      </w:tblPr>
      <w:tr>
        <w:trPr>
          <w:trHeight w:val="257"/>
        </w:trPr>
        <w:tc>
          <w:tcPr>
            <w:tcW w:w="1080" w:type="dxa"/>
            <w:vAlign w:val="bottom"/>
            <w:shd w:val="clear" w:color="auto" w:fill="0076A8"/>
          </w:tcPr>
          <w:p>
            <w:pPr>
              <w:spacing w:after="0"/>
              <w:rPr>
                <w:sz w:val="22"/>
                <w:szCs w:val="22"/>
                <w:color w:val="auto"/>
              </w:rPr>
            </w:pPr>
          </w:p>
        </w:tc>
        <w:tc>
          <w:tcPr>
            <w:tcW w:w="1620" w:type="dxa"/>
            <w:vAlign w:val="bottom"/>
            <w:gridSpan w:val="2"/>
            <w:shd w:val="clear" w:color="auto" w:fill="0076A8"/>
          </w:tcPr>
          <w:p>
            <w:pPr>
              <w:ind w:left="460"/>
              <w:spacing w:after="0"/>
              <w:rPr>
                <w:sz w:val="20"/>
                <w:szCs w:val="20"/>
                <w:color w:val="auto"/>
              </w:rPr>
            </w:pPr>
            <w:r>
              <w:rPr>
                <w:rFonts w:ascii="Arial" w:cs="Arial" w:eastAsia="Arial" w:hAnsi="Arial"/>
                <w:sz w:val="18"/>
                <w:szCs w:val="18"/>
                <w:color w:val="FFFFFF"/>
              </w:rPr>
              <w:t>Revenue</w:t>
            </w:r>
          </w:p>
        </w:tc>
        <w:tc>
          <w:tcPr>
            <w:tcW w:w="1780" w:type="dxa"/>
            <w:vAlign w:val="bottom"/>
            <w:gridSpan w:val="4"/>
            <w:shd w:val="clear" w:color="auto" w:fill="0076A8"/>
          </w:tcPr>
          <w:p>
            <w:pPr>
              <w:jc w:val="right"/>
              <w:ind w:right="19"/>
              <w:spacing w:after="0"/>
              <w:rPr>
                <w:sz w:val="20"/>
                <w:szCs w:val="20"/>
                <w:color w:val="auto"/>
              </w:rPr>
            </w:pPr>
            <w:r>
              <w:rPr>
                <w:rFonts w:ascii="Arial" w:cs="Arial" w:eastAsia="Arial" w:hAnsi="Arial"/>
                <w:sz w:val="18"/>
                <w:szCs w:val="18"/>
                <w:color w:val="FFFFFF"/>
              </w:rPr>
              <w:t>Non-GAAP EBITDA</w:t>
            </w:r>
          </w:p>
        </w:tc>
      </w:tr>
      <w:tr>
        <w:trPr>
          <w:trHeight w:val="34"/>
        </w:trPr>
        <w:tc>
          <w:tcPr>
            <w:tcW w:w="1080" w:type="dxa"/>
            <w:vAlign w:val="bottom"/>
            <w:shd w:val="clear" w:color="auto" w:fill="0076A8"/>
          </w:tcPr>
          <w:p>
            <w:pPr>
              <w:spacing w:after="0"/>
              <w:rPr>
                <w:sz w:val="2"/>
                <w:szCs w:val="2"/>
                <w:color w:val="auto"/>
              </w:rPr>
            </w:pPr>
          </w:p>
        </w:tc>
        <w:tc>
          <w:tcPr>
            <w:tcW w:w="780" w:type="dxa"/>
            <w:vAlign w:val="bottom"/>
            <w:shd w:val="clear" w:color="auto" w:fill="0076A8"/>
          </w:tcPr>
          <w:p>
            <w:pPr>
              <w:spacing w:after="0"/>
              <w:rPr>
                <w:sz w:val="2"/>
                <w:szCs w:val="2"/>
                <w:color w:val="auto"/>
              </w:rPr>
            </w:pPr>
          </w:p>
        </w:tc>
        <w:tc>
          <w:tcPr>
            <w:tcW w:w="840" w:type="dxa"/>
            <w:vAlign w:val="bottom"/>
            <w:shd w:val="clear" w:color="auto" w:fill="0076A8"/>
          </w:tcPr>
          <w:p>
            <w:pPr>
              <w:spacing w:after="0"/>
              <w:rPr>
                <w:sz w:val="2"/>
                <w:szCs w:val="2"/>
                <w:color w:val="auto"/>
              </w:rPr>
            </w:pPr>
          </w:p>
        </w:tc>
        <w:tc>
          <w:tcPr>
            <w:tcW w:w="840" w:type="dxa"/>
            <w:vAlign w:val="bottom"/>
            <w:gridSpan w:val="2"/>
            <w:shd w:val="clear" w:color="auto" w:fill="0076A8"/>
          </w:tcPr>
          <w:p>
            <w:pPr>
              <w:spacing w:after="0"/>
              <w:rPr>
                <w:sz w:val="2"/>
                <w:szCs w:val="2"/>
                <w:color w:val="auto"/>
              </w:rPr>
            </w:pPr>
          </w:p>
        </w:tc>
        <w:tc>
          <w:tcPr>
            <w:tcW w:w="940" w:type="dxa"/>
            <w:vAlign w:val="bottom"/>
            <w:gridSpan w:val="2"/>
            <w:shd w:val="clear" w:color="auto" w:fill="0076A8"/>
          </w:tcPr>
          <w:p>
            <w:pPr>
              <w:spacing w:after="0"/>
              <w:rPr>
                <w:sz w:val="2"/>
                <w:szCs w:val="2"/>
                <w:color w:val="auto"/>
              </w:rPr>
            </w:pPr>
          </w:p>
        </w:tc>
      </w:tr>
      <w:tr>
        <w:trPr>
          <w:trHeight w:val="277"/>
        </w:trPr>
        <w:tc>
          <w:tcPr>
            <w:tcW w:w="1080" w:type="dxa"/>
            <w:vAlign w:val="bottom"/>
            <w:shd w:val="clear" w:color="auto" w:fill="0076A8"/>
          </w:tcPr>
          <w:p>
            <w:pPr>
              <w:ind w:left="40"/>
              <w:spacing w:after="0"/>
              <w:rPr>
                <w:sz w:val="20"/>
                <w:szCs w:val="20"/>
                <w:color w:val="auto"/>
              </w:rPr>
            </w:pPr>
            <w:r>
              <w:rPr>
                <w:rFonts w:ascii="Arial" w:cs="Arial" w:eastAsia="Arial" w:hAnsi="Arial"/>
                <w:sz w:val="18"/>
                <w:szCs w:val="18"/>
                <w:color w:val="FFFFFF"/>
              </w:rPr>
              <w:t>(in millions)</w:t>
            </w:r>
          </w:p>
        </w:tc>
        <w:tc>
          <w:tcPr>
            <w:tcW w:w="780" w:type="dxa"/>
            <w:vAlign w:val="bottom"/>
            <w:shd w:val="clear" w:color="auto" w:fill="0076A8"/>
          </w:tcPr>
          <w:p>
            <w:pPr>
              <w:ind w:left="80"/>
              <w:spacing w:after="0"/>
              <w:rPr>
                <w:sz w:val="20"/>
                <w:szCs w:val="20"/>
                <w:color w:val="auto"/>
              </w:rPr>
            </w:pPr>
            <w:r>
              <w:rPr>
                <w:rFonts w:ascii="Arial" w:cs="Arial" w:eastAsia="Arial" w:hAnsi="Arial"/>
                <w:sz w:val="18"/>
                <w:szCs w:val="18"/>
                <w:color w:val="FFFFFF"/>
              </w:rPr>
              <w:t>1st Half</w:t>
            </w:r>
          </w:p>
        </w:tc>
        <w:tc>
          <w:tcPr>
            <w:tcW w:w="840" w:type="dxa"/>
            <w:vAlign w:val="bottom"/>
            <w:shd w:val="clear" w:color="auto" w:fill="0076A8"/>
          </w:tcPr>
          <w:p>
            <w:pPr>
              <w:jc w:val="center"/>
              <w:spacing w:after="0"/>
              <w:rPr>
                <w:sz w:val="20"/>
                <w:szCs w:val="20"/>
                <w:color w:val="auto"/>
              </w:rPr>
            </w:pPr>
            <w:r>
              <w:rPr>
                <w:rFonts w:ascii="Arial" w:cs="Arial" w:eastAsia="Arial" w:hAnsi="Arial"/>
                <w:sz w:val="18"/>
                <w:szCs w:val="18"/>
                <w:color w:val="FFFFFF"/>
              </w:rPr>
              <w:t>2nd Half</w:t>
            </w:r>
          </w:p>
        </w:tc>
        <w:tc>
          <w:tcPr>
            <w:tcW w:w="840" w:type="dxa"/>
            <w:vAlign w:val="bottom"/>
            <w:gridSpan w:val="2"/>
            <w:shd w:val="clear" w:color="auto" w:fill="0076A8"/>
          </w:tcPr>
          <w:p>
            <w:pPr>
              <w:jc w:val="right"/>
              <w:ind w:right="39"/>
              <w:spacing w:after="0"/>
              <w:rPr>
                <w:sz w:val="20"/>
                <w:szCs w:val="20"/>
                <w:color w:val="auto"/>
              </w:rPr>
            </w:pPr>
            <w:r>
              <w:rPr>
                <w:rFonts w:ascii="Arial" w:cs="Arial" w:eastAsia="Arial" w:hAnsi="Arial"/>
                <w:sz w:val="18"/>
                <w:szCs w:val="18"/>
                <w:color w:val="FFFFFF"/>
              </w:rPr>
              <w:t>1st Half</w:t>
            </w:r>
          </w:p>
        </w:tc>
        <w:tc>
          <w:tcPr>
            <w:tcW w:w="940" w:type="dxa"/>
            <w:vAlign w:val="bottom"/>
            <w:gridSpan w:val="2"/>
            <w:shd w:val="clear" w:color="auto" w:fill="0076A8"/>
          </w:tcPr>
          <w:p>
            <w:pPr>
              <w:jc w:val="right"/>
              <w:ind w:right="59"/>
              <w:spacing w:after="0"/>
              <w:rPr>
                <w:sz w:val="20"/>
                <w:szCs w:val="20"/>
                <w:color w:val="auto"/>
              </w:rPr>
            </w:pPr>
            <w:r>
              <w:rPr>
                <w:rFonts w:ascii="Arial" w:cs="Arial" w:eastAsia="Arial" w:hAnsi="Arial"/>
                <w:sz w:val="18"/>
                <w:szCs w:val="18"/>
                <w:color w:val="FFFFFF"/>
              </w:rPr>
              <w:t>2nd Half</w:t>
            </w:r>
          </w:p>
        </w:tc>
      </w:tr>
      <w:tr>
        <w:trPr>
          <w:trHeight w:val="257"/>
        </w:trPr>
        <w:tc>
          <w:tcPr>
            <w:tcW w:w="1080" w:type="dxa"/>
            <w:vAlign w:val="bottom"/>
            <w:shd w:val="clear" w:color="auto" w:fill="E5E5E5"/>
          </w:tcPr>
          <w:p>
            <w:pPr>
              <w:ind w:left="40"/>
              <w:spacing w:after="0"/>
              <w:rPr>
                <w:sz w:val="20"/>
                <w:szCs w:val="20"/>
                <w:color w:val="auto"/>
              </w:rPr>
            </w:pPr>
            <w:r>
              <w:rPr>
                <w:rFonts w:ascii="Arial" w:cs="Arial" w:eastAsia="Arial" w:hAnsi="Arial"/>
                <w:sz w:val="16"/>
                <w:szCs w:val="16"/>
                <w:color w:val="auto"/>
              </w:rPr>
              <w:t>Threshold</w:t>
            </w:r>
          </w:p>
        </w:tc>
        <w:tc>
          <w:tcPr>
            <w:tcW w:w="780" w:type="dxa"/>
            <w:vAlign w:val="bottom"/>
            <w:shd w:val="clear" w:color="auto" w:fill="E5E5E5"/>
          </w:tcPr>
          <w:p>
            <w:pPr>
              <w:ind w:left="100"/>
              <w:spacing w:after="0"/>
              <w:rPr>
                <w:sz w:val="20"/>
                <w:szCs w:val="20"/>
                <w:color w:val="auto"/>
              </w:rPr>
            </w:pPr>
            <w:r>
              <w:rPr>
                <w:rFonts w:ascii="Arial" w:cs="Arial" w:eastAsia="Arial" w:hAnsi="Arial"/>
                <w:sz w:val="16"/>
                <w:szCs w:val="16"/>
                <w:color w:val="auto"/>
              </w:rPr>
              <w:t>$ 1,700</w:t>
            </w:r>
          </w:p>
        </w:tc>
        <w:tc>
          <w:tcPr>
            <w:tcW w:w="84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$ 2,018</w:t>
            </w:r>
          </w:p>
        </w:tc>
        <w:tc>
          <w:tcPr>
            <w:tcW w:w="2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E5E5E5"/>
          </w:tcPr>
          <w:p>
            <w:pPr>
              <w:jc w:val="right"/>
              <w:ind w:right="79"/>
              <w:spacing w:after="0"/>
              <w:rPr>
                <w:sz w:val="20"/>
                <w:szCs w:val="20"/>
                <w:color w:val="auto"/>
              </w:rPr>
            </w:pPr>
            <w:r>
              <w:rPr>
                <w:rFonts w:ascii="Arial" w:cs="Arial" w:eastAsia="Arial" w:hAnsi="Arial"/>
                <w:sz w:val="16"/>
                <w:szCs w:val="16"/>
                <w:color w:val="auto"/>
              </w:rPr>
              <w:t>730</w:t>
            </w:r>
          </w:p>
        </w:tc>
        <w:tc>
          <w:tcPr>
            <w:tcW w:w="3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E5E5E5"/>
          </w:tcPr>
          <w:p>
            <w:pPr>
              <w:jc w:val="right"/>
              <w:ind w:right="119"/>
              <w:spacing w:after="0"/>
              <w:rPr>
                <w:sz w:val="20"/>
                <w:szCs w:val="20"/>
                <w:color w:val="auto"/>
              </w:rPr>
            </w:pPr>
            <w:r>
              <w:rPr>
                <w:rFonts w:ascii="Arial" w:cs="Arial" w:eastAsia="Arial" w:hAnsi="Arial"/>
                <w:sz w:val="16"/>
                <w:szCs w:val="16"/>
                <w:color w:val="auto"/>
              </w:rPr>
              <w:t>855</w:t>
            </w:r>
          </w:p>
        </w:tc>
      </w:tr>
      <w:tr>
        <w:trPr>
          <w:trHeight w:val="253"/>
        </w:trPr>
        <w:tc>
          <w:tcPr>
            <w:tcW w:w="1080" w:type="dxa"/>
            <w:vAlign w:val="bottom"/>
          </w:tcPr>
          <w:p>
            <w:pPr>
              <w:ind w:left="40"/>
              <w:spacing w:after="0"/>
              <w:rPr>
                <w:sz w:val="20"/>
                <w:szCs w:val="20"/>
                <w:color w:val="auto"/>
              </w:rPr>
            </w:pPr>
            <w:r>
              <w:rPr>
                <w:rFonts w:ascii="Arial" w:cs="Arial" w:eastAsia="Arial" w:hAnsi="Arial"/>
                <w:sz w:val="16"/>
                <w:szCs w:val="16"/>
                <w:color w:val="auto"/>
              </w:rPr>
              <w:t>Target</w:t>
            </w:r>
          </w:p>
        </w:tc>
        <w:tc>
          <w:tcPr>
            <w:tcW w:w="780" w:type="dxa"/>
            <w:vAlign w:val="bottom"/>
          </w:tcPr>
          <w:p>
            <w:pPr>
              <w:ind w:left="100"/>
              <w:spacing w:after="0"/>
              <w:rPr>
                <w:sz w:val="20"/>
                <w:szCs w:val="20"/>
                <w:color w:val="auto"/>
              </w:rPr>
            </w:pPr>
            <w:r>
              <w:rPr>
                <w:rFonts w:ascii="Arial" w:cs="Arial" w:eastAsia="Arial" w:hAnsi="Arial"/>
                <w:sz w:val="16"/>
                <w:szCs w:val="16"/>
                <w:color w:val="auto"/>
              </w:rPr>
              <w:t>$ 1,835</w:t>
            </w:r>
          </w:p>
        </w:tc>
        <w:tc>
          <w:tcPr>
            <w:tcW w:w="840" w:type="dxa"/>
            <w:vAlign w:val="bottom"/>
          </w:tcPr>
          <w:p>
            <w:pPr>
              <w:jc w:val="center"/>
              <w:spacing w:after="0"/>
              <w:rPr>
                <w:sz w:val="20"/>
                <w:szCs w:val="20"/>
                <w:color w:val="auto"/>
              </w:rPr>
            </w:pPr>
            <w:r>
              <w:rPr>
                <w:rFonts w:ascii="Arial" w:cs="Arial" w:eastAsia="Arial" w:hAnsi="Arial"/>
                <w:sz w:val="16"/>
                <w:szCs w:val="16"/>
                <w:color w:val="auto"/>
              </w:rPr>
              <w:t>$ 2,168</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79"/>
              <w:spacing w:after="0"/>
              <w:rPr>
                <w:sz w:val="20"/>
                <w:szCs w:val="20"/>
                <w:color w:val="auto"/>
              </w:rPr>
            </w:pPr>
            <w:r>
              <w:rPr>
                <w:rFonts w:ascii="Arial" w:cs="Arial" w:eastAsia="Arial" w:hAnsi="Arial"/>
                <w:sz w:val="16"/>
                <w:szCs w:val="16"/>
                <w:color w:val="auto"/>
              </w:rPr>
              <w:t>795</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19"/>
              <w:spacing w:after="0"/>
              <w:rPr>
                <w:sz w:val="20"/>
                <w:szCs w:val="20"/>
                <w:color w:val="auto"/>
              </w:rPr>
            </w:pPr>
            <w:r>
              <w:rPr>
                <w:rFonts w:ascii="Arial" w:cs="Arial" w:eastAsia="Arial" w:hAnsi="Arial"/>
                <w:sz w:val="16"/>
                <w:szCs w:val="16"/>
                <w:color w:val="auto"/>
              </w:rPr>
              <w:t>940</w:t>
            </w:r>
          </w:p>
        </w:tc>
      </w:tr>
      <w:tr>
        <w:trPr>
          <w:trHeight w:val="260"/>
        </w:trPr>
        <w:tc>
          <w:tcPr>
            <w:tcW w:w="1080" w:type="dxa"/>
            <w:vAlign w:val="bottom"/>
            <w:shd w:val="clear" w:color="auto" w:fill="E5E5E5"/>
          </w:tcPr>
          <w:p>
            <w:pPr>
              <w:ind w:left="40"/>
              <w:spacing w:after="0"/>
              <w:rPr>
                <w:sz w:val="20"/>
                <w:szCs w:val="20"/>
                <w:color w:val="auto"/>
              </w:rPr>
            </w:pPr>
            <w:r>
              <w:rPr>
                <w:rFonts w:ascii="Arial" w:cs="Arial" w:eastAsia="Arial" w:hAnsi="Arial"/>
                <w:sz w:val="16"/>
                <w:szCs w:val="16"/>
                <w:color w:val="auto"/>
              </w:rPr>
              <w:t>Maximum</w:t>
            </w:r>
          </w:p>
        </w:tc>
        <w:tc>
          <w:tcPr>
            <w:tcW w:w="780" w:type="dxa"/>
            <w:vAlign w:val="bottom"/>
            <w:shd w:val="clear" w:color="auto" w:fill="E5E5E5"/>
          </w:tcPr>
          <w:p>
            <w:pPr>
              <w:ind w:left="100"/>
              <w:spacing w:after="0"/>
              <w:rPr>
                <w:sz w:val="20"/>
                <w:szCs w:val="20"/>
                <w:color w:val="auto"/>
              </w:rPr>
            </w:pPr>
            <w:r>
              <w:rPr>
                <w:rFonts w:ascii="Arial" w:cs="Arial" w:eastAsia="Arial" w:hAnsi="Arial"/>
                <w:sz w:val="16"/>
                <w:szCs w:val="16"/>
                <w:color w:val="auto"/>
              </w:rPr>
              <w:t>$ 1,900</w:t>
            </w:r>
          </w:p>
        </w:tc>
        <w:tc>
          <w:tcPr>
            <w:tcW w:w="84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$ 2,318</w:t>
            </w:r>
          </w:p>
        </w:tc>
        <w:tc>
          <w:tcPr>
            <w:tcW w:w="2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E5E5E5"/>
          </w:tcPr>
          <w:p>
            <w:pPr>
              <w:jc w:val="right"/>
              <w:ind w:right="79"/>
              <w:spacing w:after="0"/>
              <w:rPr>
                <w:sz w:val="20"/>
                <w:szCs w:val="20"/>
                <w:color w:val="auto"/>
              </w:rPr>
            </w:pPr>
            <w:r>
              <w:rPr>
                <w:rFonts w:ascii="Arial" w:cs="Arial" w:eastAsia="Arial" w:hAnsi="Arial"/>
                <w:sz w:val="16"/>
                <w:szCs w:val="16"/>
                <w:color w:val="auto"/>
              </w:rPr>
              <w:t>825</w:t>
            </w:r>
          </w:p>
        </w:tc>
        <w:tc>
          <w:tcPr>
            <w:tcW w:w="3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E5E5E5"/>
          </w:tcPr>
          <w:p>
            <w:pPr>
              <w:jc w:val="right"/>
              <w:ind w:right="119"/>
              <w:spacing w:after="0"/>
              <w:rPr>
                <w:sz w:val="20"/>
                <w:szCs w:val="20"/>
                <w:color w:val="auto"/>
              </w:rPr>
            </w:pPr>
            <w:r>
              <w:rPr>
                <w:rFonts w:ascii="Arial" w:cs="Arial" w:eastAsia="Arial" w:hAnsi="Arial"/>
                <w:sz w:val="16"/>
                <w:szCs w:val="16"/>
                <w:color w:val="auto"/>
              </w:rPr>
              <w:t>1,025</w:t>
            </w:r>
          </w:p>
        </w:tc>
      </w:tr>
      <w:tr>
        <w:trPr>
          <w:trHeight w:val="251"/>
        </w:trPr>
        <w:tc>
          <w:tcPr>
            <w:tcW w:w="1080" w:type="dxa"/>
            <w:vAlign w:val="bottom"/>
          </w:tcPr>
          <w:p>
            <w:pPr>
              <w:ind w:left="40"/>
              <w:spacing w:after="0"/>
              <w:rPr>
                <w:sz w:val="20"/>
                <w:szCs w:val="20"/>
                <w:color w:val="auto"/>
              </w:rPr>
            </w:pPr>
            <w:r>
              <w:rPr>
                <w:rFonts w:ascii="Arial" w:cs="Arial" w:eastAsia="Arial" w:hAnsi="Arial"/>
                <w:sz w:val="16"/>
                <w:szCs w:val="16"/>
                <w:b w:val="1"/>
                <w:bCs w:val="1"/>
                <w:color w:val="auto"/>
              </w:rPr>
              <w:t>Achieved</w:t>
            </w:r>
          </w:p>
        </w:tc>
        <w:tc>
          <w:tcPr>
            <w:tcW w:w="780" w:type="dxa"/>
            <w:vAlign w:val="bottom"/>
          </w:tcPr>
          <w:p>
            <w:pPr>
              <w:ind w:left="100"/>
              <w:spacing w:after="0"/>
              <w:rPr>
                <w:sz w:val="20"/>
                <w:szCs w:val="20"/>
                <w:color w:val="auto"/>
              </w:rPr>
            </w:pPr>
            <w:r>
              <w:rPr>
                <w:rFonts w:ascii="Arial" w:cs="Arial" w:eastAsia="Arial" w:hAnsi="Arial"/>
                <w:sz w:val="16"/>
                <w:szCs w:val="16"/>
                <w:b w:val="1"/>
                <w:bCs w:val="1"/>
                <w:color w:val="auto"/>
              </w:rPr>
              <w:t>$ 2,682</w:t>
            </w: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rPr>
              <w:t>$ 2,367</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580" w:type="dxa"/>
            <w:vAlign w:val="bottom"/>
          </w:tcPr>
          <w:p>
            <w:pPr>
              <w:jc w:val="right"/>
              <w:ind w:right="79"/>
              <w:spacing w:after="0"/>
              <w:rPr>
                <w:sz w:val="20"/>
                <w:szCs w:val="20"/>
                <w:color w:val="auto"/>
              </w:rPr>
            </w:pPr>
            <w:r>
              <w:rPr>
                <w:rFonts w:ascii="Arial" w:cs="Arial" w:eastAsia="Arial" w:hAnsi="Arial"/>
                <w:sz w:val="16"/>
                <w:szCs w:val="16"/>
                <w:b w:val="1"/>
                <w:bCs w:val="1"/>
                <w:color w:val="auto"/>
                <w:w w:val="99"/>
              </w:rPr>
              <w:t>1,226</w:t>
            </w:r>
          </w:p>
        </w:tc>
        <w:tc>
          <w:tcPr>
            <w:tcW w:w="3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40" w:type="dxa"/>
            <w:vAlign w:val="bottom"/>
          </w:tcPr>
          <w:p>
            <w:pPr>
              <w:jc w:val="right"/>
              <w:ind w:right="119"/>
              <w:spacing w:after="0"/>
              <w:rPr>
                <w:sz w:val="20"/>
                <w:szCs w:val="20"/>
                <w:color w:val="auto"/>
              </w:rPr>
            </w:pPr>
            <w:r>
              <w:rPr>
                <w:rFonts w:ascii="Arial" w:cs="Arial" w:eastAsia="Arial" w:hAnsi="Arial"/>
                <w:sz w:val="16"/>
                <w:szCs w:val="16"/>
                <w:b w:val="1"/>
                <w:bCs w:val="1"/>
                <w:color w:val="auto"/>
              </w:rPr>
              <w:t>1,050</w:t>
            </w:r>
          </w:p>
        </w:tc>
      </w:tr>
      <w:tr>
        <w:trPr>
          <w:trHeight w:val="33"/>
        </w:trPr>
        <w:tc>
          <w:tcPr>
            <w:tcW w:w="1080" w:type="dxa"/>
            <w:vAlign w:val="bottom"/>
            <w:tcBorders>
              <w:bottom w:val="single" w:sz="8" w:color="BFBFBF"/>
            </w:tcBorders>
          </w:tcPr>
          <w:p>
            <w:pPr>
              <w:spacing w:after="0"/>
              <w:rPr>
                <w:sz w:val="2"/>
                <w:szCs w:val="2"/>
                <w:color w:val="auto"/>
              </w:rPr>
            </w:pPr>
          </w:p>
        </w:tc>
        <w:tc>
          <w:tcPr>
            <w:tcW w:w="780" w:type="dxa"/>
            <w:vAlign w:val="bottom"/>
            <w:tcBorders>
              <w:bottom w:val="single" w:sz="8" w:color="BFBFBF"/>
            </w:tcBorders>
          </w:tcPr>
          <w:p>
            <w:pPr>
              <w:spacing w:after="0"/>
              <w:rPr>
                <w:sz w:val="2"/>
                <w:szCs w:val="2"/>
                <w:color w:val="auto"/>
              </w:rPr>
            </w:pPr>
          </w:p>
        </w:tc>
        <w:tc>
          <w:tcPr>
            <w:tcW w:w="840" w:type="dxa"/>
            <w:vAlign w:val="bottom"/>
            <w:tcBorders>
              <w:bottom w:val="single" w:sz="8" w:color="BFBFBF"/>
            </w:tcBorders>
          </w:tcPr>
          <w:p>
            <w:pPr>
              <w:spacing w:after="0"/>
              <w:rPr>
                <w:sz w:val="2"/>
                <w:szCs w:val="2"/>
                <w:color w:val="auto"/>
              </w:rPr>
            </w:pPr>
          </w:p>
        </w:tc>
        <w:tc>
          <w:tcPr>
            <w:tcW w:w="260" w:type="dxa"/>
            <w:vAlign w:val="bottom"/>
            <w:tcBorders>
              <w:bottom w:val="single" w:sz="8" w:color="BFBFBF"/>
            </w:tcBorders>
          </w:tcPr>
          <w:p>
            <w:pPr>
              <w:spacing w:after="0"/>
              <w:rPr>
                <w:sz w:val="2"/>
                <w:szCs w:val="2"/>
                <w:color w:val="auto"/>
              </w:rPr>
            </w:pPr>
          </w:p>
        </w:tc>
        <w:tc>
          <w:tcPr>
            <w:tcW w:w="580" w:type="dxa"/>
            <w:vAlign w:val="bottom"/>
            <w:tcBorders>
              <w:bottom w:val="single" w:sz="8" w:color="BFBFBF"/>
            </w:tcBorders>
          </w:tcPr>
          <w:p>
            <w:pPr>
              <w:spacing w:after="0"/>
              <w:rPr>
                <w:sz w:val="2"/>
                <w:szCs w:val="2"/>
                <w:color w:val="auto"/>
              </w:rPr>
            </w:pPr>
          </w:p>
        </w:tc>
        <w:tc>
          <w:tcPr>
            <w:tcW w:w="300" w:type="dxa"/>
            <w:vAlign w:val="bottom"/>
            <w:tcBorders>
              <w:bottom w:val="single" w:sz="8" w:color="BFBFBF"/>
            </w:tcBorders>
          </w:tcPr>
          <w:p>
            <w:pPr>
              <w:spacing w:after="0"/>
              <w:rPr>
                <w:sz w:val="2"/>
                <w:szCs w:val="2"/>
                <w:color w:val="auto"/>
              </w:rPr>
            </w:pPr>
          </w:p>
        </w:tc>
        <w:tc>
          <w:tcPr>
            <w:tcW w:w="640" w:type="dxa"/>
            <w:vAlign w:val="bottom"/>
            <w:tcBorders>
              <w:bottom w:val="single" w:sz="8" w:color="BFBFBF"/>
            </w:tcBorders>
          </w:tcPr>
          <w:p>
            <w:pPr>
              <w:spacing w:after="0"/>
              <w:rPr>
                <w:sz w:val="2"/>
                <w:szCs w:val="2"/>
                <w:color w:val="auto"/>
              </w:rPr>
            </w:pPr>
          </w:p>
        </w:tc>
      </w:tr>
    </w:tbl>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0076A8"/>
        </w:rPr>
        <w:t>Long-Term Stock-Based Compensation</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Overview</w:t>
      </w:r>
    </w:p>
    <w:p>
      <w:pPr>
        <w:spacing w:after="0" w:line="159" w:lineRule="exact"/>
        <w:rPr>
          <w:sz w:val="20"/>
          <w:szCs w:val="20"/>
          <w:color w:val="auto"/>
        </w:rPr>
      </w:pPr>
    </w:p>
    <w:p>
      <w:pPr>
        <w:ind w:left="660" w:right="60"/>
        <w:spacing w:after="0" w:line="254" w:lineRule="auto"/>
        <w:rPr>
          <w:sz w:val="20"/>
          <w:szCs w:val="20"/>
          <w:color w:val="auto"/>
        </w:rPr>
      </w:pPr>
      <w:r>
        <w:rPr>
          <w:rFonts w:ascii="Arial" w:cs="Arial" w:eastAsia="Arial" w:hAnsi="Arial"/>
          <w:sz w:val="20"/>
          <w:szCs w:val="20"/>
          <w:color w:val="191919"/>
        </w:rPr>
        <w:t>The Compensation Committee generally makes long-term stock-based compensation awards to executive officers on an annual basis. Long-term stock-based compensation awards are intended to align the interests of our executive officers with those of our stockholders and to reward our executive officers for increases in stockholder value over periods of time greater than one year. It is the Company’s practice to make stock-based compensation awards to executive officers in November of each year at a prescheduled Compensation Committee meeting. For fiscal year 2021, the Compensation Committee made an annual stock-based compensation award to each of the Named Executive Officers on November 11, 2020, at a regularly scheduled Compensation Committee 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4" w:lineRule="exact"/>
        <w:rPr>
          <w:sz w:val="20"/>
          <w:szCs w:val="20"/>
          <w:color w:val="auto"/>
        </w:rPr>
      </w:pPr>
    </w:p>
    <w:p>
      <w:pPr>
        <w:ind w:right="280"/>
        <w:spacing w:after="0" w:line="257" w:lineRule="auto"/>
        <w:rPr>
          <w:sz w:val="20"/>
          <w:szCs w:val="20"/>
          <w:color w:val="auto"/>
        </w:rPr>
      </w:pPr>
      <w:r>
        <w:rPr>
          <w:rFonts w:ascii="Arial" w:cs="Arial" w:eastAsia="Arial" w:hAnsi="Arial"/>
          <w:sz w:val="20"/>
          <w:szCs w:val="20"/>
          <w:b w:val="1"/>
          <w:bCs w:val="1"/>
          <w:color w:val="auto"/>
        </w:rPr>
        <w:t>Fiscal Year 2021 Stock-Based Compensation Awards</w:t>
      </w:r>
    </w:p>
    <w:p>
      <w:pPr>
        <w:spacing w:after="0" w:line="98" w:lineRule="exact"/>
        <w:rPr>
          <w:sz w:val="20"/>
          <w:szCs w:val="20"/>
          <w:color w:val="auto"/>
        </w:rPr>
      </w:pPr>
    </w:p>
    <w:p>
      <w:pPr>
        <w:ind w:right="20"/>
        <w:spacing w:after="0" w:line="239" w:lineRule="auto"/>
        <w:rPr>
          <w:sz w:val="20"/>
          <w:szCs w:val="20"/>
          <w:color w:val="auto"/>
        </w:rPr>
      </w:pPr>
      <w:r>
        <w:rPr>
          <w:rFonts w:ascii="Arial" w:cs="Arial" w:eastAsia="Arial" w:hAnsi="Arial"/>
          <w:sz w:val="20"/>
          <w:szCs w:val="20"/>
          <w:color w:val="191919"/>
        </w:rPr>
        <w:t>In making annual stock-based compensation awards to executive officers for fiscal year 2021, the Compensation Committee first reviewed the Comparator Group grant data by executive position. The Compensation Committee used that data to inform its determination of a target dollar value for the long-term stock-based award for each executive officer, as set forth in the table below, targeting awards for fiscal year 2021 that were competitive within the Comparator Group. Each executive officer was granted a performance share award (“PSA”) and a restricted stock unit (“RSU”) award equivalent to sixty percent (60%) and forty percent (40%), respectively, of the dollar value of the executive’s fiscal year 2021 stock-based award, calculating the number of shares subject to each award using the fair market value of the Company’s common stock on the date of such award and an assumption that the Company would achieve the “target” level of performance required to earn the PSA. The Compensation Committee’s rationale for awarding PSAs is to further align the executive’s interest with those of our stockholders by using equity awards that will vest only if the Company achieves pre-established performance metrics, and we believe the Compensation Committee’s decision to award a portion of the PSAs subject to performance metrics measured over a multi-year performance period more closely aligns the executive’s interests with those of our stockholders.</w:t>
      </w:r>
    </w:p>
    <w:p>
      <w:pPr>
        <w:spacing w:after="0" w:line="200" w:lineRule="exact"/>
        <w:rPr>
          <w:sz w:val="20"/>
          <w:szCs w:val="20"/>
          <w:color w:val="auto"/>
        </w:rPr>
      </w:pPr>
    </w:p>
    <w:p>
      <w:pPr>
        <w:sectPr>
          <w:pgSz w:w="11900" w:h="16838" w:orient="portrait"/>
          <w:cols w:equalWidth="0" w:num="2">
            <w:col w:w="5140" w:space="440"/>
            <w:col w:w="4480"/>
          </w:cols>
          <w:pgMar w:left="580" w:top="132" w:right="1259" w:bottom="1440" w:gutter="0" w:footer="0" w:header="0"/>
          <w:type w:val="continuous"/>
        </w:sectPr>
      </w:pPr>
    </w:p>
    <w:p>
      <w:pPr>
        <w:spacing w:after="0" w:line="61" w:lineRule="exact"/>
        <w:rPr>
          <w:sz w:val="20"/>
          <w:szCs w:val="20"/>
          <w:color w:val="auto"/>
        </w:rPr>
      </w:pPr>
    </w:p>
    <w:tbl>
      <w:tblPr>
        <w:tblLayout w:type="fixed"/>
        <w:tblInd w:w="660" w:type="dxa"/>
        <w:tblCellMar>
          <w:top w:w="0" w:type="dxa"/>
          <w:left w:w="0" w:type="dxa"/>
          <w:bottom w:w="0" w:type="dxa"/>
          <w:right w:w="0" w:type="dxa"/>
        </w:tblCellMar>
      </w:tblPr>
      <w:tr>
        <w:trPr>
          <w:trHeight w:val="229"/>
        </w:trPr>
        <w:tc>
          <w:tcPr>
            <w:tcW w:w="2060" w:type="dxa"/>
            <w:vAlign w:val="bottom"/>
            <w:shd w:val="clear" w:color="auto" w:fill="0076A8"/>
          </w:tcPr>
          <w:p>
            <w:pPr>
              <w:spacing w:after="0"/>
              <w:rPr>
                <w:sz w:val="19"/>
                <w:szCs w:val="19"/>
                <w:color w:val="auto"/>
              </w:rPr>
            </w:pPr>
          </w:p>
        </w:tc>
        <w:tc>
          <w:tcPr>
            <w:tcW w:w="1240" w:type="dxa"/>
            <w:vAlign w:val="bottom"/>
            <w:shd w:val="clear" w:color="auto" w:fill="0076A8"/>
          </w:tcPr>
          <w:p>
            <w:pPr>
              <w:spacing w:after="0"/>
              <w:rPr>
                <w:sz w:val="19"/>
                <w:szCs w:val="19"/>
                <w:color w:val="auto"/>
              </w:rPr>
            </w:pPr>
          </w:p>
        </w:tc>
        <w:tc>
          <w:tcPr>
            <w:tcW w:w="1540" w:type="dxa"/>
            <w:vAlign w:val="bottom"/>
            <w:shd w:val="clear" w:color="auto" w:fill="0076A8"/>
          </w:tcPr>
          <w:p>
            <w:pPr>
              <w:spacing w:after="0"/>
              <w:rPr>
                <w:sz w:val="19"/>
                <w:szCs w:val="19"/>
                <w:color w:val="auto"/>
              </w:rPr>
            </w:pPr>
          </w:p>
        </w:tc>
        <w:tc>
          <w:tcPr>
            <w:tcW w:w="2720" w:type="dxa"/>
            <w:vAlign w:val="bottom"/>
            <w:shd w:val="clear" w:color="auto" w:fill="0076A8"/>
          </w:tcPr>
          <w:p>
            <w:pPr>
              <w:spacing w:after="0"/>
              <w:rPr>
                <w:sz w:val="19"/>
                <w:szCs w:val="19"/>
                <w:color w:val="auto"/>
              </w:rPr>
            </w:pPr>
          </w:p>
        </w:tc>
        <w:tc>
          <w:tcPr>
            <w:tcW w:w="1840" w:type="dxa"/>
            <w:vAlign w:val="bottom"/>
            <w:shd w:val="clear" w:color="auto" w:fill="0076A8"/>
          </w:tcPr>
          <w:p>
            <w:pPr>
              <w:jc w:val="center"/>
              <w:ind w:left="136"/>
              <w:spacing w:after="0"/>
              <w:rPr>
                <w:sz w:val="20"/>
                <w:szCs w:val="20"/>
                <w:color w:val="auto"/>
              </w:rPr>
            </w:pPr>
            <w:r>
              <w:rPr>
                <w:rFonts w:ascii="Arial" w:cs="Arial" w:eastAsia="Arial" w:hAnsi="Arial"/>
                <w:sz w:val="18"/>
                <w:szCs w:val="18"/>
                <w:color w:val="FFFFFF"/>
                <w:w w:val="99"/>
              </w:rPr>
              <w:t>Number of Shares</w:t>
            </w:r>
          </w:p>
        </w:tc>
      </w:tr>
      <w:tr>
        <w:trPr>
          <w:trHeight w:val="189"/>
        </w:trPr>
        <w:tc>
          <w:tcPr>
            <w:tcW w:w="2060" w:type="dxa"/>
            <w:vAlign w:val="bottom"/>
            <w:shd w:val="clear" w:color="auto" w:fill="0076A8"/>
          </w:tcPr>
          <w:p>
            <w:pPr>
              <w:spacing w:after="0"/>
              <w:rPr>
                <w:sz w:val="16"/>
                <w:szCs w:val="16"/>
                <w:color w:val="auto"/>
              </w:rPr>
            </w:pPr>
          </w:p>
        </w:tc>
        <w:tc>
          <w:tcPr>
            <w:tcW w:w="2780" w:type="dxa"/>
            <w:vAlign w:val="bottom"/>
            <w:gridSpan w:val="2"/>
            <w:shd w:val="clear" w:color="auto" w:fill="0076A8"/>
          </w:tcPr>
          <w:p>
            <w:pPr>
              <w:jc w:val="right"/>
              <w:ind w:right="539"/>
              <w:spacing w:after="0" w:line="189" w:lineRule="exact"/>
              <w:rPr>
                <w:sz w:val="20"/>
                <w:szCs w:val="20"/>
                <w:color w:val="auto"/>
              </w:rPr>
            </w:pPr>
            <w:r>
              <w:rPr>
                <w:rFonts w:ascii="Arial" w:cs="Arial" w:eastAsia="Arial" w:hAnsi="Arial"/>
                <w:sz w:val="18"/>
                <w:szCs w:val="18"/>
                <w:color w:val="FFFFFF"/>
              </w:rPr>
              <w:t>Value of FY21</w:t>
            </w:r>
          </w:p>
        </w:tc>
        <w:tc>
          <w:tcPr>
            <w:tcW w:w="2720" w:type="dxa"/>
            <w:vAlign w:val="bottom"/>
            <w:shd w:val="clear" w:color="auto" w:fill="0076A8"/>
          </w:tcPr>
          <w:p>
            <w:pPr>
              <w:jc w:val="right"/>
              <w:ind w:right="236"/>
              <w:spacing w:after="0" w:line="189" w:lineRule="exact"/>
              <w:rPr>
                <w:sz w:val="20"/>
                <w:szCs w:val="20"/>
                <w:color w:val="auto"/>
              </w:rPr>
            </w:pPr>
            <w:r>
              <w:rPr>
                <w:rFonts w:ascii="Arial" w:cs="Arial" w:eastAsia="Arial" w:hAnsi="Arial"/>
                <w:sz w:val="18"/>
                <w:szCs w:val="18"/>
                <w:color w:val="FFFFFF"/>
              </w:rPr>
              <w:t>Number of Shares Subject</w:t>
            </w:r>
          </w:p>
        </w:tc>
        <w:tc>
          <w:tcPr>
            <w:tcW w:w="1840" w:type="dxa"/>
            <w:vAlign w:val="bottom"/>
            <w:shd w:val="clear" w:color="auto" w:fill="0076A8"/>
          </w:tcPr>
          <w:p>
            <w:pPr>
              <w:jc w:val="center"/>
              <w:ind w:left="116"/>
              <w:spacing w:after="0" w:line="189" w:lineRule="exact"/>
              <w:rPr>
                <w:sz w:val="20"/>
                <w:szCs w:val="20"/>
                <w:color w:val="auto"/>
              </w:rPr>
            </w:pPr>
            <w:r>
              <w:rPr>
                <w:rFonts w:ascii="Arial" w:cs="Arial" w:eastAsia="Arial" w:hAnsi="Arial"/>
                <w:sz w:val="18"/>
                <w:szCs w:val="18"/>
                <w:color w:val="FFFFFF"/>
                <w:w w:val="99"/>
              </w:rPr>
              <w:t>Subject to</w:t>
            </w:r>
          </w:p>
        </w:tc>
      </w:tr>
      <w:tr>
        <w:trPr>
          <w:trHeight w:val="230"/>
        </w:trPr>
        <w:tc>
          <w:tcPr>
            <w:tcW w:w="2060" w:type="dxa"/>
            <w:vAlign w:val="bottom"/>
            <w:shd w:val="clear" w:color="auto" w:fill="0076A8"/>
          </w:tcPr>
          <w:p>
            <w:pPr>
              <w:ind w:left="40"/>
              <w:spacing w:after="0"/>
              <w:rPr>
                <w:sz w:val="20"/>
                <w:szCs w:val="20"/>
                <w:color w:val="auto"/>
              </w:rPr>
            </w:pPr>
            <w:r>
              <w:rPr>
                <w:rFonts w:ascii="Arial" w:cs="Arial" w:eastAsia="Arial" w:hAnsi="Arial"/>
                <w:sz w:val="18"/>
                <w:szCs w:val="18"/>
                <w:color w:val="FFFFFF"/>
              </w:rPr>
              <w:t>Name</w:t>
            </w:r>
          </w:p>
        </w:tc>
        <w:tc>
          <w:tcPr>
            <w:tcW w:w="2780" w:type="dxa"/>
            <w:vAlign w:val="bottom"/>
            <w:gridSpan w:val="2"/>
            <w:shd w:val="clear" w:color="auto" w:fill="0076A8"/>
          </w:tcPr>
          <w:p>
            <w:pPr>
              <w:jc w:val="right"/>
              <w:ind w:right="199"/>
              <w:spacing w:after="0"/>
              <w:rPr>
                <w:sz w:val="20"/>
                <w:szCs w:val="20"/>
                <w:color w:val="auto"/>
              </w:rPr>
            </w:pPr>
            <w:r>
              <w:rPr>
                <w:rFonts w:ascii="Arial" w:cs="Arial" w:eastAsia="Arial" w:hAnsi="Arial"/>
                <w:sz w:val="18"/>
                <w:szCs w:val="18"/>
                <w:color w:val="FFFFFF"/>
              </w:rPr>
              <w:t>Stock-Based Award(1)</w:t>
            </w:r>
          </w:p>
        </w:tc>
        <w:tc>
          <w:tcPr>
            <w:tcW w:w="2720" w:type="dxa"/>
            <w:vAlign w:val="bottom"/>
            <w:shd w:val="clear" w:color="auto" w:fill="0076A8"/>
          </w:tcPr>
          <w:p>
            <w:pPr>
              <w:jc w:val="right"/>
              <w:ind w:right="456"/>
              <w:spacing w:after="0"/>
              <w:rPr>
                <w:sz w:val="20"/>
                <w:szCs w:val="20"/>
                <w:color w:val="auto"/>
              </w:rPr>
            </w:pPr>
            <w:r>
              <w:rPr>
                <w:rFonts w:ascii="Arial" w:cs="Arial" w:eastAsia="Arial" w:hAnsi="Arial"/>
                <w:sz w:val="18"/>
                <w:szCs w:val="18"/>
                <w:color w:val="FFFFFF"/>
              </w:rPr>
              <w:t>to PSAs, at Target(2)</w:t>
            </w:r>
          </w:p>
        </w:tc>
        <w:tc>
          <w:tcPr>
            <w:tcW w:w="1840" w:type="dxa"/>
            <w:vAlign w:val="bottom"/>
            <w:shd w:val="clear" w:color="auto" w:fill="0076A8"/>
          </w:tcPr>
          <w:p>
            <w:pPr>
              <w:jc w:val="center"/>
              <w:ind w:left="136"/>
              <w:spacing w:after="0"/>
              <w:rPr>
                <w:sz w:val="20"/>
                <w:szCs w:val="20"/>
                <w:color w:val="auto"/>
              </w:rPr>
            </w:pPr>
            <w:r>
              <w:rPr>
                <w:rFonts w:ascii="Arial" w:cs="Arial" w:eastAsia="Arial" w:hAnsi="Arial"/>
                <w:sz w:val="18"/>
                <w:szCs w:val="18"/>
                <w:color w:val="FFFFFF"/>
              </w:rPr>
              <w:t>RSUs(2)</w:t>
            </w:r>
          </w:p>
        </w:tc>
      </w:tr>
      <w:tr>
        <w:trPr>
          <w:trHeight w:val="270"/>
        </w:trPr>
        <w:tc>
          <w:tcPr>
            <w:tcW w:w="2060" w:type="dxa"/>
            <w:vAlign w:val="bottom"/>
            <w:shd w:val="clear" w:color="auto" w:fill="E5E5E5"/>
          </w:tcPr>
          <w:p>
            <w:pPr>
              <w:ind w:left="40"/>
              <w:spacing w:after="0"/>
              <w:rPr>
                <w:sz w:val="20"/>
                <w:szCs w:val="20"/>
                <w:color w:val="auto"/>
              </w:rPr>
            </w:pPr>
            <w:r>
              <w:rPr>
                <w:rFonts w:ascii="Arial" w:cs="Arial" w:eastAsia="Arial" w:hAnsi="Arial"/>
                <w:sz w:val="16"/>
                <w:szCs w:val="16"/>
                <w:color w:val="auto"/>
              </w:rPr>
              <w:t>Liam K. Griffin</w:t>
            </w:r>
          </w:p>
        </w:tc>
        <w:tc>
          <w:tcPr>
            <w:tcW w:w="12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E5E5E5"/>
          </w:tcPr>
          <w:p>
            <w:pPr>
              <w:jc w:val="right"/>
              <w:ind w:right="639"/>
              <w:spacing w:after="0"/>
              <w:rPr>
                <w:sz w:val="20"/>
                <w:szCs w:val="20"/>
                <w:color w:val="auto"/>
              </w:rPr>
            </w:pPr>
            <w:r>
              <w:rPr>
                <w:rFonts w:ascii="Arial" w:cs="Arial" w:eastAsia="Arial" w:hAnsi="Arial"/>
                <w:sz w:val="16"/>
                <w:szCs w:val="16"/>
                <w:color w:val="auto"/>
                <w:w w:val="99"/>
              </w:rPr>
              <w:t>11,000,000</w:t>
            </w:r>
          </w:p>
        </w:tc>
        <w:tc>
          <w:tcPr>
            <w:tcW w:w="2720" w:type="dxa"/>
            <w:vAlign w:val="bottom"/>
            <w:shd w:val="clear" w:color="auto" w:fill="E5E5E5"/>
          </w:tcPr>
          <w:p>
            <w:pPr>
              <w:jc w:val="right"/>
              <w:ind w:right="1036"/>
              <w:spacing w:after="0"/>
              <w:rPr>
                <w:sz w:val="20"/>
                <w:szCs w:val="20"/>
                <w:color w:val="auto"/>
              </w:rPr>
            </w:pPr>
            <w:r>
              <w:rPr>
                <w:rFonts w:ascii="Arial" w:cs="Arial" w:eastAsia="Arial" w:hAnsi="Arial"/>
                <w:sz w:val="16"/>
                <w:szCs w:val="16"/>
                <w:color w:val="auto"/>
              </w:rPr>
              <w:t>45,874</w:t>
            </w:r>
          </w:p>
        </w:tc>
        <w:tc>
          <w:tcPr>
            <w:tcW w:w="1840" w:type="dxa"/>
            <w:vAlign w:val="bottom"/>
            <w:shd w:val="clear" w:color="auto" w:fill="E5E5E5"/>
          </w:tcPr>
          <w:p>
            <w:pPr>
              <w:jc w:val="right"/>
              <w:ind w:right="476"/>
              <w:spacing w:after="0"/>
              <w:rPr>
                <w:sz w:val="20"/>
                <w:szCs w:val="20"/>
                <w:color w:val="auto"/>
              </w:rPr>
            </w:pPr>
            <w:r>
              <w:rPr>
                <w:rFonts w:ascii="Arial" w:cs="Arial" w:eastAsia="Arial" w:hAnsi="Arial"/>
                <w:sz w:val="16"/>
                <w:szCs w:val="16"/>
                <w:color w:val="auto"/>
              </w:rPr>
              <w:t>30,583</w:t>
            </w:r>
          </w:p>
        </w:tc>
      </w:tr>
      <w:tr>
        <w:trPr>
          <w:trHeight w:val="267"/>
        </w:trPr>
        <w:tc>
          <w:tcPr>
            <w:tcW w:w="2060" w:type="dxa"/>
            <w:vAlign w:val="bottom"/>
          </w:tcPr>
          <w:p>
            <w:pPr>
              <w:ind w:left="40"/>
              <w:spacing w:after="0"/>
              <w:rPr>
                <w:sz w:val="20"/>
                <w:szCs w:val="20"/>
                <w:color w:val="auto"/>
              </w:rPr>
            </w:pPr>
            <w:r>
              <w:rPr>
                <w:rFonts w:ascii="Arial" w:cs="Arial" w:eastAsia="Arial" w:hAnsi="Arial"/>
                <w:sz w:val="16"/>
                <w:szCs w:val="16"/>
                <w:color w:val="auto"/>
              </w:rPr>
              <w:t>Kris Sennesael</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639"/>
              <w:spacing w:after="0"/>
              <w:rPr>
                <w:sz w:val="20"/>
                <w:szCs w:val="20"/>
                <w:color w:val="auto"/>
              </w:rPr>
            </w:pPr>
            <w:r>
              <w:rPr>
                <w:rFonts w:ascii="Arial" w:cs="Arial" w:eastAsia="Arial" w:hAnsi="Arial"/>
                <w:sz w:val="16"/>
                <w:szCs w:val="16"/>
                <w:color w:val="auto"/>
              </w:rPr>
              <w:t>3,400,000</w:t>
            </w:r>
          </w:p>
        </w:tc>
        <w:tc>
          <w:tcPr>
            <w:tcW w:w="2720" w:type="dxa"/>
            <w:vAlign w:val="bottom"/>
          </w:tcPr>
          <w:p>
            <w:pPr>
              <w:jc w:val="right"/>
              <w:ind w:right="1036"/>
              <w:spacing w:after="0"/>
              <w:rPr>
                <w:sz w:val="20"/>
                <w:szCs w:val="20"/>
                <w:color w:val="auto"/>
              </w:rPr>
            </w:pPr>
            <w:r>
              <w:rPr>
                <w:rFonts w:ascii="Arial" w:cs="Arial" w:eastAsia="Arial" w:hAnsi="Arial"/>
                <w:sz w:val="16"/>
                <w:szCs w:val="16"/>
                <w:color w:val="auto"/>
              </w:rPr>
              <w:t>14,179</w:t>
            </w:r>
          </w:p>
        </w:tc>
        <w:tc>
          <w:tcPr>
            <w:tcW w:w="1840" w:type="dxa"/>
            <w:vAlign w:val="bottom"/>
          </w:tcPr>
          <w:p>
            <w:pPr>
              <w:jc w:val="right"/>
              <w:ind w:right="476"/>
              <w:spacing w:after="0"/>
              <w:rPr>
                <w:sz w:val="20"/>
                <w:szCs w:val="20"/>
                <w:color w:val="auto"/>
              </w:rPr>
            </w:pPr>
            <w:r>
              <w:rPr>
                <w:rFonts w:ascii="Arial" w:cs="Arial" w:eastAsia="Arial" w:hAnsi="Arial"/>
                <w:sz w:val="16"/>
                <w:szCs w:val="16"/>
                <w:color w:val="auto"/>
              </w:rPr>
              <w:t>9,452</w:t>
            </w:r>
          </w:p>
        </w:tc>
      </w:tr>
      <w:tr>
        <w:trPr>
          <w:trHeight w:val="273"/>
        </w:trPr>
        <w:tc>
          <w:tcPr>
            <w:tcW w:w="2060" w:type="dxa"/>
            <w:vAlign w:val="bottom"/>
            <w:shd w:val="clear" w:color="auto" w:fill="E5E5E5"/>
          </w:tcPr>
          <w:p>
            <w:pPr>
              <w:ind w:left="40"/>
              <w:spacing w:after="0"/>
              <w:rPr>
                <w:sz w:val="20"/>
                <w:szCs w:val="20"/>
                <w:color w:val="auto"/>
              </w:rPr>
            </w:pPr>
            <w:r>
              <w:rPr>
                <w:rFonts w:ascii="Arial" w:cs="Arial" w:eastAsia="Arial" w:hAnsi="Arial"/>
                <w:sz w:val="16"/>
                <w:szCs w:val="16"/>
                <w:color w:val="auto"/>
              </w:rPr>
              <w:t>Carlos S. Bori</w:t>
            </w:r>
          </w:p>
        </w:tc>
        <w:tc>
          <w:tcPr>
            <w:tcW w:w="12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E5E5E5"/>
          </w:tcPr>
          <w:p>
            <w:pPr>
              <w:jc w:val="right"/>
              <w:ind w:right="639"/>
              <w:spacing w:after="0"/>
              <w:rPr>
                <w:sz w:val="20"/>
                <w:szCs w:val="20"/>
                <w:color w:val="auto"/>
              </w:rPr>
            </w:pPr>
            <w:r>
              <w:rPr>
                <w:rFonts w:ascii="Arial" w:cs="Arial" w:eastAsia="Arial" w:hAnsi="Arial"/>
                <w:sz w:val="16"/>
                <w:szCs w:val="16"/>
                <w:color w:val="auto"/>
              </w:rPr>
              <w:t>2,900,000</w:t>
            </w:r>
          </w:p>
        </w:tc>
        <w:tc>
          <w:tcPr>
            <w:tcW w:w="2720" w:type="dxa"/>
            <w:vAlign w:val="bottom"/>
            <w:shd w:val="clear" w:color="auto" w:fill="E5E5E5"/>
          </w:tcPr>
          <w:p>
            <w:pPr>
              <w:jc w:val="right"/>
              <w:ind w:right="1036"/>
              <w:spacing w:after="0"/>
              <w:rPr>
                <w:sz w:val="20"/>
                <w:szCs w:val="20"/>
                <w:color w:val="auto"/>
              </w:rPr>
            </w:pPr>
            <w:r>
              <w:rPr>
                <w:rFonts w:ascii="Arial" w:cs="Arial" w:eastAsia="Arial" w:hAnsi="Arial"/>
                <w:sz w:val="16"/>
                <w:szCs w:val="16"/>
                <w:color w:val="auto"/>
              </w:rPr>
              <w:t>12,094</w:t>
            </w:r>
          </w:p>
        </w:tc>
        <w:tc>
          <w:tcPr>
            <w:tcW w:w="1840" w:type="dxa"/>
            <w:vAlign w:val="bottom"/>
            <w:shd w:val="clear" w:color="auto" w:fill="E5E5E5"/>
          </w:tcPr>
          <w:p>
            <w:pPr>
              <w:jc w:val="right"/>
              <w:ind w:right="476"/>
              <w:spacing w:after="0"/>
              <w:rPr>
                <w:sz w:val="20"/>
                <w:szCs w:val="20"/>
                <w:color w:val="auto"/>
              </w:rPr>
            </w:pPr>
            <w:r>
              <w:rPr>
                <w:rFonts w:ascii="Arial" w:cs="Arial" w:eastAsia="Arial" w:hAnsi="Arial"/>
                <w:sz w:val="16"/>
                <w:szCs w:val="16"/>
                <w:color w:val="auto"/>
              </w:rPr>
              <w:t>8,062</w:t>
            </w:r>
          </w:p>
        </w:tc>
      </w:tr>
      <w:tr>
        <w:trPr>
          <w:trHeight w:val="267"/>
        </w:trPr>
        <w:tc>
          <w:tcPr>
            <w:tcW w:w="2060" w:type="dxa"/>
            <w:vAlign w:val="bottom"/>
          </w:tcPr>
          <w:p>
            <w:pPr>
              <w:ind w:left="40"/>
              <w:spacing w:after="0"/>
              <w:rPr>
                <w:sz w:val="20"/>
                <w:szCs w:val="20"/>
                <w:color w:val="auto"/>
              </w:rPr>
            </w:pPr>
            <w:r>
              <w:rPr>
                <w:rFonts w:ascii="Arial" w:cs="Arial" w:eastAsia="Arial" w:hAnsi="Arial"/>
                <w:sz w:val="16"/>
                <w:szCs w:val="16"/>
                <w:color w:val="auto"/>
              </w:rPr>
              <w:t>Robert J. Terry</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639"/>
              <w:spacing w:after="0"/>
              <w:rPr>
                <w:sz w:val="20"/>
                <w:szCs w:val="20"/>
                <w:color w:val="auto"/>
              </w:rPr>
            </w:pPr>
            <w:r>
              <w:rPr>
                <w:rFonts w:ascii="Arial" w:cs="Arial" w:eastAsia="Arial" w:hAnsi="Arial"/>
                <w:sz w:val="16"/>
                <w:szCs w:val="16"/>
                <w:color w:val="auto"/>
              </w:rPr>
              <w:t>2,700,000</w:t>
            </w:r>
          </w:p>
        </w:tc>
        <w:tc>
          <w:tcPr>
            <w:tcW w:w="2720" w:type="dxa"/>
            <w:vAlign w:val="bottom"/>
          </w:tcPr>
          <w:p>
            <w:pPr>
              <w:jc w:val="right"/>
              <w:ind w:right="1036"/>
              <w:spacing w:after="0"/>
              <w:rPr>
                <w:sz w:val="20"/>
                <w:szCs w:val="20"/>
                <w:color w:val="auto"/>
              </w:rPr>
            </w:pPr>
            <w:r>
              <w:rPr>
                <w:rFonts w:ascii="Arial" w:cs="Arial" w:eastAsia="Arial" w:hAnsi="Arial"/>
                <w:sz w:val="16"/>
                <w:szCs w:val="16"/>
                <w:color w:val="auto"/>
              </w:rPr>
              <w:t>11,260</w:t>
            </w:r>
          </w:p>
        </w:tc>
        <w:tc>
          <w:tcPr>
            <w:tcW w:w="1840" w:type="dxa"/>
            <w:vAlign w:val="bottom"/>
          </w:tcPr>
          <w:p>
            <w:pPr>
              <w:jc w:val="right"/>
              <w:ind w:right="476"/>
              <w:spacing w:after="0"/>
              <w:rPr>
                <w:sz w:val="20"/>
                <w:szCs w:val="20"/>
                <w:color w:val="auto"/>
              </w:rPr>
            </w:pPr>
            <w:r>
              <w:rPr>
                <w:rFonts w:ascii="Arial" w:cs="Arial" w:eastAsia="Arial" w:hAnsi="Arial"/>
                <w:sz w:val="16"/>
                <w:szCs w:val="16"/>
                <w:color w:val="auto"/>
              </w:rPr>
              <w:t>7,506</w:t>
            </w:r>
          </w:p>
        </w:tc>
      </w:tr>
      <w:tr>
        <w:trPr>
          <w:trHeight w:val="273"/>
        </w:trPr>
        <w:tc>
          <w:tcPr>
            <w:tcW w:w="2060" w:type="dxa"/>
            <w:vAlign w:val="bottom"/>
            <w:shd w:val="clear" w:color="auto" w:fill="E5E5E5"/>
          </w:tcPr>
          <w:p>
            <w:pPr>
              <w:ind w:left="40"/>
              <w:spacing w:after="0"/>
              <w:rPr>
                <w:sz w:val="20"/>
                <w:szCs w:val="20"/>
                <w:color w:val="auto"/>
              </w:rPr>
            </w:pPr>
            <w:r>
              <w:rPr>
                <w:rFonts w:ascii="Arial" w:cs="Arial" w:eastAsia="Arial" w:hAnsi="Arial"/>
                <w:sz w:val="16"/>
                <w:szCs w:val="16"/>
                <w:color w:val="auto"/>
              </w:rPr>
              <w:t>Karilee A. Durham</w:t>
            </w:r>
          </w:p>
        </w:tc>
        <w:tc>
          <w:tcPr>
            <w:tcW w:w="12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E5E5E5"/>
          </w:tcPr>
          <w:p>
            <w:pPr>
              <w:jc w:val="right"/>
              <w:ind w:right="639"/>
              <w:spacing w:after="0"/>
              <w:rPr>
                <w:sz w:val="20"/>
                <w:szCs w:val="20"/>
                <w:color w:val="auto"/>
              </w:rPr>
            </w:pPr>
            <w:r>
              <w:rPr>
                <w:rFonts w:ascii="Arial" w:cs="Arial" w:eastAsia="Arial" w:hAnsi="Arial"/>
                <w:sz w:val="16"/>
                <w:szCs w:val="16"/>
                <w:color w:val="auto"/>
              </w:rPr>
              <w:t>1,900,000</w:t>
            </w:r>
          </w:p>
        </w:tc>
        <w:tc>
          <w:tcPr>
            <w:tcW w:w="2720" w:type="dxa"/>
            <w:vAlign w:val="bottom"/>
            <w:shd w:val="clear" w:color="auto" w:fill="E5E5E5"/>
          </w:tcPr>
          <w:p>
            <w:pPr>
              <w:jc w:val="right"/>
              <w:ind w:right="1036"/>
              <w:spacing w:after="0"/>
              <w:rPr>
                <w:sz w:val="20"/>
                <w:szCs w:val="20"/>
                <w:color w:val="auto"/>
              </w:rPr>
            </w:pPr>
            <w:r>
              <w:rPr>
                <w:rFonts w:ascii="Arial" w:cs="Arial" w:eastAsia="Arial" w:hAnsi="Arial"/>
                <w:sz w:val="16"/>
                <w:szCs w:val="16"/>
                <w:color w:val="auto"/>
              </w:rPr>
              <w:t>7,923</w:t>
            </w:r>
          </w:p>
        </w:tc>
        <w:tc>
          <w:tcPr>
            <w:tcW w:w="1840" w:type="dxa"/>
            <w:vAlign w:val="bottom"/>
            <w:shd w:val="clear" w:color="auto" w:fill="E5E5E5"/>
          </w:tcPr>
          <w:p>
            <w:pPr>
              <w:jc w:val="right"/>
              <w:ind w:right="476"/>
              <w:spacing w:after="0"/>
              <w:rPr>
                <w:sz w:val="20"/>
                <w:szCs w:val="20"/>
                <w:color w:val="auto"/>
              </w:rPr>
            </w:pPr>
            <w:r>
              <w:rPr>
                <w:rFonts w:ascii="Arial" w:cs="Arial" w:eastAsia="Arial" w:hAnsi="Arial"/>
                <w:sz w:val="16"/>
                <w:szCs w:val="16"/>
                <w:color w:val="auto"/>
              </w:rPr>
              <w:t>5,282</w:t>
            </w:r>
          </w:p>
        </w:tc>
      </w:tr>
    </w:tbl>
    <w:p>
      <w:pPr>
        <w:spacing w:after="0" w:line="107" w:lineRule="exact"/>
        <w:rPr>
          <w:sz w:val="20"/>
          <w:szCs w:val="20"/>
          <w:color w:val="auto"/>
        </w:rPr>
      </w:pPr>
    </w:p>
    <w:p>
      <w:pPr>
        <w:ind w:left="1080" w:right="40" w:hanging="354"/>
        <w:spacing w:after="0" w:line="255" w:lineRule="auto"/>
        <w:tabs>
          <w:tab w:leader="none" w:pos="1080" w:val="left"/>
        </w:tabs>
        <w:numPr>
          <w:ilvl w:val="0"/>
          <w:numId w:val="45"/>
        </w:numPr>
        <w:rPr>
          <w:rFonts w:ascii="Arial" w:cs="Arial" w:eastAsia="Arial" w:hAnsi="Arial"/>
          <w:sz w:val="16"/>
          <w:szCs w:val="16"/>
          <w:i w:val="1"/>
          <w:iCs w:val="1"/>
          <w:color w:val="auto"/>
        </w:rPr>
      </w:pPr>
      <w:r>
        <w:rPr>
          <w:rFonts w:ascii="Arial" w:cs="Arial" w:eastAsia="Arial" w:hAnsi="Arial"/>
          <w:sz w:val="16"/>
          <w:szCs w:val="16"/>
          <w:i w:val="1"/>
          <w:iCs w:val="1"/>
          <w:color w:val="auto"/>
        </w:rPr>
        <w:t>The grant date fair values of these stock-based awards as disclosed further below in the “Summary Compensation Table” and the “Grants of Plan-Based Awards Table” differ from the values stated above due to the grant date fair value of the PSAs being computed using a Monte Carlo simulation to value the portion of the award related to TSR percentile ranking, in accordance with the provisions of ASC 718.</w:t>
      </w:r>
    </w:p>
    <w:p>
      <w:pPr>
        <w:spacing w:after="0" w:line="1" w:lineRule="exact"/>
        <w:rPr>
          <w:rFonts w:ascii="Arial" w:cs="Arial" w:eastAsia="Arial" w:hAnsi="Arial"/>
          <w:sz w:val="16"/>
          <w:szCs w:val="16"/>
          <w:i w:val="1"/>
          <w:iCs w:val="1"/>
          <w:color w:val="auto"/>
        </w:rPr>
      </w:pPr>
    </w:p>
    <w:p>
      <w:pPr>
        <w:ind w:left="1080" w:right="100" w:hanging="354"/>
        <w:spacing w:after="0" w:line="281" w:lineRule="auto"/>
        <w:tabs>
          <w:tab w:leader="none" w:pos="1080" w:val="left"/>
        </w:tabs>
        <w:numPr>
          <w:ilvl w:val="0"/>
          <w:numId w:val="45"/>
        </w:numPr>
        <w:rPr>
          <w:rFonts w:ascii="Arial" w:cs="Arial" w:eastAsia="Arial" w:hAnsi="Arial"/>
          <w:sz w:val="16"/>
          <w:szCs w:val="16"/>
          <w:i w:val="1"/>
          <w:iCs w:val="1"/>
          <w:color w:val="auto"/>
        </w:rPr>
      </w:pPr>
      <w:r>
        <w:rPr>
          <w:rFonts w:ascii="Arial" w:cs="Arial" w:eastAsia="Arial" w:hAnsi="Arial"/>
          <w:sz w:val="16"/>
          <w:szCs w:val="16"/>
          <w:i w:val="1"/>
          <w:iCs w:val="1"/>
          <w:color w:val="auto"/>
        </w:rPr>
        <w:t>Reflects the dollar value of the award, divided by $143.87 per share, which was the closing price of the Company’s common stock on the Nasdaq Global Select Market on November 11, 2020.</w:t>
      </w:r>
    </w:p>
    <w:p>
      <w:pPr>
        <w:spacing w:after="0" w:line="292" w:lineRule="exact"/>
        <w:rPr>
          <w:sz w:val="20"/>
          <w:szCs w:val="20"/>
          <w:color w:val="auto"/>
        </w:rPr>
      </w:pPr>
    </w:p>
    <w:p>
      <w:pPr>
        <w:ind w:left="660"/>
        <w:spacing w:after="0"/>
        <w:tabs>
          <w:tab w:leader="none" w:pos="4817" w:val="left"/>
        </w:tabs>
        <w:rPr>
          <w:sz w:val="20"/>
          <w:szCs w:val="20"/>
          <w:color w:val="auto"/>
        </w:rPr>
      </w:pPr>
      <w:r>
        <w:rPr>
          <w:rFonts w:ascii="Arial" w:cs="Arial" w:eastAsia="Arial" w:hAnsi="Arial"/>
          <w:sz w:val="16"/>
          <w:szCs w:val="16"/>
          <w:color w:val="auto"/>
        </w:rPr>
        <w:t>38</w:t>
      </w:r>
      <w:r>
        <w:rPr>
          <w:sz w:val="20"/>
          <w:szCs w:val="20"/>
          <w:color w:val="auto"/>
        </w:rPr>
        <w:tab/>
      </w:r>
      <w:r>
        <w:rPr>
          <w:sz w:val="1"/>
          <w:szCs w:val="1"/>
          <w:color w:val="auto"/>
        </w:rPr>
        <w:drawing>
          <wp:inline distT="0" distB="0" distL="0" distR="0">
            <wp:extent cx="779780" cy="257175"/>
            <wp:effectExtent l="0" t="0" r="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116205</wp:posOffset>
            </wp:positionV>
            <wp:extent cx="683196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132" w:right="1259" w:bottom="1440" w:gutter="0" w:footer="0" w:header="0"/>
          <w:type w:val="continuous"/>
        </w:sectPr>
      </w:pPr>
    </w:p>
    <w:bookmarkStart w:id="43" w:name="page44"/>
    <w:bookmarkEnd w:id="43"/>
    <w:p>
      <w:pPr>
        <w:spacing w:after="0"/>
        <w:rPr>
          <w:rFonts w:ascii="Arial" w:cs="Arial" w:eastAsia="Arial" w:hAnsi="Arial"/>
          <w:sz w:val="14"/>
          <w:szCs w:val="14"/>
          <w:color w:val="003366"/>
        </w:rPr>
      </w:pPr>
      <w:hyperlink w:anchor="page35">
        <w:r>
          <w:rPr>
            <w:rFonts w:ascii="Arial" w:cs="Arial" w:eastAsia="Arial" w:hAnsi="Arial"/>
            <w:sz w:val="14"/>
            <w:szCs w:val="14"/>
            <w:color w:val="003366"/>
          </w:rPr>
          <w:t>TABLE OF CONTENTS</w:t>
        </w:r>
      </w:hyperlink>
    </w:p>
    <w:p>
      <w:pPr>
        <w:sectPr>
          <w:pgSz w:w="11900" w:h="16838" w:orient="portrait"/>
          <w:cols w:equalWidth="0" w:num="1">
            <w:col w:w="10720"/>
          </w:cols>
          <w:pgMar w:left="580" w:top="132" w:right="599" w:bottom="1440" w:gutter="0" w:footer="0" w:header="0"/>
        </w:sectPr>
      </w:pPr>
    </w:p>
    <w:p>
      <w:pPr>
        <w:spacing w:after="0" w:line="200" w:lineRule="exact"/>
        <w:rPr>
          <w:sz w:val="20"/>
          <w:szCs w:val="20"/>
          <w:color w:val="auto"/>
        </w:rPr>
      </w:pPr>
    </w:p>
    <w:p>
      <w:pPr>
        <w:spacing w:after="0" w:line="291" w:lineRule="exact"/>
        <w:rPr>
          <w:sz w:val="20"/>
          <w:szCs w:val="20"/>
          <w:color w:val="auto"/>
        </w:rPr>
      </w:pPr>
    </w:p>
    <w:p>
      <w:pPr>
        <w:ind w:left="660"/>
        <w:spacing w:after="0" w:line="254" w:lineRule="auto"/>
        <w:rPr>
          <w:sz w:val="20"/>
          <w:szCs w:val="20"/>
          <w:color w:val="auto"/>
        </w:rPr>
      </w:pPr>
      <w:r>
        <w:rPr>
          <w:rFonts w:ascii="Arial" w:cs="Arial" w:eastAsia="Arial" w:hAnsi="Arial"/>
          <w:sz w:val="20"/>
          <w:szCs w:val="20"/>
          <w:color w:val="191919"/>
        </w:rPr>
        <w:t>After setting award levels by position and evaluating our business needs for the attraction and retention of executives and employees as well as internal and external circumstances impacting the Company and its employees, the Compensation Committee also reviewed the Comparator Group data to set the aggregate number of shares of the Company’s common stock that would be made available for annual equity awards to eligible non-executive employees of the Company, as a percentage of the total number of the outstanding shares of the Company’s common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FY21 PSAs</w:t>
      </w:r>
    </w:p>
    <w:p>
      <w:pPr>
        <w:spacing w:after="0" w:line="172" w:lineRule="exact"/>
        <w:rPr>
          <w:sz w:val="20"/>
          <w:szCs w:val="20"/>
          <w:color w:val="auto"/>
        </w:rPr>
      </w:pPr>
    </w:p>
    <w:p>
      <w:pPr>
        <w:ind w:right="940"/>
        <w:spacing w:after="0" w:line="255" w:lineRule="auto"/>
        <w:rPr>
          <w:sz w:val="20"/>
          <w:szCs w:val="20"/>
          <w:color w:val="auto"/>
        </w:rPr>
      </w:pPr>
      <w:r>
        <w:rPr>
          <w:rFonts w:ascii="Arial" w:cs="Arial" w:eastAsia="Arial" w:hAnsi="Arial"/>
          <w:sz w:val="20"/>
          <w:szCs w:val="20"/>
          <w:color w:val="191919"/>
        </w:rPr>
        <w:t>The PSAs granted on November 11, 2020 (the “FY21 PSAs”), have both “performance” and “continued employment” conditions that must be met in order for the executive to receive shares underlying the award.</w:t>
      </w:r>
    </w:p>
    <w:p>
      <w:pPr>
        <w:spacing w:after="0" w:line="209" w:lineRule="exact"/>
        <w:rPr>
          <w:sz w:val="20"/>
          <w:szCs w:val="20"/>
          <w:color w:val="auto"/>
        </w:rPr>
      </w:pPr>
    </w:p>
    <w:p>
      <w:pPr>
        <w:ind w:right="680"/>
        <w:spacing w:after="0" w:line="255" w:lineRule="auto"/>
        <w:rPr>
          <w:sz w:val="20"/>
          <w:szCs w:val="20"/>
          <w:color w:val="auto"/>
        </w:rPr>
      </w:pPr>
      <w:r>
        <w:rPr>
          <w:rFonts w:ascii="Arial" w:cs="Arial" w:eastAsia="Arial" w:hAnsi="Arial"/>
          <w:sz w:val="20"/>
          <w:szCs w:val="20"/>
          <w:color w:val="191919"/>
        </w:rPr>
        <w:t>The “performance” condition of the FY21 PSAs compares the Company’s performance under three distinct performance metrics during the applicable performance period against a range of pre-established targets, as follows:</w:t>
      </w:r>
    </w:p>
    <w:p>
      <w:pPr>
        <w:spacing w:after="0" w:line="346" w:lineRule="exact"/>
        <w:rPr>
          <w:sz w:val="20"/>
          <w:szCs w:val="20"/>
          <w:color w:val="auto"/>
        </w:rPr>
      </w:pPr>
    </w:p>
    <w:p>
      <w:pPr>
        <w:sectPr>
          <w:pgSz w:w="11900" w:h="16838" w:orient="portrait"/>
          <w:cols w:equalWidth="0" w:num="2">
            <w:col w:w="5120" w:space="460"/>
            <w:col w:w="5140"/>
          </w:cols>
          <w:pgMar w:left="580" w:top="132" w:right="599" w:bottom="1440" w:gutter="0" w:footer="0" w:header="0"/>
          <w:type w:val="continuous"/>
        </w:sectPr>
      </w:pPr>
    </w:p>
    <w:p>
      <w:pPr>
        <w:spacing w:after="0" w:line="41" w:lineRule="exact"/>
        <w:rPr>
          <w:sz w:val="20"/>
          <w:szCs w:val="20"/>
          <w:color w:val="auto"/>
        </w:rPr>
      </w:pPr>
    </w:p>
    <w:tbl>
      <w:tblPr>
        <w:tblLayout w:type="fixed"/>
        <w:tblInd w:w="660" w:type="dxa"/>
        <w:tblCellMar>
          <w:top w:w="0" w:type="dxa"/>
          <w:left w:w="0" w:type="dxa"/>
          <w:bottom w:w="0" w:type="dxa"/>
          <w:right w:w="0" w:type="dxa"/>
        </w:tblCellMar>
      </w:tblPr>
      <w:tr>
        <w:trPr>
          <w:trHeight w:val="229"/>
        </w:trPr>
        <w:tc>
          <w:tcPr>
            <w:tcW w:w="5800" w:type="dxa"/>
            <w:vAlign w:val="bottom"/>
            <w:shd w:val="clear" w:color="auto" w:fill="0076A8"/>
          </w:tcPr>
          <w:p>
            <w:pPr>
              <w:spacing w:after="0"/>
              <w:rPr>
                <w:sz w:val="19"/>
                <w:szCs w:val="19"/>
                <w:color w:val="auto"/>
              </w:rPr>
            </w:pPr>
          </w:p>
        </w:tc>
        <w:tc>
          <w:tcPr>
            <w:tcW w:w="1740" w:type="dxa"/>
            <w:vAlign w:val="bottom"/>
            <w:shd w:val="clear" w:color="auto" w:fill="0076A8"/>
          </w:tcPr>
          <w:p>
            <w:pPr>
              <w:jc w:val="center"/>
              <w:ind w:left="294"/>
              <w:spacing w:after="0"/>
              <w:rPr>
                <w:sz w:val="20"/>
                <w:szCs w:val="20"/>
                <w:color w:val="auto"/>
              </w:rPr>
            </w:pPr>
            <w:r>
              <w:rPr>
                <w:rFonts w:ascii="Arial" w:cs="Arial" w:eastAsia="Arial" w:hAnsi="Arial"/>
                <w:sz w:val="18"/>
                <w:szCs w:val="18"/>
                <w:color w:val="FFFFFF"/>
                <w:w w:val="99"/>
              </w:rPr>
              <w:t>Percentage of</w:t>
            </w:r>
          </w:p>
        </w:tc>
        <w:tc>
          <w:tcPr>
            <w:tcW w:w="1860" w:type="dxa"/>
            <w:vAlign w:val="bottom"/>
            <w:shd w:val="clear" w:color="auto" w:fill="0076A8"/>
          </w:tcPr>
          <w:p>
            <w:pPr>
              <w:spacing w:after="0"/>
              <w:rPr>
                <w:sz w:val="19"/>
                <w:szCs w:val="19"/>
                <w:color w:val="auto"/>
              </w:rPr>
            </w:pPr>
          </w:p>
        </w:tc>
      </w:tr>
      <w:tr>
        <w:trPr>
          <w:trHeight w:val="189"/>
        </w:trPr>
        <w:tc>
          <w:tcPr>
            <w:tcW w:w="5800" w:type="dxa"/>
            <w:vAlign w:val="bottom"/>
            <w:shd w:val="clear" w:color="auto" w:fill="0076A8"/>
          </w:tcPr>
          <w:p>
            <w:pPr>
              <w:spacing w:after="0"/>
              <w:rPr>
                <w:sz w:val="16"/>
                <w:szCs w:val="16"/>
                <w:color w:val="auto"/>
              </w:rPr>
            </w:pPr>
          </w:p>
        </w:tc>
        <w:tc>
          <w:tcPr>
            <w:tcW w:w="1740" w:type="dxa"/>
            <w:vAlign w:val="bottom"/>
            <w:shd w:val="clear" w:color="auto" w:fill="0076A8"/>
          </w:tcPr>
          <w:p>
            <w:pPr>
              <w:jc w:val="center"/>
              <w:ind w:left="274"/>
              <w:spacing w:after="0" w:line="189" w:lineRule="exact"/>
              <w:rPr>
                <w:sz w:val="20"/>
                <w:szCs w:val="20"/>
                <w:color w:val="auto"/>
              </w:rPr>
            </w:pPr>
            <w:r>
              <w:rPr>
                <w:rFonts w:ascii="Arial" w:cs="Arial" w:eastAsia="Arial" w:hAnsi="Arial"/>
                <w:sz w:val="18"/>
                <w:szCs w:val="18"/>
                <w:color w:val="FFFFFF"/>
                <w:w w:val="98"/>
              </w:rPr>
              <w:t>Aggregate</w:t>
            </w:r>
          </w:p>
        </w:tc>
        <w:tc>
          <w:tcPr>
            <w:tcW w:w="1860" w:type="dxa"/>
            <w:vAlign w:val="bottom"/>
            <w:shd w:val="clear" w:color="auto" w:fill="0076A8"/>
          </w:tcPr>
          <w:p>
            <w:pPr>
              <w:spacing w:after="0"/>
              <w:rPr>
                <w:sz w:val="16"/>
                <w:szCs w:val="16"/>
                <w:color w:val="auto"/>
              </w:rPr>
            </w:pPr>
          </w:p>
        </w:tc>
      </w:tr>
      <w:tr>
        <w:trPr>
          <w:trHeight w:val="189"/>
        </w:trPr>
        <w:tc>
          <w:tcPr>
            <w:tcW w:w="5800" w:type="dxa"/>
            <w:vAlign w:val="bottom"/>
            <w:shd w:val="clear" w:color="auto" w:fill="0076A8"/>
          </w:tcPr>
          <w:p>
            <w:pPr>
              <w:spacing w:after="0"/>
              <w:rPr>
                <w:sz w:val="16"/>
                <w:szCs w:val="16"/>
                <w:color w:val="auto"/>
              </w:rPr>
            </w:pPr>
          </w:p>
        </w:tc>
        <w:tc>
          <w:tcPr>
            <w:tcW w:w="1740" w:type="dxa"/>
            <w:vAlign w:val="bottom"/>
            <w:shd w:val="clear" w:color="auto" w:fill="0076A8"/>
          </w:tcPr>
          <w:p>
            <w:pPr>
              <w:jc w:val="center"/>
              <w:ind w:left="274"/>
              <w:spacing w:after="0" w:line="189" w:lineRule="exact"/>
              <w:rPr>
                <w:sz w:val="20"/>
                <w:szCs w:val="20"/>
                <w:color w:val="auto"/>
              </w:rPr>
            </w:pPr>
            <w:r>
              <w:rPr>
                <w:rFonts w:ascii="Arial" w:cs="Arial" w:eastAsia="Arial" w:hAnsi="Arial"/>
                <w:sz w:val="18"/>
                <w:szCs w:val="18"/>
                <w:color w:val="FFFFFF"/>
                <w:w w:val="97"/>
              </w:rPr>
              <w:t>Target Level</w:t>
            </w:r>
          </w:p>
        </w:tc>
        <w:tc>
          <w:tcPr>
            <w:tcW w:w="1860" w:type="dxa"/>
            <w:vAlign w:val="bottom"/>
            <w:shd w:val="clear" w:color="auto" w:fill="0076A8"/>
          </w:tcPr>
          <w:p>
            <w:pPr>
              <w:jc w:val="center"/>
              <w:spacing w:after="0" w:line="189" w:lineRule="exact"/>
              <w:rPr>
                <w:sz w:val="20"/>
                <w:szCs w:val="20"/>
                <w:color w:val="auto"/>
              </w:rPr>
            </w:pPr>
            <w:r>
              <w:rPr>
                <w:rFonts w:ascii="Arial" w:cs="Arial" w:eastAsia="Arial" w:hAnsi="Arial"/>
                <w:sz w:val="18"/>
                <w:szCs w:val="18"/>
                <w:color w:val="FFFFFF"/>
              </w:rPr>
              <w:t>Performance</w:t>
            </w:r>
          </w:p>
        </w:tc>
      </w:tr>
      <w:tr>
        <w:trPr>
          <w:trHeight w:val="230"/>
        </w:trPr>
        <w:tc>
          <w:tcPr>
            <w:tcW w:w="5800" w:type="dxa"/>
            <w:vAlign w:val="bottom"/>
            <w:shd w:val="clear" w:color="auto" w:fill="0076A8"/>
          </w:tcPr>
          <w:p>
            <w:pPr>
              <w:spacing w:after="0"/>
              <w:rPr>
                <w:sz w:val="20"/>
                <w:szCs w:val="20"/>
                <w:color w:val="auto"/>
              </w:rPr>
            </w:pPr>
          </w:p>
        </w:tc>
        <w:tc>
          <w:tcPr>
            <w:tcW w:w="1740" w:type="dxa"/>
            <w:vAlign w:val="bottom"/>
            <w:shd w:val="clear" w:color="auto" w:fill="0076A8"/>
          </w:tcPr>
          <w:p>
            <w:pPr>
              <w:jc w:val="center"/>
              <w:ind w:left="274"/>
              <w:spacing w:after="0"/>
              <w:rPr>
                <w:sz w:val="20"/>
                <w:szCs w:val="20"/>
                <w:color w:val="auto"/>
              </w:rPr>
            </w:pPr>
            <w:r>
              <w:rPr>
                <w:rFonts w:ascii="Arial" w:cs="Arial" w:eastAsia="Arial" w:hAnsi="Arial"/>
                <w:sz w:val="18"/>
                <w:szCs w:val="18"/>
                <w:color w:val="FFFFFF"/>
              </w:rPr>
              <w:t>Shares</w:t>
            </w:r>
          </w:p>
        </w:tc>
        <w:tc>
          <w:tcPr>
            <w:tcW w:w="1860" w:type="dxa"/>
            <w:vAlign w:val="bottom"/>
            <w:shd w:val="clear" w:color="auto" w:fill="0076A8"/>
          </w:tcPr>
          <w:p>
            <w:pPr>
              <w:jc w:val="center"/>
              <w:spacing w:after="0"/>
              <w:rPr>
                <w:sz w:val="20"/>
                <w:szCs w:val="20"/>
                <w:color w:val="auto"/>
              </w:rPr>
            </w:pPr>
            <w:r>
              <w:rPr>
                <w:rFonts w:ascii="Arial" w:cs="Arial" w:eastAsia="Arial" w:hAnsi="Arial"/>
                <w:sz w:val="18"/>
                <w:szCs w:val="18"/>
                <w:color w:val="FFFFFF"/>
                <w:w w:val="99"/>
              </w:rPr>
              <w:t>Period</w:t>
            </w:r>
          </w:p>
        </w:tc>
      </w:tr>
      <w:tr>
        <w:trPr>
          <w:trHeight w:val="270"/>
        </w:trPr>
        <w:tc>
          <w:tcPr>
            <w:tcW w:w="5800" w:type="dxa"/>
            <w:vAlign w:val="bottom"/>
            <w:shd w:val="clear" w:color="auto" w:fill="E5E5E5"/>
          </w:tcPr>
          <w:p>
            <w:pPr>
              <w:ind w:left="40"/>
              <w:spacing w:after="0"/>
              <w:rPr>
                <w:sz w:val="20"/>
                <w:szCs w:val="20"/>
                <w:color w:val="auto"/>
              </w:rPr>
            </w:pPr>
            <w:r>
              <w:rPr>
                <w:rFonts w:ascii="Arial" w:cs="Arial" w:eastAsia="Arial" w:hAnsi="Arial"/>
                <w:sz w:val="16"/>
                <w:szCs w:val="16"/>
                <w:color w:val="auto"/>
              </w:rPr>
              <w:t>Target Level Shares with Respect to Emerging Revenue Growth Metric</w:t>
            </w:r>
            <w:r>
              <w:rPr>
                <w:rFonts w:ascii="Arial" w:cs="Arial" w:eastAsia="Arial" w:hAnsi="Arial"/>
                <w:sz w:val="16"/>
                <w:szCs w:val="16"/>
                <w:color w:val="0076A8"/>
              </w:rPr>
              <w:t>(1)</w:t>
            </w:r>
          </w:p>
        </w:tc>
        <w:tc>
          <w:tcPr>
            <w:tcW w:w="1740" w:type="dxa"/>
            <w:vAlign w:val="bottom"/>
            <w:shd w:val="clear" w:color="auto" w:fill="E5E5E5"/>
          </w:tcPr>
          <w:p>
            <w:pPr>
              <w:jc w:val="right"/>
              <w:ind w:right="354"/>
              <w:spacing w:after="0"/>
              <w:rPr>
                <w:sz w:val="20"/>
                <w:szCs w:val="20"/>
                <w:color w:val="auto"/>
              </w:rPr>
            </w:pPr>
            <w:r>
              <w:rPr>
                <w:rFonts w:ascii="Arial" w:cs="Arial" w:eastAsia="Arial" w:hAnsi="Arial"/>
                <w:sz w:val="16"/>
                <w:szCs w:val="16"/>
                <w:color w:val="auto"/>
              </w:rPr>
              <w:t>25%</w:t>
            </w:r>
          </w:p>
        </w:tc>
        <w:tc>
          <w:tcPr>
            <w:tcW w:w="1860" w:type="dxa"/>
            <w:vAlign w:val="bottom"/>
            <w:shd w:val="clear" w:color="auto" w:fill="E5E5E5"/>
          </w:tcPr>
          <w:p>
            <w:pPr>
              <w:jc w:val="center"/>
              <w:spacing w:after="0"/>
              <w:rPr>
                <w:sz w:val="20"/>
                <w:szCs w:val="20"/>
                <w:color w:val="auto"/>
              </w:rPr>
            </w:pPr>
            <w:r>
              <w:rPr>
                <w:rFonts w:ascii="Arial" w:cs="Arial" w:eastAsia="Arial" w:hAnsi="Arial"/>
                <w:sz w:val="16"/>
                <w:szCs w:val="16"/>
                <w:color w:val="auto"/>
                <w:w w:val="99"/>
              </w:rPr>
              <w:t>Fiscal Year 2021</w:t>
            </w:r>
          </w:p>
        </w:tc>
      </w:tr>
      <w:tr>
        <w:trPr>
          <w:trHeight w:val="267"/>
        </w:trPr>
        <w:tc>
          <w:tcPr>
            <w:tcW w:w="5800" w:type="dxa"/>
            <w:vAlign w:val="bottom"/>
          </w:tcPr>
          <w:p>
            <w:pPr>
              <w:ind w:left="40"/>
              <w:spacing w:after="0"/>
              <w:rPr>
                <w:sz w:val="20"/>
                <w:szCs w:val="20"/>
                <w:color w:val="auto"/>
              </w:rPr>
            </w:pPr>
            <w:r>
              <w:rPr>
                <w:rFonts w:ascii="Arial" w:cs="Arial" w:eastAsia="Arial" w:hAnsi="Arial"/>
                <w:sz w:val="16"/>
                <w:szCs w:val="16"/>
                <w:color w:val="auto"/>
              </w:rPr>
              <w:t>Target Level Shares with Respect to Design Win Metric</w:t>
            </w:r>
            <w:r>
              <w:rPr>
                <w:rFonts w:ascii="Arial" w:cs="Arial" w:eastAsia="Arial" w:hAnsi="Arial"/>
                <w:sz w:val="16"/>
                <w:szCs w:val="16"/>
                <w:color w:val="0076A8"/>
              </w:rPr>
              <w:t>(2)</w:t>
            </w:r>
          </w:p>
        </w:tc>
        <w:tc>
          <w:tcPr>
            <w:tcW w:w="1740" w:type="dxa"/>
            <w:vAlign w:val="bottom"/>
          </w:tcPr>
          <w:p>
            <w:pPr>
              <w:jc w:val="right"/>
              <w:ind w:right="354"/>
              <w:spacing w:after="0"/>
              <w:rPr>
                <w:sz w:val="20"/>
                <w:szCs w:val="20"/>
                <w:color w:val="auto"/>
              </w:rPr>
            </w:pPr>
            <w:r>
              <w:rPr>
                <w:rFonts w:ascii="Arial" w:cs="Arial" w:eastAsia="Arial" w:hAnsi="Arial"/>
                <w:sz w:val="16"/>
                <w:szCs w:val="16"/>
                <w:color w:val="auto"/>
              </w:rPr>
              <w:t>25%</w:t>
            </w:r>
          </w:p>
        </w:tc>
        <w:tc>
          <w:tcPr>
            <w:tcW w:w="1860" w:type="dxa"/>
            <w:vAlign w:val="bottom"/>
          </w:tcPr>
          <w:p>
            <w:pPr>
              <w:jc w:val="center"/>
              <w:spacing w:after="0"/>
              <w:rPr>
                <w:sz w:val="20"/>
                <w:szCs w:val="20"/>
                <w:color w:val="auto"/>
              </w:rPr>
            </w:pPr>
            <w:r>
              <w:rPr>
                <w:rFonts w:ascii="Arial" w:cs="Arial" w:eastAsia="Arial" w:hAnsi="Arial"/>
                <w:sz w:val="16"/>
                <w:szCs w:val="16"/>
                <w:color w:val="auto"/>
                <w:w w:val="99"/>
              </w:rPr>
              <w:t>Fiscal Year 2021</w:t>
            </w:r>
          </w:p>
        </w:tc>
      </w:tr>
      <w:tr>
        <w:trPr>
          <w:trHeight w:val="273"/>
        </w:trPr>
        <w:tc>
          <w:tcPr>
            <w:tcW w:w="5800" w:type="dxa"/>
            <w:vAlign w:val="bottom"/>
            <w:shd w:val="clear" w:color="auto" w:fill="E5E5E5"/>
          </w:tcPr>
          <w:p>
            <w:pPr>
              <w:ind w:left="40"/>
              <w:spacing w:after="0"/>
              <w:rPr>
                <w:sz w:val="20"/>
                <w:szCs w:val="20"/>
                <w:color w:val="auto"/>
              </w:rPr>
            </w:pPr>
            <w:r>
              <w:rPr>
                <w:rFonts w:ascii="Arial" w:cs="Arial" w:eastAsia="Arial" w:hAnsi="Arial"/>
                <w:sz w:val="16"/>
                <w:szCs w:val="16"/>
                <w:color w:val="auto"/>
              </w:rPr>
              <w:t>Target Level Shares with Respect to TSR Percentile Ranking Metric</w:t>
            </w:r>
            <w:r>
              <w:rPr>
                <w:rFonts w:ascii="Arial" w:cs="Arial" w:eastAsia="Arial" w:hAnsi="Arial"/>
                <w:sz w:val="16"/>
                <w:szCs w:val="16"/>
                <w:color w:val="0076A8"/>
              </w:rPr>
              <w:t>(3)</w:t>
            </w:r>
          </w:p>
        </w:tc>
        <w:tc>
          <w:tcPr>
            <w:tcW w:w="1740" w:type="dxa"/>
            <w:vAlign w:val="bottom"/>
            <w:shd w:val="clear" w:color="auto" w:fill="E5E5E5"/>
          </w:tcPr>
          <w:p>
            <w:pPr>
              <w:jc w:val="right"/>
              <w:ind w:right="354"/>
              <w:spacing w:after="0"/>
              <w:rPr>
                <w:sz w:val="20"/>
                <w:szCs w:val="20"/>
                <w:color w:val="auto"/>
              </w:rPr>
            </w:pPr>
            <w:r>
              <w:rPr>
                <w:rFonts w:ascii="Arial" w:cs="Arial" w:eastAsia="Arial" w:hAnsi="Arial"/>
                <w:sz w:val="16"/>
                <w:szCs w:val="16"/>
                <w:color w:val="auto"/>
              </w:rPr>
              <w:t>50%</w:t>
            </w:r>
          </w:p>
        </w:tc>
        <w:tc>
          <w:tcPr>
            <w:tcW w:w="1860" w:type="dxa"/>
            <w:vAlign w:val="bottom"/>
            <w:shd w:val="clear" w:color="auto" w:fill="E5E5E5"/>
          </w:tcPr>
          <w:p>
            <w:pPr>
              <w:jc w:val="center"/>
              <w:spacing w:after="0"/>
              <w:rPr>
                <w:sz w:val="20"/>
                <w:szCs w:val="20"/>
                <w:color w:val="auto"/>
              </w:rPr>
            </w:pPr>
            <w:r>
              <w:rPr>
                <w:rFonts w:ascii="Arial" w:cs="Arial" w:eastAsia="Arial" w:hAnsi="Arial"/>
                <w:sz w:val="16"/>
                <w:szCs w:val="16"/>
                <w:color w:val="auto"/>
                <w:w w:val="99"/>
              </w:rPr>
              <w:t>Fiscal Years 2021-2023</w:t>
            </w:r>
          </w:p>
        </w:tc>
      </w:tr>
    </w:tbl>
    <w:p>
      <w:pPr>
        <w:spacing w:after="0" w:line="107" w:lineRule="exact"/>
        <w:rPr>
          <w:sz w:val="20"/>
          <w:szCs w:val="20"/>
          <w:color w:val="auto"/>
        </w:rPr>
      </w:pPr>
    </w:p>
    <w:p>
      <w:pPr>
        <w:ind w:left="1080" w:right="1260" w:hanging="354"/>
        <w:spacing w:after="0" w:line="264" w:lineRule="auto"/>
        <w:tabs>
          <w:tab w:leader="none" w:pos="1080" w:val="left"/>
        </w:tabs>
        <w:numPr>
          <w:ilvl w:val="0"/>
          <w:numId w:val="46"/>
        </w:numPr>
        <w:rPr>
          <w:rFonts w:ascii="Arial" w:cs="Arial" w:eastAsia="Arial" w:hAnsi="Arial"/>
          <w:sz w:val="16"/>
          <w:szCs w:val="16"/>
          <w:i w:val="1"/>
          <w:iCs w:val="1"/>
          <w:color w:val="auto"/>
        </w:rPr>
      </w:pPr>
      <w:r>
        <w:rPr>
          <w:rFonts w:ascii="Arial" w:cs="Arial" w:eastAsia="Arial" w:hAnsi="Arial"/>
          <w:sz w:val="16"/>
          <w:szCs w:val="16"/>
          <w:i w:val="1"/>
          <w:iCs w:val="1"/>
          <w:color w:val="auto"/>
        </w:rPr>
        <w:t>The emerging revenue growth metric measures the Company’s year-over-year revenue growth in certain key product categories, each of which represents an identified longer-term growth market for the Company.</w:t>
      </w:r>
    </w:p>
    <w:p>
      <w:pPr>
        <w:ind w:left="1080" w:hanging="354"/>
        <w:spacing w:after="0"/>
        <w:tabs>
          <w:tab w:leader="none" w:pos="1080" w:val="left"/>
        </w:tabs>
        <w:numPr>
          <w:ilvl w:val="0"/>
          <w:numId w:val="46"/>
        </w:numPr>
        <w:rPr>
          <w:rFonts w:ascii="Arial" w:cs="Arial" w:eastAsia="Arial" w:hAnsi="Arial"/>
          <w:sz w:val="16"/>
          <w:szCs w:val="16"/>
          <w:i w:val="1"/>
          <w:iCs w:val="1"/>
          <w:color w:val="auto"/>
        </w:rPr>
      </w:pPr>
      <w:r>
        <w:rPr>
          <w:rFonts w:ascii="Arial" w:cs="Arial" w:eastAsia="Arial" w:hAnsi="Arial"/>
          <w:sz w:val="16"/>
          <w:szCs w:val="16"/>
          <w:i w:val="1"/>
          <w:iCs w:val="1"/>
          <w:color w:val="auto"/>
        </w:rPr>
        <w:t>The design win metric measures the success of the Company in achieving specific product design wins with a key customer.</w:t>
      </w:r>
    </w:p>
    <w:p>
      <w:pPr>
        <w:spacing w:after="0" w:line="26" w:lineRule="exact"/>
        <w:rPr>
          <w:rFonts w:ascii="Arial" w:cs="Arial" w:eastAsia="Arial" w:hAnsi="Arial"/>
          <w:sz w:val="16"/>
          <w:szCs w:val="16"/>
          <w:i w:val="1"/>
          <w:iCs w:val="1"/>
          <w:color w:val="auto"/>
        </w:rPr>
      </w:pPr>
    </w:p>
    <w:p>
      <w:pPr>
        <w:ind w:left="1080" w:right="780" w:hanging="354"/>
        <w:spacing w:after="0" w:line="249" w:lineRule="auto"/>
        <w:tabs>
          <w:tab w:leader="none" w:pos="1080" w:val="left"/>
        </w:tabs>
        <w:numPr>
          <w:ilvl w:val="0"/>
          <w:numId w:val="46"/>
        </w:numPr>
        <w:rPr>
          <w:rFonts w:ascii="Arial" w:cs="Arial" w:eastAsia="Arial" w:hAnsi="Arial"/>
          <w:sz w:val="16"/>
          <w:szCs w:val="16"/>
          <w:i w:val="1"/>
          <w:iCs w:val="1"/>
          <w:color w:val="auto"/>
        </w:rPr>
      </w:pPr>
      <w:r>
        <w:rPr>
          <w:rFonts w:ascii="Arial" w:cs="Arial" w:eastAsia="Arial" w:hAnsi="Arial"/>
          <w:sz w:val="16"/>
          <w:szCs w:val="16"/>
          <w:i w:val="1"/>
          <w:iCs w:val="1"/>
          <w:color w:val="auto"/>
        </w:rPr>
        <w:t>The TSR percentile ranking metric measures the Company’s percentile ranking achieved with respect to its peer group. The peer group for purposes of the TSR percentile ranking metric includes each of the companies in the Philadelphia Semiconductor Index as of November 11, 2020, but excludes any such company that during the three-year performance period is acquired by or merged with (or enters into an agreement to be acquired by or merged with) another entity. For purposes of the PSA award, TSR for the Company and for each company in the peer group is calculated using a starting price and ending price, which consist of the average closing prices for each trading day during the sixty (60) consecutive calendar days ending on, and including, the last trading day before the measurement period begins and the last trading day of the measurement period, respectively, assuming dividend reinvestment and adjusting for stock splits, as applicable.</w:t>
      </w:r>
    </w:p>
    <w:p>
      <w:pPr>
        <w:sectPr>
          <w:pgSz w:w="11900" w:h="16838" w:orient="portrait"/>
          <w:cols w:equalWidth="0" w:num="1">
            <w:col w:w="10720"/>
          </w:cols>
          <w:pgMar w:left="580" w:top="132" w:right="599" w:bottom="1440" w:gutter="0" w:footer="0" w:header="0"/>
          <w:type w:val="continuous"/>
        </w:sectPr>
      </w:pPr>
    </w:p>
    <w:p>
      <w:pPr>
        <w:spacing w:after="0" w:line="95" w:lineRule="exact"/>
        <w:rPr>
          <w:sz w:val="20"/>
          <w:szCs w:val="20"/>
          <w:color w:val="auto"/>
        </w:rPr>
      </w:pPr>
    </w:p>
    <w:p>
      <w:pPr>
        <w:ind w:left="660"/>
        <w:spacing w:after="0" w:line="268" w:lineRule="auto"/>
        <w:rPr>
          <w:sz w:val="20"/>
          <w:szCs w:val="20"/>
          <w:color w:val="auto"/>
        </w:rPr>
      </w:pPr>
      <w:r>
        <w:rPr>
          <w:rFonts w:ascii="Arial" w:cs="Arial" w:eastAsia="Arial" w:hAnsi="Arial"/>
          <w:sz w:val="19"/>
          <w:szCs w:val="19"/>
          <w:color w:val="191919"/>
        </w:rPr>
        <w:t>The semiconductor industry generally and, in particular, many of the markets into which the Company sells its connectivity products, are characterized by constant and rapid technological change, continuous product evolution, and short product life cycles, including annual product refreshes in some cases. Recognizing that strong long-term financial performance depends largely on the Company’s ability to identify, and respond to, rapid market changes by introducing new and enhanced products and technologies on a timely basis, the Compensation Committee determined that half of the target value under the FY21 PSAs should be measured based on one-year performance periods, consistent with the PSA design from the prior year.</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ind w:right="660"/>
        <w:spacing w:after="0" w:line="254" w:lineRule="auto"/>
        <w:rPr>
          <w:sz w:val="20"/>
          <w:szCs w:val="20"/>
          <w:color w:val="auto"/>
        </w:rPr>
      </w:pPr>
      <w:r>
        <w:rPr>
          <w:rFonts w:ascii="Arial" w:cs="Arial" w:eastAsia="Arial" w:hAnsi="Arial"/>
          <w:sz w:val="20"/>
          <w:szCs w:val="20"/>
          <w:color w:val="191919"/>
        </w:rPr>
        <w:t>More specifically, the Compensation Committee retained emerging revenue growth and key customer design wins as one-year metrics appropriate for focusing our management team on long-term value creation, given that revenue growth over the next several years is highly dependent on executing in certain higher-growth product categories, as well as on continued success with a key customer that typically leads the market in the adoption of new technologies and maintains an annual sales cycle. As in prior years, the remaining half of the target value under the FY21 PSAs was based on three-year TSR percentile ranking, which the Compensation Committee believed provides an appropriate balance to the one-year measurement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-462280</wp:posOffset>
            </wp:positionH>
            <wp:positionV relativeFrom="paragraph">
              <wp:posOffset>615315</wp:posOffset>
            </wp:positionV>
            <wp:extent cx="779780" cy="25717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79780" cy="257175"/>
                    </a:xfrm>
                    <a:prstGeom prst="rect">
                      <a:avLst/>
                    </a:prstGeom>
                    <a:noFill/>
                  </pic:spPr>
                </pic:pic>
              </a:graphicData>
            </a:graphic>
          </wp:anchor>
        </w:drawing>
      </w:r>
    </w:p>
    <w:p>
      <w:pPr>
        <w:spacing w:after="0" w:line="209" w:lineRule="exact"/>
        <w:rPr>
          <w:sz w:val="20"/>
          <w:szCs w:val="20"/>
          <w:color w:val="auto"/>
        </w:rPr>
      </w:pPr>
    </w:p>
    <w:p>
      <w:pPr>
        <w:sectPr>
          <w:pgSz w:w="11900" w:h="16838" w:orient="portrait"/>
          <w:cols w:equalWidth="0" w:num="2">
            <w:col w:w="5000" w:space="580"/>
            <w:col w:w="5140"/>
          </w:cols>
          <w:pgMar w:left="580" w:top="132" w:right="5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860" w:type="dxa"/>
            <w:vAlign w:val="bottom"/>
          </w:tcPr>
          <w:p>
            <w:pPr>
              <w:ind w:left="660"/>
              <w:spacing w:after="0"/>
              <w:rPr>
                <w:sz w:val="20"/>
                <w:szCs w:val="20"/>
                <w:color w:val="auto"/>
              </w:rPr>
            </w:pPr>
            <w:r>
              <w:rPr>
                <w:rFonts w:ascii="Arial" w:cs="Arial" w:eastAsia="Arial" w:hAnsi="Arial"/>
                <w:sz w:val="16"/>
                <w:szCs w:val="16"/>
                <w:color w:val="auto"/>
              </w:rPr>
              <w:t>Proxy Statement</w:t>
            </w:r>
          </w:p>
        </w:tc>
        <w:tc>
          <w:tcPr>
            <w:tcW w:w="4860" w:type="dxa"/>
            <w:vAlign w:val="bottom"/>
          </w:tcPr>
          <w:p>
            <w:pPr>
              <w:jc w:val="right"/>
              <w:ind w:right="579"/>
              <w:spacing w:after="0"/>
              <w:rPr>
                <w:sz w:val="20"/>
                <w:szCs w:val="20"/>
                <w:color w:val="auto"/>
              </w:rPr>
            </w:pPr>
            <w:r>
              <w:rPr>
                <w:rFonts w:ascii="Arial" w:cs="Arial" w:eastAsia="Arial" w:hAnsi="Arial"/>
                <w:sz w:val="16"/>
                <w:szCs w:val="16"/>
                <w:color w:val="auto"/>
              </w:rPr>
              <w:t>39</w:t>
            </w:r>
          </w:p>
        </w:tc>
      </w:tr>
      <w:tr>
        <w:trPr>
          <w:trHeight w:val="296"/>
        </w:trPr>
        <w:tc>
          <w:tcPr>
            <w:tcW w:w="5860" w:type="dxa"/>
            <w:vAlign w:val="bottom"/>
            <w:tcBorders>
              <w:bottom w:val="single" w:sz="8" w:color="9A9A9A"/>
            </w:tcBorders>
          </w:tcPr>
          <w:p>
            <w:pPr>
              <w:spacing w:after="0"/>
              <w:rPr>
                <w:sz w:val="24"/>
                <w:szCs w:val="24"/>
                <w:color w:val="auto"/>
              </w:rPr>
            </w:pPr>
          </w:p>
        </w:tc>
        <w:tc>
          <w:tcPr>
            <w:tcW w:w="4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type w:val="continuous"/>
        </w:sectPr>
      </w:pPr>
    </w:p>
    <w:bookmarkStart w:id="44" w:name="page45"/>
    <w:bookmarkEnd w:id="44"/>
    <w:p>
      <w:pPr>
        <w:spacing w:after="0"/>
        <w:rPr>
          <w:rFonts w:ascii="Arial" w:cs="Arial" w:eastAsia="Arial" w:hAnsi="Arial"/>
          <w:sz w:val="14"/>
          <w:szCs w:val="14"/>
          <w:color w:val="003366"/>
        </w:rPr>
      </w:pPr>
      <w:hyperlink w:anchor="page3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60" w:right="640"/>
        <w:spacing w:after="0" w:line="261" w:lineRule="auto"/>
        <w:rPr>
          <w:sz w:val="20"/>
          <w:szCs w:val="20"/>
          <w:color w:val="auto"/>
        </w:rPr>
      </w:pPr>
      <w:r>
        <w:rPr>
          <w:rFonts w:ascii="Arial" w:cs="Arial" w:eastAsia="Arial" w:hAnsi="Arial"/>
          <w:sz w:val="20"/>
          <w:szCs w:val="20"/>
          <w:color w:val="191919"/>
        </w:rPr>
        <w:t>The specific pre-established targets under the emerging revenue growth and TSR percentile ranking metrics are as follows:</w:t>
      </w:r>
    </w:p>
    <w:p>
      <w:pPr>
        <w:spacing w:after="0" w:line="232" w:lineRule="exact"/>
        <w:rPr>
          <w:sz w:val="20"/>
          <w:szCs w:val="20"/>
          <w:color w:val="auto"/>
        </w:rPr>
      </w:pPr>
    </w:p>
    <w:tbl>
      <w:tblPr>
        <w:tblLayout w:type="fixed"/>
        <w:tblInd w:w="660" w:type="dxa"/>
        <w:tblCellMar>
          <w:top w:w="0" w:type="dxa"/>
          <w:left w:w="0" w:type="dxa"/>
          <w:bottom w:w="0" w:type="dxa"/>
          <w:right w:w="0" w:type="dxa"/>
        </w:tblCellMar>
      </w:tblPr>
      <w:tr>
        <w:trPr>
          <w:trHeight w:val="229"/>
        </w:trPr>
        <w:tc>
          <w:tcPr>
            <w:tcW w:w="4760" w:type="dxa"/>
            <w:vAlign w:val="bottom"/>
            <w:shd w:val="clear" w:color="auto" w:fill="0076A8"/>
          </w:tcPr>
          <w:p>
            <w:pPr>
              <w:ind w:left="40"/>
              <w:spacing w:after="0"/>
              <w:rPr>
                <w:sz w:val="20"/>
                <w:szCs w:val="20"/>
                <w:color w:val="auto"/>
              </w:rPr>
            </w:pPr>
            <w:r>
              <w:rPr>
                <w:rFonts w:ascii="Arial" w:cs="Arial" w:eastAsia="Arial" w:hAnsi="Arial"/>
                <w:sz w:val="18"/>
                <w:szCs w:val="18"/>
                <w:color w:val="FFFFFF"/>
              </w:rPr>
              <w:t>Company Metric(1)</w:t>
            </w:r>
          </w:p>
        </w:tc>
        <w:tc>
          <w:tcPr>
            <w:tcW w:w="2880" w:type="dxa"/>
            <w:vAlign w:val="bottom"/>
            <w:shd w:val="clear" w:color="auto" w:fill="0076A8"/>
          </w:tcPr>
          <w:p>
            <w:pPr>
              <w:jc w:val="center"/>
              <w:ind w:left="1756"/>
              <w:spacing w:after="0"/>
              <w:rPr>
                <w:sz w:val="20"/>
                <w:szCs w:val="20"/>
                <w:color w:val="auto"/>
              </w:rPr>
            </w:pPr>
            <w:r>
              <w:rPr>
                <w:rFonts w:ascii="Arial" w:cs="Arial" w:eastAsia="Arial" w:hAnsi="Arial"/>
                <w:sz w:val="18"/>
                <w:szCs w:val="18"/>
                <w:color w:val="FFFFFF"/>
                <w:w w:val="99"/>
              </w:rPr>
              <w:t>Threshold</w:t>
            </w:r>
          </w:p>
        </w:tc>
        <w:tc>
          <w:tcPr>
            <w:tcW w:w="800" w:type="dxa"/>
            <w:vAlign w:val="bottom"/>
            <w:shd w:val="clear" w:color="auto" w:fill="0076A8"/>
          </w:tcPr>
          <w:p>
            <w:pPr>
              <w:jc w:val="center"/>
              <w:spacing w:after="0"/>
              <w:rPr>
                <w:sz w:val="20"/>
                <w:szCs w:val="20"/>
                <w:color w:val="auto"/>
              </w:rPr>
            </w:pPr>
            <w:r>
              <w:rPr>
                <w:rFonts w:ascii="Arial" w:cs="Arial" w:eastAsia="Arial" w:hAnsi="Arial"/>
                <w:sz w:val="18"/>
                <w:szCs w:val="18"/>
                <w:color w:val="FFFFFF"/>
                <w:w w:val="96"/>
              </w:rPr>
              <w:t>Target</w:t>
            </w:r>
          </w:p>
        </w:tc>
        <w:tc>
          <w:tcPr>
            <w:tcW w:w="960" w:type="dxa"/>
            <w:vAlign w:val="bottom"/>
            <w:shd w:val="clear" w:color="auto" w:fill="0076A8"/>
          </w:tcPr>
          <w:p>
            <w:pPr>
              <w:jc w:val="center"/>
              <w:spacing w:after="0"/>
              <w:rPr>
                <w:sz w:val="20"/>
                <w:szCs w:val="20"/>
                <w:color w:val="auto"/>
              </w:rPr>
            </w:pPr>
            <w:r>
              <w:rPr>
                <w:rFonts w:ascii="Arial" w:cs="Arial" w:eastAsia="Arial" w:hAnsi="Arial"/>
                <w:sz w:val="18"/>
                <w:szCs w:val="18"/>
                <w:color w:val="FFFFFF"/>
                <w:w w:val="99"/>
              </w:rPr>
              <w:t>Maximum</w:t>
            </w:r>
          </w:p>
        </w:tc>
      </w:tr>
      <w:tr>
        <w:trPr>
          <w:trHeight w:val="203"/>
        </w:trPr>
        <w:tc>
          <w:tcPr>
            <w:tcW w:w="4760" w:type="dxa"/>
            <w:vAlign w:val="bottom"/>
            <w:shd w:val="clear" w:color="auto" w:fill="E5E5E5"/>
          </w:tcPr>
          <w:p>
            <w:pPr>
              <w:ind w:left="40"/>
              <w:spacing w:after="0"/>
              <w:rPr>
                <w:sz w:val="20"/>
                <w:szCs w:val="20"/>
                <w:color w:val="auto"/>
              </w:rPr>
            </w:pPr>
            <w:r>
              <w:rPr>
                <w:rFonts w:ascii="Arial" w:cs="Arial" w:eastAsia="Arial" w:hAnsi="Arial"/>
                <w:sz w:val="16"/>
                <w:szCs w:val="16"/>
                <w:color w:val="auto"/>
              </w:rPr>
              <w:t>1-year Emerging Revenue Growth (%)</w:t>
            </w:r>
          </w:p>
        </w:tc>
        <w:tc>
          <w:tcPr>
            <w:tcW w:w="2880" w:type="dxa"/>
            <w:vAlign w:val="bottom"/>
            <w:shd w:val="clear" w:color="auto" w:fill="E5E5E5"/>
          </w:tcPr>
          <w:p>
            <w:pPr>
              <w:jc w:val="right"/>
              <w:ind w:right="136"/>
              <w:spacing w:after="0"/>
              <w:rPr>
                <w:sz w:val="20"/>
                <w:szCs w:val="20"/>
                <w:color w:val="auto"/>
              </w:rPr>
            </w:pPr>
            <w:r>
              <w:rPr>
                <w:rFonts w:ascii="Arial" w:cs="Arial" w:eastAsia="Arial" w:hAnsi="Arial"/>
                <w:sz w:val="16"/>
                <w:szCs w:val="16"/>
                <w:color w:val="auto"/>
              </w:rPr>
              <w:t>0.0%</w:t>
            </w:r>
          </w:p>
        </w:tc>
        <w:tc>
          <w:tcPr>
            <w:tcW w:w="800" w:type="dxa"/>
            <w:vAlign w:val="bottom"/>
            <w:shd w:val="clear" w:color="auto" w:fill="E5E5E5"/>
          </w:tcPr>
          <w:p>
            <w:pPr>
              <w:jc w:val="right"/>
              <w:ind w:right="16"/>
              <w:spacing w:after="0"/>
              <w:rPr>
                <w:sz w:val="20"/>
                <w:szCs w:val="20"/>
                <w:color w:val="auto"/>
              </w:rPr>
            </w:pPr>
            <w:r>
              <w:rPr>
                <w:rFonts w:ascii="Arial" w:cs="Arial" w:eastAsia="Arial" w:hAnsi="Arial"/>
                <w:sz w:val="16"/>
                <w:szCs w:val="16"/>
                <w:color w:val="auto"/>
              </w:rPr>
              <w:t>15.0%</w:t>
            </w:r>
          </w:p>
        </w:tc>
        <w:tc>
          <w:tcPr>
            <w:tcW w:w="960" w:type="dxa"/>
            <w:vAlign w:val="bottom"/>
            <w:shd w:val="clear" w:color="auto" w:fill="E5E5E5"/>
          </w:tcPr>
          <w:p>
            <w:pPr>
              <w:jc w:val="right"/>
              <w:ind w:right="76"/>
              <w:spacing w:after="0"/>
              <w:rPr>
                <w:sz w:val="20"/>
                <w:szCs w:val="20"/>
                <w:color w:val="auto"/>
              </w:rPr>
            </w:pPr>
            <w:r>
              <w:rPr>
                <w:rFonts w:ascii="Arial" w:cs="Arial" w:eastAsia="Arial" w:hAnsi="Arial"/>
                <w:sz w:val="16"/>
                <w:szCs w:val="16"/>
                <w:color w:val="auto"/>
              </w:rPr>
              <w:t>30.0%</w:t>
            </w:r>
          </w:p>
        </w:tc>
      </w:tr>
      <w:tr>
        <w:trPr>
          <w:trHeight w:val="243"/>
        </w:trPr>
        <w:tc>
          <w:tcPr>
            <w:tcW w:w="4760" w:type="dxa"/>
            <w:vAlign w:val="bottom"/>
            <w:tcBorders>
              <w:bottom w:val="single" w:sz="8" w:color="BFBFBF"/>
            </w:tcBorders>
          </w:tcPr>
          <w:p>
            <w:pPr>
              <w:ind w:left="40"/>
              <w:spacing w:after="0"/>
              <w:rPr>
                <w:sz w:val="20"/>
                <w:szCs w:val="20"/>
                <w:color w:val="auto"/>
              </w:rPr>
            </w:pPr>
            <w:r>
              <w:rPr>
                <w:rFonts w:ascii="Arial" w:cs="Arial" w:eastAsia="Arial" w:hAnsi="Arial"/>
                <w:sz w:val="16"/>
                <w:szCs w:val="16"/>
                <w:color w:val="auto"/>
              </w:rPr>
              <w:t>3-year TSR Percentile Ranking</w:t>
            </w:r>
          </w:p>
        </w:tc>
        <w:tc>
          <w:tcPr>
            <w:tcW w:w="2880" w:type="dxa"/>
            <w:vAlign w:val="bottom"/>
            <w:tcBorders>
              <w:bottom w:val="single" w:sz="8" w:color="BFBFBF"/>
            </w:tcBorders>
          </w:tcPr>
          <w:p>
            <w:pPr>
              <w:jc w:val="center"/>
              <w:ind w:left="1776"/>
              <w:spacing w:after="0" w:line="242" w:lineRule="exact"/>
              <w:rPr>
                <w:sz w:val="20"/>
                <w:szCs w:val="20"/>
                <w:color w:val="auto"/>
              </w:rPr>
            </w:pPr>
            <w:r>
              <w:rPr>
                <w:rFonts w:ascii="Arial" w:cs="Arial" w:eastAsia="Arial" w:hAnsi="Arial"/>
                <w:sz w:val="16"/>
                <w:szCs w:val="16"/>
                <w:color w:val="auto"/>
                <w:w w:val="94"/>
              </w:rPr>
              <w:t>25</w:t>
            </w:r>
            <w:r>
              <w:rPr>
                <w:rFonts w:ascii="Arial" w:cs="Arial" w:eastAsia="Arial" w:hAnsi="Arial"/>
                <w:sz w:val="25"/>
                <w:szCs w:val="25"/>
                <w:color w:val="auto"/>
                <w:w w:val="94"/>
                <w:vertAlign w:val="superscript"/>
              </w:rPr>
              <w:t>th</w:t>
            </w:r>
          </w:p>
        </w:tc>
        <w:tc>
          <w:tcPr>
            <w:tcW w:w="800" w:type="dxa"/>
            <w:vAlign w:val="bottom"/>
            <w:tcBorders>
              <w:bottom w:val="single" w:sz="8" w:color="BFBFBF"/>
            </w:tcBorders>
          </w:tcPr>
          <w:p>
            <w:pPr>
              <w:jc w:val="center"/>
              <w:spacing w:after="0" w:line="242" w:lineRule="exact"/>
              <w:rPr>
                <w:sz w:val="20"/>
                <w:szCs w:val="20"/>
                <w:color w:val="auto"/>
              </w:rPr>
            </w:pPr>
            <w:r>
              <w:rPr>
                <w:rFonts w:ascii="Arial" w:cs="Arial" w:eastAsia="Arial" w:hAnsi="Arial"/>
                <w:sz w:val="16"/>
                <w:szCs w:val="16"/>
                <w:color w:val="auto"/>
                <w:w w:val="88"/>
              </w:rPr>
              <w:t>55</w:t>
            </w:r>
            <w:r>
              <w:rPr>
                <w:rFonts w:ascii="Arial" w:cs="Arial" w:eastAsia="Arial" w:hAnsi="Arial"/>
                <w:sz w:val="25"/>
                <w:szCs w:val="25"/>
                <w:color w:val="auto"/>
                <w:w w:val="88"/>
                <w:vertAlign w:val="superscript"/>
              </w:rPr>
              <w:t>th</w:t>
            </w:r>
          </w:p>
        </w:tc>
        <w:tc>
          <w:tcPr>
            <w:tcW w:w="960" w:type="dxa"/>
            <w:vAlign w:val="bottom"/>
            <w:tcBorders>
              <w:bottom w:val="single" w:sz="8" w:color="BFBFBF"/>
            </w:tcBorders>
          </w:tcPr>
          <w:p>
            <w:pPr>
              <w:jc w:val="center"/>
              <w:spacing w:after="0" w:line="242" w:lineRule="exact"/>
              <w:rPr>
                <w:sz w:val="20"/>
                <w:szCs w:val="20"/>
                <w:color w:val="auto"/>
              </w:rPr>
            </w:pPr>
            <w:r>
              <w:rPr>
                <w:rFonts w:ascii="Arial" w:cs="Arial" w:eastAsia="Arial" w:hAnsi="Arial"/>
                <w:sz w:val="16"/>
                <w:szCs w:val="16"/>
                <w:color w:val="auto"/>
                <w:w w:val="94"/>
              </w:rPr>
              <w:t>90</w:t>
            </w:r>
            <w:r>
              <w:rPr>
                <w:rFonts w:ascii="Arial" w:cs="Arial" w:eastAsia="Arial" w:hAnsi="Arial"/>
                <w:sz w:val="25"/>
                <w:szCs w:val="25"/>
                <w:color w:val="auto"/>
                <w:w w:val="94"/>
                <w:vertAlign w:val="superscript"/>
              </w:rPr>
              <w:t>th</w:t>
            </w:r>
          </w:p>
        </w:tc>
      </w:tr>
    </w:tbl>
    <w:p>
      <w:pPr>
        <w:spacing w:after="0" w:line="121" w:lineRule="exact"/>
        <w:rPr>
          <w:sz w:val="20"/>
          <w:szCs w:val="20"/>
          <w:color w:val="auto"/>
        </w:rPr>
      </w:pPr>
    </w:p>
    <w:p>
      <w:pPr>
        <w:ind w:left="1080" w:right="560" w:hanging="354"/>
        <w:spacing w:after="0" w:line="263" w:lineRule="auto"/>
        <w:tabs>
          <w:tab w:leader="none" w:pos="1080" w:val="left"/>
        </w:tabs>
        <w:numPr>
          <w:ilvl w:val="0"/>
          <w:numId w:val="47"/>
        </w:numPr>
        <w:rPr>
          <w:rFonts w:ascii="Arial" w:cs="Arial" w:eastAsia="Arial" w:hAnsi="Arial"/>
          <w:sz w:val="16"/>
          <w:szCs w:val="16"/>
          <w:i w:val="1"/>
          <w:iCs w:val="1"/>
          <w:color w:val="auto"/>
        </w:rPr>
      </w:pPr>
      <w:r>
        <w:rPr>
          <w:rFonts w:ascii="Arial" w:cs="Arial" w:eastAsia="Arial" w:hAnsi="Arial"/>
          <w:sz w:val="16"/>
          <w:szCs w:val="16"/>
          <w:i w:val="1"/>
          <w:iCs w:val="1"/>
          <w:color w:val="auto"/>
        </w:rPr>
        <w:t>Given both the Company’s contractual confidentiality obligations and the proprietary nature of the specific goals, the Company cannot publicly disclose the specific threshold, target, and maximum levels of performance established with respect to the design win metric.</w:t>
      </w:r>
    </w:p>
    <w:p>
      <w:pPr>
        <w:spacing w:after="0" w:line="202" w:lineRule="exact"/>
        <w:rPr>
          <w:sz w:val="20"/>
          <w:szCs w:val="20"/>
          <w:color w:val="auto"/>
        </w:rPr>
      </w:pPr>
    </w:p>
    <w:p>
      <w:pPr>
        <w:ind w:left="660" w:right="260"/>
        <w:spacing w:after="0" w:line="256" w:lineRule="auto"/>
        <w:rPr>
          <w:sz w:val="20"/>
          <w:szCs w:val="20"/>
          <w:color w:val="auto"/>
        </w:rPr>
      </w:pPr>
      <w:r>
        <w:rPr>
          <w:rFonts w:ascii="Arial" w:cs="Arial" w:eastAsia="Arial" w:hAnsi="Arial"/>
          <w:sz w:val="20"/>
          <w:szCs w:val="20"/>
          <w:color w:val="191919"/>
        </w:rPr>
        <w:t>As with the Incentive Plan, the pre-established targets under the FY21 PSAs were established by the Compensation Committee after reviewing the Company’s historical operating results and growth rates as well as the Company’s expected future results relative to peers and were designed to require significant effort and operational success on the part of our executives and the Company:</w:t>
      </w:r>
    </w:p>
    <w:p>
      <w:pPr>
        <w:spacing w:after="0" w:line="193" w:lineRule="exact"/>
        <w:rPr>
          <w:sz w:val="20"/>
          <w:szCs w:val="20"/>
          <w:color w:val="auto"/>
        </w:rPr>
      </w:pPr>
    </w:p>
    <w:p>
      <w:pPr>
        <w:ind w:left="840" w:right="260" w:hanging="186"/>
        <w:spacing w:after="0" w:line="253" w:lineRule="auto"/>
        <w:tabs>
          <w:tab w:leader="none" w:pos="840" w:val="left"/>
        </w:tabs>
        <w:numPr>
          <w:ilvl w:val="0"/>
          <w:numId w:val="48"/>
        </w:numPr>
        <w:rPr>
          <w:rFonts w:ascii="Arial" w:cs="Arial" w:eastAsia="Arial" w:hAnsi="Arial"/>
          <w:sz w:val="20"/>
          <w:szCs w:val="20"/>
          <w:color w:val="auto"/>
        </w:rPr>
      </w:pPr>
      <w:r>
        <w:rPr>
          <w:rFonts w:ascii="Arial" w:cs="Arial" w:eastAsia="Arial" w:hAnsi="Arial"/>
          <w:sz w:val="20"/>
          <w:szCs w:val="20"/>
          <w:color w:val="auto"/>
        </w:rPr>
        <w:t>Emerging Revenue Growth Metric: The target level was set at 15%, representing above-market annual growth, the maximum level was set at 30%, which the Compensation Committee believed represented outstanding performance that would be difficult to achieve, and the threshold level was set at 0% as a result of continued market uncertainties related to the COVID-19 pandemic.</w:t>
      </w:r>
    </w:p>
    <w:p>
      <w:pPr>
        <w:spacing w:after="0" w:line="2" w:lineRule="exact"/>
        <w:rPr>
          <w:rFonts w:ascii="Arial" w:cs="Arial" w:eastAsia="Arial" w:hAnsi="Arial"/>
          <w:sz w:val="20"/>
          <w:szCs w:val="20"/>
          <w:color w:val="auto"/>
        </w:rPr>
      </w:pPr>
    </w:p>
    <w:p>
      <w:pPr>
        <w:ind w:left="840" w:right="60" w:hanging="186"/>
        <w:spacing w:after="0" w:line="253" w:lineRule="auto"/>
        <w:tabs>
          <w:tab w:leader="none" w:pos="840" w:val="left"/>
        </w:tabs>
        <w:numPr>
          <w:ilvl w:val="0"/>
          <w:numId w:val="48"/>
        </w:numPr>
        <w:rPr>
          <w:rFonts w:ascii="Arial" w:cs="Arial" w:eastAsia="Arial" w:hAnsi="Arial"/>
          <w:sz w:val="20"/>
          <w:szCs w:val="20"/>
          <w:color w:val="auto"/>
        </w:rPr>
      </w:pPr>
      <w:r>
        <w:rPr>
          <w:rFonts w:ascii="Arial" w:cs="Arial" w:eastAsia="Arial" w:hAnsi="Arial"/>
          <w:sz w:val="20"/>
          <w:szCs w:val="20"/>
          <w:color w:val="auto"/>
        </w:rPr>
        <w:t>Design Win Metric: The Compensation Committee increased the threshold, target, and maximum levels of performance by 32%, 15%, and 11%, respectively, from the corresponding levels set for the prior year, in order to incentivize a significant increase over the prior year’s performance.</w:t>
      </w:r>
    </w:p>
    <w:p>
      <w:pPr>
        <w:spacing w:after="0" w:line="1" w:lineRule="exact"/>
        <w:rPr>
          <w:rFonts w:ascii="Arial" w:cs="Arial" w:eastAsia="Arial" w:hAnsi="Arial"/>
          <w:sz w:val="20"/>
          <w:szCs w:val="20"/>
          <w:color w:val="auto"/>
        </w:rPr>
      </w:pPr>
    </w:p>
    <w:p>
      <w:pPr>
        <w:ind w:left="840" w:right="20" w:hanging="186"/>
        <w:spacing w:after="0" w:line="257" w:lineRule="auto"/>
        <w:tabs>
          <w:tab w:leader="none" w:pos="840" w:val="left"/>
        </w:tabs>
        <w:numPr>
          <w:ilvl w:val="0"/>
          <w:numId w:val="48"/>
        </w:numPr>
        <w:rPr>
          <w:rFonts w:ascii="Arial" w:cs="Arial" w:eastAsia="Arial" w:hAnsi="Arial"/>
          <w:sz w:val="20"/>
          <w:szCs w:val="20"/>
          <w:color w:val="auto"/>
        </w:rPr>
      </w:pPr>
      <w:r>
        <w:rPr>
          <w:rFonts w:ascii="Arial" w:cs="Arial" w:eastAsia="Arial" w:hAnsi="Arial"/>
          <w:sz w:val="20"/>
          <w:szCs w:val="20"/>
          <w:color w:val="auto"/>
        </w:rPr>
        <w:t>TSR Percentile Ranking Metric: The Compensation Committee increased the target percentile to the 55th percentile of the peer group in order to further incentivize above-median performance and in response to stockholder feedback received in 2020.</w:t>
      </w:r>
    </w:p>
    <w:p>
      <w:pPr>
        <w:spacing w:after="0" w:line="206" w:lineRule="exact"/>
        <w:rPr>
          <w:sz w:val="20"/>
          <w:szCs w:val="20"/>
          <w:color w:val="auto"/>
        </w:rPr>
      </w:pPr>
    </w:p>
    <w:p>
      <w:pPr>
        <w:ind w:left="660" w:right="160"/>
        <w:spacing w:after="0" w:line="257" w:lineRule="auto"/>
        <w:rPr>
          <w:sz w:val="20"/>
          <w:szCs w:val="20"/>
          <w:color w:val="auto"/>
        </w:rPr>
      </w:pPr>
      <w:r>
        <w:rPr>
          <w:rFonts w:ascii="Arial" w:cs="Arial" w:eastAsia="Arial" w:hAnsi="Arial"/>
          <w:sz w:val="20"/>
          <w:szCs w:val="20"/>
          <w:color w:val="191919"/>
        </w:rPr>
        <w:t>The number of shares issuable under the FY21 PSAs corresponds to the level of achievement of the performance goals, as follows (subject to linear interpolation for amounts between “threshold” and “target” or “target” and “maximum”):</w:t>
      </w:r>
    </w:p>
    <w:p>
      <w:pPr>
        <w:spacing w:after="0" w:line="250" w:lineRule="exact"/>
        <w:rPr>
          <w:sz w:val="20"/>
          <w:szCs w:val="20"/>
          <w:color w:val="auto"/>
        </w:rPr>
      </w:pPr>
    </w:p>
    <w:tbl>
      <w:tblPr>
        <w:tblLayout w:type="fixed"/>
        <w:tblInd w:w="660" w:type="dxa"/>
        <w:tblCellMar>
          <w:top w:w="0" w:type="dxa"/>
          <w:left w:w="0" w:type="dxa"/>
          <w:bottom w:w="0" w:type="dxa"/>
          <w:right w:w="0" w:type="dxa"/>
        </w:tblCellMar>
      </w:tblPr>
      <w:tr>
        <w:trPr>
          <w:trHeight w:val="263"/>
        </w:trPr>
        <w:tc>
          <w:tcPr>
            <w:tcW w:w="6600" w:type="dxa"/>
            <w:vAlign w:val="bottom"/>
            <w:shd w:val="clear" w:color="auto" w:fill="0076A8"/>
          </w:tcPr>
          <w:p>
            <w:pPr>
              <w:spacing w:after="0"/>
              <w:rPr>
                <w:sz w:val="22"/>
                <w:szCs w:val="22"/>
                <w:color w:val="auto"/>
              </w:rPr>
            </w:pPr>
          </w:p>
        </w:tc>
        <w:tc>
          <w:tcPr>
            <w:tcW w:w="2800" w:type="dxa"/>
            <w:vAlign w:val="bottom"/>
            <w:gridSpan w:val="3"/>
            <w:shd w:val="clear" w:color="auto" w:fill="0076A8"/>
          </w:tcPr>
          <w:p>
            <w:pPr>
              <w:jc w:val="right"/>
              <w:ind w:right="377"/>
              <w:spacing w:after="0"/>
              <w:rPr>
                <w:sz w:val="20"/>
                <w:szCs w:val="20"/>
                <w:color w:val="auto"/>
              </w:rPr>
            </w:pPr>
            <w:r>
              <w:rPr>
                <w:rFonts w:ascii="Arial" w:cs="Arial" w:eastAsia="Arial" w:hAnsi="Arial"/>
                <w:sz w:val="18"/>
                <w:szCs w:val="18"/>
                <w:color w:val="FFFFFF"/>
              </w:rPr>
              <w:t>Performance Achieved</w:t>
            </w:r>
          </w:p>
        </w:tc>
      </w:tr>
      <w:tr>
        <w:trPr>
          <w:trHeight w:val="223"/>
        </w:trPr>
        <w:tc>
          <w:tcPr>
            <w:tcW w:w="6600" w:type="dxa"/>
            <w:vAlign w:val="bottom"/>
            <w:shd w:val="clear" w:color="auto" w:fill="0076A8"/>
          </w:tcPr>
          <w:p>
            <w:pPr>
              <w:spacing w:after="0"/>
              <w:rPr>
                <w:sz w:val="19"/>
                <w:szCs w:val="19"/>
                <w:color w:val="auto"/>
              </w:rPr>
            </w:pPr>
          </w:p>
        </w:tc>
        <w:tc>
          <w:tcPr>
            <w:tcW w:w="1040" w:type="dxa"/>
            <w:vAlign w:val="bottom"/>
            <w:shd w:val="clear" w:color="auto" w:fill="0076A8"/>
          </w:tcPr>
          <w:p>
            <w:pPr>
              <w:jc w:val="right"/>
              <w:ind w:right="35"/>
              <w:spacing w:after="0"/>
              <w:rPr>
                <w:sz w:val="20"/>
                <w:szCs w:val="20"/>
                <w:color w:val="auto"/>
              </w:rPr>
            </w:pPr>
            <w:r>
              <w:rPr>
                <w:rFonts w:ascii="Arial" w:cs="Arial" w:eastAsia="Arial" w:hAnsi="Arial"/>
                <w:sz w:val="18"/>
                <w:szCs w:val="18"/>
                <w:color w:val="FFFFFF"/>
              </w:rPr>
              <w:t>Threshold</w:t>
            </w:r>
          </w:p>
        </w:tc>
        <w:tc>
          <w:tcPr>
            <w:tcW w:w="780" w:type="dxa"/>
            <w:vAlign w:val="bottom"/>
            <w:shd w:val="clear" w:color="auto" w:fill="0076A8"/>
          </w:tcPr>
          <w:p>
            <w:pPr>
              <w:jc w:val="right"/>
              <w:ind w:right="57"/>
              <w:spacing w:after="0"/>
              <w:rPr>
                <w:sz w:val="20"/>
                <w:szCs w:val="20"/>
                <w:color w:val="auto"/>
              </w:rPr>
            </w:pPr>
            <w:r>
              <w:rPr>
                <w:rFonts w:ascii="Arial" w:cs="Arial" w:eastAsia="Arial" w:hAnsi="Arial"/>
                <w:sz w:val="18"/>
                <w:szCs w:val="18"/>
                <w:color w:val="FFFFFF"/>
              </w:rPr>
              <w:t>Target</w:t>
            </w:r>
          </w:p>
        </w:tc>
        <w:tc>
          <w:tcPr>
            <w:tcW w:w="980" w:type="dxa"/>
            <w:vAlign w:val="bottom"/>
            <w:shd w:val="clear" w:color="auto" w:fill="0076A8"/>
          </w:tcPr>
          <w:p>
            <w:pPr>
              <w:jc w:val="right"/>
              <w:spacing w:after="0"/>
              <w:rPr>
                <w:sz w:val="20"/>
                <w:szCs w:val="20"/>
                <w:color w:val="auto"/>
              </w:rPr>
            </w:pPr>
            <w:r>
              <w:rPr>
                <w:rFonts w:ascii="Arial" w:cs="Arial" w:eastAsia="Arial" w:hAnsi="Arial"/>
                <w:sz w:val="18"/>
                <w:szCs w:val="18"/>
                <w:color w:val="FFFFFF"/>
              </w:rPr>
              <w:t>Maximum</w:t>
            </w:r>
          </w:p>
        </w:tc>
      </w:tr>
      <w:tr>
        <w:trPr>
          <w:trHeight w:val="203"/>
        </w:trPr>
        <w:tc>
          <w:tcPr>
            <w:tcW w:w="6600" w:type="dxa"/>
            <w:vAlign w:val="bottom"/>
            <w:shd w:val="clear" w:color="auto" w:fill="E5E5E5"/>
          </w:tcPr>
          <w:p>
            <w:pPr>
              <w:ind w:left="40"/>
              <w:spacing w:after="0"/>
              <w:rPr>
                <w:sz w:val="20"/>
                <w:szCs w:val="20"/>
                <w:color w:val="auto"/>
              </w:rPr>
            </w:pPr>
            <w:r>
              <w:rPr>
                <w:rFonts w:ascii="Arial" w:cs="Arial" w:eastAsia="Arial" w:hAnsi="Arial"/>
                <w:sz w:val="16"/>
                <w:szCs w:val="16"/>
                <w:color w:val="auto"/>
              </w:rPr>
              <w:t>% of Target Level Shares Earned with Respect to Emerging Revenue Growth Metric</w:t>
            </w:r>
          </w:p>
        </w:tc>
        <w:tc>
          <w:tcPr>
            <w:tcW w:w="1040" w:type="dxa"/>
            <w:vAlign w:val="bottom"/>
            <w:shd w:val="clear" w:color="auto" w:fill="E5E5E5"/>
          </w:tcPr>
          <w:p>
            <w:pPr>
              <w:jc w:val="right"/>
              <w:ind w:right="195"/>
              <w:spacing w:after="0"/>
              <w:rPr>
                <w:sz w:val="20"/>
                <w:szCs w:val="20"/>
                <w:color w:val="auto"/>
              </w:rPr>
            </w:pPr>
            <w:r>
              <w:rPr>
                <w:rFonts w:ascii="Arial" w:cs="Arial" w:eastAsia="Arial" w:hAnsi="Arial"/>
                <w:sz w:val="16"/>
                <w:szCs w:val="16"/>
                <w:color w:val="auto"/>
              </w:rPr>
              <w:t>50%</w:t>
            </w:r>
          </w:p>
        </w:tc>
        <w:tc>
          <w:tcPr>
            <w:tcW w:w="780" w:type="dxa"/>
            <w:vAlign w:val="bottom"/>
            <w:shd w:val="clear" w:color="auto" w:fill="E5E5E5"/>
          </w:tcPr>
          <w:p>
            <w:pPr>
              <w:jc w:val="right"/>
              <w:ind w:right="37"/>
              <w:spacing w:after="0"/>
              <w:rPr>
                <w:sz w:val="20"/>
                <w:szCs w:val="20"/>
                <w:color w:val="auto"/>
              </w:rPr>
            </w:pPr>
            <w:r>
              <w:rPr>
                <w:rFonts w:ascii="Arial" w:cs="Arial" w:eastAsia="Arial" w:hAnsi="Arial"/>
                <w:sz w:val="16"/>
                <w:szCs w:val="16"/>
                <w:color w:val="auto"/>
              </w:rPr>
              <w:t>100%</w:t>
            </w:r>
          </w:p>
        </w:tc>
        <w:tc>
          <w:tcPr>
            <w:tcW w:w="980" w:type="dxa"/>
            <w:vAlign w:val="bottom"/>
            <w:shd w:val="clear" w:color="auto" w:fill="E5E5E5"/>
          </w:tcPr>
          <w:p>
            <w:pPr>
              <w:jc w:val="right"/>
              <w:ind w:right="97"/>
              <w:spacing w:after="0"/>
              <w:rPr>
                <w:sz w:val="20"/>
                <w:szCs w:val="20"/>
                <w:color w:val="auto"/>
              </w:rPr>
            </w:pPr>
            <w:r>
              <w:rPr>
                <w:rFonts w:ascii="Arial" w:cs="Arial" w:eastAsia="Arial" w:hAnsi="Arial"/>
                <w:sz w:val="16"/>
                <w:szCs w:val="16"/>
                <w:color w:val="auto"/>
              </w:rPr>
              <w:t>200%</w:t>
            </w:r>
          </w:p>
        </w:tc>
      </w:tr>
      <w:tr>
        <w:trPr>
          <w:trHeight w:val="216"/>
        </w:trPr>
        <w:tc>
          <w:tcPr>
            <w:tcW w:w="6600" w:type="dxa"/>
            <w:vAlign w:val="bottom"/>
          </w:tcPr>
          <w:p>
            <w:pPr>
              <w:ind w:left="40"/>
              <w:spacing w:after="0"/>
              <w:rPr>
                <w:sz w:val="20"/>
                <w:szCs w:val="20"/>
                <w:color w:val="auto"/>
              </w:rPr>
            </w:pPr>
            <w:r>
              <w:rPr>
                <w:rFonts w:ascii="Arial" w:cs="Arial" w:eastAsia="Arial" w:hAnsi="Arial"/>
                <w:sz w:val="16"/>
                <w:szCs w:val="16"/>
                <w:color w:val="auto"/>
              </w:rPr>
              <w:t>% of Target Level Shares Earned with Respect to Design Win Metric</w:t>
            </w:r>
          </w:p>
        </w:tc>
        <w:tc>
          <w:tcPr>
            <w:tcW w:w="1040" w:type="dxa"/>
            <w:vAlign w:val="bottom"/>
          </w:tcPr>
          <w:p>
            <w:pPr>
              <w:jc w:val="right"/>
              <w:ind w:right="195"/>
              <w:spacing w:after="0"/>
              <w:rPr>
                <w:sz w:val="20"/>
                <w:szCs w:val="20"/>
                <w:color w:val="auto"/>
              </w:rPr>
            </w:pPr>
            <w:r>
              <w:rPr>
                <w:rFonts w:ascii="Arial" w:cs="Arial" w:eastAsia="Arial" w:hAnsi="Arial"/>
                <w:sz w:val="16"/>
                <w:szCs w:val="16"/>
                <w:color w:val="auto"/>
              </w:rPr>
              <w:t>50%</w:t>
            </w:r>
          </w:p>
        </w:tc>
        <w:tc>
          <w:tcPr>
            <w:tcW w:w="780" w:type="dxa"/>
            <w:vAlign w:val="bottom"/>
          </w:tcPr>
          <w:p>
            <w:pPr>
              <w:jc w:val="right"/>
              <w:ind w:right="37"/>
              <w:spacing w:after="0"/>
              <w:rPr>
                <w:sz w:val="20"/>
                <w:szCs w:val="20"/>
                <w:color w:val="auto"/>
              </w:rPr>
            </w:pPr>
            <w:r>
              <w:rPr>
                <w:rFonts w:ascii="Arial" w:cs="Arial" w:eastAsia="Arial" w:hAnsi="Arial"/>
                <w:sz w:val="16"/>
                <w:szCs w:val="16"/>
                <w:color w:val="auto"/>
              </w:rPr>
              <w:t>100%</w:t>
            </w:r>
          </w:p>
        </w:tc>
        <w:tc>
          <w:tcPr>
            <w:tcW w:w="980" w:type="dxa"/>
            <w:vAlign w:val="bottom"/>
          </w:tcPr>
          <w:p>
            <w:pPr>
              <w:jc w:val="right"/>
              <w:ind w:right="97"/>
              <w:spacing w:after="0"/>
              <w:rPr>
                <w:sz w:val="20"/>
                <w:szCs w:val="20"/>
                <w:color w:val="auto"/>
              </w:rPr>
            </w:pPr>
            <w:r>
              <w:rPr>
                <w:rFonts w:ascii="Arial" w:cs="Arial" w:eastAsia="Arial" w:hAnsi="Arial"/>
                <w:sz w:val="16"/>
                <w:szCs w:val="16"/>
                <w:color w:val="auto"/>
              </w:rPr>
              <w:t>200%</w:t>
            </w:r>
          </w:p>
        </w:tc>
      </w:tr>
      <w:tr>
        <w:trPr>
          <w:trHeight w:val="230"/>
        </w:trPr>
        <w:tc>
          <w:tcPr>
            <w:tcW w:w="6600" w:type="dxa"/>
            <w:vAlign w:val="bottom"/>
            <w:shd w:val="clear" w:color="auto" w:fill="E5E5E5"/>
          </w:tcPr>
          <w:p>
            <w:pPr>
              <w:ind w:left="40"/>
              <w:spacing w:after="0"/>
              <w:rPr>
                <w:sz w:val="20"/>
                <w:szCs w:val="20"/>
                <w:color w:val="auto"/>
              </w:rPr>
            </w:pPr>
            <w:r>
              <w:rPr>
                <w:rFonts w:ascii="Arial" w:cs="Arial" w:eastAsia="Arial" w:hAnsi="Arial"/>
                <w:sz w:val="16"/>
                <w:szCs w:val="16"/>
                <w:color w:val="auto"/>
              </w:rPr>
              <w:t>% of Target Level Shares Earned with Respect to TSR Percentile Ranking Metric</w:t>
            </w:r>
          </w:p>
        </w:tc>
        <w:tc>
          <w:tcPr>
            <w:tcW w:w="1040" w:type="dxa"/>
            <w:vAlign w:val="bottom"/>
            <w:shd w:val="clear" w:color="auto" w:fill="E5E5E5"/>
          </w:tcPr>
          <w:p>
            <w:pPr>
              <w:jc w:val="right"/>
              <w:ind w:right="195"/>
              <w:spacing w:after="0"/>
              <w:rPr>
                <w:sz w:val="20"/>
                <w:szCs w:val="20"/>
                <w:color w:val="auto"/>
              </w:rPr>
            </w:pPr>
            <w:r>
              <w:rPr>
                <w:rFonts w:ascii="Arial" w:cs="Arial" w:eastAsia="Arial" w:hAnsi="Arial"/>
                <w:sz w:val="16"/>
                <w:szCs w:val="16"/>
                <w:color w:val="auto"/>
              </w:rPr>
              <w:t>50%</w:t>
            </w:r>
          </w:p>
        </w:tc>
        <w:tc>
          <w:tcPr>
            <w:tcW w:w="780" w:type="dxa"/>
            <w:vAlign w:val="bottom"/>
            <w:shd w:val="clear" w:color="auto" w:fill="E5E5E5"/>
          </w:tcPr>
          <w:p>
            <w:pPr>
              <w:jc w:val="right"/>
              <w:ind w:right="37"/>
              <w:spacing w:after="0"/>
              <w:rPr>
                <w:sz w:val="20"/>
                <w:szCs w:val="20"/>
                <w:color w:val="auto"/>
              </w:rPr>
            </w:pPr>
            <w:r>
              <w:rPr>
                <w:rFonts w:ascii="Arial" w:cs="Arial" w:eastAsia="Arial" w:hAnsi="Arial"/>
                <w:sz w:val="16"/>
                <w:szCs w:val="16"/>
                <w:color w:val="auto"/>
              </w:rPr>
              <w:t>100%</w:t>
            </w:r>
          </w:p>
        </w:tc>
        <w:tc>
          <w:tcPr>
            <w:tcW w:w="980" w:type="dxa"/>
            <w:vAlign w:val="bottom"/>
            <w:shd w:val="clear" w:color="auto" w:fill="E5E5E5"/>
          </w:tcPr>
          <w:p>
            <w:pPr>
              <w:jc w:val="right"/>
              <w:ind w:right="97"/>
              <w:spacing w:after="0"/>
              <w:rPr>
                <w:sz w:val="20"/>
                <w:szCs w:val="20"/>
                <w:color w:val="auto"/>
              </w:rPr>
            </w:pPr>
            <w:r>
              <w:rPr>
                <w:rFonts w:ascii="Arial" w:cs="Arial" w:eastAsia="Arial" w:hAnsi="Arial"/>
                <w:sz w:val="16"/>
                <w:szCs w:val="16"/>
                <w:color w:val="auto"/>
              </w:rPr>
              <w:t>300%</w:t>
            </w:r>
          </w:p>
        </w:tc>
      </w:tr>
    </w:tbl>
    <w:p>
      <w:pPr>
        <w:spacing w:after="0" w:line="226" w:lineRule="exact"/>
        <w:rPr>
          <w:sz w:val="20"/>
          <w:szCs w:val="20"/>
          <w:color w:val="auto"/>
        </w:rPr>
      </w:pPr>
    </w:p>
    <w:p>
      <w:pPr>
        <w:jc w:val="both"/>
        <w:ind w:left="660" w:right="140"/>
        <w:spacing w:after="0" w:line="257" w:lineRule="auto"/>
        <w:rPr>
          <w:sz w:val="20"/>
          <w:szCs w:val="20"/>
          <w:color w:val="auto"/>
        </w:rPr>
      </w:pPr>
      <w:r>
        <w:rPr>
          <w:rFonts w:ascii="Arial" w:cs="Arial" w:eastAsia="Arial" w:hAnsi="Arial"/>
          <w:sz w:val="20"/>
          <w:szCs w:val="20"/>
          <w:color w:val="191919"/>
        </w:rPr>
        <w:t>The “continued employment” condition of the FY21 PSAs provides that, to the extent that the performance metrics are met, the shares earned under such metrics would vest as follows (provided, in each case, that the executive remains employed by the Company through each such vesting date):</w:t>
      </w:r>
    </w:p>
    <w:p>
      <w:pPr>
        <w:spacing w:after="0" w:line="237" w:lineRule="exact"/>
        <w:rPr>
          <w:sz w:val="20"/>
          <w:szCs w:val="20"/>
          <w:color w:val="auto"/>
        </w:rPr>
      </w:pPr>
    </w:p>
    <w:tbl>
      <w:tblPr>
        <w:tblLayout w:type="fixed"/>
        <w:tblInd w:w="660" w:type="dxa"/>
        <w:tblCellMar>
          <w:top w:w="0" w:type="dxa"/>
          <w:left w:w="0" w:type="dxa"/>
          <w:bottom w:w="0" w:type="dxa"/>
          <w:right w:w="0" w:type="dxa"/>
        </w:tblCellMar>
      </w:tblPr>
      <w:tr>
        <w:trPr>
          <w:trHeight w:val="257"/>
        </w:trPr>
        <w:tc>
          <w:tcPr>
            <w:tcW w:w="6380" w:type="dxa"/>
            <w:vAlign w:val="bottom"/>
            <w:shd w:val="clear" w:color="auto" w:fill="0076A8"/>
          </w:tcPr>
          <w:p>
            <w:pPr>
              <w:spacing w:after="0"/>
              <w:rPr>
                <w:sz w:val="22"/>
                <w:szCs w:val="22"/>
                <w:color w:val="auto"/>
              </w:rPr>
            </w:pPr>
          </w:p>
        </w:tc>
        <w:tc>
          <w:tcPr>
            <w:tcW w:w="3020" w:type="dxa"/>
            <w:vAlign w:val="bottom"/>
            <w:gridSpan w:val="2"/>
            <w:shd w:val="clear" w:color="auto" w:fill="0076A8"/>
          </w:tcPr>
          <w:p>
            <w:pPr>
              <w:ind w:left="380"/>
              <w:spacing w:after="0"/>
              <w:rPr>
                <w:sz w:val="20"/>
                <w:szCs w:val="20"/>
                <w:color w:val="auto"/>
              </w:rPr>
            </w:pPr>
            <w:r>
              <w:rPr>
                <w:rFonts w:ascii="Arial" w:cs="Arial" w:eastAsia="Arial" w:hAnsi="Arial"/>
                <w:sz w:val="18"/>
                <w:szCs w:val="18"/>
                <w:color w:val="FFFFFF"/>
              </w:rPr>
              <w:t>Anniversary of Grant Date(1)</w:t>
            </w:r>
          </w:p>
        </w:tc>
      </w:tr>
      <w:tr>
        <w:trPr>
          <w:trHeight w:val="34"/>
        </w:trPr>
        <w:tc>
          <w:tcPr>
            <w:tcW w:w="6380" w:type="dxa"/>
            <w:vAlign w:val="bottom"/>
            <w:shd w:val="clear" w:color="auto" w:fill="0076A8"/>
          </w:tcPr>
          <w:p>
            <w:pPr>
              <w:spacing w:after="0"/>
              <w:rPr>
                <w:sz w:val="2"/>
                <w:szCs w:val="2"/>
                <w:color w:val="auto"/>
              </w:rPr>
            </w:pPr>
          </w:p>
        </w:tc>
        <w:tc>
          <w:tcPr>
            <w:tcW w:w="1000" w:type="dxa"/>
            <w:vAlign w:val="bottom"/>
            <w:shd w:val="clear" w:color="auto" w:fill="0076A8"/>
          </w:tcPr>
          <w:p>
            <w:pPr>
              <w:spacing w:after="0"/>
              <w:rPr>
                <w:sz w:val="2"/>
                <w:szCs w:val="2"/>
                <w:color w:val="auto"/>
              </w:rPr>
            </w:pPr>
          </w:p>
        </w:tc>
        <w:tc>
          <w:tcPr>
            <w:tcW w:w="2020" w:type="dxa"/>
            <w:vAlign w:val="bottom"/>
            <w:shd w:val="clear" w:color="auto" w:fill="0076A8"/>
          </w:tcPr>
          <w:p>
            <w:pPr>
              <w:spacing w:after="0"/>
              <w:rPr>
                <w:sz w:val="2"/>
                <w:szCs w:val="2"/>
                <w:color w:val="auto"/>
              </w:rPr>
            </w:pPr>
          </w:p>
        </w:tc>
      </w:tr>
      <w:tr>
        <w:trPr>
          <w:trHeight w:val="277"/>
        </w:trPr>
        <w:tc>
          <w:tcPr>
            <w:tcW w:w="6380" w:type="dxa"/>
            <w:vAlign w:val="bottom"/>
            <w:shd w:val="clear" w:color="auto" w:fill="0076A8"/>
          </w:tcPr>
          <w:p>
            <w:pPr>
              <w:spacing w:after="0"/>
              <w:rPr>
                <w:sz w:val="24"/>
                <w:szCs w:val="24"/>
                <w:color w:val="auto"/>
              </w:rPr>
            </w:pPr>
          </w:p>
        </w:tc>
        <w:tc>
          <w:tcPr>
            <w:tcW w:w="1000" w:type="dxa"/>
            <w:vAlign w:val="bottom"/>
            <w:shd w:val="clear" w:color="auto" w:fill="0076A8"/>
          </w:tcPr>
          <w:p>
            <w:pPr>
              <w:ind w:left="120"/>
              <w:spacing w:after="0"/>
              <w:rPr>
                <w:sz w:val="20"/>
                <w:szCs w:val="20"/>
                <w:color w:val="auto"/>
              </w:rPr>
            </w:pPr>
            <w:r>
              <w:rPr>
                <w:rFonts w:ascii="Arial" w:cs="Arial" w:eastAsia="Arial" w:hAnsi="Arial"/>
                <w:sz w:val="18"/>
                <w:szCs w:val="18"/>
                <w:color w:val="FFFFFF"/>
              </w:rPr>
              <w:t>One Year</w:t>
            </w:r>
          </w:p>
        </w:tc>
        <w:tc>
          <w:tcPr>
            <w:tcW w:w="2020" w:type="dxa"/>
            <w:vAlign w:val="bottom"/>
            <w:shd w:val="clear" w:color="auto" w:fill="0076A8"/>
          </w:tcPr>
          <w:p>
            <w:pPr>
              <w:jc w:val="right"/>
              <w:spacing w:after="0"/>
              <w:rPr>
                <w:sz w:val="20"/>
                <w:szCs w:val="20"/>
                <w:color w:val="auto"/>
              </w:rPr>
            </w:pPr>
            <w:r>
              <w:rPr>
                <w:rFonts w:ascii="Arial" w:cs="Arial" w:eastAsia="Arial" w:hAnsi="Arial"/>
                <w:sz w:val="18"/>
                <w:szCs w:val="18"/>
                <w:color w:val="FFFFFF"/>
              </w:rPr>
              <w:t>Two Year   Three Year</w:t>
            </w:r>
          </w:p>
        </w:tc>
      </w:tr>
      <w:tr>
        <w:trPr>
          <w:trHeight w:val="256"/>
        </w:trPr>
        <w:tc>
          <w:tcPr>
            <w:tcW w:w="6380" w:type="dxa"/>
            <w:vAlign w:val="bottom"/>
            <w:shd w:val="clear" w:color="auto" w:fill="E5E5E5"/>
          </w:tcPr>
          <w:p>
            <w:pPr>
              <w:ind w:left="40"/>
              <w:spacing w:after="0"/>
              <w:rPr>
                <w:sz w:val="20"/>
                <w:szCs w:val="20"/>
                <w:color w:val="auto"/>
              </w:rPr>
            </w:pPr>
            <w:r>
              <w:rPr>
                <w:rFonts w:ascii="Arial" w:cs="Arial" w:eastAsia="Arial" w:hAnsi="Arial"/>
                <w:sz w:val="16"/>
                <w:szCs w:val="16"/>
                <w:color w:val="auto"/>
              </w:rPr>
              <w:t>% of Shares Earned with Respect to Emerging Revenue Growth Metric</w:t>
            </w:r>
          </w:p>
        </w:tc>
        <w:tc>
          <w:tcPr>
            <w:tcW w:w="1000" w:type="dxa"/>
            <w:vAlign w:val="bottom"/>
            <w:shd w:val="clear" w:color="auto" w:fill="E5E5E5"/>
          </w:tcPr>
          <w:p>
            <w:pPr>
              <w:ind w:left="420"/>
              <w:spacing w:after="0"/>
              <w:rPr>
                <w:sz w:val="20"/>
                <w:szCs w:val="20"/>
                <w:color w:val="auto"/>
              </w:rPr>
            </w:pPr>
            <w:r>
              <w:rPr>
                <w:rFonts w:ascii="Arial" w:cs="Arial" w:eastAsia="Arial" w:hAnsi="Arial"/>
                <w:sz w:val="16"/>
                <w:szCs w:val="16"/>
                <w:color w:val="auto"/>
              </w:rPr>
              <w:t>50%</w:t>
            </w:r>
          </w:p>
        </w:tc>
        <w:tc>
          <w:tcPr>
            <w:tcW w:w="2020" w:type="dxa"/>
            <w:vAlign w:val="bottom"/>
            <w:shd w:val="clear" w:color="auto" w:fill="E5E5E5"/>
          </w:tcPr>
          <w:p>
            <w:pPr>
              <w:jc w:val="right"/>
              <w:ind w:right="1217"/>
              <w:spacing w:after="0"/>
              <w:rPr>
                <w:sz w:val="20"/>
                <w:szCs w:val="20"/>
                <w:color w:val="auto"/>
              </w:rPr>
            </w:pPr>
            <w:r>
              <w:rPr>
                <w:rFonts w:ascii="Arial" w:cs="Arial" w:eastAsia="Arial" w:hAnsi="Arial"/>
                <w:sz w:val="16"/>
                <w:szCs w:val="16"/>
                <w:color w:val="auto"/>
              </w:rPr>
              <w:t>50%</w:t>
            </w:r>
          </w:p>
        </w:tc>
      </w:tr>
      <w:tr>
        <w:trPr>
          <w:trHeight w:val="267"/>
        </w:trPr>
        <w:tc>
          <w:tcPr>
            <w:tcW w:w="6380" w:type="dxa"/>
            <w:vAlign w:val="bottom"/>
          </w:tcPr>
          <w:p>
            <w:pPr>
              <w:ind w:left="40"/>
              <w:spacing w:after="0"/>
              <w:rPr>
                <w:sz w:val="20"/>
                <w:szCs w:val="20"/>
                <w:color w:val="auto"/>
              </w:rPr>
            </w:pPr>
            <w:r>
              <w:rPr>
                <w:rFonts w:ascii="Arial" w:cs="Arial" w:eastAsia="Arial" w:hAnsi="Arial"/>
                <w:sz w:val="16"/>
                <w:szCs w:val="16"/>
                <w:color w:val="auto"/>
              </w:rPr>
              <w:t>% of Shares Earned with Respect to Design Win Metric</w:t>
            </w:r>
          </w:p>
        </w:tc>
        <w:tc>
          <w:tcPr>
            <w:tcW w:w="1000" w:type="dxa"/>
            <w:vAlign w:val="bottom"/>
          </w:tcPr>
          <w:p>
            <w:pPr>
              <w:ind w:left="420"/>
              <w:spacing w:after="0"/>
              <w:rPr>
                <w:sz w:val="20"/>
                <w:szCs w:val="20"/>
                <w:color w:val="auto"/>
              </w:rPr>
            </w:pPr>
            <w:r>
              <w:rPr>
                <w:rFonts w:ascii="Arial" w:cs="Arial" w:eastAsia="Arial" w:hAnsi="Arial"/>
                <w:sz w:val="16"/>
                <w:szCs w:val="16"/>
                <w:color w:val="auto"/>
              </w:rPr>
              <w:t>50%</w:t>
            </w:r>
          </w:p>
        </w:tc>
        <w:tc>
          <w:tcPr>
            <w:tcW w:w="2020" w:type="dxa"/>
            <w:vAlign w:val="bottom"/>
          </w:tcPr>
          <w:p>
            <w:pPr>
              <w:jc w:val="right"/>
              <w:ind w:right="1217"/>
              <w:spacing w:after="0"/>
              <w:rPr>
                <w:sz w:val="20"/>
                <w:szCs w:val="20"/>
                <w:color w:val="auto"/>
              </w:rPr>
            </w:pPr>
            <w:r>
              <w:rPr>
                <w:rFonts w:ascii="Arial" w:cs="Arial" w:eastAsia="Arial" w:hAnsi="Arial"/>
                <w:sz w:val="16"/>
                <w:szCs w:val="16"/>
                <w:color w:val="auto"/>
              </w:rPr>
              <w:t>50%</w:t>
            </w:r>
          </w:p>
        </w:tc>
      </w:tr>
      <w:tr>
        <w:trPr>
          <w:trHeight w:val="260"/>
        </w:trPr>
        <w:tc>
          <w:tcPr>
            <w:tcW w:w="6380" w:type="dxa"/>
            <w:vAlign w:val="bottom"/>
            <w:shd w:val="clear" w:color="auto" w:fill="E5E5E5"/>
          </w:tcPr>
          <w:p>
            <w:pPr>
              <w:ind w:left="40"/>
              <w:spacing w:after="0"/>
              <w:rPr>
                <w:sz w:val="20"/>
                <w:szCs w:val="20"/>
                <w:color w:val="auto"/>
              </w:rPr>
            </w:pPr>
            <w:r>
              <w:rPr>
                <w:rFonts w:ascii="Arial" w:cs="Arial" w:eastAsia="Arial" w:hAnsi="Arial"/>
                <w:sz w:val="16"/>
                <w:szCs w:val="16"/>
                <w:color w:val="auto"/>
              </w:rPr>
              <w:t>% of Shares Earned with Respect to TSR Percentile Ranking Metric</w:t>
            </w:r>
          </w:p>
        </w:tc>
        <w:tc>
          <w:tcPr>
            <w:tcW w:w="1000" w:type="dxa"/>
            <w:vAlign w:val="bottom"/>
            <w:shd w:val="clear" w:color="auto" w:fill="E5E5E5"/>
          </w:tcPr>
          <w:p>
            <w:pPr>
              <w:spacing w:after="0"/>
              <w:rPr>
                <w:sz w:val="22"/>
                <w:szCs w:val="22"/>
                <w:color w:val="auto"/>
              </w:rPr>
            </w:pPr>
          </w:p>
        </w:tc>
        <w:tc>
          <w:tcPr>
            <w:tcW w:w="2020" w:type="dxa"/>
            <w:vAlign w:val="bottom"/>
            <w:shd w:val="clear" w:color="auto" w:fill="E5E5E5"/>
          </w:tcPr>
          <w:p>
            <w:pPr>
              <w:jc w:val="right"/>
              <w:ind w:right="137"/>
              <w:spacing w:after="0"/>
              <w:rPr>
                <w:sz w:val="20"/>
                <w:szCs w:val="20"/>
                <w:color w:val="auto"/>
              </w:rPr>
            </w:pPr>
            <w:r>
              <w:rPr>
                <w:rFonts w:ascii="Arial" w:cs="Arial" w:eastAsia="Arial" w:hAnsi="Arial"/>
                <w:sz w:val="16"/>
                <w:szCs w:val="16"/>
                <w:color w:val="auto"/>
              </w:rPr>
              <w:t>100%</w:t>
            </w:r>
          </w:p>
        </w:tc>
      </w:tr>
    </w:tbl>
    <w:p>
      <w:pPr>
        <w:spacing w:after="0" w:line="107" w:lineRule="exact"/>
        <w:rPr>
          <w:sz w:val="20"/>
          <w:szCs w:val="20"/>
          <w:color w:val="auto"/>
        </w:rPr>
      </w:pPr>
    </w:p>
    <w:p>
      <w:pPr>
        <w:ind w:left="1080" w:right="240" w:hanging="354"/>
        <w:spacing w:after="0" w:line="263" w:lineRule="auto"/>
        <w:tabs>
          <w:tab w:leader="none" w:pos="1080" w:val="left"/>
        </w:tabs>
        <w:numPr>
          <w:ilvl w:val="0"/>
          <w:numId w:val="49"/>
        </w:numPr>
        <w:rPr>
          <w:rFonts w:ascii="Arial" w:cs="Arial" w:eastAsia="Arial" w:hAnsi="Arial"/>
          <w:sz w:val="16"/>
          <w:szCs w:val="16"/>
          <w:i w:val="1"/>
          <w:iCs w:val="1"/>
          <w:color w:val="auto"/>
        </w:rPr>
      </w:pPr>
      <w:r>
        <w:rPr>
          <w:rFonts w:ascii="Arial" w:cs="Arial" w:eastAsia="Arial" w:hAnsi="Arial"/>
          <w:sz w:val="16"/>
          <w:szCs w:val="16"/>
          <w:i w:val="1"/>
          <w:iCs w:val="1"/>
          <w:color w:val="auto"/>
        </w:rPr>
        <w:t>In the event of termination by reason of death or permanent disability, the holder of an FY21 PSA (or the holder’s estate) would receive any earned but unissued shares that would have been issuable thereunder during the remaining term of the award.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60"/>
        <w:spacing w:after="0"/>
        <w:tabs>
          <w:tab w:leader="none" w:pos="4817" w:val="left"/>
        </w:tabs>
        <w:rPr>
          <w:sz w:val="20"/>
          <w:szCs w:val="20"/>
          <w:color w:val="auto"/>
        </w:rPr>
      </w:pPr>
      <w:r>
        <w:rPr>
          <w:rFonts w:ascii="Arial" w:cs="Arial" w:eastAsia="Arial" w:hAnsi="Arial"/>
          <w:sz w:val="16"/>
          <w:szCs w:val="16"/>
          <w:color w:val="auto"/>
        </w:rPr>
        <w:t>40</w:t>
      </w:r>
      <w:r>
        <w:rPr>
          <w:sz w:val="20"/>
          <w:szCs w:val="20"/>
          <w:color w:val="auto"/>
        </w:rPr>
        <w:tab/>
      </w:r>
      <w:r>
        <w:rPr>
          <w:sz w:val="1"/>
          <w:szCs w:val="1"/>
          <w:color w:val="auto"/>
        </w:rPr>
        <w:drawing>
          <wp:inline distT="0" distB="0" distL="0" distR="0">
            <wp:extent cx="779780" cy="257175"/>
            <wp:effectExtent l="0" t="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132" w:right="1259" w:bottom="1440" w:gutter="0" w:footer="0" w:header="0"/>
        </w:sectPr>
      </w:pPr>
    </w:p>
    <w:bookmarkStart w:id="45" w:name="page46"/>
    <w:bookmarkEnd w:id="45"/>
    <w:p>
      <w:pPr>
        <w:spacing w:after="0"/>
        <w:rPr>
          <w:rFonts w:ascii="Arial" w:cs="Arial" w:eastAsia="Arial" w:hAnsi="Arial"/>
          <w:sz w:val="14"/>
          <w:szCs w:val="14"/>
          <w:color w:val="003366"/>
        </w:rPr>
      </w:pPr>
      <w:hyperlink w:anchor="page35">
        <w:r>
          <w:rPr>
            <w:rFonts w:ascii="Arial" w:cs="Arial" w:eastAsia="Arial" w:hAnsi="Arial"/>
            <w:sz w:val="14"/>
            <w:szCs w:val="14"/>
            <w:color w:val="003366"/>
          </w:rPr>
          <w:t>TABLE OF CONTENTS</w:t>
        </w:r>
      </w:hyperlink>
    </w:p>
    <w:p>
      <w:pPr>
        <w:sectPr>
          <w:pgSz w:w="11900" w:h="16838" w:orient="portrait"/>
          <w:cols w:equalWidth="0" w:num="1">
            <w:col w:w="10720"/>
          </w:cols>
          <w:pgMar w:left="580" w:top="132" w:right="599" w:bottom="1440" w:gutter="0" w:footer="0" w:header="0"/>
        </w:sectPr>
      </w:pPr>
    </w:p>
    <w:p>
      <w:pPr>
        <w:spacing w:after="0" w:line="200" w:lineRule="exact"/>
        <w:rPr>
          <w:sz w:val="20"/>
          <w:szCs w:val="20"/>
          <w:color w:val="auto"/>
        </w:rPr>
      </w:pPr>
    </w:p>
    <w:p>
      <w:pPr>
        <w:spacing w:after="0" w:line="291" w:lineRule="exact"/>
        <w:rPr>
          <w:sz w:val="20"/>
          <w:szCs w:val="20"/>
          <w:color w:val="auto"/>
        </w:rPr>
      </w:pPr>
    </w:p>
    <w:p>
      <w:pPr>
        <w:ind w:left="660"/>
        <w:spacing w:after="0" w:line="267" w:lineRule="auto"/>
        <w:rPr>
          <w:sz w:val="20"/>
          <w:szCs w:val="20"/>
          <w:color w:val="auto"/>
        </w:rPr>
      </w:pPr>
      <w:r>
        <w:rPr>
          <w:rFonts w:ascii="Arial" w:cs="Arial" w:eastAsia="Arial" w:hAnsi="Arial"/>
          <w:sz w:val="19"/>
          <w:szCs w:val="19"/>
          <w:color w:val="191919"/>
        </w:rPr>
        <w:t>During fiscal year 2020, the base period against which fiscal year 2021 emerging revenue performance was measured, the Company achieved revenue in the specified key product categories of $442 million. During fiscal year 2021, the Company achieved revenue in the specified key product categories of $996 million, representing emerging revenue growth of 125%, exceeding the “maximum” level of performance and resulting in achievement with respect to such metric of 200% of the target level of shares. In calculating emerging revenue for fiscal year 2021, the Company excluded all revenue resulting from the acquisition in July 2021 of Silicon Labs’ Infrastructure and Automotive business, consistent with the terms of the FY21 PSA, which required exclusion of the impacts on this metric of any acquisition made by the Company during the performance period. Performance under this metric significantly exceeded the Company’s annual operating plan, primarily as a result of stronger-than-expected demand for the applicable products. Also during fiscal year 2021, the Company achieved design wins with the specified customer at a level exceeding the “maximum” level of performance, resulting in achievement with respect to such metric of 200% of the target level of shares. The level of actual achievement under this metric represented a significant increase from the prior year’s performance. Accordingly, upon the Compensation Committee’s certification of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8" w:lineRule="exact"/>
        <w:rPr>
          <w:sz w:val="20"/>
          <w:szCs w:val="20"/>
          <w:color w:val="auto"/>
        </w:rPr>
      </w:pPr>
    </w:p>
    <w:p>
      <w:pPr>
        <w:ind w:right="680"/>
        <w:spacing w:after="0"/>
        <w:rPr>
          <w:sz w:val="20"/>
          <w:szCs w:val="20"/>
          <w:color w:val="auto"/>
        </w:rPr>
      </w:pPr>
      <w:r>
        <w:rPr>
          <w:rFonts w:ascii="Arial" w:cs="Arial" w:eastAsia="Arial" w:hAnsi="Arial"/>
          <w:sz w:val="20"/>
          <w:szCs w:val="20"/>
          <w:color w:val="191919"/>
        </w:rPr>
        <w:t>performance results in November 2021, the Company issued 50% of the shares earned by each Named Executive Officer under the FY21 PSAs with respect to the emerging revenue growth and design win performance metrics. The remaining shares earned under such metrics will be issued in November 2022, provided that the Named Executive Officer meets the continued employment condition.</w:t>
      </w:r>
    </w:p>
    <w:p>
      <w:pPr>
        <w:spacing w:after="0" w:line="188" w:lineRule="exact"/>
        <w:rPr>
          <w:sz w:val="20"/>
          <w:szCs w:val="20"/>
          <w:color w:val="auto"/>
        </w:rPr>
      </w:pPr>
    </w:p>
    <w:p>
      <w:pPr>
        <w:ind w:right="1060"/>
        <w:spacing w:after="0" w:line="257" w:lineRule="auto"/>
        <w:rPr>
          <w:sz w:val="20"/>
          <w:szCs w:val="20"/>
          <w:color w:val="auto"/>
        </w:rPr>
      </w:pPr>
      <w:r>
        <w:rPr>
          <w:rFonts w:ascii="Arial" w:cs="Arial" w:eastAsia="Arial" w:hAnsi="Arial"/>
          <w:sz w:val="20"/>
          <w:szCs w:val="20"/>
          <w:b w:val="1"/>
          <w:bCs w:val="1"/>
          <w:color w:val="auto"/>
        </w:rPr>
        <w:t>Outstanding PSAs at the End of Fiscal Year 2021</w:t>
      </w:r>
    </w:p>
    <w:p>
      <w:pPr>
        <w:spacing w:after="0" w:line="112" w:lineRule="exact"/>
        <w:rPr>
          <w:sz w:val="20"/>
          <w:szCs w:val="20"/>
          <w:color w:val="auto"/>
        </w:rPr>
      </w:pPr>
    </w:p>
    <w:p>
      <w:pPr>
        <w:ind w:right="680"/>
        <w:spacing w:after="0" w:line="248" w:lineRule="auto"/>
        <w:rPr>
          <w:sz w:val="20"/>
          <w:szCs w:val="20"/>
          <w:color w:val="auto"/>
        </w:rPr>
      </w:pPr>
      <w:r>
        <w:rPr>
          <w:rFonts w:ascii="Arial" w:cs="Arial" w:eastAsia="Arial" w:hAnsi="Arial"/>
          <w:sz w:val="20"/>
          <w:szCs w:val="20"/>
          <w:color w:val="191919"/>
        </w:rPr>
        <w:t>As summarized in the table below of the annual PSA grants made to Named Executive Officers since fiscal year 2018 (the first year in which the Compensation Committee awarded PSAs subject to a performance metric measured over a three-year performance period), achievement of the TSR percentile ranking performance metric under the FY21 PSAs, which is subject to a three-year performance period, will be determined following the conclusion of the Company’s fiscal year 2023. During the three-year performance period under the fiscal year 2019 PSAs comprising the Company’s fiscal years 2019, 2020, and 2021, the Company achieved a TSR of 105% resulting in its ranking in the 44.8</w:t>
      </w:r>
      <w:r>
        <w:rPr>
          <w:rFonts w:ascii="Arial" w:cs="Arial" w:eastAsia="Arial" w:hAnsi="Arial"/>
          <w:sz w:val="30"/>
          <w:szCs w:val="30"/>
          <w:color w:val="191919"/>
          <w:vertAlign w:val="superscript"/>
        </w:rPr>
        <w:t>th</w:t>
      </w:r>
      <w:r>
        <w:rPr>
          <w:rFonts w:ascii="Arial" w:cs="Arial" w:eastAsia="Arial" w:hAnsi="Arial"/>
          <w:sz w:val="20"/>
          <w:szCs w:val="20"/>
          <w:color w:val="191919"/>
        </w:rPr>
        <w:t xml:space="preserve"> percentile against the applicable peer group. Accordingly, the Company issued 74.1% of the “target” level of shares, as earned by each Named Executive Officer under the fiscal year 2019 PSAs with respect to the TSR percentile ranking metric.</w:t>
      </w:r>
    </w:p>
    <w:p>
      <w:pPr>
        <w:spacing w:after="0" w:line="200" w:lineRule="exact"/>
        <w:rPr>
          <w:sz w:val="20"/>
          <w:szCs w:val="20"/>
          <w:color w:val="auto"/>
        </w:rPr>
      </w:pPr>
    </w:p>
    <w:p>
      <w:pPr>
        <w:sectPr>
          <w:pgSz w:w="11900" w:h="16838" w:orient="portrait"/>
          <w:cols w:equalWidth="0" w:num="2">
            <w:col w:w="5140" w:space="440"/>
            <w:col w:w="5140"/>
          </w:cols>
          <w:pgMar w:left="580" w:top="132" w:right="599" w:bottom="1440" w:gutter="0" w:footer="0" w:header="0"/>
          <w:type w:val="continuous"/>
        </w:sectPr>
      </w:pPr>
    </w:p>
    <w:p>
      <w:pPr>
        <w:spacing w:after="0" w:line="35" w:lineRule="exact"/>
        <w:rPr>
          <w:sz w:val="20"/>
          <w:szCs w:val="20"/>
          <w:color w:val="auto"/>
        </w:rPr>
      </w:pPr>
    </w:p>
    <w:tbl>
      <w:tblPr>
        <w:tblLayout w:type="fixed"/>
        <w:tblInd w:w="660" w:type="dxa"/>
        <w:tblCellMar>
          <w:top w:w="0" w:type="dxa"/>
          <w:left w:w="0" w:type="dxa"/>
          <w:bottom w:w="0" w:type="dxa"/>
          <w:right w:w="0" w:type="dxa"/>
        </w:tblCellMar>
      </w:tblPr>
      <w:tr>
        <w:trPr>
          <w:trHeight w:val="215"/>
        </w:trPr>
        <w:tc>
          <w:tcPr>
            <w:tcW w:w="40" w:type="dxa"/>
            <w:vAlign w:val="bottom"/>
            <w:shd w:val="clear" w:color="auto" w:fill="0076A8"/>
          </w:tcPr>
          <w:p>
            <w:pPr>
              <w:spacing w:after="0"/>
              <w:rPr>
                <w:sz w:val="18"/>
                <w:szCs w:val="18"/>
                <w:color w:val="auto"/>
              </w:rPr>
            </w:pPr>
          </w:p>
        </w:tc>
        <w:tc>
          <w:tcPr>
            <w:tcW w:w="1420" w:type="dxa"/>
            <w:vAlign w:val="bottom"/>
            <w:shd w:val="clear" w:color="auto" w:fill="0076A8"/>
          </w:tcPr>
          <w:p>
            <w:pPr>
              <w:spacing w:after="0"/>
              <w:rPr>
                <w:sz w:val="18"/>
                <w:szCs w:val="18"/>
                <w:color w:val="auto"/>
              </w:rPr>
            </w:pPr>
          </w:p>
        </w:tc>
        <w:tc>
          <w:tcPr>
            <w:tcW w:w="1300" w:type="dxa"/>
            <w:vAlign w:val="bottom"/>
            <w:shd w:val="clear" w:color="auto" w:fill="0076A8"/>
          </w:tcPr>
          <w:p>
            <w:pPr>
              <w:spacing w:after="0"/>
              <w:rPr>
                <w:sz w:val="18"/>
                <w:szCs w:val="18"/>
                <w:color w:val="auto"/>
              </w:rPr>
            </w:pPr>
          </w:p>
        </w:tc>
        <w:tc>
          <w:tcPr>
            <w:tcW w:w="2540" w:type="dxa"/>
            <w:vAlign w:val="bottom"/>
            <w:shd w:val="clear" w:color="auto" w:fill="0076A8"/>
          </w:tcPr>
          <w:p>
            <w:pPr>
              <w:spacing w:after="0"/>
              <w:rPr>
                <w:sz w:val="18"/>
                <w:szCs w:val="18"/>
                <w:color w:val="auto"/>
              </w:rPr>
            </w:pPr>
          </w:p>
        </w:tc>
        <w:tc>
          <w:tcPr>
            <w:tcW w:w="1360" w:type="dxa"/>
            <w:vAlign w:val="bottom"/>
            <w:shd w:val="clear" w:color="auto" w:fill="0076A8"/>
          </w:tcPr>
          <w:p>
            <w:pPr>
              <w:jc w:val="center"/>
              <w:spacing w:after="0"/>
              <w:rPr>
                <w:sz w:val="20"/>
                <w:szCs w:val="20"/>
                <w:color w:val="auto"/>
              </w:rPr>
            </w:pPr>
            <w:r>
              <w:rPr>
                <w:rFonts w:ascii="Arial" w:cs="Arial" w:eastAsia="Arial" w:hAnsi="Arial"/>
                <w:sz w:val="18"/>
                <w:szCs w:val="18"/>
                <w:color w:val="FFFFFF"/>
                <w:w w:val="98"/>
              </w:rPr>
              <w:t>Performance</w:t>
            </w:r>
          </w:p>
        </w:tc>
        <w:tc>
          <w:tcPr>
            <w:tcW w:w="2740" w:type="dxa"/>
            <w:vAlign w:val="bottom"/>
            <w:shd w:val="clear" w:color="auto" w:fill="0076A8"/>
          </w:tcPr>
          <w:p>
            <w:pPr>
              <w:jc w:val="center"/>
              <w:spacing w:after="0"/>
              <w:rPr>
                <w:sz w:val="20"/>
                <w:szCs w:val="20"/>
                <w:color w:val="auto"/>
              </w:rPr>
            </w:pPr>
            <w:r>
              <w:rPr>
                <w:rFonts w:ascii="Arial" w:cs="Arial" w:eastAsia="Arial" w:hAnsi="Arial"/>
                <w:sz w:val="18"/>
                <w:szCs w:val="18"/>
                <w:color w:val="FFFFFF"/>
                <w:w w:val="99"/>
              </w:rPr>
              <w:t>Achieved</w:t>
            </w:r>
          </w:p>
        </w:tc>
        <w:tc>
          <w:tcPr>
            <w:tcW w:w="0" w:type="dxa"/>
            <w:vAlign w:val="bottom"/>
          </w:tcPr>
          <w:p>
            <w:pPr>
              <w:spacing w:after="0"/>
              <w:rPr>
                <w:sz w:val="1"/>
                <w:szCs w:val="1"/>
                <w:color w:val="auto"/>
              </w:rPr>
            </w:pPr>
          </w:p>
        </w:tc>
      </w:tr>
      <w:tr>
        <w:trPr>
          <w:trHeight w:val="230"/>
        </w:trPr>
        <w:tc>
          <w:tcPr>
            <w:tcW w:w="40" w:type="dxa"/>
            <w:vAlign w:val="bottom"/>
            <w:shd w:val="clear" w:color="auto" w:fill="0076A8"/>
          </w:tcPr>
          <w:p>
            <w:pPr>
              <w:spacing w:after="0"/>
              <w:rPr>
                <w:sz w:val="20"/>
                <w:szCs w:val="20"/>
                <w:color w:val="auto"/>
              </w:rPr>
            </w:pPr>
          </w:p>
        </w:tc>
        <w:tc>
          <w:tcPr>
            <w:tcW w:w="1420" w:type="dxa"/>
            <w:vAlign w:val="bottom"/>
            <w:shd w:val="clear" w:color="auto" w:fill="0076A8"/>
          </w:tcPr>
          <w:p>
            <w:pPr>
              <w:spacing w:after="0"/>
              <w:rPr>
                <w:sz w:val="20"/>
                <w:szCs w:val="20"/>
                <w:color w:val="auto"/>
              </w:rPr>
            </w:pPr>
            <w:r>
              <w:rPr>
                <w:rFonts w:ascii="Arial" w:cs="Arial" w:eastAsia="Arial" w:hAnsi="Arial"/>
                <w:sz w:val="18"/>
                <w:szCs w:val="18"/>
                <w:color w:val="FFFFFF"/>
              </w:rPr>
              <w:t>PSA Fiscal Year</w:t>
            </w:r>
          </w:p>
        </w:tc>
        <w:tc>
          <w:tcPr>
            <w:tcW w:w="1300" w:type="dxa"/>
            <w:vAlign w:val="bottom"/>
            <w:shd w:val="clear" w:color="auto" w:fill="0076A8"/>
          </w:tcPr>
          <w:p>
            <w:pPr>
              <w:ind w:left="280"/>
              <w:spacing w:after="0"/>
              <w:rPr>
                <w:sz w:val="20"/>
                <w:szCs w:val="20"/>
                <w:color w:val="auto"/>
              </w:rPr>
            </w:pPr>
            <w:r>
              <w:rPr>
                <w:rFonts w:ascii="Arial" w:cs="Arial" w:eastAsia="Arial" w:hAnsi="Arial"/>
                <w:sz w:val="18"/>
                <w:szCs w:val="18"/>
                <w:color w:val="FFFFFF"/>
              </w:rPr>
              <w:t>Grant Date</w:t>
            </w:r>
          </w:p>
        </w:tc>
        <w:tc>
          <w:tcPr>
            <w:tcW w:w="2540" w:type="dxa"/>
            <w:vAlign w:val="bottom"/>
            <w:shd w:val="clear" w:color="auto" w:fill="0076A8"/>
          </w:tcPr>
          <w:p>
            <w:pPr>
              <w:jc w:val="center"/>
              <w:spacing w:after="0"/>
              <w:rPr>
                <w:sz w:val="20"/>
                <w:szCs w:val="20"/>
                <w:color w:val="auto"/>
              </w:rPr>
            </w:pPr>
            <w:r>
              <w:rPr>
                <w:rFonts w:ascii="Arial" w:cs="Arial" w:eastAsia="Arial" w:hAnsi="Arial"/>
                <w:sz w:val="18"/>
                <w:szCs w:val="18"/>
                <w:color w:val="FFFFFF"/>
              </w:rPr>
              <w:t>Performance Metric</w:t>
            </w:r>
          </w:p>
        </w:tc>
        <w:tc>
          <w:tcPr>
            <w:tcW w:w="1360" w:type="dxa"/>
            <w:vAlign w:val="bottom"/>
            <w:shd w:val="clear" w:color="auto" w:fill="0076A8"/>
          </w:tcPr>
          <w:p>
            <w:pPr>
              <w:jc w:val="center"/>
              <w:spacing w:after="0"/>
              <w:rPr>
                <w:sz w:val="20"/>
                <w:szCs w:val="20"/>
                <w:color w:val="auto"/>
              </w:rPr>
            </w:pPr>
            <w:r>
              <w:rPr>
                <w:rFonts w:ascii="Arial" w:cs="Arial" w:eastAsia="Arial" w:hAnsi="Arial"/>
                <w:sz w:val="18"/>
                <w:szCs w:val="18"/>
                <w:color w:val="FFFFFF"/>
                <w:w w:val="99"/>
              </w:rPr>
              <w:t>Period</w:t>
            </w:r>
          </w:p>
        </w:tc>
        <w:tc>
          <w:tcPr>
            <w:tcW w:w="2740" w:type="dxa"/>
            <w:vAlign w:val="bottom"/>
            <w:shd w:val="clear" w:color="auto" w:fill="0076A8"/>
          </w:tcPr>
          <w:p>
            <w:pPr>
              <w:jc w:val="center"/>
              <w:ind w:left="38"/>
              <w:spacing w:after="0"/>
              <w:rPr>
                <w:sz w:val="20"/>
                <w:szCs w:val="20"/>
                <w:color w:val="auto"/>
              </w:rPr>
            </w:pPr>
            <w:r>
              <w:rPr>
                <w:rFonts w:ascii="Arial" w:cs="Arial" w:eastAsia="Arial" w:hAnsi="Arial"/>
                <w:sz w:val="18"/>
                <w:szCs w:val="18"/>
                <w:color w:val="FFFFFF"/>
                <w:w w:val="97"/>
              </w:rPr>
              <w:t>(% of Target)</w:t>
            </w:r>
          </w:p>
        </w:tc>
        <w:tc>
          <w:tcPr>
            <w:tcW w:w="0" w:type="dxa"/>
            <w:vAlign w:val="bottom"/>
          </w:tcPr>
          <w:p>
            <w:pPr>
              <w:spacing w:after="0"/>
              <w:rPr>
                <w:sz w:val="1"/>
                <w:szCs w:val="1"/>
                <w:color w:val="auto"/>
              </w:rPr>
            </w:pPr>
          </w:p>
        </w:tc>
      </w:tr>
      <w:tr>
        <w:trPr>
          <w:trHeight w:val="245"/>
        </w:trPr>
        <w:tc>
          <w:tcPr>
            <w:tcW w:w="40" w:type="dxa"/>
            <w:vAlign w:val="bottom"/>
            <w:shd w:val="clear" w:color="auto" w:fill="E5E5E5"/>
          </w:tcPr>
          <w:p>
            <w:pPr>
              <w:spacing w:after="0"/>
              <w:rPr>
                <w:sz w:val="21"/>
                <w:szCs w:val="21"/>
                <w:color w:val="auto"/>
              </w:rPr>
            </w:pPr>
          </w:p>
        </w:tc>
        <w:tc>
          <w:tcPr>
            <w:tcW w:w="1420" w:type="dxa"/>
            <w:vAlign w:val="bottom"/>
            <w:vMerge w:val="restart"/>
            <w:shd w:val="clear" w:color="auto" w:fill="E5E5E5"/>
          </w:tcPr>
          <w:p>
            <w:pPr>
              <w:spacing w:after="0"/>
              <w:rPr>
                <w:sz w:val="20"/>
                <w:szCs w:val="20"/>
                <w:color w:val="auto"/>
              </w:rPr>
            </w:pPr>
            <w:r>
              <w:rPr>
                <w:rFonts w:ascii="Arial" w:cs="Arial" w:eastAsia="Arial" w:hAnsi="Arial"/>
                <w:sz w:val="16"/>
                <w:szCs w:val="16"/>
                <w:color w:val="auto"/>
              </w:rPr>
              <w:t>FY18</w:t>
            </w:r>
          </w:p>
        </w:tc>
        <w:tc>
          <w:tcPr>
            <w:tcW w:w="1300" w:type="dxa"/>
            <w:vAlign w:val="bottom"/>
            <w:vMerge w:val="restart"/>
            <w:shd w:val="clear" w:color="auto" w:fill="E5E5E5"/>
          </w:tcPr>
          <w:p>
            <w:pPr>
              <w:jc w:val="center"/>
              <w:ind w:left="57"/>
              <w:spacing w:after="0"/>
              <w:rPr>
                <w:sz w:val="20"/>
                <w:szCs w:val="20"/>
                <w:color w:val="auto"/>
              </w:rPr>
            </w:pPr>
            <w:r>
              <w:rPr>
                <w:rFonts w:ascii="Arial" w:cs="Arial" w:eastAsia="Arial" w:hAnsi="Arial"/>
                <w:sz w:val="16"/>
                <w:szCs w:val="16"/>
                <w:color w:val="auto"/>
              </w:rPr>
              <w:t>11/7/2017</w:t>
            </w:r>
          </w:p>
        </w:tc>
        <w:tc>
          <w:tcPr>
            <w:tcW w:w="254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Non-GAAP EBITDA Growth</w:t>
            </w:r>
          </w:p>
        </w:tc>
        <w:tc>
          <w:tcPr>
            <w:tcW w:w="1360" w:type="dxa"/>
            <w:vAlign w:val="bottom"/>
            <w:shd w:val="clear" w:color="auto" w:fill="E5E5E5"/>
          </w:tcPr>
          <w:p>
            <w:pPr>
              <w:jc w:val="center"/>
              <w:spacing w:after="0"/>
              <w:rPr>
                <w:sz w:val="20"/>
                <w:szCs w:val="20"/>
                <w:color w:val="auto"/>
              </w:rPr>
            </w:pPr>
            <w:r>
              <w:rPr>
                <w:rFonts w:ascii="Arial" w:cs="Arial" w:eastAsia="Arial" w:hAnsi="Arial"/>
                <w:sz w:val="16"/>
                <w:szCs w:val="16"/>
                <w:color w:val="auto"/>
                <w:w w:val="99"/>
              </w:rPr>
              <w:t>FY18</w:t>
            </w:r>
          </w:p>
        </w:tc>
        <w:tc>
          <w:tcPr>
            <w:tcW w:w="2740" w:type="dxa"/>
            <w:vAlign w:val="bottom"/>
            <w:shd w:val="clear" w:color="auto" w:fill="E5E5E5"/>
          </w:tcPr>
          <w:p>
            <w:pPr>
              <w:jc w:val="center"/>
              <w:ind w:left="38"/>
              <w:spacing w:after="0"/>
              <w:rPr>
                <w:sz w:val="20"/>
                <w:szCs w:val="20"/>
                <w:color w:val="auto"/>
              </w:rPr>
            </w:pPr>
            <w:r>
              <w:rPr>
                <w:rFonts w:ascii="Arial" w:cs="Arial" w:eastAsia="Arial" w:hAnsi="Arial"/>
                <w:sz w:val="16"/>
                <w:szCs w:val="16"/>
                <w:color w:val="auto"/>
              </w:rPr>
              <w:t>99.8%</w:t>
            </w:r>
          </w:p>
        </w:tc>
        <w:tc>
          <w:tcPr>
            <w:tcW w:w="0" w:type="dxa"/>
            <w:vAlign w:val="bottom"/>
          </w:tcPr>
          <w:p>
            <w:pPr>
              <w:spacing w:after="0"/>
              <w:rPr>
                <w:sz w:val="1"/>
                <w:szCs w:val="1"/>
                <w:color w:val="auto"/>
              </w:rPr>
            </w:pPr>
          </w:p>
        </w:tc>
      </w:tr>
      <w:tr>
        <w:trPr>
          <w:trHeight w:val="87"/>
        </w:trPr>
        <w:tc>
          <w:tcPr>
            <w:tcW w:w="40" w:type="dxa"/>
            <w:vAlign w:val="bottom"/>
            <w:shd w:val="clear" w:color="auto" w:fill="E5E5E5"/>
          </w:tcPr>
          <w:p>
            <w:pPr>
              <w:spacing w:after="0"/>
              <w:rPr>
                <w:sz w:val="7"/>
                <w:szCs w:val="7"/>
                <w:color w:val="auto"/>
              </w:rPr>
            </w:pPr>
          </w:p>
        </w:tc>
        <w:tc>
          <w:tcPr>
            <w:tcW w:w="1420" w:type="dxa"/>
            <w:vAlign w:val="bottom"/>
            <w:vMerge w:val="continue"/>
            <w:shd w:val="clear" w:color="auto" w:fill="E5E5E5"/>
          </w:tcPr>
          <w:p>
            <w:pPr>
              <w:spacing w:after="0"/>
              <w:rPr>
                <w:sz w:val="7"/>
                <w:szCs w:val="7"/>
                <w:color w:val="auto"/>
              </w:rPr>
            </w:pPr>
          </w:p>
        </w:tc>
        <w:tc>
          <w:tcPr>
            <w:tcW w:w="1300" w:type="dxa"/>
            <w:vAlign w:val="bottom"/>
            <w:vMerge w:val="continue"/>
            <w:shd w:val="clear" w:color="auto" w:fill="E5E5E5"/>
          </w:tcPr>
          <w:p>
            <w:pPr>
              <w:spacing w:after="0"/>
              <w:rPr>
                <w:sz w:val="7"/>
                <w:szCs w:val="7"/>
                <w:color w:val="auto"/>
              </w:rPr>
            </w:pPr>
          </w:p>
        </w:tc>
        <w:tc>
          <w:tcPr>
            <w:tcW w:w="2540" w:type="dxa"/>
            <w:vAlign w:val="bottom"/>
            <w:vMerge w:val="restart"/>
            <w:shd w:val="clear" w:color="auto" w:fill="E5E5E5"/>
          </w:tcPr>
          <w:p>
            <w:pPr>
              <w:jc w:val="center"/>
              <w:spacing w:after="0"/>
              <w:rPr>
                <w:sz w:val="20"/>
                <w:szCs w:val="20"/>
                <w:color w:val="auto"/>
              </w:rPr>
            </w:pPr>
            <w:r>
              <w:rPr>
                <w:rFonts w:ascii="Arial" w:cs="Arial" w:eastAsia="Arial" w:hAnsi="Arial"/>
                <w:sz w:val="16"/>
                <w:szCs w:val="16"/>
                <w:color w:val="auto"/>
              </w:rPr>
              <w:t>3-year TSR Percentile Ranking</w:t>
            </w:r>
          </w:p>
        </w:tc>
        <w:tc>
          <w:tcPr>
            <w:tcW w:w="1360" w:type="dxa"/>
            <w:vAlign w:val="bottom"/>
            <w:vMerge w:val="restart"/>
            <w:shd w:val="clear" w:color="auto" w:fill="E5E5E5"/>
          </w:tcPr>
          <w:p>
            <w:pPr>
              <w:jc w:val="center"/>
              <w:spacing w:after="0"/>
              <w:rPr>
                <w:sz w:val="20"/>
                <w:szCs w:val="20"/>
                <w:color w:val="auto"/>
              </w:rPr>
            </w:pPr>
            <w:r>
              <w:rPr>
                <w:rFonts w:ascii="Arial" w:cs="Arial" w:eastAsia="Arial" w:hAnsi="Arial"/>
                <w:sz w:val="16"/>
                <w:szCs w:val="16"/>
                <w:color w:val="auto"/>
                <w:w w:val="98"/>
              </w:rPr>
              <w:t>FY18 — FY20</w:t>
            </w:r>
          </w:p>
        </w:tc>
        <w:tc>
          <w:tcPr>
            <w:tcW w:w="2740" w:type="dxa"/>
            <w:vAlign w:val="bottom"/>
            <w:vMerge w:val="restart"/>
            <w:shd w:val="clear" w:color="auto" w:fill="E5E5E5"/>
          </w:tcPr>
          <w:p>
            <w:pPr>
              <w:jc w:val="center"/>
              <w:ind w:left="58"/>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21"/>
        </w:trPr>
        <w:tc>
          <w:tcPr>
            <w:tcW w:w="40" w:type="dxa"/>
            <w:vAlign w:val="bottom"/>
            <w:tcBorders>
              <w:bottom w:val="single" w:sz="8" w:color="E5E5E5"/>
            </w:tcBorders>
            <w:shd w:val="clear" w:color="auto" w:fill="E5E5E5"/>
          </w:tcPr>
          <w:p>
            <w:pPr>
              <w:spacing w:after="0"/>
              <w:rPr>
                <w:sz w:val="10"/>
                <w:szCs w:val="10"/>
                <w:color w:val="auto"/>
              </w:rPr>
            </w:pPr>
          </w:p>
        </w:tc>
        <w:tc>
          <w:tcPr>
            <w:tcW w:w="1420" w:type="dxa"/>
            <w:vAlign w:val="bottom"/>
            <w:tcBorders>
              <w:bottom w:val="single" w:sz="8" w:color="E5E5E5"/>
            </w:tcBorders>
            <w:shd w:val="clear" w:color="auto" w:fill="E5E5E5"/>
          </w:tcPr>
          <w:p>
            <w:pPr>
              <w:spacing w:after="0"/>
              <w:rPr>
                <w:sz w:val="10"/>
                <w:szCs w:val="10"/>
                <w:color w:val="auto"/>
              </w:rPr>
            </w:pPr>
          </w:p>
        </w:tc>
        <w:tc>
          <w:tcPr>
            <w:tcW w:w="1300" w:type="dxa"/>
            <w:vAlign w:val="bottom"/>
            <w:tcBorders>
              <w:bottom w:val="single" w:sz="8" w:color="E5E5E5"/>
            </w:tcBorders>
            <w:shd w:val="clear" w:color="auto" w:fill="E5E5E5"/>
          </w:tcPr>
          <w:p>
            <w:pPr>
              <w:spacing w:after="0"/>
              <w:rPr>
                <w:sz w:val="10"/>
                <w:szCs w:val="10"/>
                <w:color w:val="auto"/>
              </w:rPr>
            </w:pPr>
          </w:p>
        </w:tc>
        <w:tc>
          <w:tcPr>
            <w:tcW w:w="2540" w:type="dxa"/>
            <w:vAlign w:val="bottom"/>
            <w:tcBorders>
              <w:bottom w:val="single" w:sz="8" w:color="E5E5E5"/>
            </w:tcBorders>
            <w:vMerge w:val="continue"/>
            <w:shd w:val="clear" w:color="auto" w:fill="E5E5E5"/>
          </w:tcPr>
          <w:p>
            <w:pPr>
              <w:spacing w:after="0"/>
              <w:rPr>
                <w:sz w:val="10"/>
                <w:szCs w:val="10"/>
                <w:color w:val="auto"/>
              </w:rPr>
            </w:pPr>
          </w:p>
        </w:tc>
        <w:tc>
          <w:tcPr>
            <w:tcW w:w="1360" w:type="dxa"/>
            <w:vAlign w:val="bottom"/>
            <w:tcBorders>
              <w:bottom w:val="single" w:sz="8" w:color="E5E5E5"/>
            </w:tcBorders>
            <w:vMerge w:val="continue"/>
            <w:shd w:val="clear" w:color="auto" w:fill="E5E5E5"/>
          </w:tcPr>
          <w:p>
            <w:pPr>
              <w:spacing w:after="0"/>
              <w:rPr>
                <w:sz w:val="10"/>
                <w:szCs w:val="10"/>
                <w:color w:val="auto"/>
              </w:rPr>
            </w:pPr>
          </w:p>
        </w:tc>
        <w:tc>
          <w:tcPr>
            <w:tcW w:w="2740" w:type="dxa"/>
            <w:vAlign w:val="bottom"/>
            <w:tcBorders>
              <w:bottom w:val="single" w:sz="8" w:color="E5E5E5"/>
            </w:tcBorders>
            <w:vMerge w:val="continue"/>
            <w:shd w:val="clear" w:color="auto" w:fill="E5E5E5"/>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40" w:type="dxa"/>
            <w:vAlign w:val="bottom"/>
          </w:tcPr>
          <w:p>
            <w:pPr>
              <w:spacing w:after="0"/>
              <w:rPr>
                <w:sz w:val="21"/>
                <w:szCs w:val="21"/>
                <w:color w:val="auto"/>
              </w:rPr>
            </w:pPr>
          </w:p>
        </w:tc>
        <w:tc>
          <w:tcPr>
            <w:tcW w:w="1420" w:type="dxa"/>
            <w:vAlign w:val="bottom"/>
            <w:vMerge w:val="restart"/>
          </w:tcPr>
          <w:p>
            <w:pPr>
              <w:spacing w:after="0"/>
              <w:rPr>
                <w:sz w:val="20"/>
                <w:szCs w:val="20"/>
                <w:color w:val="auto"/>
              </w:rPr>
            </w:pPr>
            <w:r>
              <w:rPr>
                <w:rFonts w:ascii="Arial" w:cs="Arial" w:eastAsia="Arial" w:hAnsi="Arial"/>
                <w:sz w:val="16"/>
                <w:szCs w:val="16"/>
                <w:color w:val="auto"/>
              </w:rPr>
              <w:t>FY19</w:t>
            </w:r>
          </w:p>
        </w:tc>
        <w:tc>
          <w:tcPr>
            <w:tcW w:w="1300" w:type="dxa"/>
            <w:vAlign w:val="bottom"/>
            <w:vMerge w:val="restart"/>
          </w:tcPr>
          <w:p>
            <w:pPr>
              <w:jc w:val="center"/>
              <w:ind w:left="57"/>
              <w:spacing w:after="0"/>
              <w:rPr>
                <w:sz w:val="20"/>
                <w:szCs w:val="20"/>
                <w:color w:val="auto"/>
              </w:rPr>
            </w:pPr>
            <w:r>
              <w:rPr>
                <w:rFonts w:ascii="Arial" w:cs="Arial" w:eastAsia="Arial" w:hAnsi="Arial"/>
                <w:sz w:val="16"/>
                <w:szCs w:val="16"/>
                <w:color w:val="auto"/>
              </w:rPr>
              <w:t>11/6/2018</w:t>
            </w:r>
          </w:p>
        </w:tc>
        <w:tc>
          <w:tcPr>
            <w:tcW w:w="2540" w:type="dxa"/>
            <w:vAlign w:val="bottom"/>
          </w:tcPr>
          <w:p>
            <w:pPr>
              <w:jc w:val="center"/>
              <w:spacing w:after="0"/>
              <w:rPr>
                <w:sz w:val="20"/>
                <w:szCs w:val="20"/>
                <w:color w:val="auto"/>
              </w:rPr>
            </w:pPr>
            <w:r>
              <w:rPr>
                <w:rFonts w:ascii="Arial" w:cs="Arial" w:eastAsia="Arial" w:hAnsi="Arial"/>
                <w:sz w:val="16"/>
                <w:szCs w:val="16"/>
                <w:color w:val="auto"/>
              </w:rPr>
              <w:t>Non-GAAP EBITDA Growth</w:t>
            </w:r>
          </w:p>
        </w:tc>
        <w:tc>
          <w:tcPr>
            <w:tcW w:w="1360" w:type="dxa"/>
            <w:vAlign w:val="bottom"/>
          </w:tcPr>
          <w:p>
            <w:pPr>
              <w:jc w:val="center"/>
              <w:spacing w:after="0"/>
              <w:rPr>
                <w:sz w:val="20"/>
                <w:szCs w:val="20"/>
                <w:color w:val="auto"/>
              </w:rPr>
            </w:pPr>
            <w:r>
              <w:rPr>
                <w:rFonts w:ascii="Arial" w:cs="Arial" w:eastAsia="Arial" w:hAnsi="Arial"/>
                <w:sz w:val="16"/>
                <w:szCs w:val="16"/>
                <w:color w:val="auto"/>
                <w:w w:val="99"/>
              </w:rPr>
              <w:t>FY19</w:t>
            </w:r>
          </w:p>
        </w:tc>
        <w:tc>
          <w:tcPr>
            <w:tcW w:w="2740" w:type="dxa"/>
            <w:vAlign w:val="bottom"/>
          </w:tcPr>
          <w:p>
            <w:pPr>
              <w:jc w:val="center"/>
              <w:ind w:left="58"/>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87"/>
        </w:trPr>
        <w:tc>
          <w:tcPr>
            <w:tcW w:w="40" w:type="dxa"/>
            <w:vAlign w:val="bottom"/>
          </w:tcPr>
          <w:p>
            <w:pPr>
              <w:spacing w:after="0"/>
              <w:rPr>
                <w:sz w:val="7"/>
                <w:szCs w:val="7"/>
                <w:color w:val="auto"/>
              </w:rPr>
            </w:pPr>
          </w:p>
        </w:tc>
        <w:tc>
          <w:tcPr>
            <w:tcW w:w="1420" w:type="dxa"/>
            <w:vAlign w:val="bottom"/>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2540" w:type="dxa"/>
            <w:vAlign w:val="bottom"/>
            <w:vMerge w:val="restart"/>
          </w:tcPr>
          <w:p>
            <w:pPr>
              <w:jc w:val="center"/>
              <w:spacing w:after="0"/>
              <w:rPr>
                <w:sz w:val="20"/>
                <w:szCs w:val="20"/>
                <w:color w:val="auto"/>
              </w:rPr>
            </w:pPr>
            <w:r>
              <w:rPr>
                <w:rFonts w:ascii="Arial" w:cs="Arial" w:eastAsia="Arial" w:hAnsi="Arial"/>
                <w:sz w:val="16"/>
                <w:szCs w:val="16"/>
                <w:color w:val="auto"/>
              </w:rPr>
              <w:t>3-year TSR Percentile Ranking</w:t>
            </w:r>
          </w:p>
        </w:tc>
        <w:tc>
          <w:tcPr>
            <w:tcW w:w="1360" w:type="dxa"/>
            <w:vAlign w:val="bottom"/>
            <w:vMerge w:val="restart"/>
          </w:tcPr>
          <w:p>
            <w:pPr>
              <w:jc w:val="center"/>
              <w:spacing w:after="0"/>
              <w:rPr>
                <w:sz w:val="20"/>
                <w:szCs w:val="20"/>
                <w:color w:val="auto"/>
              </w:rPr>
            </w:pPr>
            <w:r>
              <w:rPr>
                <w:rFonts w:ascii="Arial" w:cs="Arial" w:eastAsia="Arial" w:hAnsi="Arial"/>
                <w:sz w:val="16"/>
                <w:szCs w:val="16"/>
                <w:color w:val="auto"/>
                <w:w w:val="98"/>
              </w:rPr>
              <w:t>FY19 — FY21</w:t>
            </w:r>
          </w:p>
        </w:tc>
        <w:tc>
          <w:tcPr>
            <w:tcW w:w="2740" w:type="dxa"/>
            <w:vAlign w:val="bottom"/>
            <w:vMerge w:val="restart"/>
          </w:tcPr>
          <w:p>
            <w:pPr>
              <w:jc w:val="center"/>
              <w:ind w:left="38"/>
              <w:spacing w:after="0"/>
              <w:rPr>
                <w:sz w:val="20"/>
                <w:szCs w:val="20"/>
                <w:color w:val="auto"/>
              </w:rPr>
            </w:pPr>
            <w:r>
              <w:rPr>
                <w:rFonts w:ascii="Arial" w:cs="Arial" w:eastAsia="Arial" w:hAnsi="Arial"/>
                <w:sz w:val="16"/>
                <w:szCs w:val="16"/>
                <w:color w:val="auto"/>
              </w:rPr>
              <w:t>74.1%</w:t>
            </w: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54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2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shd w:val="clear" w:color="auto" w:fill="E5E5E5"/>
          </w:tcPr>
          <w:p>
            <w:pPr>
              <w:spacing w:after="0"/>
              <w:rPr>
                <w:sz w:val="21"/>
                <w:szCs w:val="21"/>
                <w:color w:val="auto"/>
              </w:rPr>
            </w:pPr>
          </w:p>
        </w:tc>
        <w:tc>
          <w:tcPr>
            <w:tcW w:w="1420" w:type="dxa"/>
            <w:vAlign w:val="bottom"/>
            <w:shd w:val="clear" w:color="auto" w:fill="E5E5E5"/>
          </w:tcPr>
          <w:p>
            <w:pPr>
              <w:spacing w:after="0"/>
              <w:rPr>
                <w:sz w:val="21"/>
                <w:szCs w:val="21"/>
                <w:color w:val="auto"/>
              </w:rPr>
            </w:pPr>
          </w:p>
        </w:tc>
        <w:tc>
          <w:tcPr>
            <w:tcW w:w="1300" w:type="dxa"/>
            <w:vAlign w:val="bottom"/>
            <w:shd w:val="clear" w:color="auto" w:fill="E5E5E5"/>
          </w:tcPr>
          <w:p>
            <w:pPr>
              <w:spacing w:after="0"/>
              <w:rPr>
                <w:sz w:val="21"/>
                <w:szCs w:val="21"/>
                <w:color w:val="auto"/>
              </w:rPr>
            </w:pPr>
          </w:p>
        </w:tc>
        <w:tc>
          <w:tcPr>
            <w:tcW w:w="254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Emerging Revenue Growth</w:t>
            </w:r>
          </w:p>
        </w:tc>
        <w:tc>
          <w:tcPr>
            <w:tcW w:w="1360" w:type="dxa"/>
            <w:vAlign w:val="bottom"/>
            <w:shd w:val="clear" w:color="auto" w:fill="E5E5E5"/>
          </w:tcPr>
          <w:p>
            <w:pPr>
              <w:jc w:val="center"/>
              <w:spacing w:after="0"/>
              <w:rPr>
                <w:sz w:val="20"/>
                <w:szCs w:val="20"/>
                <w:color w:val="auto"/>
              </w:rPr>
            </w:pPr>
            <w:r>
              <w:rPr>
                <w:rFonts w:ascii="Arial" w:cs="Arial" w:eastAsia="Arial" w:hAnsi="Arial"/>
                <w:sz w:val="16"/>
                <w:szCs w:val="16"/>
                <w:color w:val="auto"/>
                <w:w w:val="99"/>
              </w:rPr>
              <w:t>FY20</w:t>
            </w:r>
          </w:p>
        </w:tc>
        <w:tc>
          <w:tcPr>
            <w:tcW w:w="2740" w:type="dxa"/>
            <w:vAlign w:val="bottom"/>
            <w:shd w:val="clear" w:color="auto" w:fill="E5E5E5"/>
          </w:tcPr>
          <w:p>
            <w:pPr>
              <w:jc w:val="center"/>
              <w:ind w:left="38"/>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270"/>
        </w:trPr>
        <w:tc>
          <w:tcPr>
            <w:tcW w:w="40" w:type="dxa"/>
            <w:vAlign w:val="bottom"/>
            <w:shd w:val="clear" w:color="auto" w:fill="E5E5E5"/>
          </w:tcPr>
          <w:p>
            <w:pPr>
              <w:spacing w:after="0"/>
              <w:rPr>
                <w:sz w:val="23"/>
                <w:szCs w:val="23"/>
                <w:color w:val="auto"/>
              </w:rPr>
            </w:pPr>
          </w:p>
        </w:tc>
        <w:tc>
          <w:tcPr>
            <w:tcW w:w="1420" w:type="dxa"/>
            <w:vAlign w:val="bottom"/>
            <w:shd w:val="clear" w:color="auto" w:fill="E5E5E5"/>
          </w:tcPr>
          <w:p>
            <w:pPr>
              <w:spacing w:after="0"/>
              <w:rPr>
                <w:sz w:val="20"/>
                <w:szCs w:val="20"/>
                <w:color w:val="auto"/>
              </w:rPr>
            </w:pPr>
            <w:r>
              <w:rPr>
                <w:rFonts w:ascii="Arial" w:cs="Arial" w:eastAsia="Arial" w:hAnsi="Arial"/>
                <w:sz w:val="16"/>
                <w:szCs w:val="16"/>
                <w:color w:val="auto"/>
              </w:rPr>
              <w:t>FY20</w:t>
            </w:r>
          </w:p>
        </w:tc>
        <w:tc>
          <w:tcPr>
            <w:tcW w:w="1300" w:type="dxa"/>
            <w:vAlign w:val="bottom"/>
            <w:shd w:val="clear" w:color="auto" w:fill="E5E5E5"/>
          </w:tcPr>
          <w:p>
            <w:pPr>
              <w:jc w:val="center"/>
              <w:ind w:left="57"/>
              <w:spacing w:after="0"/>
              <w:rPr>
                <w:sz w:val="20"/>
                <w:szCs w:val="20"/>
                <w:color w:val="auto"/>
              </w:rPr>
            </w:pPr>
            <w:r>
              <w:rPr>
                <w:rFonts w:ascii="Arial" w:cs="Arial" w:eastAsia="Arial" w:hAnsi="Arial"/>
                <w:sz w:val="16"/>
                <w:szCs w:val="16"/>
                <w:color w:val="auto"/>
              </w:rPr>
              <w:t>11/5/2019</w:t>
            </w:r>
          </w:p>
        </w:tc>
        <w:tc>
          <w:tcPr>
            <w:tcW w:w="254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Design Wins</w:t>
            </w:r>
          </w:p>
        </w:tc>
        <w:tc>
          <w:tcPr>
            <w:tcW w:w="1360" w:type="dxa"/>
            <w:vAlign w:val="bottom"/>
            <w:shd w:val="clear" w:color="auto" w:fill="E5E5E5"/>
          </w:tcPr>
          <w:p>
            <w:pPr>
              <w:jc w:val="center"/>
              <w:spacing w:after="0"/>
              <w:rPr>
                <w:sz w:val="20"/>
                <w:szCs w:val="20"/>
                <w:color w:val="auto"/>
              </w:rPr>
            </w:pPr>
            <w:r>
              <w:rPr>
                <w:rFonts w:ascii="Arial" w:cs="Arial" w:eastAsia="Arial" w:hAnsi="Arial"/>
                <w:sz w:val="16"/>
                <w:szCs w:val="16"/>
                <w:color w:val="auto"/>
                <w:w w:val="99"/>
              </w:rPr>
              <w:t>FY20</w:t>
            </w:r>
          </w:p>
        </w:tc>
        <w:tc>
          <w:tcPr>
            <w:tcW w:w="2740" w:type="dxa"/>
            <w:vAlign w:val="bottom"/>
            <w:shd w:val="clear" w:color="auto" w:fill="E5E5E5"/>
          </w:tcPr>
          <w:p>
            <w:pPr>
              <w:jc w:val="center"/>
              <w:ind w:left="38"/>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290"/>
        </w:trPr>
        <w:tc>
          <w:tcPr>
            <w:tcW w:w="40" w:type="dxa"/>
            <w:vAlign w:val="bottom"/>
            <w:shd w:val="clear" w:color="auto" w:fill="E5E5E5"/>
          </w:tcPr>
          <w:p>
            <w:pPr>
              <w:spacing w:after="0"/>
              <w:rPr>
                <w:sz w:val="24"/>
                <w:szCs w:val="24"/>
                <w:color w:val="auto"/>
              </w:rPr>
            </w:pPr>
          </w:p>
        </w:tc>
        <w:tc>
          <w:tcPr>
            <w:tcW w:w="1420" w:type="dxa"/>
            <w:vAlign w:val="bottom"/>
            <w:shd w:val="clear" w:color="auto" w:fill="E5E5E5"/>
          </w:tcPr>
          <w:p>
            <w:pPr>
              <w:spacing w:after="0"/>
              <w:rPr>
                <w:sz w:val="24"/>
                <w:szCs w:val="24"/>
                <w:color w:val="auto"/>
              </w:rPr>
            </w:pPr>
          </w:p>
        </w:tc>
        <w:tc>
          <w:tcPr>
            <w:tcW w:w="1300" w:type="dxa"/>
            <w:vAlign w:val="bottom"/>
            <w:shd w:val="clear" w:color="auto" w:fill="E5E5E5"/>
          </w:tcPr>
          <w:p>
            <w:pPr>
              <w:spacing w:after="0"/>
              <w:rPr>
                <w:sz w:val="24"/>
                <w:szCs w:val="24"/>
                <w:color w:val="auto"/>
              </w:rPr>
            </w:pPr>
          </w:p>
        </w:tc>
        <w:tc>
          <w:tcPr>
            <w:tcW w:w="254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3-year TSR Percentile Ranking</w:t>
            </w:r>
          </w:p>
        </w:tc>
        <w:tc>
          <w:tcPr>
            <w:tcW w:w="1360" w:type="dxa"/>
            <w:vAlign w:val="bottom"/>
            <w:shd w:val="clear" w:color="auto" w:fill="E5E5E5"/>
          </w:tcPr>
          <w:p>
            <w:pPr>
              <w:jc w:val="center"/>
              <w:spacing w:after="0"/>
              <w:rPr>
                <w:sz w:val="20"/>
                <w:szCs w:val="20"/>
                <w:color w:val="auto"/>
              </w:rPr>
            </w:pPr>
            <w:r>
              <w:rPr>
                <w:rFonts w:ascii="Arial" w:cs="Arial" w:eastAsia="Arial" w:hAnsi="Arial"/>
                <w:sz w:val="16"/>
                <w:szCs w:val="16"/>
                <w:color w:val="auto"/>
                <w:w w:val="98"/>
              </w:rPr>
              <w:t>FY20 — FY22</w:t>
            </w:r>
          </w:p>
        </w:tc>
        <w:tc>
          <w:tcPr>
            <w:tcW w:w="2740" w:type="dxa"/>
            <w:vAlign w:val="bottom"/>
            <w:shd w:val="clear" w:color="auto" w:fill="E5E5E5"/>
          </w:tcPr>
          <w:p>
            <w:pPr>
              <w:jc w:val="center"/>
              <w:ind w:left="38"/>
              <w:spacing w:after="0"/>
              <w:rPr>
                <w:sz w:val="20"/>
                <w:szCs w:val="20"/>
                <w:color w:val="auto"/>
              </w:rPr>
            </w:pPr>
            <w:r>
              <w:rPr>
                <w:rFonts w:ascii="Arial" w:cs="Arial" w:eastAsia="Arial" w:hAnsi="Arial"/>
                <w:sz w:val="16"/>
                <w:szCs w:val="16"/>
                <w:color w:val="auto"/>
              </w:rPr>
              <w:t>Performance Period in Progress</w:t>
            </w:r>
            <w:r>
              <w:rPr>
                <w:rFonts w:ascii="Arial" w:cs="Arial" w:eastAsia="Arial" w:hAnsi="Arial"/>
                <w:sz w:val="16"/>
                <w:szCs w:val="16"/>
                <w:color w:val="0076A8"/>
              </w:rPr>
              <w:t>(1)</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540" w:type="dxa"/>
            <w:vAlign w:val="bottom"/>
          </w:tcPr>
          <w:p>
            <w:pPr>
              <w:jc w:val="center"/>
              <w:spacing w:after="0"/>
              <w:rPr>
                <w:sz w:val="20"/>
                <w:szCs w:val="20"/>
                <w:color w:val="auto"/>
              </w:rPr>
            </w:pPr>
            <w:r>
              <w:rPr>
                <w:rFonts w:ascii="Arial" w:cs="Arial" w:eastAsia="Arial" w:hAnsi="Arial"/>
                <w:sz w:val="16"/>
                <w:szCs w:val="16"/>
                <w:color w:val="auto"/>
              </w:rPr>
              <w:t>Emerging Revenue Growth</w:t>
            </w:r>
          </w:p>
        </w:tc>
        <w:tc>
          <w:tcPr>
            <w:tcW w:w="1360" w:type="dxa"/>
            <w:vAlign w:val="bottom"/>
          </w:tcPr>
          <w:p>
            <w:pPr>
              <w:jc w:val="center"/>
              <w:spacing w:after="0"/>
              <w:rPr>
                <w:sz w:val="20"/>
                <w:szCs w:val="20"/>
                <w:color w:val="auto"/>
              </w:rPr>
            </w:pPr>
            <w:r>
              <w:rPr>
                <w:rFonts w:ascii="Arial" w:cs="Arial" w:eastAsia="Arial" w:hAnsi="Arial"/>
                <w:sz w:val="16"/>
                <w:szCs w:val="16"/>
                <w:color w:val="auto"/>
                <w:w w:val="99"/>
              </w:rPr>
              <w:t>FY21</w:t>
            </w:r>
          </w:p>
        </w:tc>
        <w:tc>
          <w:tcPr>
            <w:tcW w:w="2740" w:type="dxa"/>
            <w:vAlign w:val="bottom"/>
          </w:tcPr>
          <w:p>
            <w:pPr>
              <w:jc w:val="center"/>
              <w:ind w:left="38"/>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1420" w:type="dxa"/>
            <w:vAlign w:val="bottom"/>
          </w:tcPr>
          <w:p>
            <w:pPr>
              <w:spacing w:after="0"/>
              <w:rPr>
                <w:sz w:val="20"/>
                <w:szCs w:val="20"/>
                <w:color w:val="auto"/>
              </w:rPr>
            </w:pPr>
            <w:r>
              <w:rPr>
                <w:rFonts w:ascii="Arial" w:cs="Arial" w:eastAsia="Arial" w:hAnsi="Arial"/>
                <w:sz w:val="16"/>
                <w:szCs w:val="16"/>
                <w:color w:val="auto"/>
              </w:rPr>
              <w:t>FY21</w:t>
            </w:r>
          </w:p>
        </w:tc>
        <w:tc>
          <w:tcPr>
            <w:tcW w:w="1300" w:type="dxa"/>
            <w:vAlign w:val="bottom"/>
          </w:tcPr>
          <w:p>
            <w:pPr>
              <w:jc w:val="center"/>
              <w:ind w:left="57"/>
              <w:spacing w:after="0"/>
              <w:rPr>
                <w:sz w:val="20"/>
                <w:szCs w:val="20"/>
                <w:color w:val="auto"/>
              </w:rPr>
            </w:pPr>
            <w:r>
              <w:rPr>
                <w:rFonts w:ascii="Arial" w:cs="Arial" w:eastAsia="Arial" w:hAnsi="Arial"/>
                <w:sz w:val="16"/>
                <w:szCs w:val="16"/>
                <w:color w:val="auto"/>
                <w:w w:val="99"/>
              </w:rPr>
              <w:t>11/11/2020</w:t>
            </w:r>
          </w:p>
        </w:tc>
        <w:tc>
          <w:tcPr>
            <w:tcW w:w="2540" w:type="dxa"/>
            <w:vAlign w:val="bottom"/>
          </w:tcPr>
          <w:p>
            <w:pPr>
              <w:jc w:val="center"/>
              <w:spacing w:after="0"/>
              <w:rPr>
                <w:sz w:val="20"/>
                <w:szCs w:val="20"/>
                <w:color w:val="auto"/>
              </w:rPr>
            </w:pPr>
            <w:r>
              <w:rPr>
                <w:rFonts w:ascii="Arial" w:cs="Arial" w:eastAsia="Arial" w:hAnsi="Arial"/>
                <w:sz w:val="16"/>
                <w:szCs w:val="16"/>
                <w:color w:val="auto"/>
              </w:rPr>
              <w:t>Design Wins</w:t>
            </w:r>
          </w:p>
        </w:tc>
        <w:tc>
          <w:tcPr>
            <w:tcW w:w="1360" w:type="dxa"/>
            <w:vAlign w:val="bottom"/>
          </w:tcPr>
          <w:p>
            <w:pPr>
              <w:jc w:val="center"/>
              <w:spacing w:after="0"/>
              <w:rPr>
                <w:sz w:val="20"/>
                <w:szCs w:val="20"/>
                <w:color w:val="auto"/>
              </w:rPr>
            </w:pPr>
            <w:r>
              <w:rPr>
                <w:rFonts w:ascii="Arial" w:cs="Arial" w:eastAsia="Arial" w:hAnsi="Arial"/>
                <w:sz w:val="16"/>
                <w:szCs w:val="16"/>
                <w:color w:val="auto"/>
                <w:w w:val="99"/>
              </w:rPr>
              <w:t>FY21</w:t>
            </w:r>
          </w:p>
        </w:tc>
        <w:tc>
          <w:tcPr>
            <w:tcW w:w="2740" w:type="dxa"/>
            <w:vAlign w:val="bottom"/>
          </w:tcPr>
          <w:p>
            <w:pPr>
              <w:jc w:val="center"/>
              <w:ind w:left="38"/>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273"/>
        </w:trPr>
        <w:tc>
          <w:tcPr>
            <w:tcW w:w="40" w:type="dxa"/>
            <w:vAlign w:val="bottom"/>
            <w:tcBorders>
              <w:bottom w:val="single" w:sz="8" w:color="BFBFBF"/>
            </w:tcBorders>
          </w:tcPr>
          <w:p>
            <w:pPr>
              <w:spacing w:after="0"/>
              <w:rPr>
                <w:sz w:val="23"/>
                <w:szCs w:val="23"/>
                <w:color w:val="auto"/>
              </w:rPr>
            </w:pPr>
          </w:p>
        </w:tc>
        <w:tc>
          <w:tcPr>
            <w:tcW w:w="1420" w:type="dxa"/>
            <w:vAlign w:val="bottom"/>
            <w:tcBorders>
              <w:bottom w:val="single" w:sz="8" w:color="BFBFBF"/>
            </w:tcBorders>
          </w:tcPr>
          <w:p>
            <w:pPr>
              <w:spacing w:after="0"/>
              <w:rPr>
                <w:sz w:val="23"/>
                <w:szCs w:val="23"/>
                <w:color w:val="auto"/>
              </w:rPr>
            </w:pPr>
          </w:p>
        </w:tc>
        <w:tc>
          <w:tcPr>
            <w:tcW w:w="1300" w:type="dxa"/>
            <w:vAlign w:val="bottom"/>
            <w:tcBorders>
              <w:bottom w:val="single" w:sz="8" w:color="BFBFBF"/>
            </w:tcBorders>
          </w:tcPr>
          <w:p>
            <w:pPr>
              <w:spacing w:after="0"/>
              <w:rPr>
                <w:sz w:val="23"/>
                <w:szCs w:val="23"/>
                <w:color w:val="auto"/>
              </w:rPr>
            </w:pPr>
          </w:p>
        </w:tc>
        <w:tc>
          <w:tcPr>
            <w:tcW w:w="2540" w:type="dxa"/>
            <w:vAlign w:val="bottom"/>
            <w:tcBorders>
              <w:bottom w:val="single" w:sz="8" w:color="BFBFBF"/>
            </w:tcBorders>
          </w:tcPr>
          <w:p>
            <w:pPr>
              <w:jc w:val="center"/>
              <w:spacing w:after="0"/>
              <w:rPr>
                <w:sz w:val="20"/>
                <w:szCs w:val="20"/>
                <w:color w:val="auto"/>
              </w:rPr>
            </w:pPr>
            <w:r>
              <w:rPr>
                <w:rFonts w:ascii="Arial" w:cs="Arial" w:eastAsia="Arial" w:hAnsi="Arial"/>
                <w:sz w:val="16"/>
                <w:szCs w:val="16"/>
                <w:color w:val="auto"/>
              </w:rPr>
              <w:t>3-year TSR Percentile Ranking</w:t>
            </w:r>
          </w:p>
        </w:tc>
        <w:tc>
          <w:tcPr>
            <w:tcW w:w="1360" w:type="dxa"/>
            <w:vAlign w:val="bottom"/>
            <w:tcBorders>
              <w:bottom w:val="single" w:sz="8" w:color="BFBFBF"/>
            </w:tcBorders>
          </w:tcPr>
          <w:p>
            <w:pPr>
              <w:jc w:val="center"/>
              <w:spacing w:after="0"/>
              <w:rPr>
                <w:sz w:val="20"/>
                <w:szCs w:val="20"/>
                <w:color w:val="auto"/>
              </w:rPr>
            </w:pPr>
            <w:r>
              <w:rPr>
                <w:rFonts w:ascii="Arial" w:cs="Arial" w:eastAsia="Arial" w:hAnsi="Arial"/>
                <w:sz w:val="16"/>
                <w:szCs w:val="16"/>
                <w:color w:val="auto"/>
                <w:w w:val="98"/>
              </w:rPr>
              <w:t>FY21 — FY23</w:t>
            </w:r>
          </w:p>
        </w:tc>
        <w:tc>
          <w:tcPr>
            <w:tcW w:w="2740" w:type="dxa"/>
            <w:vAlign w:val="bottom"/>
            <w:tcBorders>
              <w:bottom w:val="single" w:sz="8" w:color="BFBFBF"/>
            </w:tcBorders>
          </w:tcPr>
          <w:p>
            <w:pPr>
              <w:jc w:val="center"/>
              <w:ind w:left="38"/>
              <w:spacing w:after="0"/>
              <w:rPr>
                <w:sz w:val="20"/>
                <w:szCs w:val="20"/>
                <w:color w:val="auto"/>
              </w:rPr>
            </w:pPr>
            <w:r>
              <w:rPr>
                <w:rFonts w:ascii="Arial" w:cs="Arial" w:eastAsia="Arial" w:hAnsi="Arial"/>
                <w:sz w:val="16"/>
                <w:szCs w:val="16"/>
                <w:color w:val="auto"/>
              </w:rPr>
              <w:t>Performance Period in Progress</w:t>
            </w:r>
            <w:r>
              <w:rPr>
                <w:rFonts w:ascii="Arial" w:cs="Arial" w:eastAsia="Arial" w:hAnsi="Arial"/>
                <w:sz w:val="16"/>
                <w:szCs w:val="16"/>
                <w:color w:val="0076A8"/>
              </w:rPr>
              <w:t>(2)</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1080" w:right="720" w:hanging="354"/>
        <w:spacing w:after="0" w:line="272" w:lineRule="auto"/>
        <w:tabs>
          <w:tab w:leader="none" w:pos="1080" w:val="left"/>
        </w:tabs>
        <w:numPr>
          <w:ilvl w:val="0"/>
          <w:numId w:val="50"/>
        </w:numPr>
        <w:rPr>
          <w:rFonts w:ascii="Arial" w:cs="Arial" w:eastAsia="Arial" w:hAnsi="Arial"/>
          <w:sz w:val="16"/>
          <w:szCs w:val="16"/>
          <w:i w:val="1"/>
          <w:iCs w:val="1"/>
          <w:color w:val="auto"/>
        </w:rPr>
      </w:pPr>
      <w:r>
        <w:rPr>
          <w:rFonts w:ascii="Arial" w:cs="Arial" w:eastAsia="Arial" w:hAnsi="Arial"/>
          <w:sz w:val="16"/>
          <w:szCs w:val="16"/>
          <w:i w:val="1"/>
          <w:iCs w:val="1"/>
          <w:color w:val="auto"/>
        </w:rPr>
        <w:t>As of March 1, 2022, performance under this metric during the applicable performance period is between the “threshold” and “target” levels of performance.</w:t>
      </w:r>
    </w:p>
    <w:p>
      <w:pPr>
        <w:spacing w:after="0" w:line="1" w:lineRule="exact"/>
        <w:rPr>
          <w:rFonts w:ascii="Arial" w:cs="Arial" w:eastAsia="Arial" w:hAnsi="Arial"/>
          <w:sz w:val="16"/>
          <w:szCs w:val="16"/>
          <w:i w:val="1"/>
          <w:iCs w:val="1"/>
          <w:color w:val="auto"/>
        </w:rPr>
      </w:pPr>
    </w:p>
    <w:p>
      <w:pPr>
        <w:ind w:left="1080" w:right="680" w:hanging="354"/>
        <w:spacing w:after="0" w:line="281" w:lineRule="auto"/>
        <w:tabs>
          <w:tab w:leader="none" w:pos="1080" w:val="left"/>
        </w:tabs>
        <w:numPr>
          <w:ilvl w:val="0"/>
          <w:numId w:val="50"/>
        </w:numPr>
        <w:rPr>
          <w:rFonts w:ascii="Arial" w:cs="Arial" w:eastAsia="Arial" w:hAnsi="Arial"/>
          <w:sz w:val="16"/>
          <w:szCs w:val="16"/>
          <w:i w:val="1"/>
          <w:iCs w:val="1"/>
          <w:color w:val="auto"/>
        </w:rPr>
      </w:pPr>
      <w:r>
        <w:rPr>
          <w:rFonts w:ascii="Arial" w:cs="Arial" w:eastAsia="Arial" w:hAnsi="Arial"/>
          <w:sz w:val="16"/>
          <w:szCs w:val="16"/>
          <w:i w:val="1"/>
          <w:iCs w:val="1"/>
          <w:color w:val="auto"/>
        </w:rPr>
        <w:t>As of March 1, 2022, performance under this metric during the applicable performance period is below the “threshold” level of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3080385</wp:posOffset>
            </wp:positionH>
            <wp:positionV relativeFrom="paragraph">
              <wp:posOffset>215265</wp:posOffset>
            </wp:positionV>
            <wp:extent cx="779780" cy="25717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79780" cy="25717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860" w:type="dxa"/>
            <w:vAlign w:val="bottom"/>
          </w:tcPr>
          <w:p>
            <w:pPr>
              <w:ind w:left="660"/>
              <w:spacing w:after="0"/>
              <w:rPr>
                <w:sz w:val="20"/>
                <w:szCs w:val="20"/>
                <w:color w:val="auto"/>
              </w:rPr>
            </w:pPr>
            <w:r>
              <w:rPr>
                <w:rFonts w:ascii="Arial" w:cs="Arial" w:eastAsia="Arial" w:hAnsi="Arial"/>
                <w:sz w:val="16"/>
                <w:szCs w:val="16"/>
                <w:color w:val="auto"/>
              </w:rPr>
              <w:t>Proxy Statement</w:t>
            </w:r>
          </w:p>
        </w:tc>
        <w:tc>
          <w:tcPr>
            <w:tcW w:w="4860" w:type="dxa"/>
            <w:vAlign w:val="bottom"/>
          </w:tcPr>
          <w:p>
            <w:pPr>
              <w:jc w:val="right"/>
              <w:ind w:right="579"/>
              <w:spacing w:after="0"/>
              <w:rPr>
                <w:sz w:val="20"/>
                <w:szCs w:val="20"/>
                <w:color w:val="auto"/>
              </w:rPr>
            </w:pPr>
            <w:r>
              <w:rPr>
                <w:rFonts w:ascii="Arial" w:cs="Arial" w:eastAsia="Arial" w:hAnsi="Arial"/>
                <w:sz w:val="16"/>
                <w:szCs w:val="16"/>
                <w:color w:val="auto"/>
              </w:rPr>
              <w:t>41</w:t>
            </w:r>
          </w:p>
        </w:tc>
      </w:tr>
      <w:tr>
        <w:trPr>
          <w:trHeight w:val="297"/>
        </w:trPr>
        <w:tc>
          <w:tcPr>
            <w:tcW w:w="5860" w:type="dxa"/>
            <w:vAlign w:val="bottom"/>
            <w:tcBorders>
              <w:bottom w:val="single" w:sz="8" w:color="9A9A9A"/>
            </w:tcBorders>
          </w:tcPr>
          <w:p>
            <w:pPr>
              <w:spacing w:after="0"/>
              <w:rPr>
                <w:sz w:val="24"/>
                <w:szCs w:val="24"/>
                <w:color w:val="auto"/>
              </w:rPr>
            </w:pPr>
          </w:p>
        </w:tc>
        <w:tc>
          <w:tcPr>
            <w:tcW w:w="4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type w:val="continuous"/>
        </w:sectPr>
      </w:pPr>
    </w:p>
    <w:bookmarkStart w:id="46" w:name="page47"/>
    <w:bookmarkEnd w:id="46"/>
    <w:p>
      <w:pPr>
        <w:spacing w:after="0"/>
        <w:rPr>
          <w:rFonts w:ascii="Arial" w:cs="Arial" w:eastAsia="Arial" w:hAnsi="Arial"/>
          <w:sz w:val="14"/>
          <w:szCs w:val="14"/>
          <w:color w:val="003366"/>
        </w:rPr>
      </w:pPr>
      <w:hyperlink w:anchor="page35">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67"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0076A8"/>
        </w:rPr>
        <w:t>Other Compensation and Benefits</w:t>
      </w:r>
    </w:p>
    <w:p>
      <w:pPr>
        <w:spacing w:after="0" w:line="150" w:lineRule="exact"/>
        <w:rPr>
          <w:sz w:val="20"/>
          <w:szCs w:val="20"/>
          <w:color w:val="auto"/>
        </w:rPr>
      </w:pPr>
    </w:p>
    <w:p>
      <w:pPr>
        <w:ind w:left="660"/>
        <w:spacing w:after="0" w:line="268" w:lineRule="auto"/>
        <w:rPr>
          <w:sz w:val="20"/>
          <w:szCs w:val="20"/>
          <w:color w:val="auto"/>
        </w:rPr>
      </w:pPr>
      <w:r>
        <w:rPr>
          <w:rFonts w:ascii="Arial" w:cs="Arial" w:eastAsia="Arial" w:hAnsi="Arial"/>
          <w:sz w:val="19"/>
          <w:szCs w:val="19"/>
          <w:color w:val="191919"/>
        </w:rPr>
        <w:t>We provide other benefits to our executive officers that are intended to be part of a competitive overall compensation program and are not tied to any company performance criteria. Consistent with our objective of having compensation programs that are considered fair to our employees, executive officers are eligible to participate in the Company’s medical, dental, vision, life, and disability insurance plans, as well as the Company’s 401(k) Savings and Investment Plan and Employee Stock Purchase Plan, under the same terms as such benefits are offered to other benefits-eligible employees. We do not provide executive officers with any enhanced retirement benefits (i.e., executive officers are subject to the same limits on contributions as other employees, as we do not offer any supplemental executive retirement plan or other similar non-qualified deferred compensation plan), and they are eligible for 401(k) company-match contributions under the same terms as other employees.</w:t>
      </w:r>
    </w:p>
    <w:p>
      <w:pPr>
        <w:spacing w:after="0" w:line="200" w:lineRule="exact"/>
        <w:rPr>
          <w:sz w:val="20"/>
          <w:szCs w:val="20"/>
          <w:color w:val="auto"/>
        </w:rPr>
      </w:pPr>
    </w:p>
    <w:p>
      <w:pPr>
        <w:spacing w:after="0" w:line="239" w:lineRule="exact"/>
        <w:rPr>
          <w:sz w:val="20"/>
          <w:szCs w:val="20"/>
          <w:color w:val="auto"/>
        </w:rPr>
      </w:pPr>
    </w:p>
    <w:p>
      <w:pPr>
        <w:ind w:left="660" w:right="40"/>
        <w:spacing w:after="0" w:line="268" w:lineRule="auto"/>
        <w:rPr>
          <w:sz w:val="20"/>
          <w:szCs w:val="20"/>
          <w:color w:val="auto"/>
        </w:rPr>
      </w:pPr>
      <w:r>
        <w:rPr>
          <w:rFonts w:ascii="Arial" w:cs="Arial" w:eastAsia="Arial" w:hAnsi="Arial"/>
          <w:sz w:val="19"/>
          <w:szCs w:val="19"/>
          <w:color w:val="191919"/>
        </w:rPr>
        <w:t>We offered executives the opportunity to participate in a reimbursement program for fiscal year 2021 providing up to an aggregate of $20,000 to each executive for the purchase of financial planning services, estate planning services, personal tax planning and preparation services, and/or an executive physical. No tax gross-up was provided for such reimbursements. In fiscal year 2021, each of the Named Executive Officers, with the exception of Ms. Durham, received reimbursement in connection with such services.</w:t>
      </w:r>
    </w:p>
    <w:p>
      <w:pPr>
        <w:spacing w:after="0" w:line="239" w:lineRule="exact"/>
        <w:rPr>
          <w:sz w:val="20"/>
          <w:szCs w:val="20"/>
          <w:color w:val="auto"/>
        </w:rPr>
      </w:pPr>
    </w:p>
    <w:p>
      <w:pPr>
        <w:ind w:left="660" w:right="720"/>
        <w:spacing w:after="0" w:line="273" w:lineRule="auto"/>
        <w:rPr>
          <w:sz w:val="20"/>
          <w:szCs w:val="20"/>
          <w:color w:val="auto"/>
        </w:rPr>
      </w:pPr>
      <w:r>
        <w:rPr>
          <w:rFonts w:ascii="Arial" w:cs="Arial" w:eastAsia="Arial" w:hAnsi="Arial"/>
          <w:sz w:val="23"/>
          <w:szCs w:val="23"/>
          <w:b w:val="1"/>
          <w:bCs w:val="1"/>
          <w:i w:val="1"/>
          <w:iCs w:val="1"/>
          <w:color w:val="auto"/>
        </w:rPr>
        <w:t>Severance and Change-in-Control Benefits</w:t>
      </w:r>
    </w:p>
    <w:p>
      <w:pPr>
        <w:spacing w:after="0" w:line="80" w:lineRule="exact"/>
        <w:rPr>
          <w:sz w:val="20"/>
          <w:szCs w:val="20"/>
          <w:color w:val="auto"/>
        </w:rPr>
      </w:pPr>
    </w:p>
    <w:p>
      <w:pPr>
        <w:ind w:left="660" w:right="100"/>
        <w:spacing w:after="0" w:line="269" w:lineRule="auto"/>
        <w:rPr>
          <w:sz w:val="20"/>
          <w:szCs w:val="20"/>
          <w:color w:val="auto"/>
        </w:rPr>
      </w:pPr>
      <w:r>
        <w:rPr>
          <w:rFonts w:ascii="Arial" w:cs="Arial" w:eastAsia="Arial" w:hAnsi="Arial"/>
          <w:sz w:val="19"/>
          <w:szCs w:val="19"/>
          <w:color w:val="191919"/>
        </w:rPr>
        <w:t>None of our executive officers, including the Named Executive Officers, has an employment agreement that provides a specific term of employment with the Company. Accordingly, the employment of any such employee may be terminated at any time. We do provide certain benefits to our Named Executive Officers upon certain qualifying terminations of employment and in connection with terminations of employment under certain circumstances following a change in</w:t>
      </w:r>
    </w:p>
    <w:p>
      <w:pPr>
        <w:spacing w:after="0" w:line="200" w:lineRule="exact"/>
        <w:rPr>
          <w:sz w:val="20"/>
          <w:szCs w:val="20"/>
          <w:color w:val="auto"/>
        </w:rPr>
      </w:pPr>
    </w:p>
    <w:p>
      <w:pPr>
        <w:spacing w:after="0" w:line="25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191919"/>
        </w:rPr>
        <w:t>control. A description of the material terms of our</w:t>
      </w:r>
    </w:p>
    <w:p>
      <w:pPr>
        <w:spacing w:after="0"/>
        <w:rPr>
          <w:sz w:val="20"/>
          <w:szCs w:val="20"/>
          <w:color w:val="auto"/>
        </w:rPr>
      </w:pPr>
      <w:r>
        <w:rPr>
          <w:rFonts w:ascii="Arial" w:cs="Arial" w:eastAsia="Arial" w:hAnsi="Arial"/>
          <w:sz w:val="20"/>
          <w:szCs w:val="20"/>
          <w:color w:val="191919"/>
        </w:rPr>
        <w:t>severance and change-in-control arrangements</w:t>
      </w:r>
    </w:p>
    <w:p>
      <w:pPr>
        <w:spacing w:after="0"/>
        <w:rPr>
          <w:sz w:val="20"/>
          <w:szCs w:val="20"/>
          <w:color w:val="auto"/>
        </w:rPr>
      </w:pPr>
      <w:r>
        <w:rPr>
          <w:rFonts w:ascii="Arial" w:cs="Arial" w:eastAsia="Arial" w:hAnsi="Arial"/>
          <w:sz w:val="20"/>
          <w:szCs w:val="20"/>
          <w:color w:val="191919"/>
        </w:rPr>
        <w:t>with the Named Executive Officers can be found</w:t>
      </w:r>
    </w:p>
    <w:p>
      <w:pPr>
        <w:spacing w:after="0"/>
        <w:rPr>
          <w:sz w:val="20"/>
          <w:szCs w:val="20"/>
          <w:color w:val="auto"/>
        </w:rPr>
      </w:pPr>
      <w:r>
        <w:rPr>
          <w:rFonts w:ascii="Arial" w:cs="Arial" w:eastAsia="Arial" w:hAnsi="Arial"/>
          <w:sz w:val="20"/>
          <w:szCs w:val="20"/>
          <w:color w:val="191919"/>
        </w:rPr>
        <w:t>immediately below and further below under</w:t>
      </w:r>
    </w:p>
    <w:p>
      <w:pPr>
        <w:spacing w:after="0"/>
        <w:rPr>
          <w:sz w:val="20"/>
          <w:szCs w:val="20"/>
          <w:color w:val="auto"/>
        </w:rPr>
      </w:pPr>
      <w:r>
        <w:rPr>
          <w:rFonts w:ascii="Arial" w:cs="Arial" w:eastAsia="Arial" w:hAnsi="Arial"/>
          <w:sz w:val="20"/>
          <w:szCs w:val="20"/>
          <w:color w:val="191919"/>
        </w:rPr>
        <w:t>“</w:t>
      </w:r>
      <w:r>
        <w:rPr>
          <w:rFonts w:ascii="Arial" w:cs="Arial" w:eastAsia="Arial" w:hAnsi="Arial"/>
          <w:sz w:val="20"/>
          <w:szCs w:val="20"/>
          <w:i w:val="1"/>
          <w:iCs w:val="1"/>
          <w:color w:val="000000"/>
        </w:rPr>
        <w:t>Potential Payments Upon Termination or Change</w:t>
      </w:r>
    </w:p>
    <w:p>
      <w:pPr>
        <w:spacing w:after="0"/>
        <w:rPr>
          <w:sz w:val="20"/>
          <w:szCs w:val="20"/>
          <w:color w:val="auto"/>
        </w:rPr>
      </w:pPr>
      <w:r>
        <w:rPr>
          <w:rFonts w:ascii="Arial" w:cs="Arial" w:eastAsia="Arial" w:hAnsi="Arial"/>
          <w:sz w:val="20"/>
          <w:szCs w:val="20"/>
          <w:i w:val="1"/>
          <w:iCs w:val="1"/>
          <w:color w:val="auto"/>
        </w:rPr>
        <w:t>in Control.</w:t>
      </w:r>
      <w:r>
        <w:rPr>
          <w:rFonts w:ascii="Arial" w:cs="Arial" w:eastAsia="Arial" w:hAnsi="Arial"/>
          <w:sz w:val="20"/>
          <w:szCs w:val="20"/>
          <w:color w:val="191919"/>
        </w:rPr>
        <w:t>”</w:t>
      </w:r>
    </w:p>
    <w:p>
      <w:pPr>
        <w:spacing w:after="0" w:line="216" w:lineRule="exact"/>
        <w:rPr>
          <w:sz w:val="20"/>
          <w:szCs w:val="20"/>
          <w:color w:val="auto"/>
        </w:rPr>
      </w:pPr>
    </w:p>
    <w:p>
      <w:pPr>
        <w:ind w:right="20"/>
        <w:spacing w:after="0" w:line="253" w:lineRule="auto"/>
        <w:rPr>
          <w:sz w:val="20"/>
          <w:szCs w:val="20"/>
          <w:color w:val="auto"/>
        </w:rPr>
      </w:pPr>
      <w:r>
        <w:rPr>
          <w:rFonts w:ascii="Arial" w:cs="Arial" w:eastAsia="Arial" w:hAnsi="Arial"/>
          <w:sz w:val="19"/>
          <w:szCs w:val="19"/>
          <w:color w:val="191919"/>
        </w:rPr>
        <w:t>The Compensation Committee believes that severance protections can play a valuable role in recruiting and retaining superior talent. Severance and other termination benefits are an effective way to offer executives financial security to incent them to forego an opportunity with another company. These agreements also protect the Company as the Named Executive Officers are bound by non-solicit covenants for a period of twelve (12) months after termination of employment. Outside of the change-in-control context, each Named Executive Officer is entitled to severance benefits if his or her employment is involuntarily terminated by the Company without cause and, in the case of the Chief Executive Officer, if he terminates his own employment for good reason (as defined in the Chief Executive Officer’s change-in-control agreement). The level of each Named Executive Officer’s cash severance or other termination benefit is generally tied to his or her annual base salary and short-term incentive amounts.</w:t>
      </w:r>
    </w:p>
    <w:p>
      <w:pPr>
        <w:spacing w:after="0" w:line="199" w:lineRule="exact"/>
        <w:rPr>
          <w:sz w:val="20"/>
          <w:szCs w:val="20"/>
          <w:color w:val="auto"/>
        </w:rPr>
      </w:pPr>
    </w:p>
    <w:p>
      <w:pPr>
        <w:spacing w:after="0" w:line="239" w:lineRule="auto"/>
        <w:rPr>
          <w:sz w:val="20"/>
          <w:szCs w:val="20"/>
          <w:color w:val="auto"/>
        </w:rPr>
      </w:pPr>
      <w:r>
        <w:rPr>
          <w:rFonts w:ascii="Arial" w:cs="Arial" w:eastAsia="Arial" w:hAnsi="Arial"/>
          <w:sz w:val="20"/>
          <w:szCs w:val="20"/>
          <w:color w:val="191919"/>
        </w:rPr>
        <w:t>Additionally, each Named Executive Officer would receive enhanced severance benefits and accelerated vesting of equity awards if his or her employment were terminated under certain circumstances in connection with a change in control of the Company. These benefits are described in detail further below under “</w:t>
      </w:r>
      <w:r>
        <w:rPr>
          <w:rFonts w:ascii="Arial" w:cs="Arial" w:eastAsia="Arial" w:hAnsi="Arial"/>
          <w:sz w:val="20"/>
          <w:szCs w:val="20"/>
          <w:i w:val="1"/>
          <w:iCs w:val="1"/>
          <w:color w:val="191919"/>
        </w:rPr>
        <w:t>Potential</w:t>
      </w:r>
      <w:r>
        <w:rPr>
          <w:rFonts w:ascii="Arial" w:cs="Arial" w:eastAsia="Arial" w:hAnsi="Arial"/>
          <w:sz w:val="20"/>
          <w:szCs w:val="20"/>
          <w:color w:val="191919"/>
        </w:rPr>
        <w:t xml:space="preserve"> </w:t>
      </w:r>
      <w:r>
        <w:rPr>
          <w:rFonts w:ascii="Arial" w:cs="Arial" w:eastAsia="Arial" w:hAnsi="Arial"/>
          <w:sz w:val="20"/>
          <w:szCs w:val="20"/>
          <w:i w:val="1"/>
          <w:iCs w:val="1"/>
          <w:color w:val="191919"/>
        </w:rPr>
        <w:t>Payments Upon Termination or Change in Control.</w:t>
      </w:r>
      <w:r>
        <w:rPr>
          <w:rFonts w:ascii="Arial" w:cs="Arial" w:eastAsia="Arial" w:hAnsi="Arial"/>
          <w:sz w:val="20"/>
          <w:szCs w:val="20"/>
          <w:color w:val="191919"/>
        </w:rPr>
        <w:t>”</w:t>
      </w:r>
      <w:r>
        <w:rPr>
          <w:rFonts w:ascii="Arial" w:cs="Arial" w:eastAsia="Arial" w:hAnsi="Arial"/>
          <w:sz w:val="20"/>
          <w:szCs w:val="20"/>
          <w:i w:val="1"/>
          <w:iCs w:val="1"/>
          <w:color w:val="191919"/>
        </w:rPr>
        <w:t xml:space="preserve"> </w:t>
      </w:r>
      <w:r>
        <w:rPr>
          <w:rFonts w:ascii="Arial" w:cs="Arial" w:eastAsia="Arial" w:hAnsi="Arial"/>
          <w:sz w:val="20"/>
          <w:szCs w:val="20"/>
          <w:color w:val="191919"/>
        </w:rPr>
        <w:t>The Compensation Committee believes these enhanced severance benefits and accelerated vesting are appropriate because the occurrence, or potential occurrence, of a change-in-control transaction would likely create uncertainty regarding the continued employment of executive officers that typically occurs in a change-in-control context, and such severance benefits and accelerated vesting encourage the Named Executive Officers to remain employed with the Company through the change-in-control process and to focus on enhancing stockholder value both before and during the process.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-471170</wp:posOffset>
            </wp:positionH>
            <wp:positionV relativeFrom="paragraph">
              <wp:posOffset>420370</wp:posOffset>
            </wp:positionV>
            <wp:extent cx="779780" cy="25717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7978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280"/>
        <w:spacing w:after="0"/>
        <w:rPr>
          <w:sz w:val="20"/>
          <w:szCs w:val="20"/>
          <w:color w:val="auto"/>
        </w:rPr>
      </w:pP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-3552190</wp:posOffset>
            </wp:positionH>
            <wp:positionV relativeFrom="paragraph">
              <wp:posOffset>177800</wp:posOffset>
            </wp:positionV>
            <wp:extent cx="683196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2">
            <w:col w:w="5140" w:space="440"/>
            <w:col w:w="4480"/>
          </w:cols>
          <w:pgMar w:left="580" w:top="132" w:right="1259" w:bottom="1440" w:gutter="0" w:footer="0" w:header="0"/>
        </w:sectPr>
      </w:pPr>
    </w:p>
    <w:bookmarkStart w:id="47" w:name="page48"/>
    <w:bookmarkEnd w:id="47"/>
    <w:p>
      <w:pPr>
        <w:spacing w:after="0"/>
        <w:rPr>
          <w:rFonts w:ascii="Arial" w:cs="Arial" w:eastAsia="Arial" w:hAnsi="Arial"/>
          <w:sz w:val="14"/>
          <w:szCs w:val="14"/>
          <w:color w:val="003366"/>
        </w:rPr>
      </w:pPr>
      <w:hyperlink w:anchor="page35">
        <w:r>
          <w:rPr>
            <w:rFonts w:ascii="Arial" w:cs="Arial" w:eastAsia="Arial" w:hAnsi="Arial"/>
            <w:sz w:val="14"/>
            <w:szCs w:val="14"/>
            <w:color w:val="003366"/>
          </w:rPr>
          <w:t>TABLE OF CONTENTS</w:t>
        </w:r>
      </w:hyperlink>
    </w:p>
    <w:p>
      <w:pPr>
        <w:sectPr>
          <w:pgSz w:w="11900" w:h="16838" w:orient="portrait"/>
          <w:cols w:equalWidth="0" w:num="1">
            <w:col w:w="10720"/>
          </w:cols>
          <w:pgMar w:left="580" w:top="132" w:right="599" w:bottom="1440" w:gutter="0" w:footer="0" w:header="0"/>
        </w:sectPr>
      </w:pPr>
    </w:p>
    <w:p>
      <w:pPr>
        <w:spacing w:after="0" w:line="200" w:lineRule="exact"/>
        <w:rPr>
          <w:sz w:val="20"/>
          <w:szCs w:val="20"/>
          <w:color w:val="auto"/>
        </w:rPr>
      </w:pPr>
    </w:p>
    <w:p>
      <w:pPr>
        <w:spacing w:after="0" w:line="278" w:lineRule="exact"/>
        <w:rPr>
          <w:sz w:val="20"/>
          <w:szCs w:val="20"/>
          <w:color w:val="auto"/>
        </w:rPr>
      </w:pPr>
    </w:p>
    <w:p>
      <w:pPr>
        <w:ind w:left="660"/>
        <w:spacing w:after="0" w:line="241" w:lineRule="auto"/>
        <w:rPr>
          <w:sz w:val="20"/>
          <w:szCs w:val="20"/>
          <w:color w:val="auto"/>
        </w:rPr>
      </w:pPr>
      <w:r>
        <w:rPr>
          <w:rFonts w:ascii="Arial" w:cs="Arial" w:eastAsia="Arial" w:hAnsi="Arial"/>
          <w:sz w:val="20"/>
          <w:szCs w:val="20"/>
          <w:color w:val="191919"/>
        </w:rPr>
        <w:t>addition, the vesting protection helps assure the Named Executive Officers that they will not lose the expected value of their equity awards because of a change in control of the Company.</w:t>
      </w:r>
    </w:p>
    <w:p>
      <w:pPr>
        <w:spacing w:after="0" w:line="258" w:lineRule="exact"/>
        <w:rPr>
          <w:sz w:val="20"/>
          <w:szCs w:val="20"/>
          <w:color w:val="auto"/>
        </w:rPr>
      </w:pPr>
    </w:p>
    <w:p>
      <w:pPr>
        <w:ind w:left="660" w:right="520"/>
        <w:spacing w:after="0" w:line="273" w:lineRule="auto"/>
        <w:rPr>
          <w:sz w:val="20"/>
          <w:szCs w:val="20"/>
          <w:color w:val="auto"/>
        </w:rPr>
      </w:pPr>
      <w:r>
        <w:rPr>
          <w:rFonts w:ascii="Arial" w:cs="Arial" w:eastAsia="Arial" w:hAnsi="Arial"/>
          <w:sz w:val="23"/>
          <w:szCs w:val="23"/>
          <w:b w:val="1"/>
          <w:bCs w:val="1"/>
          <w:i w:val="1"/>
          <w:iCs w:val="1"/>
          <w:color w:val="auto"/>
        </w:rPr>
        <w:t>Executive Officer Stock Ownership Requirements</w:t>
      </w:r>
    </w:p>
    <w:p>
      <w:pPr>
        <w:spacing w:after="0" w:line="66" w:lineRule="exact"/>
        <w:rPr>
          <w:sz w:val="20"/>
          <w:szCs w:val="20"/>
          <w:color w:val="auto"/>
        </w:rPr>
      </w:pPr>
    </w:p>
    <w:p>
      <w:pPr>
        <w:ind w:left="660" w:right="40"/>
        <w:spacing w:after="0" w:line="262" w:lineRule="auto"/>
        <w:rPr>
          <w:sz w:val="20"/>
          <w:szCs w:val="20"/>
          <w:color w:val="auto"/>
        </w:rPr>
      </w:pPr>
      <w:r>
        <w:rPr>
          <w:rFonts w:ascii="Arial" w:cs="Arial" w:eastAsia="Arial" w:hAnsi="Arial"/>
          <w:sz w:val="19"/>
          <w:szCs w:val="19"/>
          <w:color w:val="191919"/>
        </w:rPr>
        <w:t>We have adopted Executive Stock Ownership guidelines with the objective of more closely aligning the interests of our executive officers with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1" w:lineRule="exact"/>
        <w:rPr>
          <w:sz w:val="20"/>
          <w:szCs w:val="20"/>
          <w:color w:val="auto"/>
        </w:rPr>
      </w:pPr>
    </w:p>
    <w:p>
      <w:pPr>
        <w:ind w:right="880"/>
        <w:spacing w:after="0" w:line="254" w:lineRule="auto"/>
        <w:rPr>
          <w:sz w:val="20"/>
          <w:szCs w:val="20"/>
          <w:color w:val="auto"/>
        </w:rPr>
      </w:pPr>
      <w:r>
        <w:rPr>
          <w:rFonts w:ascii="Arial" w:cs="Arial" w:eastAsia="Arial" w:hAnsi="Arial"/>
          <w:sz w:val="20"/>
          <w:szCs w:val="20"/>
          <w:color w:val="191919"/>
        </w:rPr>
        <w:t xml:space="preserve">those of our stockholders. Under the Executive Officer Ownership guidelines, our Named Executive Officers are each required to hold the </w:t>
      </w:r>
      <w:r>
        <w:rPr>
          <w:rFonts w:ascii="Arial" w:cs="Arial" w:eastAsia="Arial" w:hAnsi="Arial"/>
          <w:sz w:val="20"/>
          <w:szCs w:val="20"/>
          <w:i w:val="1"/>
          <w:iCs w:val="1"/>
          <w:color w:val="000000"/>
        </w:rPr>
        <w:t xml:space="preserve">lower </w:t>
      </w:r>
      <w:r>
        <w:rPr>
          <w:rFonts w:ascii="Arial" w:cs="Arial" w:eastAsia="Arial" w:hAnsi="Arial"/>
          <w:sz w:val="20"/>
          <w:szCs w:val="20"/>
          <w:color w:val="191919"/>
        </w:rPr>
        <w:t>of (a) the number of shares with a fair</w:t>
      </w:r>
      <w:r>
        <w:rPr>
          <w:rFonts w:ascii="Arial" w:cs="Arial" w:eastAsia="Arial" w:hAnsi="Arial"/>
          <w:sz w:val="20"/>
          <w:szCs w:val="20"/>
          <w:i w:val="1"/>
          <w:iCs w:val="1"/>
          <w:color w:val="000000"/>
        </w:rPr>
        <w:t xml:space="preserve"> </w:t>
      </w:r>
      <w:r>
        <w:rPr>
          <w:rFonts w:ascii="Arial" w:cs="Arial" w:eastAsia="Arial" w:hAnsi="Arial"/>
          <w:sz w:val="20"/>
          <w:szCs w:val="20"/>
          <w:color w:val="191919"/>
        </w:rPr>
        <w:t>market value equal to the applicable multiple of such executive’s current base salary, or (b) the applicable number of shares, each as set forth in the table below. All of our Named Executive Officers are in compliance with the stock ownership guidelines as of the date hereof.</w:t>
      </w:r>
    </w:p>
    <w:p>
      <w:pPr>
        <w:spacing w:after="0" w:line="317" w:lineRule="exact"/>
        <w:rPr>
          <w:sz w:val="20"/>
          <w:szCs w:val="20"/>
          <w:color w:val="auto"/>
        </w:rPr>
      </w:pPr>
    </w:p>
    <w:p>
      <w:pPr>
        <w:sectPr>
          <w:pgSz w:w="11900" w:h="16838" w:orient="portrait"/>
          <w:cols w:equalWidth="0" w:num="2">
            <w:col w:w="5060" w:space="520"/>
            <w:col w:w="5140"/>
          </w:cols>
          <w:pgMar w:left="580" w:top="132" w:right="599" w:bottom="1440" w:gutter="0" w:footer="0" w:header="0"/>
          <w:type w:val="continuous"/>
        </w:sectPr>
      </w:pPr>
    </w:p>
    <w:p>
      <w:pPr>
        <w:spacing w:after="0" w:line="33" w:lineRule="exact"/>
        <w:rPr>
          <w:sz w:val="20"/>
          <w:szCs w:val="20"/>
          <w:color w:val="auto"/>
        </w:rPr>
      </w:pPr>
    </w:p>
    <w:tbl>
      <w:tblPr>
        <w:tblLayout w:type="fixed"/>
        <w:tblInd w:w="660" w:type="dxa"/>
        <w:tblCellMar>
          <w:top w:w="0" w:type="dxa"/>
          <w:left w:w="0" w:type="dxa"/>
          <w:bottom w:w="0" w:type="dxa"/>
          <w:right w:w="0" w:type="dxa"/>
        </w:tblCellMar>
      </w:tblPr>
      <w:tr>
        <w:trPr>
          <w:trHeight w:val="229"/>
        </w:trPr>
        <w:tc>
          <w:tcPr>
            <w:tcW w:w="5100" w:type="dxa"/>
            <w:vAlign w:val="bottom"/>
            <w:shd w:val="clear" w:color="auto" w:fill="0076A8"/>
          </w:tcPr>
          <w:p>
            <w:pPr>
              <w:spacing w:after="0"/>
              <w:rPr>
                <w:sz w:val="19"/>
                <w:szCs w:val="19"/>
                <w:color w:val="auto"/>
              </w:rPr>
            </w:pPr>
          </w:p>
        </w:tc>
        <w:tc>
          <w:tcPr>
            <w:tcW w:w="3520" w:type="dxa"/>
            <w:vAlign w:val="bottom"/>
            <w:shd w:val="clear" w:color="auto" w:fill="0076A8"/>
          </w:tcPr>
          <w:p>
            <w:pPr>
              <w:jc w:val="right"/>
              <w:ind w:right="76"/>
              <w:spacing w:after="0"/>
              <w:rPr>
                <w:sz w:val="20"/>
                <w:szCs w:val="20"/>
                <w:color w:val="auto"/>
              </w:rPr>
            </w:pPr>
            <w:r>
              <w:rPr>
                <w:rFonts w:ascii="Arial" w:cs="Arial" w:eastAsia="Arial" w:hAnsi="Arial"/>
                <w:sz w:val="18"/>
                <w:szCs w:val="18"/>
                <w:color w:val="FFFFFF"/>
              </w:rPr>
              <w:t>Multiple of Annual</w:t>
            </w:r>
          </w:p>
        </w:tc>
        <w:tc>
          <w:tcPr>
            <w:tcW w:w="780" w:type="dxa"/>
            <w:vAlign w:val="bottom"/>
            <w:shd w:val="clear" w:color="auto" w:fill="0076A8"/>
          </w:tcPr>
          <w:p>
            <w:pPr>
              <w:spacing w:after="0"/>
              <w:rPr>
                <w:sz w:val="19"/>
                <w:szCs w:val="19"/>
                <w:color w:val="auto"/>
              </w:rPr>
            </w:pPr>
          </w:p>
        </w:tc>
      </w:tr>
      <w:tr>
        <w:trPr>
          <w:trHeight w:val="230"/>
        </w:trPr>
        <w:tc>
          <w:tcPr>
            <w:tcW w:w="5100" w:type="dxa"/>
            <w:vAlign w:val="bottom"/>
            <w:shd w:val="clear" w:color="auto" w:fill="0076A8"/>
          </w:tcPr>
          <w:p>
            <w:pPr>
              <w:spacing w:after="0"/>
              <w:rPr>
                <w:sz w:val="20"/>
                <w:szCs w:val="20"/>
                <w:color w:val="auto"/>
              </w:rPr>
            </w:pPr>
          </w:p>
        </w:tc>
        <w:tc>
          <w:tcPr>
            <w:tcW w:w="3520" w:type="dxa"/>
            <w:vAlign w:val="bottom"/>
            <w:shd w:val="clear" w:color="auto" w:fill="0076A8"/>
          </w:tcPr>
          <w:p>
            <w:pPr>
              <w:jc w:val="right"/>
              <w:ind w:right="196"/>
              <w:spacing w:after="0"/>
              <w:rPr>
                <w:sz w:val="20"/>
                <w:szCs w:val="20"/>
                <w:color w:val="auto"/>
              </w:rPr>
            </w:pPr>
            <w:r>
              <w:rPr>
                <w:rFonts w:ascii="Arial" w:cs="Arial" w:eastAsia="Arial" w:hAnsi="Arial"/>
                <w:sz w:val="18"/>
                <w:szCs w:val="18"/>
                <w:color w:val="FFFFFF"/>
              </w:rPr>
              <w:t>Base Salary(1)</w:t>
            </w:r>
          </w:p>
        </w:tc>
        <w:tc>
          <w:tcPr>
            <w:tcW w:w="780" w:type="dxa"/>
            <w:vAlign w:val="bottom"/>
            <w:shd w:val="clear" w:color="auto" w:fill="0076A8"/>
          </w:tcPr>
          <w:p>
            <w:pPr>
              <w:jc w:val="right"/>
              <w:spacing w:after="0"/>
              <w:rPr>
                <w:sz w:val="20"/>
                <w:szCs w:val="20"/>
                <w:color w:val="auto"/>
              </w:rPr>
            </w:pPr>
            <w:r>
              <w:rPr>
                <w:rFonts w:ascii="Arial" w:cs="Arial" w:eastAsia="Arial" w:hAnsi="Arial"/>
                <w:sz w:val="18"/>
                <w:szCs w:val="18"/>
                <w:color w:val="FFFFFF"/>
              </w:rPr>
              <w:t>Shares</w:t>
            </w:r>
          </w:p>
        </w:tc>
      </w:tr>
      <w:tr>
        <w:trPr>
          <w:trHeight w:val="270"/>
        </w:trPr>
        <w:tc>
          <w:tcPr>
            <w:tcW w:w="5100" w:type="dxa"/>
            <w:vAlign w:val="bottom"/>
            <w:shd w:val="clear" w:color="auto" w:fill="E5E5E5"/>
          </w:tcPr>
          <w:p>
            <w:pPr>
              <w:ind w:left="40"/>
              <w:spacing w:after="0"/>
              <w:rPr>
                <w:sz w:val="20"/>
                <w:szCs w:val="20"/>
                <w:color w:val="auto"/>
              </w:rPr>
            </w:pPr>
            <w:r>
              <w:rPr>
                <w:rFonts w:ascii="Arial" w:cs="Arial" w:eastAsia="Arial" w:hAnsi="Arial"/>
                <w:sz w:val="16"/>
                <w:szCs w:val="16"/>
                <w:color w:val="auto"/>
              </w:rPr>
              <w:t>Chief Executive Officer</w:t>
            </w:r>
          </w:p>
        </w:tc>
        <w:tc>
          <w:tcPr>
            <w:tcW w:w="3520" w:type="dxa"/>
            <w:vAlign w:val="bottom"/>
            <w:shd w:val="clear" w:color="auto" w:fill="E5E5E5"/>
          </w:tcPr>
          <w:p>
            <w:pPr>
              <w:jc w:val="right"/>
              <w:ind w:right="676"/>
              <w:spacing w:after="0"/>
              <w:rPr>
                <w:sz w:val="20"/>
                <w:szCs w:val="20"/>
                <w:color w:val="auto"/>
              </w:rPr>
            </w:pPr>
            <w:r>
              <w:rPr>
                <w:rFonts w:ascii="Arial" w:cs="Arial" w:eastAsia="Arial" w:hAnsi="Arial"/>
                <w:sz w:val="16"/>
                <w:szCs w:val="16"/>
                <w:color w:val="auto"/>
              </w:rPr>
              <w:t>6</w:t>
            </w: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107,500</w:t>
            </w:r>
          </w:p>
        </w:tc>
      </w:tr>
      <w:tr>
        <w:trPr>
          <w:trHeight w:val="267"/>
        </w:trPr>
        <w:tc>
          <w:tcPr>
            <w:tcW w:w="5100" w:type="dxa"/>
            <w:vAlign w:val="bottom"/>
          </w:tcPr>
          <w:p>
            <w:pPr>
              <w:ind w:left="40"/>
              <w:spacing w:after="0"/>
              <w:rPr>
                <w:sz w:val="20"/>
                <w:szCs w:val="20"/>
                <w:color w:val="auto"/>
              </w:rPr>
            </w:pPr>
            <w:r>
              <w:rPr>
                <w:rFonts w:ascii="Arial" w:cs="Arial" w:eastAsia="Arial" w:hAnsi="Arial"/>
                <w:sz w:val="16"/>
                <w:szCs w:val="16"/>
                <w:color w:val="auto"/>
              </w:rPr>
              <w:t>Chief Financial Officer</w:t>
            </w:r>
          </w:p>
        </w:tc>
        <w:tc>
          <w:tcPr>
            <w:tcW w:w="3520" w:type="dxa"/>
            <w:vAlign w:val="bottom"/>
          </w:tcPr>
          <w:p>
            <w:pPr>
              <w:jc w:val="right"/>
              <w:ind w:right="676"/>
              <w:spacing w:after="0"/>
              <w:rPr>
                <w:sz w:val="20"/>
                <w:szCs w:val="20"/>
                <w:color w:val="auto"/>
              </w:rPr>
            </w:pPr>
            <w:r>
              <w:rPr>
                <w:rFonts w:ascii="Arial" w:cs="Arial" w:eastAsia="Arial" w:hAnsi="Arial"/>
                <w:sz w:val="16"/>
                <w:szCs w:val="16"/>
                <w:color w:val="auto"/>
              </w:rPr>
              <w:t>2.5</w:t>
            </w:r>
          </w:p>
        </w:tc>
        <w:tc>
          <w:tcPr>
            <w:tcW w:w="780" w:type="dxa"/>
            <w:vAlign w:val="bottom"/>
          </w:tcPr>
          <w:p>
            <w:pPr>
              <w:jc w:val="right"/>
              <w:spacing w:after="0"/>
              <w:rPr>
                <w:sz w:val="20"/>
                <w:szCs w:val="20"/>
                <w:color w:val="auto"/>
              </w:rPr>
            </w:pPr>
            <w:r>
              <w:rPr>
                <w:rFonts w:ascii="Arial" w:cs="Arial" w:eastAsia="Arial" w:hAnsi="Arial"/>
                <w:sz w:val="16"/>
                <w:szCs w:val="16"/>
                <w:color w:val="auto"/>
              </w:rPr>
              <w:t>23,300</w:t>
            </w:r>
          </w:p>
        </w:tc>
      </w:tr>
      <w:tr>
        <w:trPr>
          <w:trHeight w:val="273"/>
        </w:trPr>
        <w:tc>
          <w:tcPr>
            <w:tcW w:w="5100" w:type="dxa"/>
            <w:vAlign w:val="bottom"/>
            <w:shd w:val="clear" w:color="auto" w:fill="E5E5E5"/>
          </w:tcPr>
          <w:p>
            <w:pPr>
              <w:ind w:left="40"/>
              <w:spacing w:after="0"/>
              <w:rPr>
                <w:sz w:val="20"/>
                <w:szCs w:val="20"/>
                <w:color w:val="auto"/>
              </w:rPr>
            </w:pPr>
            <w:r>
              <w:rPr>
                <w:rFonts w:ascii="Arial" w:cs="Arial" w:eastAsia="Arial" w:hAnsi="Arial"/>
                <w:sz w:val="16"/>
                <w:szCs w:val="16"/>
                <w:color w:val="auto"/>
              </w:rPr>
              <w:t>Senior Vice President, Sales and Marketing</w:t>
            </w:r>
          </w:p>
        </w:tc>
        <w:tc>
          <w:tcPr>
            <w:tcW w:w="3520" w:type="dxa"/>
            <w:vAlign w:val="bottom"/>
            <w:shd w:val="clear" w:color="auto" w:fill="E5E5E5"/>
          </w:tcPr>
          <w:p>
            <w:pPr>
              <w:jc w:val="right"/>
              <w:ind w:right="676"/>
              <w:spacing w:after="0"/>
              <w:rPr>
                <w:sz w:val="20"/>
                <w:szCs w:val="20"/>
                <w:color w:val="auto"/>
              </w:rPr>
            </w:pPr>
            <w:r>
              <w:rPr>
                <w:rFonts w:ascii="Arial" w:cs="Arial" w:eastAsia="Arial" w:hAnsi="Arial"/>
                <w:sz w:val="16"/>
                <w:szCs w:val="16"/>
                <w:color w:val="auto"/>
              </w:rPr>
              <w:t>2.5</w:t>
            </w: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19,800</w:t>
            </w:r>
          </w:p>
        </w:tc>
      </w:tr>
      <w:tr>
        <w:trPr>
          <w:trHeight w:val="267"/>
        </w:trPr>
        <w:tc>
          <w:tcPr>
            <w:tcW w:w="5100" w:type="dxa"/>
            <w:vAlign w:val="bottom"/>
          </w:tcPr>
          <w:p>
            <w:pPr>
              <w:ind w:left="40"/>
              <w:spacing w:after="0"/>
              <w:rPr>
                <w:sz w:val="20"/>
                <w:szCs w:val="20"/>
                <w:color w:val="auto"/>
              </w:rPr>
            </w:pPr>
            <w:r>
              <w:rPr>
                <w:rFonts w:ascii="Arial" w:cs="Arial" w:eastAsia="Arial" w:hAnsi="Arial"/>
                <w:sz w:val="16"/>
                <w:szCs w:val="16"/>
                <w:color w:val="auto"/>
              </w:rPr>
              <w:t>Senior Vice President and General Counsel</w:t>
            </w:r>
          </w:p>
        </w:tc>
        <w:tc>
          <w:tcPr>
            <w:tcW w:w="3520" w:type="dxa"/>
            <w:vAlign w:val="bottom"/>
          </w:tcPr>
          <w:p>
            <w:pPr>
              <w:jc w:val="right"/>
              <w:ind w:right="676"/>
              <w:spacing w:after="0"/>
              <w:rPr>
                <w:sz w:val="20"/>
                <w:szCs w:val="20"/>
                <w:color w:val="auto"/>
              </w:rPr>
            </w:pPr>
            <w:r>
              <w:rPr>
                <w:rFonts w:ascii="Arial" w:cs="Arial" w:eastAsia="Arial" w:hAnsi="Arial"/>
                <w:sz w:val="16"/>
                <w:szCs w:val="16"/>
                <w:color w:val="auto"/>
              </w:rPr>
              <w:t>2.5</w:t>
            </w:r>
          </w:p>
        </w:tc>
        <w:tc>
          <w:tcPr>
            <w:tcW w:w="780" w:type="dxa"/>
            <w:vAlign w:val="bottom"/>
          </w:tcPr>
          <w:p>
            <w:pPr>
              <w:jc w:val="right"/>
              <w:spacing w:after="0"/>
              <w:rPr>
                <w:sz w:val="20"/>
                <w:szCs w:val="20"/>
                <w:color w:val="auto"/>
              </w:rPr>
            </w:pPr>
            <w:r>
              <w:rPr>
                <w:rFonts w:ascii="Arial" w:cs="Arial" w:eastAsia="Arial" w:hAnsi="Arial"/>
                <w:sz w:val="16"/>
                <w:szCs w:val="16"/>
                <w:color w:val="auto"/>
              </w:rPr>
              <w:t>20,500</w:t>
            </w:r>
          </w:p>
        </w:tc>
      </w:tr>
      <w:tr>
        <w:trPr>
          <w:trHeight w:val="259"/>
        </w:trPr>
        <w:tc>
          <w:tcPr>
            <w:tcW w:w="5100" w:type="dxa"/>
            <w:vAlign w:val="bottom"/>
            <w:shd w:val="clear" w:color="auto" w:fill="E5E5E5"/>
          </w:tcPr>
          <w:p>
            <w:pPr>
              <w:ind w:left="40"/>
              <w:spacing w:after="0"/>
              <w:rPr>
                <w:sz w:val="20"/>
                <w:szCs w:val="20"/>
                <w:color w:val="auto"/>
              </w:rPr>
            </w:pPr>
            <w:r>
              <w:rPr>
                <w:rFonts w:ascii="Arial" w:cs="Arial" w:eastAsia="Arial" w:hAnsi="Arial"/>
                <w:sz w:val="16"/>
                <w:szCs w:val="16"/>
                <w:color w:val="auto"/>
              </w:rPr>
              <w:t>Senior Vice President, Human Resources</w:t>
            </w:r>
          </w:p>
        </w:tc>
        <w:tc>
          <w:tcPr>
            <w:tcW w:w="3520" w:type="dxa"/>
            <w:vAlign w:val="bottom"/>
            <w:shd w:val="clear" w:color="auto" w:fill="E5E5E5"/>
          </w:tcPr>
          <w:p>
            <w:pPr>
              <w:jc w:val="right"/>
              <w:ind w:right="676"/>
              <w:spacing w:after="0"/>
              <w:rPr>
                <w:sz w:val="20"/>
                <w:szCs w:val="20"/>
                <w:color w:val="auto"/>
              </w:rPr>
            </w:pPr>
            <w:r>
              <w:rPr>
                <w:rFonts w:ascii="Arial" w:cs="Arial" w:eastAsia="Arial" w:hAnsi="Arial"/>
                <w:sz w:val="16"/>
                <w:szCs w:val="16"/>
                <w:color w:val="auto"/>
              </w:rPr>
              <w:t>2.5</w:t>
            </w: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18,800</w:t>
            </w:r>
          </w:p>
        </w:tc>
      </w:tr>
    </w:tbl>
    <w:p>
      <w:pPr>
        <w:spacing w:after="0" w:line="107" w:lineRule="exact"/>
        <w:rPr>
          <w:sz w:val="20"/>
          <w:szCs w:val="20"/>
          <w:color w:val="auto"/>
        </w:rPr>
      </w:pPr>
    </w:p>
    <w:p>
      <w:pPr>
        <w:ind w:left="1080" w:right="840" w:hanging="354"/>
        <w:spacing w:after="0" w:line="258" w:lineRule="auto"/>
        <w:tabs>
          <w:tab w:leader="none" w:pos="1080" w:val="left"/>
        </w:tabs>
        <w:numPr>
          <w:ilvl w:val="0"/>
          <w:numId w:val="51"/>
        </w:numPr>
        <w:rPr>
          <w:rFonts w:ascii="Arial" w:cs="Arial" w:eastAsia="Arial" w:hAnsi="Arial"/>
          <w:sz w:val="16"/>
          <w:szCs w:val="16"/>
          <w:i w:val="1"/>
          <w:iCs w:val="1"/>
          <w:color w:val="auto"/>
        </w:rPr>
      </w:pPr>
      <w:r>
        <w:rPr>
          <w:rFonts w:ascii="Arial" w:cs="Arial" w:eastAsia="Arial" w:hAnsi="Arial"/>
          <w:sz w:val="16"/>
          <w:szCs w:val="16"/>
          <w:i w:val="1"/>
          <w:iCs w:val="1"/>
          <w:color w:val="auto"/>
        </w:rPr>
        <w:t>For purposes of the Executive Stock Ownership guidelines, the fair market value of the Company’s common stock is the average closing price per share of the Company’s common stock as reported on the Nasdaq Global Select Market (or if the common stock is not then traded on such market, such other market on which the common stock is traded) for the twelve (12) month period ending with the determination date.</w:t>
      </w:r>
    </w:p>
    <w:p>
      <w:pPr>
        <w:sectPr>
          <w:pgSz w:w="11900" w:h="16838" w:orient="portrait"/>
          <w:cols w:equalWidth="0" w:num="1">
            <w:col w:w="10720"/>
          </w:cols>
          <w:pgMar w:left="580" w:top="132" w:right="599" w:bottom="1440" w:gutter="0" w:footer="0" w:header="0"/>
          <w:type w:val="continuous"/>
        </w:sectPr>
      </w:pPr>
    </w:p>
    <w:p>
      <w:pPr>
        <w:spacing w:after="0" w:line="293" w:lineRule="exact"/>
        <w:rPr>
          <w:sz w:val="20"/>
          <w:szCs w:val="20"/>
          <w:color w:val="auto"/>
        </w:rPr>
      </w:pPr>
    </w:p>
    <w:p>
      <w:pPr>
        <w:ind w:left="660" w:right="520"/>
        <w:spacing w:after="0" w:line="261" w:lineRule="auto"/>
        <w:rPr>
          <w:sz w:val="20"/>
          <w:szCs w:val="20"/>
          <w:color w:val="auto"/>
        </w:rPr>
      </w:pPr>
      <w:r>
        <w:rPr>
          <w:rFonts w:ascii="Arial" w:cs="Arial" w:eastAsia="Arial" w:hAnsi="Arial"/>
          <w:sz w:val="23"/>
          <w:szCs w:val="23"/>
          <w:b w:val="1"/>
          <w:bCs w:val="1"/>
          <w:i w:val="1"/>
          <w:iCs w:val="1"/>
          <w:color w:val="auto"/>
        </w:rPr>
        <w:t>Prohibition on Hedging and Certain Other Transactions</w:t>
      </w:r>
    </w:p>
    <w:p>
      <w:pPr>
        <w:spacing w:after="0" w:line="66" w:lineRule="exact"/>
        <w:rPr>
          <w:sz w:val="20"/>
          <w:szCs w:val="20"/>
          <w:color w:val="auto"/>
        </w:rPr>
      </w:pPr>
    </w:p>
    <w:p>
      <w:pPr>
        <w:ind w:left="660" w:right="120"/>
        <w:spacing w:after="0" w:line="258" w:lineRule="auto"/>
        <w:rPr>
          <w:sz w:val="20"/>
          <w:szCs w:val="20"/>
          <w:color w:val="auto"/>
        </w:rPr>
      </w:pPr>
      <w:r>
        <w:rPr>
          <w:rFonts w:ascii="Arial" w:cs="Arial" w:eastAsia="Arial" w:hAnsi="Arial"/>
          <w:sz w:val="19"/>
          <w:szCs w:val="19"/>
          <w:color w:val="191919"/>
        </w:rPr>
        <w:t>We prohibit our directors, officers, and employees (or any of their designees) from directly or indirectly engaging in the following transactions with respect to securities of the Company:</w:t>
      </w:r>
    </w:p>
    <w:p>
      <w:pPr>
        <w:spacing w:after="0" w:line="195" w:lineRule="exact"/>
        <w:rPr>
          <w:sz w:val="20"/>
          <w:szCs w:val="20"/>
          <w:color w:val="auto"/>
        </w:rPr>
      </w:pPr>
    </w:p>
    <w:p>
      <w:pPr>
        <w:ind w:left="840" w:right="240" w:hanging="186"/>
        <w:spacing w:after="0" w:line="246" w:lineRule="auto"/>
        <w:tabs>
          <w:tab w:leader="none" w:pos="840" w:val="left"/>
        </w:tabs>
        <w:numPr>
          <w:ilvl w:val="0"/>
          <w:numId w:val="52"/>
        </w:numPr>
        <w:rPr>
          <w:rFonts w:ascii="Arial" w:cs="Arial" w:eastAsia="Arial" w:hAnsi="Arial"/>
          <w:sz w:val="20"/>
          <w:szCs w:val="20"/>
          <w:color w:val="auto"/>
        </w:rPr>
      </w:pPr>
      <w:r>
        <w:rPr>
          <w:rFonts w:ascii="Arial" w:cs="Arial" w:eastAsia="Arial" w:hAnsi="Arial"/>
          <w:sz w:val="20"/>
          <w:szCs w:val="20"/>
          <w:color w:val="auto"/>
        </w:rPr>
        <w:t>selling short, including short sales “against the box”;</w:t>
      </w:r>
    </w:p>
    <w:p>
      <w:pPr>
        <w:spacing w:after="0" w:line="1" w:lineRule="exact"/>
        <w:rPr>
          <w:rFonts w:ascii="Arial" w:cs="Arial" w:eastAsia="Arial" w:hAnsi="Arial"/>
          <w:sz w:val="20"/>
          <w:szCs w:val="20"/>
          <w:color w:val="auto"/>
        </w:rPr>
      </w:pPr>
    </w:p>
    <w:p>
      <w:pPr>
        <w:ind w:left="840" w:hanging="186"/>
        <w:spacing w:after="0"/>
        <w:tabs>
          <w:tab w:leader="none" w:pos="840" w:val="left"/>
        </w:tabs>
        <w:numPr>
          <w:ilvl w:val="0"/>
          <w:numId w:val="52"/>
        </w:numPr>
        <w:rPr>
          <w:rFonts w:ascii="Arial" w:cs="Arial" w:eastAsia="Arial" w:hAnsi="Arial"/>
          <w:sz w:val="20"/>
          <w:szCs w:val="20"/>
          <w:color w:val="auto"/>
        </w:rPr>
      </w:pPr>
      <w:r>
        <w:rPr>
          <w:rFonts w:ascii="Arial" w:cs="Arial" w:eastAsia="Arial" w:hAnsi="Arial"/>
          <w:sz w:val="20"/>
          <w:szCs w:val="20"/>
          <w:color w:val="auto"/>
        </w:rPr>
        <w:t>buying or selling put or call options; or</w:t>
      </w:r>
    </w:p>
    <w:p>
      <w:pPr>
        <w:ind w:left="840" w:hanging="186"/>
        <w:spacing w:after="0" w:line="254" w:lineRule="auto"/>
        <w:tabs>
          <w:tab w:leader="none" w:pos="840" w:val="left"/>
        </w:tabs>
        <w:numPr>
          <w:ilvl w:val="0"/>
          <w:numId w:val="52"/>
        </w:numPr>
        <w:rPr>
          <w:rFonts w:ascii="Arial" w:cs="Arial" w:eastAsia="Arial" w:hAnsi="Arial"/>
          <w:sz w:val="20"/>
          <w:szCs w:val="20"/>
          <w:color w:val="auto"/>
        </w:rPr>
      </w:pPr>
      <w:r>
        <w:rPr>
          <w:rFonts w:ascii="Arial" w:cs="Arial" w:eastAsia="Arial" w:hAnsi="Arial"/>
          <w:sz w:val="20"/>
          <w:szCs w:val="20"/>
          <w:color w:val="auto"/>
        </w:rPr>
        <w:t>purchasing financial instruments (including prepaid variable forward contracts, equity swaps, collars, and exchange funds), or otherwise engaging in transactions, that hedge or offset, or are designed to hedge or offset, any decrease in the market value of securities of the Company, whether through the use of traded securities, privately negotiated derivative securities, or synthetic financial instruments.</w:t>
      </w:r>
    </w:p>
    <w:p>
      <w:pPr>
        <w:spacing w:after="0" w:line="20" w:lineRule="exact"/>
        <w:rPr>
          <w:sz w:val="20"/>
          <w:szCs w:val="20"/>
          <w:color w:val="auto"/>
        </w:rPr>
      </w:pPr>
      <w:r>
        <w:rPr>
          <w:sz w:val="20"/>
          <w:szCs w:val="20"/>
          <w:color w:val="auto"/>
        </w:rPr>
        <w:br w:type="column"/>
      </w:r>
    </w:p>
    <w:p>
      <w:pPr>
        <w:spacing w:after="0" w:line="320" w:lineRule="exact"/>
        <w:rPr>
          <w:sz w:val="20"/>
          <w:szCs w:val="20"/>
          <w:color w:val="auto"/>
        </w:rPr>
      </w:pPr>
    </w:p>
    <w:p>
      <w:pPr>
        <w:ind w:right="800"/>
        <w:spacing w:after="0" w:line="272" w:lineRule="auto"/>
        <w:rPr>
          <w:sz w:val="20"/>
          <w:szCs w:val="20"/>
          <w:color w:val="auto"/>
        </w:rPr>
      </w:pPr>
      <w:r>
        <w:rPr>
          <w:rFonts w:ascii="Arial" w:cs="Arial" w:eastAsia="Arial" w:hAnsi="Arial"/>
          <w:sz w:val="19"/>
          <w:szCs w:val="19"/>
          <w:color w:val="191919"/>
        </w:rPr>
        <w:t>In addition, we prohibit our directors, officers, and employees from purchasing Company securities on margin, borrowing against Company securities held in a margin account, or pledging Company securities as collateral for a loan.</w:t>
      </w:r>
    </w:p>
    <w:p>
      <w:pPr>
        <w:spacing w:after="0" w:line="227" w:lineRule="exact"/>
        <w:rPr>
          <w:sz w:val="20"/>
          <w:szCs w:val="20"/>
          <w:color w:val="auto"/>
        </w:rPr>
      </w:pPr>
    </w:p>
    <w:p>
      <w:pPr>
        <w:ind w:right="680"/>
        <w:spacing w:after="0" w:line="286" w:lineRule="auto"/>
        <w:rPr>
          <w:sz w:val="20"/>
          <w:szCs w:val="20"/>
          <w:color w:val="auto"/>
        </w:rPr>
      </w:pPr>
      <w:r>
        <w:rPr>
          <w:rFonts w:ascii="Arial" w:cs="Arial" w:eastAsia="Arial" w:hAnsi="Arial"/>
          <w:sz w:val="23"/>
          <w:szCs w:val="23"/>
          <w:b w:val="1"/>
          <w:bCs w:val="1"/>
          <w:i w:val="1"/>
          <w:iCs w:val="1"/>
          <w:color w:val="auto"/>
        </w:rPr>
        <w:t>Compliance with Internal Revenue Code Section 162(m)</w:t>
      </w:r>
    </w:p>
    <w:p>
      <w:pPr>
        <w:spacing w:after="0" w:line="65" w:lineRule="exact"/>
        <w:rPr>
          <w:sz w:val="20"/>
          <w:szCs w:val="20"/>
          <w:color w:val="auto"/>
        </w:rPr>
      </w:pPr>
    </w:p>
    <w:p>
      <w:pPr>
        <w:ind w:right="680"/>
        <w:spacing w:after="0" w:line="254" w:lineRule="auto"/>
        <w:rPr>
          <w:sz w:val="20"/>
          <w:szCs w:val="20"/>
          <w:color w:val="auto"/>
        </w:rPr>
      </w:pPr>
      <w:r>
        <w:rPr>
          <w:rFonts w:ascii="Arial" w:cs="Arial" w:eastAsia="Arial" w:hAnsi="Arial"/>
          <w:sz w:val="20"/>
          <w:szCs w:val="20"/>
          <w:color w:val="191919"/>
        </w:rPr>
        <w:t>For fiscal year 2021, the Company will be unable to deduct compensation in excess of $1 million paid to certain executive officers, as specified under Section 162(m) of the Internal Revenue Code (“IRC”). The Compensation Committee uses its judgment to authorize compensation payments that may be subject to the limit when the Compensation Committee believes such payments are appropriate and in the best interests of the Company and its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-462280</wp:posOffset>
            </wp:positionH>
            <wp:positionV relativeFrom="paragraph">
              <wp:posOffset>1174115</wp:posOffset>
            </wp:positionV>
            <wp:extent cx="779780" cy="25717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79780" cy="257175"/>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5120" w:space="460"/>
            <w:col w:w="5140"/>
          </w:cols>
          <w:pgMar w:left="580" w:top="132" w:right="5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860" w:type="dxa"/>
            <w:vAlign w:val="bottom"/>
          </w:tcPr>
          <w:p>
            <w:pPr>
              <w:ind w:left="660"/>
              <w:spacing w:after="0"/>
              <w:rPr>
                <w:sz w:val="20"/>
                <w:szCs w:val="20"/>
                <w:color w:val="auto"/>
              </w:rPr>
            </w:pPr>
            <w:r>
              <w:rPr>
                <w:rFonts w:ascii="Arial" w:cs="Arial" w:eastAsia="Arial" w:hAnsi="Arial"/>
                <w:sz w:val="16"/>
                <w:szCs w:val="16"/>
                <w:color w:val="auto"/>
              </w:rPr>
              <w:t>Proxy Statement</w:t>
            </w:r>
          </w:p>
        </w:tc>
        <w:tc>
          <w:tcPr>
            <w:tcW w:w="4860" w:type="dxa"/>
            <w:vAlign w:val="bottom"/>
          </w:tcPr>
          <w:p>
            <w:pPr>
              <w:jc w:val="right"/>
              <w:ind w:right="579"/>
              <w:spacing w:after="0"/>
              <w:rPr>
                <w:sz w:val="20"/>
                <w:szCs w:val="20"/>
                <w:color w:val="auto"/>
              </w:rPr>
            </w:pPr>
            <w:r>
              <w:rPr>
                <w:rFonts w:ascii="Arial" w:cs="Arial" w:eastAsia="Arial" w:hAnsi="Arial"/>
                <w:sz w:val="16"/>
                <w:szCs w:val="16"/>
                <w:color w:val="auto"/>
              </w:rPr>
              <w:t>43</w:t>
            </w:r>
          </w:p>
        </w:tc>
      </w:tr>
      <w:tr>
        <w:trPr>
          <w:trHeight w:val="310"/>
        </w:trPr>
        <w:tc>
          <w:tcPr>
            <w:tcW w:w="5860" w:type="dxa"/>
            <w:vAlign w:val="bottom"/>
            <w:tcBorders>
              <w:bottom w:val="single" w:sz="8" w:color="9A9A9A"/>
            </w:tcBorders>
          </w:tcPr>
          <w:p>
            <w:pPr>
              <w:spacing w:after="0"/>
              <w:rPr>
                <w:sz w:val="24"/>
                <w:szCs w:val="24"/>
                <w:color w:val="auto"/>
              </w:rPr>
            </w:pPr>
          </w:p>
        </w:tc>
        <w:tc>
          <w:tcPr>
            <w:tcW w:w="4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type w:val="continuous"/>
        </w:sectPr>
      </w:pPr>
    </w:p>
    <w:bookmarkStart w:id="48" w:name="page49"/>
    <w:bookmarkEnd w:id="4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Arial" w:cs="Arial" w:eastAsia="Arial" w:hAnsi="Arial"/>
          <w:sz w:val="29"/>
          <w:szCs w:val="29"/>
          <w:b w:val="1"/>
          <w:bCs w:val="1"/>
          <w:color w:val="auto"/>
        </w:rPr>
        <w:t>Compensation Tables for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79375</wp:posOffset>
            </wp:positionV>
            <wp:extent cx="597471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974715" cy="8255"/>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ind w:left="660"/>
        <w:spacing w:after="0"/>
        <w:rPr>
          <w:sz w:val="20"/>
          <w:szCs w:val="20"/>
          <w:color w:val="auto"/>
        </w:rPr>
      </w:pPr>
      <w:r>
        <w:rPr>
          <w:rFonts w:ascii="Arial" w:cs="Arial" w:eastAsia="Arial" w:hAnsi="Arial"/>
          <w:sz w:val="23"/>
          <w:szCs w:val="23"/>
          <w:b w:val="1"/>
          <w:bCs w:val="1"/>
          <w:i w:val="1"/>
          <w:iCs w:val="1"/>
          <w:color w:val="auto"/>
        </w:rPr>
        <w:t>Summary Compensation Table</w:t>
      </w:r>
    </w:p>
    <w:p>
      <w:pPr>
        <w:spacing w:after="0" w:line="161" w:lineRule="exact"/>
        <w:rPr>
          <w:sz w:val="20"/>
          <w:szCs w:val="20"/>
          <w:color w:val="auto"/>
        </w:rPr>
      </w:pPr>
    </w:p>
    <w:p>
      <w:pPr>
        <w:ind w:left="660" w:right="240"/>
        <w:spacing w:after="0" w:line="257" w:lineRule="auto"/>
        <w:rPr>
          <w:sz w:val="20"/>
          <w:szCs w:val="20"/>
          <w:color w:val="auto"/>
        </w:rPr>
      </w:pPr>
      <w:r>
        <w:rPr>
          <w:rFonts w:ascii="Arial" w:cs="Arial" w:eastAsia="Arial" w:hAnsi="Arial"/>
          <w:sz w:val="20"/>
          <w:szCs w:val="20"/>
          <w:color w:val="191919"/>
        </w:rPr>
        <w:t>The following table summarizes compensation earned by, or awarded or paid to, our Named Executive Officers for fiscal year 2021, fiscal year 2020, and our fiscal year ended September 27, 2019 (“fiscal year 2019”).</w:t>
      </w:r>
    </w:p>
    <w:p>
      <w:pPr>
        <w:spacing w:after="0" w:line="250" w:lineRule="exact"/>
        <w:rPr>
          <w:sz w:val="20"/>
          <w:szCs w:val="20"/>
          <w:color w:val="auto"/>
        </w:rPr>
      </w:pPr>
    </w:p>
    <w:tbl>
      <w:tblPr>
        <w:tblLayout w:type="fixed"/>
        <w:tblInd w:w="660" w:type="dxa"/>
        <w:tblCellMar>
          <w:top w:w="0" w:type="dxa"/>
          <w:left w:w="0" w:type="dxa"/>
          <w:bottom w:w="0" w:type="dxa"/>
          <w:right w:w="0" w:type="dxa"/>
        </w:tblCellMar>
      </w:tblPr>
      <w:tr>
        <w:trPr>
          <w:trHeight w:val="218"/>
        </w:trPr>
        <w:tc>
          <w:tcPr>
            <w:tcW w:w="80" w:type="dxa"/>
            <w:vAlign w:val="bottom"/>
            <w:shd w:val="clear" w:color="auto" w:fill="0076A8"/>
          </w:tcPr>
          <w:p>
            <w:pPr>
              <w:spacing w:after="0"/>
              <w:rPr>
                <w:sz w:val="18"/>
                <w:szCs w:val="18"/>
                <w:color w:val="auto"/>
              </w:rPr>
            </w:pPr>
          </w:p>
        </w:tc>
        <w:tc>
          <w:tcPr>
            <w:tcW w:w="2240" w:type="dxa"/>
            <w:vAlign w:val="bottom"/>
            <w:shd w:val="clear" w:color="auto" w:fill="0076A8"/>
          </w:tcPr>
          <w:p>
            <w:pPr>
              <w:spacing w:after="0"/>
              <w:rPr>
                <w:sz w:val="18"/>
                <w:szCs w:val="18"/>
                <w:color w:val="auto"/>
              </w:rPr>
            </w:pPr>
          </w:p>
        </w:tc>
        <w:tc>
          <w:tcPr>
            <w:tcW w:w="1000" w:type="dxa"/>
            <w:vAlign w:val="bottom"/>
            <w:shd w:val="clear" w:color="auto" w:fill="0076A8"/>
          </w:tcPr>
          <w:p>
            <w:pPr>
              <w:spacing w:after="0"/>
              <w:rPr>
                <w:sz w:val="18"/>
                <w:szCs w:val="18"/>
                <w:color w:val="auto"/>
              </w:rPr>
            </w:pPr>
          </w:p>
        </w:tc>
        <w:tc>
          <w:tcPr>
            <w:tcW w:w="1200" w:type="dxa"/>
            <w:vAlign w:val="bottom"/>
            <w:shd w:val="clear" w:color="auto" w:fill="0076A8"/>
          </w:tcPr>
          <w:p>
            <w:pPr>
              <w:spacing w:after="0"/>
              <w:rPr>
                <w:sz w:val="18"/>
                <w:szCs w:val="18"/>
                <w:color w:val="auto"/>
              </w:rPr>
            </w:pPr>
          </w:p>
        </w:tc>
        <w:tc>
          <w:tcPr>
            <w:tcW w:w="1160" w:type="dxa"/>
            <w:vAlign w:val="bottom"/>
            <w:shd w:val="clear" w:color="auto" w:fill="0076A8"/>
          </w:tcPr>
          <w:p>
            <w:pPr>
              <w:spacing w:after="0"/>
              <w:rPr>
                <w:sz w:val="18"/>
                <w:szCs w:val="18"/>
                <w:color w:val="auto"/>
              </w:rPr>
            </w:pPr>
          </w:p>
        </w:tc>
        <w:tc>
          <w:tcPr>
            <w:tcW w:w="1300" w:type="dxa"/>
            <w:vAlign w:val="bottom"/>
            <w:shd w:val="clear" w:color="auto" w:fill="0076A8"/>
          </w:tcPr>
          <w:p>
            <w:pPr>
              <w:jc w:val="center"/>
              <w:spacing w:after="0"/>
              <w:rPr>
                <w:sz w:val="20"/>
                <w:szCs w:val="20"/>
                <w:color w:val="auto"/>
              </w:rPr>
            </w:pPr>
            <w:r>
              <w:rPr>
                <w:rFonts w:ascii="Arial" w:cs="Arial" w:eastAsia="Arial" w:hAnsi="Arial"/>
                <w:sz w:val="16"/>
                <w:szCs w:val="16"/>
                <w:color w:val="FFFFFF"/>
              </w:rPr>
              <w:t>Non-Equity</w:t>
            </w:r>
          </w:p>
        </w:tc>
        <w:tc>
          <w:tcPr>
            <w:tcW w:w="1320" w:type="dxa"/>
            <w:vAlign w:val="bottom"/>
            <w:shd w:val="clear" w:color="auto" w:fill="0076A8"/>
          </w:tcPr>
          <w:p>
            <w:pPr>
              <w:spacing w:after="0"/>
              <w:rPr>
                <w:sz w:val="18"/>
                <w:szCs w:val="18"/>
                <w:color w:val="auto"/>
              </w:rPr>
            </w:pPr>
          </w:p>
        </w:tc>
        <w:tc>
          <w:tcPr>
            <w:tcW w:w="1100" w:type="dxa"/>
            <w:vAlign w:val="bottom"/>
            <w:shd w:val="clear" w:color="auto" w:fill="0076A8"/>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0" w:type="dxa"/>
            <w:vAlign w:val="bottom"/>
            <w:shd w:val="clear" w:color="auto" w:fill="0076A8"/>
          </w:tcPr>
          <w:p>
            <w:pPr>
              <w:spacing w:after="0"/>
              <w:rPr>
                <w:sz w:val="14"/>
                <w:szCs w:val="14"/>
                <w:color w:val="auto"/>
              </w:rPr>
            </w:pPr>
          </w:p>
        </w:tc>
        <w:tc>
          <w:tcPr>
            <w:tcW w:w="2240" w:type="dxa"/>
            <w:vAlign w:val="bottom"/>
            <w:shd w:val="clear" w:color="auto" w:fill="0076A8"/>
          </w:tcPr>
          <w:p>
            <w:pPr>
              <w:spacing w:after="0"/>
              <w:rPr>
                <w:sz w:val="14"/>
                <w:szCs w:val="14"/>
                <w:color w:val="auto"/>
              </w:rPr>
            </w:pPr>
          </w:p>
        </w:tc>
        <w:tc>
          <w:tcPr>
            <w:tcW w:w="1000" w:type="dxa"/>
            <w:vAlign w:val="bottom"/>
            <w:shd w:val="clear" w:color="auto" w:fill="0076A8"/>
          </w:tcPr>
          <w:p>
            <w:pPr>
              <w:spacing w:after="0"/>
              <w:rPr>
                <w:sz w:val="14"/>
                <w:szCs w:val="14"/>
                <w:color w:val="auto"/>
              </w:rPr>
            </w:pPr>
          </w:p>
        </w:tc>
        <w:tc>
          <w:tcPr>
            <w:tcW w:w="1200" w:type="dxa"/>
            <w:vAlign w:val="bottom"/>
            <w:shd w:val="clear" w:color="auto" w:fill="0076A8"/>
          </w:tcPr>
          <w:p>
            <w:pPr>
              <w:spacing w:after="0"/>
              <w:rPr>
                <w:sz w:val="14"/>
                <w:szCs w:val="14"/>
                <w:color w:val="auto"/>
              </w:rPr>
            </w:pPr>
          </w:p>
        </w:tc>
        <w:tc>
          <w:tcPr>
            <w:tcW w:w="1160" w:type="dxa"/>
            <w:vAlign w:val="bottom"/>
            <w:shd w:val="clear" w:color="auto" w:fill="0076A8"/>
          </w:tcPr>
          <w:p>
            <w:pPr>
              <w:spacing w:after="0"/>
              <w:rPr>
                <w:sz w:val="14"/>
                <w:szCs w:val="14"/>
                <w:color w:val="auto"/>
              </w:rPr>
            </w:pPr>
          </w:p>
        </w:tc>
        <w:tc>
          <w:tcPr>
            <w:tcW w:w="1300" w:type="dxa"/>
            <w:vAlign w:val="bottom"/>
            <w:shd w:val="clear" w:color="auto" w:fill="0076A8"/>
          </w:tcPr>
          <w:p>
            <w:pPr>
              <w:jc w:val="center"/>
              <w:spacing w:after="0" w:line="162" w:lineRule="exact"/>
              <w:rPr>
                <w:sz w:val="20"/>
                <w:szCs w:val="20"/>
                <w:color w:val="auto"/>
              </w:rPr>
            </w:pPr>
            <w:r>
              <w:rPr>
                <w:rFonts w:ascii="Arial" w:cs="Arial" w:eastAsia="Arial" w:hAnsi="Arial"/>
                <w:sz w:val="16"/>
                <w:szCs w:val="16"/>
                <w:color w:val="FFFFFF"/>
                <w:w w:val="99"/>
              </w:rPr>
              <w:t>Incentive</w:t>
            </w:r>
          </w:p>
        </w:tc>
        <w:tc>
          <w:tcPr>
            <w:tcW w:w="1320" w:type="dxa"/>
            <w:vAlign w:val="bottom"/>
            <w:shd w:val="clear" w:color="auto" w:fill="0076A8"/>
          </w:tcPr>
          <w:p>
            <w:pPr>
              <w:spacing w:after="0"/>
              <w:rPr>
                <w:sz w:val="14"/>
                <w:szCs w:val="14"/>
                <w:color w:val="auto"/>
              </w:rPr>
            </w:pPr>
          </w:p>
        </w:tc>
        <w:tc>
          <w:tcPr>
            <w:tcW w:w="1100" w:type="dxa"/>
            <w:vAlign w:val="bottom"/>
            <w:shd w:val="clear" w:color="auto" w:fill="0076A8"/>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 w:type="dxa"/>
            <w:vAlign w:val="bottom"/>
            <w:shd w:val="clear" w:color="auto" w:fill="0076A8"/>
          </w:tcPr>
          <w:p>
            <w:pPr>
              <w:spacing w:after="0"/>
              <w:rPr>
                <w:sz w:val="14"/>
                <w:szCs w:val="14"/>
                <w:color w:val="auto"/>
              </w:rPr>
            </w:pPr>
          </w:p>
        </w:tc>
        <w:tc>
          <w:tcPr>
            <w:tcW w:w="2240" w:type="dxa"/>
            <w:vAlign w:val="bottom"/>
            <w:shd w:val="clear" w:color="auto" w:fill="0076A8"/>
          </w:tcPr>
          <w:p>
            <w:pPr>
              <w:spacing w:after="0"/>
              <w:rPr>
                <w:sz w:val="14"/>
                <w:szCs w:val="14"/>
                <w:color w:val="auto"/>
              </w:rPr>
            </w:pPr>
          </w:p>
        </w:tc>
        <w:tc>
          <w:tcPr>
            <w:tcW w:w="1000" w:type="dxa"/>
            <w:vAlign w:val="bottom"/>
            <w:shd w:val="clear" w:color="auto" w:fill="0076A8"/>
          </w:tcPr>
          <w:p>
            <w:pPr>
              <w:spacing w:after="0"/>
              <w:rPr>
                <w:sz w:val="14"/>
                <w:szCs w:val="14"/>
                <w:color w:val="auto"/>
              </w:rPr>
            </w:pPr>
          </w:p>
        </w:tc>
        <w:tc>
          <w:tcPr>
            <w:tcW w:w="1200" w:type="dxa"/>
            <w:vAlign w:val="bottom"/>
            <w:shd w:val="clear" w:color="auto" w:fill="0076A8"/>
          </w:tcPr>
          <w:p>
            <w:pPr>
              <w:spacing w:after="0"/>
              <w:rPr>
                <w:sz w:val="14"/>
                <w:szCs w:val="14"/>
                <w:color w:val="auto"/>
              </w:rPr>
            </w:pPr>
          </w:p>
        </w:tc>
        <w:tc>
          <w:tcPr>
            <w:tcW w:w="1160" w:type="dxa"/>
            <w:vAlign w:val="bottom"/>
            <w:shd w:val="clear" w:color="auto" w:fill="0076A8"/>
          </w:tcPr>
          <w:p>
            <w:pPr>
              <w:jc w:val="center"/>
              <w:spacing w:after="0" w:line="162" w:lineRule="exact"/>
              <w:rPr>
                <w:sz w:val="20"/>
                <w:szCs w:val="20"/>
                <w:color w:val="auto"/>
              </w:rPr>
            </w:pPr>
            <w:r>
              <w:rPr>
                <w:rFonts w:ascii="Arial" w:cs="Arial" w:eastAsia="Arial" w:hAnsi="Arial"/>
                <w:sz w:val="16"/>
                <w:szCs w:val="16"/>
                <w:color w:val="FFFFFF"/>
                <w:w w:val="99"/>
              </w:rPr>
              <w:t>Stock</w:t>
            </w:r>
          </w:p>
        </w:tc>
        <w:tc>
          <w:tcPr>
            <w:tcW w:w="1300" w:type="dxa"/>
            <w:vAlign w:val="bottom"/>
            <w:shd w:val="clear" w:color="auto" w:fill="0076A8"/>
          </w:tcPr>
          <w:p>
            <w:pPr>
              <w:jc w:val="center"/>
              <w:spacing w:after="0" w:line="162" w:lineRule="exact"/>
              <w:rPr>
                <w:sz w:val="20"/>
                <w:szCs w:val="20"/>
                <w:color w:val="auto"/>
              </w:rPr>
            </w:pPr>
            <w:r>
              <w:rPr>
                <w:rFonts w:ascii="Arial" w:cs="Arial" w:eastAsia="Arial" w:hAnsi="Arial"/>
                <w:sz w:val="16"/>
                <w:szCs w:val="16"/>
                <w:color w:val="FFFFFF"/>
                <w:w w:val="99"/>
              </w:rPr>
              <w:t>Plan</w:t>
            </w:r>
          </w:p>
        </w:tc>
        <w:tc>
          <w:tcPr>
            <w:tcW w:w="1320" w:type="dxa"/>
            <w:vAlign w:val="bottom"/>
            <w:shd w:val="clear" w:color="auto" w:fill="0076A8"/>
          </w:tcPr>
          <w:p>
            <w:pPr>
              <w:jc w:val="center"/>
              <w:spacing w:after="0" w:line="162" w:lineRule="exact"/>
              <w:rPr>
                <w:sz w:val="20"/>
                <w:szCs w:val="20"/>
                <w:color w:val="auto"/>
              </w:rPr>
            </w:pPr>
            <w:r>
              <w:rPr>
                <w:rFonts w:ascii="Arial" w:cs="Arial" w:eastAsia="Arial" w:hAnsi="Arial"/>
                <w:sz w:val="16"/>
                <w:szCs w:val="16"/>
                <w:color w:val="FFFFFF"/>
                <w:w w:val="99"/>
              </w:rPr>
              <w:t>All Other</w:t>
            </w:r>
          </w:p>
        </w:tc>
        <w:tc>
          <w:tcPr>
            <w:tcW w:w="1100" w:type="dxa"/>
            <w:vAlign w:val="bottom"/>
            <w:shd w:val="clear" w:color="auto" w:fill="0076A8"/>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 w:type="dxa"/>
            <w:vAlign w:val="bottom"/>
            <w:shd w:val="clear" w:color="auto" w:fill="0076A8"/>
          </w:tcPr>
          <w:p>
            <w:pPr>
              <w:spacing w:after="0"/>
              <w:rPr>
                <w:sz w:val="14"/>
                <w:szCs w:val="14"/>
                <w:color w:val="auto"/>
              </w:rPr>
            </w:pPr>
          </w:p>
        </w:tc>
        <w:tc>
          <w:tcPr>
            <w:tcW w:w="2240" w:type="dxa"/>
            <w:vAlign w:val="bottom"/>
            <w:shd w:val="clear" w:color="auto" w:fill="0076A8"/>
          </w:tcPr>
          <w:p>
            <w:pPr>
              <w:spacing w:after="0"/>
              <w:rPr>
                <w:sz w:val="14"/>
                <w:szCs w:val="14"/>
                <w:color w:val="auto"/>
              </w:rPr>
            </w:pPr>
          </w:p>
        </w:tc>
        <w:tc>
          <w:tcPr>
            <w:tcW w:w="1000" w:type="dxa"/>
            <w:vAlign w:val="bottom"/>
            <w:shd w:val="clear" w:color="auto" w:fill="0076A8"/>
          </w:tcPr>
          <w:p>
            <w:pPr>
              <w:spacing w:after="0"/>
              <w:rPr>
                <w:sz w:val="14"/>
                <w:szCs w:val="14"/>
                <w:color w:val="auto"/>
              </w:rPr>
            </w:pPr>
          </w:p>
        </w:tc>
        <w:tc>
          <w:tcPr>
            <w:tcW w:w="1200" w:type="dxa"/>
            <w:vAlign w:val="bottom"/>
            <w:shd w:val="clear" w:color="auto" w:fill="0076A8"/>
          </w:tcPr>
          <w:p>
            <w:pPr>
              <w:spacing w:after="0"/>
              <w:rPr>
                <w:sz w:val="14"/>
                <w:szCs w:val="14"/>
                <w:color w:val="auto"/>
              </w:rPr>
            </w:pPr>
          </w:p>
        </w:tc>
        <w:tc>
          <w:tcPr>
            <w:tcW w:w="1160" w:type="dxa"/>
            <w:vAlign w:val="bottom"/>
            <w:shd w:val="clear" w:color="auto" w:fill="0076A8"/>
          </w:tcPr>
          <w:p>
            <w:pPr>
              <w:jc w:val="center"/>
              <w:spacing w:after="0" w:line="162" w:lineRule="exact"/>
              <w:rPr>
                <w:sz w:val="20"/>
                <w:szCs w:val="20"/>
                <w:color w:val="auto"/>
              </w:rPr>
            </w:pPr>
            <w:r>
              <w:rPr>
                <w:rFonts w:ascii="Arial" w:cs="Arial" w:eastAsia="Arial" w:hAnsi="Arial"/>
                <w:sz w:val="16"/>
                <w:szCs w:val="16"/>
                <w:color w:val="FFFFFF"/>
              </w:rPr>
              <w:t>Awards</w:t>
            </w:r>
          </w:p>
        </w:tc>
        <w:tc>
          <w:tcPr>
            <w:tcW w:w="1300" w:type="dxa"/>
            <w:vAlign w:val="bottom"/>
            <w:shd w:val="clear" w:color="auto" w:fill="0076A8"/>
          </w:tcPr>
          <w:p>
            <w:pPr>
              <w:ind w:left="140"/>
              <w:spacing w:after="0" w:line="162" w:lineRule="exact"/>
              <w:rPr>
                <w:sz w:val="20"/>
                <w:szCs w:val="20"/>
                <w:color w:val="auto"/>
              </w:rPr>
            </w:pPr>
            <w:r>
              <w:rPr>
                <w:rFonts w:ascii="Arial" w:cs="Arial" w:eastAsia="Arial" w:hAnsi="Arial"/>
                <w:sz w:val="16"/>
                <w:szCs w:val="16"/>
                <w:color w:val="FFFFFF"/>
              </w:rPr>
              <w:t>Compensation</w:t>
            </w:r>
          </w:p>
        </w:tc>
        <w:tc>
          <w:tcPr>
            <w:tcW w:w="1320" w:type="dxa"/>
            <w:vAlign w:val="bottom"/>
            <w:shd w:val="clear" w:color="auto" w:fill="0076A8"/>
          </w:tcPr>
          <w:p>
            <w:pPr>
              <w:jc w:val="center"/>
              <w:spacing w:after="0" w:line="162" w:lineRule="exact"/>
              <w:rPr>
                <w:sz w:val="20"/>
                <w:szCs w:val="20"/>
                <w:color w:val="auto"/>
              </w:rPr>
            </w:pPr>
            <w:r>
              <w:rPr>
                <w:rFonts w:ascii="Arial" w:cs="Arial" w:eastAsia="Arial" w:hAnsi="Arial"/>
                <w:sz w:val="16"/>
                <w:szCs w:val="16"/>
                <w:color w:val="FFFFFF"/>
              </w:rPr>
              <w:t>Compensation</w:t>
            </w:r>
          </w:p>
        </w:tc>
        <w:tc>
          <w:tcPr>
            <w:tcW w:w="1100" w:type="dxa"/>
            <w:vAlign w:val="bottom"/>
            <w:shd w:val="clear" w:color="auto" w:fill="0076A8"/>
          </w:tcPr>
          <w:p>
            <w:pPr>
              <w:ind w:left="380"/>
              <w:spacing w:after="0" w:line="162" w:lineRule="exact"/>
              <w:rPr>
                <w:sz w:val="20"/>
                <w:szCs w:val="20"/>
                <w:color w:val="auto"/>
              </w:rPr>
            </w:pPr>
            <w:r>
              <w:rPr>
                <w:rFonts w:ascii="Arial" w:cs="Arial" w:eastAsia="Arial" w:hAnsi="Arial"/>
                <w:sz w:val="16"/>
                <w:szCs w:val="16"/>
                <w:color w:val="FFFFFF"/>
              </w:rPr>
              <w:t>Total</w:t>
            </w:r>
          </w:p>
        </w:tc>
        <w:tc>
          <w:tcPr>
            <w:tcW w:w="0" w:type="dxa"/>
            <w:vAlign w:val="bottom"/>
          </w:tcPr>
          <w:p>
            <w:pPr>
              <w:spacing w:after="0"/>
              <w:rPr>
                <w:sz w:val="1"/>
                <w:szCs w:val="1"/>
                <w:color w:val="auto"/>
              </w:rPr>
            </w:pPr>
          </w:p>
        </w:tc>
      </w:tr>
      <w:tr>
        <w:trPr>
          <w:trHeight w:val="201"/>
        </w:trPr>
        <w:tc>
          <w:tcPr>
            <w:tcW w:w="80" w:type="dxa"/>
            <w:vAlign w:val="bottom"/>
            <w:shd w:val="clear" w:color="auto" w:fill="0076A8"/>
          </w:tcPr>
          <w:p>
            <w:pPr>
              <w:spacing w:after="0"/>
              <w:rPr>
                <w:sz w:val="17"/>
                <w:szCs w:val="17"/>
                <w:color w:val="auto"/>
              </w:rPr>
            </w:pPr>
          </w:p>
        </w:tc>
        <w:tc>
          <w:tcPr>
            <w:tcW w:w="2240" w:type="dxa"/>
            <w:vAlign w:val="bottom"/>
            <w:shd w:val="clear" w:color="auto" w:fill="0076A8"/>
          </w:tcPr>
          <w:p>
            <w:pPr>
              <w:ind w:left="60"/>
              <w:spacing w:after="0"/>
              <w:rPr>
                <w:sz w:val="20"/>
                <w:szCs w:val="20"/>
                <w:color w:val="auto"/>
              </w:rPr>
            </w:pPr>
            <w:r>
              <w:rPr>
                <w:rFonts w:ascii="Arial" w:cs="Arial" w:eastAsia="Arial" w:hAnsi="Arial"/>
                <w:sz w:val="16"/>
                <w:szCs w:val="16"/>
                <w:color w:val="FFFFFF"/>
              </w:rPr>
              <w:t>Name and Principal Position</w:t>
            </w:r>
          </w:p>
        </w:tc>
        <w:tc>
          <w:tcPr>
            <w:tcW w:w="1000" w:type="dxa"/>
            <w:vAlign w:val="bottom"/>
            <w:shd w:val="clear" w:color="auto" w:fill="0076A8"/>
          </w:tcPr>
          <w:p>
            <w:pPr>
              <w:ind w:left="380"/>
              <w:spacing w:after="0"/>
              <w:rPr>
                <w:sz w:val="20"/>
                <w:szCs w:val="20"/>
                <w:color w:val="auto"/>
              </w:rPr>
            </w:pPr>
            <w:r>
              <w:rPr>
                <w:rFonts w:ascii="Arial" w:cs="Arial" w:eastAsia="Arial" w:hAnsi="Arial"/>
                <w:sz w:val="16"/>
                <w:szCs w:val="16"/>
                <w:color w:val="FFFFFF"/>
              </w:rPr>
              <w:t>Year</w:t>
            </w:r>
          </w:p>
        </w:tc>
        <w:tc>
          <w:tcPr>
            <w:tcW w:w="1200" w:type="dxa"/>
            <w:vAlign w:val="bottom"/>
            <w:shd w:val="clear" w:color="auto" w:fill="0076A8"/>
          </w:tcPr>
          <w:p>
            <w:pPr>
              <w:ind w:left="300"/>
              <w:spacing w:after="0"/>
              <w:rPr>
                <w:sz w:val="20"/>
                <w:szCs w:val="20"/>
                <w:color w:val="auto"/>
              </w:rPr>
            </w:pPr>
            <w:r>
              <w:rPr>
                <w:rFonts w:ascii="Arial" w:cs="Arial" w:eastAsia="Arial" w:hAnsi="Arial"/>
                <w:sz w:val="16"/>
                <w:szCs w:val="16"/>
                <w:color w:val="FFFFFF"/>
              </w:rPr>
              <w:t>Salary ($)</w:t>
            </w:r>
          </w:p>
        </w:tc>
        <w:tc>
          <w:tcPr>
            <w:tcW w:w="1160" w:type="dxa"/>
            <w:vAlign w:val="bottom"/>
            <w:shd w:val="clear" w:color="auto" w:fill="0076A8"/>
          </w:tcPr>
          <w:p>
            <w:pPr>
              <w:jc w:val="center"/>
              <w:spacing w:after="0"/>
              <w:rPr>
                <w:sz w:val="20"/>
                <w:szCs w:val="20"/>
                <w:color w:val="auto"/>
              </w:rPr>
            </w:pPr>
            <w:r>
              <w:rPr>
                <w:rFonts w:ascii="Arial" w:cs="Arial" w:eastAsia="Arial" w:hAnsi="Arial"/>
                <w:sz w:val="16"/>
                <w:szCs w:val="16"/>
                <w:color w:val="FFFFFF"/>
              </w:rPr>
              <w:t>($)(1)</w:t>
            </w:r>
          </w:p>
        </w:tc>
        <w:tc>
          <w:tcPr>
            <w:tcW w:w="1300" w:type="dxa"/>
            <w:vAlign w:val="bottom"/>
            <w:shd w:val="clear" w:color="auto" w:fill="0076A8"/>
          </w:tcPr>
          <w:p>
            <w:pPr>
              <w:jc w:val="center"/>
              <w:spacing w:after="0"/>
              <w:rPr>
                <w:sz w:val="20"/>
                <w:szCs w:val="20"/>
                <w:color w:val="auto"/>
              </w:rPr>
            </w:pPr>
            <w:r>
              <w:rPr>
                <w:rFonts w:ascii="Arial" w:cs="Arial" w:eastAsia="Arial" w:hAnsi="Arial"/>
                <w:sz w:val="16"/>
                <w:szCs w:val="16"/>
                <w:color w:val="FFFFFF"/>
              </w:rPr>
              <w:t>($)(2)</w:t>
            </w:r>
          </w:p>
        </w:tc>
        <w:tc>
          <w:tcPr>
            <w:tcW w:w="1320" w:type="dxa"/>
            <w:vAlign w:val="bottom"/>
            <w:shd w:val="clear" w:color="auto" w:fill="0076A8"/>
          </w:tcPr>
          <w:p>
            <w:pPr>
              <w:jc w:val="center"/>
              <w:spacing w:after="0"/>
              <w:rPr>
                <w:sz w:val="20"/>
                <w:szCs w:val="20"/>
                <w:color w:val="auto"/>
              </w:rPr>
            </w:pPr>
            <w:r>
              <w:rPr>
                <w:rFonts w:ascii="Arial" w:cs="Arial" w:eastAsia="Arial" w:hAnsi="Arial"/>
                <w:sz w:val="16"/>
                <w:szCs w:val="16"/>
                <w:color w:val="FFFFFF"/>
                <w:w w:val="97"/>
              </w:rPr>
              <w:t>($)(3)</w:t>
            </w:r>
          </w:p>
        </w:tc>
        <w:tc>
          <w:tcPr>
            <w:tcW w:w="1100" w:type="dxa"/>
            <w:vAlign w:val="bottom"/>
            <w:shd w:val="clear" w:color="auto" w:fill="0076A8"/>
          </w:tcPr>
          <w:p>
            <w:pPr>
              <w:jc w:val="center"/>
              <w:spacing w:after="0"/>
              <w:rPr>
                <w:sz w:val="20"/>
                <w:szCs w:val="20"/>
                <w:color w:val="auto"/>
              </w:rPr>
            </w:pPr>
            <w:r>
              <w:rPr>
                <w:rFonts w:ascii="Arial" w:cs="Arial" w:eastAsia="Arial" w:hAnsi="Arial"/>
                <w:sz w:val="16"/>
                <w:szCs w:val="16"/>
                <w:color w:val="FFFFFF"/>
                <w:w w:val="91"/>
              </w:rPr>
              <w:t>($)</w:t>
            </w:r>
          </w:p>
        </w:tc>
        <w:tc>
          <w:tcPr>
            <w:tcW w:w="0" w:type="dxa"/>
            <w:vAlign w:val="bottom"/>
          </w:tcPr>
          <w:p>
            <w:pPr>
              <w:spacing w:after="0"/>
              <w:rPr>
                <w:sz w:val="1"/>
                <w:szCs w:val="1"/>
                <w:color w:val="auto"/>
              </w:rPr>
            </w:pPr>
          </w:p>
        </w:tc>
      </w:tr>
      <w:tr>
        <w:trPr>
          <w:trHeight w:val="216"/>
        </w:trPr>
        <w:tc>
          <w:tcPr>
            <w:tcW w:w="80" w:type="dxa"/>
            <w:vAlign w:val="bottom"/>
            <w:shd w:val="clear" w:color="auto" w:fill="E5E5E5"/>
          </w:tcPr>
          <w:p>
            <w:pPr>
              <w:spacing w:after="0"/>
              <w:rPr>
                <w:sz w:val="18"/>
                <w:szCs w:val="18"/>
                <w:color w:val="auto"/>
              </w:rPr>
            </w:pPr>
          </w:p>
        </w:tc>
        <w:tc>
          <w:tcPr>
            <w:tcW w:w="2240" w:type="dxa"/>
            <w:vAlign w:val="bottom"/>
            <w:shd w:val="clear" w:color="auto" w:fill="E5E5E5"/>
          </w:tcPr>
          <w:p>
            <w:pPr>
              <w:spacing w:after="0"/>
              <w:rPr>
                <w:sz w:val="20"/>
                <w:szCs w:val="20"/>
                <w:color w:val="auto"/>
              </w:rPr>
            </w:pPr>
            <w:r>
              <w:rPr>
                <w:rFonts w:ascii="Arial" w:cs="Arial" w:eastAsia="Arial" w:hAnsi="Arial"/>
                <w:sz w:val="16"/>
                <w:szCs w:val="16"/>
                <w:color w:val="auto"/>
              </w:rPr>
              <w:t>Liam K. Griffin</w:t>
            </w:r>
          </w:p>
        </w:tc>
        <w:tc>
          <w:tcPr>
            <w:tcW w:w="1000" w:type="dxa"/>
            <w:vAlign w:val="bottom"/>
            <w:shd w:val="clear" w:color="auto" w:fill="E5E5E5"/>
          </w:tcPr>
          <w:p>
            <w:pPr>
              <w:ind w:left="360"/>
              <w:spacing w:after="0"/>
              <w:rPr>
                <w:sz w:val="20"/>
                <w:szCs w:val="20"/>
                <w:color w:val="auto"/>
              </w:rPr>
            </w:pPr>
            <w:r>
              <w:rPr>
                <w:rFonts w:ascii="Arial" w:cs="Arial" w:eastAsia="Arial" w:hAnsi="Arial"/>
                <w:sz w:val="16"/>
                <w:szCs w:val="16"/>
                <w:color w:val="auto"/>
              </w:rPr>
              <w:t>2021</w:t>
            </w:r>
          </w:p>
        </w:tc>
        <w:tc>
          <w:tcPr>
            <w:tcW w:w="1200" w:type="dxa"/>
            <w:vAlign w:val="bottom"/>
            <w:shd w:val="clear" w:color="auto" w:fill="E5E5E5"/>
          </w:tcPr>
          <w:p>
            <w:pPr>
              <w:jc w:val="center"/>
              <w:ind w:left="19"/>
              <w:spacing w:after="0"/>
              <w:rPr>
                <w:sz w:val="20"/>
                <w:szCs w:val="20"/>
                <w:color w:val="auto"/>
              </w:rPr>
            </w:pPr>
            <w:r>
              <w:rPr>
                <w:rFonts w:ascii="Arial" w:cs="Arial" w:eastAsia="Arial" w:hAnsi="Arial"/>
                <w:sz w:val="16"/>
                <w:szCs w:val="16"/>
                <w:color w:val="auto"/>
              </w:rPr>
              <w:t>1,070,223</w:t>
            </w:r>
          </w:p>
        </w:tc>
        <w:tc>
          <w:tcPr>
            <w:tcW w:w="1160" w:type="dxa"/>
            <w:vAlign w:val="bottom"/>
            <w:shd w:val="clear" w:color="auto" w:fill="E5E5E5"/>
          </w:tcPr>
          <w:p>
            <w:pPr>
              <w:jc w:val="center"/>
              <w:spacing w:after="0"/>
              <w:rPr>
                <w:sz w:val="20"/>
                <w:szCs w:val="20"/>
                <w:color w:val="auto"/>
              </w:rPr>
            </w:pPr>
            <w:r>
              <w:rPr>
                <w:rFonts w:ascii="Arial" w:cs="Arial" w:eastAsia="Arial" w:hAnsi="Arial"/>
                <w:sz w:val="16"/>
                <w:szCs w:val="16"/>
                <w:color w:val="auto"/>
                <w:w w:val="99"/>
              </w:rPr>
              <w:t>11,612,745</w:t>
            </w:r>
          </w:p>
        </w:tc>
        <w:tc>
          <w:tcPr>
            <w:tcW w:w="130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3,440,000</w:t>
            </w:r>
          </w:p>
        </w:tc>
        <w:tc>
          <w:tcPr>
            <w:tcW w:w="132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27,453</w:t>
            </w:r>
          </w:p>
        </w:tc>
        <w:tc>
          <w:tcPr>
            <w:tcW w:w="110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16,150,421</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2240" w:type="dxa"/>
            <w:vAlign w:val="bottom"/>
          </w:tcPr>
          <w:p>
            <w:pPr>
              <w:ind w:left="160"/>
              <w:spacing w:after="0" w:line="175" w:lineRule="exact"/>
              <w:rPr>
                <w:sz w:val="20"/>
                <w:szCs w:val="20"/>
                <w:color w:val="auto"/>
              </w:rPr>
            </w:pPr>
            <w:r>
              <w:rPr>
                <w:rFonts w:ascii="Arial" w:cs="Arial" w:eastAsia="Arial" w:hAnsi="Arial"/>
                <w:sz w:val="16"/>
                <w:szCs w:val="16"/>
                <w:i w:val="1"/>
                <w:iCs w:val="1"/>
                <w:color w:val="auto"/>
              </w:rPr>
              <w:t>Chairman, Chief Executive</w:t>
            </w:r>
          </w:p>
        </w:tc>
        <w:tc>
          <w:tcPr>
            <w:tcW w:w="1000" w:type="dxa"/>
            <w:vAlign w:val="bottom"/>
          </w:tcPr>
          <w:p>
            <w:pPr>
              <w:ind w:left="360"/>
              <w:spacing w:after="0" w:line="175" w:lineRule="exact"/>
              <w:rPr>
                <w:sz w:val="20"/>
                <w:szCs w:val="20"/>
                <w:color w:val="auto"/>
              </w:rPr>
            </w:pPr>
            <w:r>
              <w:rPr>
                <w:rFonts w:ascii="Arial" w:cs="Arial" w:eastAsia="Arial" w:hAnsi="Arial"/>
                <w:sz w:val="16"/>
                <w:szCs w:val="16"/>
                <w:color w:val="auto"/>
              </w:rPr>
              <w:t>2020</w:t>
            </w:r>
          </w:p>
        </w:tc>
        <w:tc>
          <w:tcPr>
            <w:tcW w:w="1200" w:type="dxa"/>
            <w:vAlign w:val="bottom"/>
          </w:tcPr>
          <w:p>
            <w:pPr>
              <w:jc w:val="center"/>
              <w:ind w:left="19"/>
              <w:spacing w:after="0" w:line="175" w:lineRule="exact"/>
              <w:rPr>
                <w:sz w:val="20"/>
                <w:szCs w:val="20"/>
                <w:color w:val="auto"/>
              </w:rPr>
            </w:pPr>
            <w:r>
              <w:rPr>
                <w:rFonts w:ascii="Arial" w:cs="Arial" w:eastAsia="Arial" w:hAnsi="Arial"/>
                <w:sz w:val="16"/>
                <w:szCs w:val="16"/>
                <w:color w:val="auto"/>
              </w:rPr>
              <w:t>1,043,888</w:t>
            </w:r>
          </w:p>
        </w:tc>
        <w:tc>
          <w:tcPr>
            <w:tcW w:w="1160" w:type="dxa"/>
            <w:vAlign w:val="bottom"/>
          </w:tcPr>
          <w:p>
            <w:pPr>
              <w:jc w:val="center"/>
              <w:spacing w:after="0" w:line="175" w:lineRule="exact"/>
              <w:rPr>
                <w:sz w:val="20"/>
                <w:szCs w:val="20"/>
                <w:color w:val="auto"/>
              </w:rPr>
            </w:pPr>
            <w:r>
              <w:rPr>
                <w:rFonts w:ascii="Arial" w:cs="Arial" w:eastAsia="Arial" w:hAnsi="Arial"/>
                <w:sz w:val="16"/>
                <w:szCs w:val="16"/>
                <w:color w:val="auto"/>
                <w:w w:val="99"/>
              </w:rPr>
              <w:t>17,430,589</w:t>
            </w:r>
          </w:p>
        </w:tc>
        <w:tc>
          <w:tcPr>
            <w:tcW w:w="1300" w:type="dxa"/>
            <w:vAlign w:val="bottom"/>
          </w:tcPr>
          <w:p>
            <w:pPr>
              <w:jc w:val="center"/>
              <w:spacing w:after="0" w:line="175" w:lineRule="exact"/>
              <w:rPr>
                <w:sz w:val="20"/>
                <w:szCs w:val="20"/>
                <w:color w:val="auto"/>
              </w:rPr>
            </w:pPr>
            <w:r>
              <w:rPr>
                <w:rFonts w:ascii="Arial" w:cs="Arial" w:eastAsia="Arial" w:hAnsi="Arial"/>
                <w:sz w:val="16"/>
                <w:szCs w:val="16"/>
                <w:color w:val="auto"/>
              </w:rPr>
              <w:t>3,292,800</w:t>
            </w:r>
          </w:p>
        </w:tc>
        <w:tc>
          <w:tcPr>
            <w:tcW w:w="1320" w:type="dxa"/>
            <w:vAlign w:val="bottom"/>
          </w:tcPr>
          <w:p>
            <w:pPr>
              <w:jc w:val="center"/>
              <w:spacing w:after="0" w:line="175" w:lineRule="exact"/>
              <w:rPr>
                <w:sz w:val="20"/>
                <w:szCs w:val="20"/>
                <w:color w:val="auto"/>
              </w:rPr>
            </w:pPr>
            <w:r>
              <w:rPr>
                <w:rFonts w:ascii="Arial" w:cs="Arial" w:eastAsia="Arial" w:hAnsi="Arial"/>
                <w:sz w:val="16"/>
                <w:szCs w:val="16"/>
                <w:color w:val="auto"/>
              </w:rPr>
              <w:t>33,162</w:t>
            </w:r>
          </w:p>
        </w:tc>
        <w:tc>
          <w:tcPr>
            <w:tcW w:w="1100" w:type="dxa"/>
            <w:vAlign w:val="bottom"/>
          </w:tcPr>
          <w:p>
            <w:pPr>
              <w:jc w:val="center"/>
              <w:spacing w:after="0" w:line="175" w:lineRule="exact"/>
              <w:rPr>
                <w:sz w:val="20"/>
                <w:szCs w:val="20"/>
                <w:color w:val="auto"/>
              </w:rPr>
            </w:pPr>
            <w:r>
              <w:rPr>
                <w:rFonts w:ascii="Arial" w:cs="Arial" w:eastAsia="Arial" w:hAnsi="Arial"/>
                <w:sz w:val="16"/>
                <w:szCs w:val="16"/>
                <w:color w:val="auto"/>
              </w:rPr>
              <w:t>21,800,439</w:t>
            </w:r>
          </w:p>
        </w:tc>
        <w:tc>
          <w:tcPr>
            <w:tcW w:w="0" w:type="dxa"/>
            <w:vAlign w:val="bottom"/>
          </w:tcPr>
          <w:p>
            <w:pPr>
              <w:spacing w:after="0"/>
              <w:rPr>
                <w:sz w:val="1"/>
                <w:szCs w:val="1"/>
                <w:color w:val="auto"/>
              </w:rPr>
            </w:pPr>
          </w:p>
        </w:tc>
      </w:tr>
      <w:tr>
        <w:trPr>
          <w:trHeight w:val="55"/>
        </w:trPr>
        <w:tc>
          <w:tcPr>
            <w:tcW w:w="80" w:type="dxa"/>
            <w:vAlign w:val="bottom"/>
            <w:vMerge w:val="restart"/>
          </w:tcPr>
          <w:p>
            <w:pPr>
              <w:spacing w:after="0"/>
              <w:rPr>
                <w:sz w:val="4"/>
                <w:szCs w:val="4"/>
                <w:color w:val="auto"/>
              </w:rPr>
            </w:pPr>
          </w:p>
        </w:tc>
        <w:tc>
          <w:tcPr>
            <w:tcW w:w="2240" w:type="dxa"/>
            <w:vAlign w:val="bottom"/>
            <w:vMerge w:val="restart"/>
          </w:tcPr>
          <w:p>
            <w:pPr>
              <w:ind w:left="160"/>
              <w:spacing w:after="0"/>
              <w:rPr>
                <w:sz w:val="20"/>
                <w:szCs w:val="20"/>
                <w:color w:val="auto"/>
              </w:rPr>
            </w:pPr>
            <w:r>
              <w:rPr>
                <w:rFonts w:ascii="Arial" w:cs="Arial" w:eastAsia="Arial" w:hAnsi="Arial"/>
                <w:sz w:val="16"/>
                <w:szCs w:val="16"/>
                <w:i w:val="1"/>
                <w:iCs w:val="1"/>
                <w:color w:val="auto"/>
              </w:rPr>
              <w:t>Officer and President</w:t>
            </w:r>
          </w:p>
        </w:tc>
        <w:tc>
          <w:tcPr>
            <w:tcW w:w="1000" w:type="dxa"/>
            <w:vAlign w:val="bottom"/>
            <w:tcBorders>
              <w:bottom w:val="single" w:sz="8" w:color="BFBFBF"/>
            </w:tcBorders>
          </w:tcPr>
          <w:p>
            <w:pPr>
              <w:spacing w:after="0"/>
              <w:rPr>
                <w:sz w:val="4"/>
                <w:szCs w:val="4"/>
                <w:color w:val="auto"/>
              </w:rPr>
            </w:pPr>
          </w:p>
        </w:tc>
        <w:tc>
          <w:tcPr>
            <w:tcW w:w="1200" w:type="dxa"/>
            <w:vAlign w:val="bottom"/>
            <w:tcBorders>
              <w:bottom w:val="single" w:sz="8" w:color="BFBFBF"/>
            </w:tcBorders>
          </w:tcPr>
          <w:p>
            <w:pPr>
              <w:spacing w:after="0"/>
              <w:rPr>
                <w:sz w:val="4"/>
                <w:szCs w:val="4"/>
                <w:color w:val="auto"/>
              </w:rPr>
            </w:pPr>
          </w:p>
        </w:tc>
        <w:tc>
          <w:tcPr>
            <w:tcW w:w="1160" w:type="dxa"/>
            <w:vAlign w:val="bottom"/>
            <w:tcBorders>
              <w:bottom w:val="single" w:sz="8" w:color="BFBFBF"/>
            </w:tcBorders>
          </w:tcPr>
          <w:p>
            <w:pPr>
              <w:spacing w:after="0"/>
              <w:rPr>
                <w:sz w:val="4"/>
                <w:szCs w:val="4"/>
                <w:color w:val="auto"/>
              </w:rPr>
            </w:pPr>
          </w:p>
        </w:tc>
        <w:tc>
          <w:tcPr>
            <w:tcW w:w="1300" w:type="dxa"/>
            <w:vAlign w:val="bottom"/>
            <w:tcBorders>
              <w:bottom w:val="single" w:sz="8" w:color="BFBFBF"/>
            </w:tcBorders>
          </w:tcPr>
          <w:p>
            <w:pPr>
              <w:spacing w:after="0"/>
              <w:rPr>
                <w:sz w:val="4"/>
                <w:szCs w:val="4"/>
                <w:color w:val="auto"/>
              </w:rPr>
            </w:pPr>
          </w:p>
        </w:tc>
        <w:tc>
          <w:tcPr>
            <w:tcW w:w="1320" w:type="dxa"/>
            <w:vAlign w:val="bottom"/>
            <w:tcBorders>
              <w:bottom w:val="single" w:sz="8" w:color="BFBFBF"/>
            </w:tcBorders>
          </w:tcPr>
          <w:p>
            <w:pPr>
              <w:spacing w:after="0"/>
              <w:rPr>
                <w:sz w:val="4"/>
                <w:szCs w:val="4"/>
                <w:color w:val="auto"/>
              </w:rPr>
            </w:pPr>
          </w:p>
        </w:tc>
        <w:tc>
          <w:tcPr>
            <w:tcW w:w="1100" w:type="dxa"/>
            <w:vAlign w:val="bottom"/>
            <w:tcBorders>
              <w:bottom w:val="single" w:sz="8" w:color="BFBFBF"/>
            </w:tcBorders>
          </w:tcPr>
          <w:p>
            <w:pPr>
              <w:spacing w:after="0"/>
              <w:rPr>
                <w:sz w:val="4"/>
                <w:szCs w:val="4"/>
                <w:color w:val="auto"/>
              </w:rPr>
            </w:pPr>
          </w:p>
        </w:tc>
        <w:tc>
          <w:tcPr>
            <w:tcW w:w="0" w:type="dxa"/>
            <w:vAlign w:val="bottom"/>
          </w:tcPr>
          <w:p>
            <w:pPr>
              <w:spacing w:after="0"/>
              <w:rPr>
                <w:sz w:val="1"/>
                <w:szCs w:val="1"/>
                <w:color w:val="auto"/>
              </w:rPr>
            </w:pPr>
          </w:p>
        </w:tc>
      </w:tr>
      <w:tr>
        <w:trPr>
          <w:trHeight w:val="136"/>
        </w:trPr>
        <w:tc>
          <w:tcPr>
            <w:tcW w:w="80" w:type="dxa"/>
            <w:vAlign w:val="bottom"/>
            <w:vMerge w:val="continue"/>
          </w:tcPr>
          <w:p>
            <w:pPr>
              <w:spacing w:after="0"/>
              <w:rPr>
                <w:sz w:val="11"/>
                <w:szCs w:val="11"/>
                <w:color w:val="auto"/>
              </w:rPr>
            </w:pPr>
          </w:p>
        </w:tc>
        <w:tc>
          <w:tcPr>
            <w:tcW w:w="2240" w:type="dxa"/>
            <w:vAlign w:val="bottom"/>
            <w:vMerge w:val="continue"/>
          </w:tcPr>
          <w:p>
            <w:pPr>
              <w:spacing w:after="0"/>
              <w:rPr>
                <w:sz w:val="11"/>
                <w:szCs w:val="11"/>
                <w:color w:val="auto"/>
              </w:rPr>
            </w:pPr>
          </w:p>
        </w:tc>
        <w:tc>
          <w:tcPr>
            <w:tcW w:w="1000" w:type="dxa"/>
            <w:vAlign w:val="bottom"/>
            <w:vMerge w:val="restart"/>
          </w:tcPr>
          <w:p>
            <w:pPr>
              <w:ind w:left="360"/>
              <w:spacing w:after="0"/>
              <w:rPr>
                <w:sz w:val="20"/>
                <w:szCs w:val="20"/>
                <w:color w:val="auto"/>
              </w:rPr>
            </w:pPr>
            <w:r>
              <w:rPr>
                <w:rFonts w:ascii="Arial" w:cs="Arial" w:eastAsia="Arial" w:hAnsi="Arial"/>
                <w:sz w:val="16"/>
                <w:szCs w:val="16"/>
                <w:color w:val="auto"/>
              </w:rPr>
              <w:t>2019</w:t>
            </w:r>
          </w:p>
        </w:tc>
        <w:tc>
          <w:tcPr>
            <w:tcW w:w="1200" w:type="dxa"/>
            <w:vAlign w:val="bottom"/>
            <w:vMerge w:val="restart"/>
          </w:tcPr>
          <w:p>
            <w:pPr>
              <w:jc w:val="center"/>
              <w:ind w:left="19"/>
              <w:spacing w:after="0"/>
              <w:rPr>
                <w:sz w:val="20"/>
                <w:szCs w:val="20"/>
                <w:color w:val="auto"/>
              </w:rPr>
            </w:pPr>
            <w:r>
              <w:rPr>
                <w:rFonts w:ascii="Arial" w:cs="Arial" w:eastAsia="Arial" w:hAnsi="Arial"/>
                <w:sz w:val="16"/>
                <w:szCs w:val="16"/>
                <w:color w:val="auto"/>
              </w:rPr>
              <w:t>972,000</w:t>
            </w:r>
          </w:p>
        </w:tc>
        <w:tc>
          <w:tcPr>
            <w:tcW w:w="1160" w:type="dxa"/>
            <w:vAlign w:val="bottom"/>
            <w:vMerge w:val="restart"/>
          </w:tcPr>
          <w:p>
            <w:pPr>
              <w:jc w:val="center"/>
              <w:spacing w:after="0"/>
              <w:rPr>
                <w:sz w:val="20"/>
                <w:szCs w:val="20"/>
                <w:color w:val="auto"/>
              </w:rPr>
            </w:pPr>
            <w:r>
              <w:rPr>
                <w:rFonts w:ascii="Arial" w:cs="Arial" w:eastAsia="Arial" w:hAnsi="Arial"/>
                <w:sz w:val="16"/>
                <w:szCs w:val="16"/>
                <w:color w:val="auto"/>
                <w:w w:val="99"/>
              </w:rPr>
              <w:t>11,658,937</w:t>
            </w:r>
          </w:p>
        </w:tc>
        <w:tc>
          <w:tcPr>
            <w:tcW w:w="1300" w:type="dxa"/>
            <w:vAlign w:val="bottom"/>
            <w:vMerge w:val="restart"/>
          </w:tcPr>
          <w:p>
            <w:pPr>
              <w:jc w:val="center"/>
              <w:spacing w:after="0"/>
              <w:rPr>
                <w:sz w:val="20"/>
                <w:szCs w:val="20"/>
                <w:color w:val="auto"/>
              </w:rPr>
            </w:pPr>
            <w:r>
              <w:rPr>
                <w:rFonts w:ascii="Arial" w:cs="Arial" w:eastAsia="Arial" w:hAnsi="Arial"/>
                <w:sz w:val="16"/>
                <w:szCs w:val="16"/>
                <w:color w:val="auto"/>
              </w:rPr>
              <w:t>1,011,257</w:t>
            </w:r>
          </w:p>
        </w:tc>
        <w:tc>
          <w:tcPr>
            <w:tcW w:w="1320" w:type="dxa"/>
            <w:vAlign w:val="bottom"/>
            <w:vMerge w:val="restart"/>
          </w:tcPr>
          <w:p>
            <w:pPr>
              <w:jc w:val="center"/>
              <w:spacing w:after="0"/>
              <w:rPr>
                <w:sz w:val="20"/>
                <w:szCs w:val="20"/>
                <w:color w:val="auto"/>
              </w:rPr>
            </w:pPr>
            <w:r>
              <w:rPr>
                <w:rFonts w:ascii="Arial" w:cs="Arial" w:eastAsia="Arial" w:hAnsi="Arial"/>
                <w:sz w:val="16"/>
                <w:szCs w:val="16"/>
                <w:color w:val="auto"/>
              </w:rPr>
              <w:t>18,399</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auto"/>
              </w:rPr>
              <w:t>13,660,593</w:t>
            </w:r>
          </w:p>
        </w:tc>
        <w:tc>
          <w:tcPr>
            <w:tcW w:w="0" w:type="dxa"/>
            <w:vAlign w:val="bottom"/>
          </w:tcPr>
          <w:p>
            <w:pPr>
              <w:spacing w:after="0"/>
              <w:rPr>
                <w:sz w:val="1"/>
                <w:szCs w:val="1"/>
                <w:color w:val="auto"/>
              </w:rPr>
            </w:pPr>
          </w:p>
        </w:tc>
      </w:tr>
      <w:tr>
        <w:trPr>
          <w:trHeight w:val="77"/>
        </w:trPr>
        <w:tc>
          <w:tcPr>
            <w:tcW w:w="80" w:type="dxa"/>
            <w:vAlign w:val="bottom"/>
          </w:tcPr>
          <w:p>
            <w:pPr>
              <w:spacing w:after="0"/>
              <w:rPr>
                <w:sz w:val="6"/>
                <w:szCs w:val="6"/>
                <w:color w:val="auto"/>
              </w:rPr>
            </w:pPr>
          </w:p>
        </w:tc>
        <w:tc>
          <w:tcPr>
            <w:tcW w:w="224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1300" w:type="dxa"/>
            <w:vAlign w:val="bottom"/>
            <w:vMerge w:val="continue"/>
          </w:tcPr>
          <w:p>
            <w:pPr>
              <w:spacing w:after="0"/>
              <w:rPr>
                <w:sz w:val="6"/>
                <w:szCs w:val="6"/>
                <w:color w:val="auto"/>
              </w:rPr>
            </w:pPr>
          </w:p>
        </w:tc>
        <w:tc>
          <w:tcPr>
            <w:tcW w:w="132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80" w:type="dxa"/>
            <w:vAlign w:val="bottom"/>
            <w:shd w:val="clear" w:color="auto" w:fill="E5E5E5"/>
          </w:tcPr>
          <w:p>
            <w:pPr>
              <w:spacing w:after="0"/>
              <w:rPr>
                <w:sz w:val="19"/>
                <w:szCs w:val="19"/>
                <w:color w:val="auto"/>
              </w:rPr>
            </w:pPr>
          </w:p>
        </w:tc>
        <w:tc>
          <w:tcPr>
            <w:tcW w:w="2240" w:type="dxa"/>
            <w:vAlign w:val="bottom"/>
            <w:shd w:val="clear" w:color="auto" w:fill="E5E5E5"/>
          </w:tcPr>
          <w:p>
            <w:pPr>
              <w:spacing w:after="0"/>
              <w:rPr>
                <w:sz w:val="20"/>
                <w:szCs w:val="20"/>
                <w:color w:val="auto"/>
              </w:rPr>
            </w:pPr>
            <w:r>
              <w:rPr>
                <w:rFonts w:ascii="Arial" w:cs="Arial" w:eastAsia="Arial" w:hAnsi="Arial"/>
                <w:sz w:val="16"/>
                <w:szCs w:val="16"/>
                <w:color w:val="auto"/>
              </w:rPr>
              <w:t>Kris Sennesael</w:t>
            </w:r>
          </w:p>
        </w:tc>
        <w:tc>
          <w:tcPr>
            <w:tcW w:w="1000" w:type="dxa"/>
            <w:vAlign w:val="bottom"/>
            <w:shd w:val="clear" w:color="auto" w:fill="E5E5E5"/>
          </w:tcPr>
          <w:p>
            <w:pPr>
              <w:ind w:left="360"/>
              <w:spacing w:after="0"/>
              <w:rPr>
                <w:sz w:val="20"/>
                <w:szCs w:val="20"/>
                <w:color w:val="auto"/>
              </w:rPr>
            </w:pPr>
            <w:r>
              <w:rPr>
                <w:rFonts w:ascii="Arial" w:cs="Arial" w:eastAsia="Arial" w:hAnsi="Arial"/>
                <w:sz w:val="16"/>
                <w:szCs w:val="16"/>
                <w:color w:val="auto"/>
              </w:rPr>
              <w:t>2021</w:t>
            </w:r>
          </w:p>
        </w:tc>
        <w:tc>
          <w:tcPr>
            <w:tcW w:w="1200" w:type="dxa"/>
            <w:vAlign w:val="bottom"/>
            <w:shd w:val="clear" w:color="auto" w:fill="E5E5E5"/>
          </w:tcPr>
          <w:p>
            <w:pPr>
              <w:jc w:val="center"/>
              <w:ind w:left="19"/>
              <w:spacing w:after="0"/>
              <w:rPr>
                <w:sz w:val="20"/>
                <w:szCs w:val="20"/>
                <w:color w:val="auto"/>
              </w:rPr>
            </w:pPr>
            <w:r>
              <w:rPr>
                <w:rFonts w:ascii="Arial" w:cs="Arial" w:eastAsia="Arial" w:hAnsi="Arial"/>
                <w:sz w:val="16"/>
                <w:szCs w:val="16"/>
                <w:color w:val="auto"/>
              </w:rPr>
              <w:t>556,885</w:t>
            </w:r>
          </w:p>
        </w:tc>
        <w:tc>
          <w:tcPr>
            <w:tcW w:w="116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3,589,223</w:t>
            </w:r>
          </w:p>
        </w:tc>
        <w:tc>
          <w:tcPr>
            <w:tcW w:w="130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1,120,000</w:t>
            </w:r>
          </w:p>
        </w:tc>
        <w:tc>
          <w:tcPr>
            <w:tcW w:w="132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15,203</w:t>
            </w:r>
          </w:p>
        </w:tc>
        <w:tc>
          <w:tcPr>
            <w:tcW w:w="110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5,281,311</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2240" w:type="dxa"/>
            <w:vAlign w:val="bottom"/>
          </w:tcPr>
          <w:p>
            <w:pPr>
              <w:ind w:left="160"/>
              <w:spacing w:after="0" w:line="175" w:lineRule="exact"/>
              <w:rPr>
                <w:sz w:val="20"/>
                <w:szCs w:val="20"/>
                <w:color w:val="auto"/>
              </w:rPr>
            </w:pPr>
            <w:r>
              <w:rPr>
                <w:rFonts w:ascii="Arial" w:cs="Arial" w:eastAsia="Arial" w:hAnsi="Arial"/>
                <w:sz w:val="16"/>
                <w:szCs w:val="16"/>
                <w:i w:val="1"/>
                <w:iCs w:val="1"/>
                <w:color w:val="auto"/>
              </w:rPr>
              <w:t>Senior Vice President and</w:t>
            </w:r>
          </w:p>
        </w:tc>
        <w:tc>
          <w:tcPr>
            <w:tcW w:w="1000" w:type="dxa"/>
            <w:vAlign w:val="bottom"/>
          </w:tcPr>
          <w:p>
            <w:pPr>
              <w:ind w:left="360"/>
              <w:spacing w:after="0" w:line="175" w:lineRule="exact"/>
              <w:rPr>
                <w:sz w:val="20"/>
                <w:szCs w:val="20"/>
                <w:color w:val="auto"/>
              </w:rPr>
            </w:pPr>
            <w:r>
              <w:rPr>
                <w:rFonts w:ascii="Arial" w:cs="Arial" w:eastAsia="Arial" w:hAnsi="Arial"/>
                <w:sz w:val="16"/>
                <w:szCs w:val="16"/>
                <w:color w:val="auto"/>
              </w:rPr>
              <w:t>2020</w:t>
            </w:r>
          </w:p>
        </w:tc>
        <w:tc>
          <w:tcPr>
            <w:tcW w:w="1200" w:type="dxa"/>
            <w:vAlign w:val="bottom"/>
          </w:tcPr>
          <w:p>
            <w:pPr>
              <w:jc w:val="center"/>
              <w:ind w:left="19"/>
              <w:spacing w:after="0" w:line="175" w:lineRule="exact"/>
              <w:rPr>
                <w:sz w:val="20"/>
                <w:szCs w:val="20"/>
                <w:color w:val="auto"/>
              </w:rPr>
            </w:pPr>
            <w:r>
              <w:rPr>
                <w:rFonts w:ascii="Arial" w:cs="Arial" w:eastAsia="Arial" w:hAnsi="Arial"/>
                <w:sz w:val="16"/>
                <w:szCs w:val="16"/>
                <w:color w:val="auto"/>
              </w:rPr>
              <w:t>537,192</w:t>
            </w:r>
          </w:p>
        </w:tc>
        <w:tc>
          <w:tcPr>
            <w:tcW w:w="1160" w:type="dxa"/>
            <w:vAlign w:val="bottom"/>
          </w:tcPr>
          <w:p>
            <w:pPr>
              <w:jc w:val="center"/>
              <w:spacing w:after="0" w:line="175" w:lineRule="exact"/>
              <w:rPr>
                <w:sz w:val="20"/>
                <w:szCs w:val="20"/>
                <w:color w:val="auto"/>
              </w:rPr>
            </w:pPr>
            <w:r>
              <w:rPr>
                <w:rFonts w:ascii="Arial" w:cs="Arial" w:eastAsia="Arial" w:hAnsi="Arial"/>
                <w:sz w:val="16"/>
                <w:szCs w:val="16"/>
                <w:color w:val="auto"/>
              </w:rPr>
              <w:t>5,677,593</w:t>
            </w:r>
          </w:p>
        </w:tc>
        <w:tc>
          <w:tcPr>
            <w:tcW w:w="1300" w:type="dxa"/>
            <w:vAlign w:val="bottom"/>
          </w:tcPr>
          <w:p>
            <w:pPr>
              <w:jc w:val="center"/>
              <w:spacing w:after="0" w:line="175" w:lineRule="exact"/>
              <w:rPr>
                <w:sz w:val="20"/>
                <w:szCs w:val="20"/>
                <w:color w:val="auto"/>
              </w:rPr>
            </w:pPr>
            <w:r>
              <w:rPr>
                <w:rFonts w:ascii="Arial" w:cs="Arial" w:eastAsia="Arial" w:hAnsi="Arial"/>
                <w:sz w:val="16"/>
                <w:szCs w:val="16"/>
                <w:color w:val="auto"/>
              </w:rPr>
              <w:t>1,060,000</w:t>
            </w:r>
          </w:p>
        </w:tc>
        <w:tc>
          <w:tcPr>
            <w:tcW w:w="1320" w:type="dxa"/>
            <w:vAlign w:val="bottom"/>
          </w:tcPr>
          <w:p>
            <w:pPr>
              <w:jc w:val="center"/>
              <w:spacing w:after="0" w:line="175" w:lineRule="exact"/>
              <w:rPr>
                <w:sz w:val="20"/>
                <w:szCs w:val="20"/>
                <w:color w:val="auto"/>
              </w:rPr>
            </w:pPr>
            <w:r>
              <w:rPr>
                <w:rFonts w:ascii="Arial" w:cs="Arial" w:eastAsia="Arial" w:hAnsi="Arial"/>
                <w:sz w:val="16"/>
                <w:szCs w:val="16"/>
                <w:color w:val="auto"/>
              </w:rPr>
              <w:t>18,591</w:t>
            </w:r>
          </w:p>
        </w:tc>
        <w:tc>
          <w:tcPr>
            <w:tcW w:w="1100" w:type="dxa"/>
            <w:vAlign w:val="bottom"/>
          </w:tcPr>
          <w:p>
            <w:pPr>
              <w:jc w:val="center"/>
              <w:spacing w:after="0" w:line="175" w:lineRule="exact"/>
              <w:rPr>
                <w:sz w:val="20"/>
                <w:szCs w:val="20"/>
                <w:color w:val="auto"/>
              </w:rPr>
            </w:pPr>
            <w:r>
              <w:rPr>
                <w:rFonts w:ascii="Arial" w:cs="Arial" w:eastAsia="Arial" w:hAnsi="Arial"/>
                <w:sz w:val="16"/>
                <w:szCs w:val="16"/>
                <w:color w:val="auto"/>
              </w:rPr>
              <w:t>7,293,376</w:t>
            </w:r>
          </w:p>
        </w:tc>
        <w:tc>
          <w:tcPr>
            <w:tcW w:w="0" w:type="dxa"/>
            <w:vAlign w:val="bottom"/>
          </w:tcPr>
          <w:p>
            <w:pPr>
              <w:spacing w:after="0"/>
              <w:rPr>
                <w:sz w:val="1"/>
                <w:szCs w:val="1"/>
                <w:color w:val="auto"/>
              </w:rPr>
            </w:pPr>
          </w:p>
        </w:tc>
      </w:tr>
      <w:tr>
        <w:trPr>
          <w:trHeight w:val="55"/>
        </w:trPr>
        <w:tc>
          <w:tcPr>
            <w:tcW w:w="80" w:type="dxa"/>
            <w:vAlign w:val="bottom"/>
            <w:vMerge w:val="restart"/>
          </w:tcPr>
          <w:p>
            <w:pPr>
              <w:spacing w:after="0"/>
              <w:rPr>
                <w:sz w:val="4"/>
                <w:szCs w:val="4"/>
                <w:color w:val="auto"/>
              </w:rPr>
            </w:pPr>
          </w:p>
        </w:tc>
        <w:tc>
          <w:tcPr>
            <w:tcW w:w="2240" w:type="dxa"/>
            <w:vAlign w:val="bottom"/>
            <w:vMerge w:val="restart"/>
          </w:tcPr>
          <w:p>
            <w:pPr>
              <w:ind w:left="160"/>
              <w:spacing w:after="0"/>
              <w:rPr>
                <w:sz w:val="20"/>
                <w:szCs w:val="20"/>
                <w:color w:val="auto"/>
              </w:rPr>
            </w:pPr>
            <w:r>
              <w:rPr>
                <w:rFonts w:ascii="Arial" w:cs="Arial" w:eastAsia="Arial" w:hAnsi="Arial"/>
                <w:sz w:val="16"/>
                <w:szCs w:val="16"/>
                <w:i w:val="1"/>
                <w:iCs w:val="1"/>
                <w:color w:val="auto"/>
              </w:rPr>
              <w:t>Chief Financial Officer</w:t>
            </w:r>
          </w:p>
        </w:tc>
        <w:tc>
          <w:tcPr>
            <w:tcW w:w="1000" w:type="dxa"/>
            <w:vAlign w:val="bottom"/>
            <w:tcBorders>
              <w:bottom w:val="single" w:sz="8" w:color="BFBFBF"/>
            </w:tcBorders>
          </w:tcPr>
          <w:p>
            <w:pPr>
              <w:spacing w:after="0"/>
              <w:rPr>
                <w:sz w:val="4"/>
                <w:szCs w:val="4"/>
                <w:color w:val="auto"/>
              </w:rPr>
            </w:pPr>
          </w:p>
        </w:tc>
        <w:tc>
          <w:tcPr>
            <w:tcW w:w="1200" w:type="dxa"/>
            <w:vAlign w:val="bottom"/>
            <w:tcBorders>
              <w:bottom w:val="single" w:sz="8" w:color="BFBFBF"/>
            </w:tcBorders>
          </w:tcPr>
          <w:p>
            <w:pPr>
              <w:spacing w:after="0"/>
              <w:rPr>
                <w:sz w:val="4"/>
                <w:szCs w:val="4"/>
                <w:color w:val="auto"/>
              </w:rPr>
            </w:pPr>
          </w:p>
        </w:tc>
        <w:tc>
          <w:tcPr>
            <w:tcW w:w="1160" w:type="dxa"/>
            <w:vAlign w:val="bottom"/>
            <w:tcBorders>
              <w:bottom w:val="single" w:sz="8" w:color="BFBFBF"/>
            </w:tcBorders>
          </w:tcPr>
          <w:p>
            <w:pPr>
              <w:spacing w:after="0"/>
              <w:rPr>
                <w:sz w:val="4"/>
                <w:szCs w:val="4"/>
                <w:color w:val="auto"/>
              </w:rPr>
            </w:pPr>
          </w:p>
        </w:tc>
        <w:tc>
          <w:tcPr>
            <w:tcW w:w="1300" w:type="dxa"/>
            <w:vAlign w:val="bottom"/>
            <w:tcBorders>
              <w:bottom w:val="single" w:sz="8" w:color="BFBFBF"/>
            </w:tcBorders>
          </w:tcPr>
          <w:p>
            <w:pPr>
              <w:spacing w:after="0"/>
              <w:rPr>
                <w:sz w:val="4"/>
                <w:szCs w:val="4"/>
                <w:color w:val="auto"/>
              </w:rPr>
            </w:pPr>
          </w:p>
        </w:tc>
        <w:tc>
          <w:tcPr>
            <w:tcW w:w="1320" w:type="dxa"/>
            <w:vAlign w:val="bottom"/>
            <w:tcBorders>
              <w:bottom w:val="single" w:sz="8" w:color="BFBFBF"/>
            </w:tcBorders>
          </w:tcPr>
          <w:p>
            <w:pPr>
              <w:spacing w:after="0"/>
              <w:rPr>
                <w:sz w:val="4"/>
                <w:szCs w:val="4"/>
                <w:color w:val="auto"/>
              </w:rPr>
            </w:pPr>
          </w:p>
        </w:tc>
        <w:tc>
          <w:tcPr>
            <w:tcW w:w="1100" w:type="dxa"/>
            <w:vAlign w:val="bottom"/>
            <w:tcBorders>
              <w:bottom w:val="single" w:sz="8" w:color="BFBFBF"/>
            </w:tcBorders>
          </w:tcPr>
          <w:p>
            <w:pPr>
              <w:spacing w:after="0"/>
              <w:rPr>
                <w:sz w:val="4"/>
                <w:szCs w:val="4"/>
                <w:color w:val="auto"/>
              </w:rPr>
            </w:pPr>
          </w:p>
        </w:tc>
        <w:tc>
          <w:tcPr>
            <w:tcW w:w="0" w:type="dxa"/>
            <w:vAlign w:val="bottom"/>
          </w:tcPr>
          <w:p>
            <w:pPr>
              <w:spacing w:after="0"/>
              <w:rPr>
                <w:sz w:val="1"/>
                <w:szCs w:val="1"/>
                <w:color w:val="auto"/>
              </w:rPr>
            </w:pPr>
          </w:p>
        </w:tc>
      </w:tr>
      <w:tr>
        <w:trPr>
          <w:trHeight w:val="136"/>
        </w:trPr>
        <w:tc>
          <w:tcPr>
            <w:tcW w:w="80" w:type="dxa"/>
            <w:vAlign w:val="bottom"/>
            <w:vMerge w:val="continue"/>
          </w:tcPr>
          <w:p>
            <w:pPr>
              <w:spacing w:after="0"/>
              <w:rPr>
                <w:sz w:val="11"/>
                <w:szCs w:val="11"/>
                <w:color w:val="auto"/>
              </w:rPr>
            </w:pPr>
          </w:p>
        </w:tc>
        <w:tc>
          <w:tcPr>
            <w:tcW w:w="2240" w:type="dxa"/>
            <w:vAlign w:val="bottom"/>
            <w:vMerge w:val="continue"/>
          </w:tcPr>
          <w:p>
            <w:pPr>
              <w:spacing w:after="0"/>
              <w:rPr>
                <w:sz w:val="11"/>
                <w:szCs w:val="11"/>
                <w:color w:val="auto"/>
              </w:rPr>
            </w:pPr>
          </w:p>
        </w:tc>
        <w:tc>
          <w:tcPr>
            <w:tcW w:w="1000" w:type="dxa"/>
            <w:vAlign w:val="bottom"/>
            <w:vMerge w:val="restart"/>
          </w:tcPr>
          <w:p>
            <w:pPr>
              <w:ind w:left="360"/>
              <w:spacing w:after="0"/>
              <w:rPr>
                <w:sz w:val="20"/>
                <w:szCs w:val="20"/>
                <w:color w:val="auto"/>
              </w:rPr>
            </w:pPr>
            <w:r>
              <w:rPr>
                <w:rFonts w:ascii="Arial" w:cs="Arial" w:eastAsia="Arial" w:hAnsi="Arial"/>
                <w:sz w:val="16"/>
                <w:szCs w:val="16"/>
                <w:color w:val="auto"/>
              </w:rPr>
              <w:t>2019</w:t>
            </w:r>
          </w:p>
        </w:tc>
        <w:tc>
          <w:tcPr>
            <w:tcW w:w="1200" w:type="dxa"/>
            <w:vAlign w:val="bottom"/>
            <w:vMerge w:val="restart"/>
          </w:tcPr>
          <w:p>
            <w:pPr>
              <w:jc w:val="center"/>
              <w:ind w:left="19"/>
              <w:spacing w:after="0"/>
              <w:rPr>
                <w:sz w:val="20"/>
                <w:szCs w:val="20"/>
                <w:color w:val="auto"/>
              </w:rPr>
            </w:pPr>
            <w:r>
              <w:rPr>
                <w:rFonts w:ascii="Arial" w:cs="Arial" w:eastAsia="Arial" w:hAnsi="Arial"/>
                <w:sz w:val="16"/>
                <w:szCs w:val="16"/>
                <w:color w:val="auto"/>
              </w:rPr>
              <w:t>496,000</w:t>
            </w:r>
          </w:p>
        </w:tc>
        <w:tc>
          <w:tcPr>
            <w:tcW w:w="1160" w:type="dxa"/>
            <w:vAlign w:val="bottom"/>
            <w:vMerge w:val="restart"/>
          </w:tcPr>
          <w:p>
            <w:pPr>
              <w:jc w:val="center"/>
              <w:spacing w:after="0"/>
              <w:rPr>
                <w:sz w:val="20"/>
                <w:szCs w:val="20"/>
                <w:color w:val="auto"/>
              </w:rPr>
            </w:pPr>
            <w:r>
              <w:rPr>
                <w:rFonts w:ascii="Arial" w:cs="Arial" w:eastAsia="Arial" w:hAnsi="Arial"/>
                <w:sz w:val="16"/>
                <w:szCs w:val="16"/>
                <w:color w:val="auto"/>
              </w:rPr>
              <w:t>3,264,443</w:t>
            </w:r>
          </w:p>
        </w:tc>
        <w:tc>
          <w:tcPr>
            <w:tcW w:w="1300" w:type="dxa"/>
            <w:vAlign w:val="bottom"/>
            <w:vMerge w:val="restart"/>
          </w:tcPr>
          <w:p>
            <w:pPr>
              <w:jc w:val="center"/>
              <w:spacing w:after="0"/>
              <w:rPr>
                <w:sz w:val="20"/>
                <w:szCs w:val="20"/>
                <w:color w:val="auto"/>
              </w:rPr>
            </w:pPr>
            <w:r>
              <w:rPr>
                <w:rFonts w:ascii="Arial" w:cs="Arial" w:eastAsia="Arial" w:hAnsi="Arial"/>
                <w:sz w:val="16"/>
                <w:szCs w:val="16"/>
                <w:color w:val="auto"/>
              </w:rPr>
              <w:t>322,467</w:t>
            </w:r>
          </w:p>
        </w:tc>
        <w:tc>
          <w:tcPr>
            <w:tcW w:w="1320" w:type="dxa"/>
            <w:vAlign w:val="bottom"/>
            <w:vMerge w:val="restart"/>
          </w:tcPr>
          <w:p>
            <w:pPr>
              <w:jc w:val="center"/>
              <w:spacing w:after="0"/>
              <w:rPr>
                <w:sz w:val="20"/>
                <w:szCs w:val="20"/>
                <w:color w:val="auto"/>
              </w:rPr>
            </w:pPr>
            <w:r>
              <w:rPr>
                <w:rFonts w:ascii="Arial" w:cs="Arial" w:eastAsia="Arial" w:hAnsi="Arial"/>
                <w:sz w:val="16"/>
                <w:szCs w:val="16"/>
                <w:color w:val="auto"/>
              </w:rPr>
              <w:t>15,352</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auto"/>
              </w:rPr>
              <w:t>4,098,262</w:t>
            </w:r>
          </w:p>
        </w:tc>
        <w:tc>
          <w:tcPr>
            <w:tcW w:w="0" w:type="dxa"/>
            <w:vAlign w:val="bottom"/>
          </w:tcPr>
          <w:p>
            <w:pPr>
              <w:spacing w:after="0"/>
              <w:rPr>
                <w:sz w:val="1"/>
                <w:szCs w:val="1"/>
                <w:color w:val="auto"/>
              </w:rPr>
            </w:pPr>
          </w:p>
        </w:tc>
      </w:tr>
      <w:tr>
        <w:trPr>
          <w:trHeight w:val="77"/>
        </w:trPr>
        <w:tc>
          <w:tcPr>
            <w:tcW w:w="80" w:type="dxa"/>
            <w:vAlign w:val="bottom"/>
          </w:tcPr>
          <w:p>
            <w:pPr>
              <w:spacing w:after="0"/>
              <w:rPr>
                <w:sz w:val="6"/>
                <w:szCs w:val="6"/>
                <w:color w:val="auto"/>
              </w:rPr>
            </w:pPr>
          </w:p>
        </w:tc>
        <w:tc>
          <w:tcPr>
            <w:tcW w:w="224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1300" w:type="dxa"/>
            <w:vAlign w:val="bottom"/>
            <w:vMerge w:val="continue"/>
          </w:tcPr>
          <w:p>
            <w:pPr>
              <w:spacing w:after="0"/>
              <w:rPr>
                <w:sz w:val="6"/>
                <w:szCs w:val="6"/>
                <w:color w:val="auto"/>
              </w:rPr>
            </w:pPr>
          </w:p>
        </w:tc>
        <w:tc>
          <w:tcPr>
            <w:tcW w:w="132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80" w:type="dxa"/>
            <w:vAlign w:val="bottom"/>
            <w:shd w:val="clear" w:color="auto" w:fill="E5E5E5"/>
          </w:tcPr>
          <w:p>
            <w:pPr>
              <w:spacing w:after="0"/>
              <w:rPr>
                <w:sz w:val="19"/>
                <w:szCs w:val="19"/>
                <w:color w:val="auto"/>
              </w:rPr>
            </w:pPr>
          </w:p>
        </w:tc>
        <w:tc>
          <w:tcPr>
            <w:tcW w:w="2240" w:type="dxa"/>
            <w:vAlign w:val="bottom"/>
            <w:shd w:val="clear" w:color="auto" w:fill="E5E5E5"/>
          </w:tcPr>
          <w:p>
            <w:pPr>
              <w:spacing w:after="0"/>
              <w:rPr>
                <w:sz w:val="20"/>
                <w:szCs w:val="20"/>
                <w:color w:val="auto"/>
              </w:rPr>
            </w:pPr>
            <w:r>
              <w:rPr>
                <w:rFonts w:ascii="Arial" w:cs="Arial" w:eastAsia="Arial" w:hAnsi="Arial"/>
                <w:sz w:val="16"/>
                <w:szCs w:val="16"/>
                <w:color w:val="auto"/>
              </w:rPr>
              <w:t>Carlos S. Bori</w:t>
            </w:r>
          </w:p>
        </w:tc>
        <w:tc>
          <w:tcPr>
            <w:tcW w:w="1000" w:type="dxa"/>
            <w:vAlign w:val="bottom"/>
            <w:shd w:val="clear" w:color="auto" w:fill="E5E5E5"/>
          </w:tcPr>
          <w:p>
            <w:pPr>
              <w:ind w:left="360"/>
              <w:spacing w:after="0"/>
              <w:rPr>
                <w:sz w:val="20"/>
                <w:szCs w:val="20"/>
                <w:color w:val="auto"/>
              </w:rPr>
            </w:pPr>
            <w:r>
              <w:rPr>
                <w:rFonts w:ascii="Arial" w:cs="Arial" w:eastAsia="Arial" w:hAnsi="Arial"/>
                <w:sz w:val="16"/>
                <w:szCs w:val="16"/>
                <w:color w:val="auto"/>
              </w:rPr>
              <w:t>2021</w:t>
            </w:r>
          </w:p>
        </w:tc>
        <w:tc>
          <w:tcPr>
            <w:tcW w:w="1200" w:type="dxa"/>
            <w:vAlign w:val="bottom"/>
            <w:shd w:val="clear" w:color="auto" w:fill="E5E5E5"/>
          </w:tcPr>
          <w:p>
            <w:pPr>
              <w:jc w:val="center"/>
              <w:ind w:left="19"/>
              <w:spacing w:after="0"/>
              <w:rPr>
                <w:sz w:val="20"/>
                <w:szCs w:val="20"/>
                <w:color w:val="auto"/>
              </w:rPr>
            </w:pPr>
            <w:r>
              <w:rPr>
                <w:rFonts w:ascii="Arial" w:cs="Arial" w:eastAsia="Arial" w:hAnsi="Arial"/>
                <w:sz w:val="16"/>
                <w:szCs w:val="16"/>
                <w:color w:val="auto"/>
              </w:rPr>
              <w:t>473,131</w:t>
            </w:r>
          </w:p>
        </w:tc>
        <w:tc>
          <w:tcPr>
            <w:tcW w:w="116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3,061,420</w:t>
            </w:r>
          </w:p>
        </w:tc>
        <w:tc>
          <w:tcPr>
            <w:tcW w:w="130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760,000</w:t>
            </w:r>
          </w:p>
        </w:tc>
        <w:tc>
          <w:tcPr>
            <w:tcW w:w="132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17,154</w:t>
            </w:r>
          </w:p>
        </w:tc>
        <w:tc>
          <w:tcPr>
            <w:tcW w:w="110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4,311,705</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2240" w:type="dxa"/>
            <w:vAlign w:val="bottom"/>
          </w:tcPr>
          <w:p>
            <w:pPr>
              <w:ind w:left="160"/>
              <w:spacing w:after="0" w:line="175" w:lineRule="exact"/>
              <w:rPr>
                <w:sz w:val="20"/>
                <w:szCs w:val="20"/>
                <w:color w:val="auto"/>
              </w:rPr>
            </w:pPr>
            <w:r>
              <w:rPr>
                <w:rFonts w:ascii="Arial" w:cs="Arial" w:eastAsia="Arial" w:hAnsi="Arial"/>
                <w:sz w:val="16"/>
                <w:szCs w:val="16"/>
                <w:i w:val="1"/>
                <w:iCs w:val="1"/>
                <w:color w:val="auto"/>
              </w:rPr>
              <w:t>Senior Vice President,</w:t>
            </w:r>
          </w:p>
        </w:tc>
        <w:tc>
          <w:tcPr>
            <w:tcW w:w="1000" w:type="dxa"/>
            <w:vAlign w:val="bottom"/>
          </w:tcPr>
          <w:p>
            <w:pPr>
              <w:ind w:left="360"/>
              <w:spacing w:after="0" w:line="175" w:lineRule="exact"/>
              <w:rPr>
                <w:sz w:val="20"/>
                <w:szCs w:val="20"/>
                <w:color w:val="auto"/>
              </w:rPr>
            </w:pPr>
            <w:r>
              <w:rPr>
                <w:rFonts w:ascii="Arial" w:cs="Arial" w:eastAsia="Arial" w:hAnsi="Arial"/>
                <w:sz w:val="16"/>
                <w:szCs w:val="16"/>
                <w:color w:val="auto"/>
              </w:rPr>
              <w:t>2020</w:t>
            </w:r>
          </w:p>
        </w:tc>
        <w:tc>
          <w:tcPr>
            <w:tcW w:w="1200" w:type="dxa"/>
            <w:vAlign w:val="bottom"/>
          </w:tcPr>
          <w:p>
            <w:pPr>
              <w:jc w:val="center"/>
              <w:ind w:left="19"/>
              <w:spacing w:after="0" w:line="175" w:lineRule="exact"/>
              <w:rPr>
                <w:sz w:val="20"/>
                <w:szCs w:val="20"/>
                <w:color w:val="auto"/>
              </w:rPr>
            </w:pPr>
            <w:r>
              <w:rPr>
                <w:rFonts w:ascii="Arial" w:cs="Arial" w:eastAsia="Arial" w:hAnsi="Arial"/>
                <w:sz w:val="16"/>
                <w:szCs w:val="16"/>
                <w:color w:val="auto"/>
              </w:rPr>
              <w:t>463,189</w:t>
            </w:r>
          </w:p>
        </w:tc>
        <w:tc>
          <w:tcPr>
            <w:tcW w:w="1160" w:type="dxa"/>
            <w:vAlign w:val="bottom"/>
          </w:tcPr>
          <w:p>
            <w:pPr>
              <w:jc w:val="center"/>
              <w:spacing w:after="0" w:line="175" w:lineRule="exact"/>
              <w:rPr>
                <w:sz w:val="20"/>
                <w:szCs w:val="20"/>
                <w:color w:val="auto"/>
              </w:rPr>
            </w:pPr>
            <w:r>
              <w:rPr>
                <w:rFonts w:ascii="Arial" w:cs="Arial" w:eastAsia="Arial" w:hAnsi="Arial"/>
                <w:sz w:val="16"/>
                <w:szCs w:val="16"/>
                <w:color w:val="auto"/>
              </w:rPr>
              <w:t>4,856,262</w:t>
            </w:r>
          </w:p>
        </w:tc>
        <w:tc>
          <w:tcPr>
            <w:tcW w:w="1300" w:type="dxa"/>
            <w:vAlign w:val="bottom"/>
          </w:tcPr>
          <w:p>
            <w:pPr>
              <w:jc w:val="center"/>
              <w:spacing w:after="0" w:line="175" w:lineRule="exact"/>
              <w:rPr>
                <w:sz w:val="20"/>
                <w:szCs w:val="20"/>
                <w:color w:val="auto"/>
              </w:rPr>
            </w:pPr>
            <w:r>
              <w:rPr>
                <w:rFonts w:ascii="Arial" w:cs="Arial" w:eastAsia="Arial" w:hAnsi="Arial"/>
                <w:sz w:val="16"/>
                <w:szCs w:val="16"/>
                <w:color w:val="auto"/>
              </w:rPr>
              <w:t>731,200</w:t>
            </w:r>
          </w:p>
        </w:tc>
        <w:tc>
          <w:tcPr>
            <w:tcW w:w="1320" w:type="dxa"/>
            <w:vAlign w:val="bottom"/>
          </w:tcPr>
          <w:p>
            <w:pPr>
              <w:jc w:val="center"/>
              <w:spacing w:after="0" w:line="175" w:lineRule="exact"/>
              <w:rPr>
                <w:sz w:val="20"/>
                <w:szCs w:val="20"/>
                <w:color w:val="auto"/>
              </w:rPr>
            </w:pPr>
            <w:r>
              <w:rPr>
                <w:rFonts w:ascii="Arial" w:cs="Arial" w:eastAsia="Arial" w:hAnsi="Arial"/>
                <w:sz w:val="16"/>
                <w:szCs w:val="16"/>
                <w:color w:val="auto"/>
              </w:rPr>
              <w:t>15,444</w:t>
            </w:r>
          </w:p>
        </w:tc>
        <w:tc>
          <w:tcPr>
            <w:tcW w:w="1100" w:type="dxa"/>
            <w:vAlign w:val="bottom"/>
          </w:tcPr>
          <w:p>
            <w:pPr>
              <w:jc w:val="center"/>
              <w:spacing w:after="0" w:line="175" w:lineRule="exact"/>
              <w:rPr>
                <w:sz w:val="20"/>
                <w:szCs w:val="20"/>
                <w:color w:val="auto"/>
              </w:rPr>
            </w:pPr>
            <w:r>
              <w:rPr>
                <w:rFonts w:ascii="Arial" w:cs="Arial" w:eastAsia="Arial" w:hAnsi="Arial"/>
                <w:sz w:val="16"/>
                <w:szCs w:val="16"/>
                <w:color w:val="auto"/>
              </w:rPr>
              <w:t>6,066,095</w:t>
            </w:r>
          </w:p>
        </w:tc>
        <w:tc>
          <w:tcPr>
            <w:tcW w:w="0" w:type="dxa"/>
            <w:vAlign w:val="bottom"/>
          </w:tcPr>
          <w:p>
            <w:pPr>
              <w:spacing w:after="0"/>
              <w:rPr>
                <w:sz w:val="1"/>
                <w:szCs w:val="1"/>
                <w:color w:val="auto"/>
              </w:rPr>
            </w:pPr>
          </w:p>
        </w:tc>
      </w:tr>
      <w:tr>
        <w:trPr>
          <w:trHeight w:val="55"/>
        </w:trPr>
        <w:tc>
          <w:tcPr>
            <w:tcW w:w="80" w:type="dxa"/>
            <w:vAlign w:val="bottom"/>
            <w:vMerge w:val="restart"/>
          </w:tcPr>
          <w:p>
            <w:pPr>
              <w:spacing w:after="0"/>
              <w:rPr>
                <w:sz w:val="4"/>
                <w:szCs w:val="4"/>
                <w:color w:val="auto"/>
              </w:rPr>
            </w:pPr>
          </w:p>
        </w:tc>
        <w:tc>
          <w:tcPr>
            <w:tcW w:w="2240" w:type="dxa"/>
            <w:vAlign w:val="bottom"/>
            <w:vMerge w:val="restart"/>
          </w:tcPr>
          <w:p>
            <w:pPr>
              <w:ind w:left="160"/>
              <w:spacing w:after="0"/>
              <w:rPr>
                <w:sz w:val="20"/>
                <w:szCs w:val="20"/>
                <w:color w:val="auto"/>
              </w:rPr>
            </w:pPr>
            <w:r>
              <w:rPr>
                <w:rFonts w:ascii="Arial" w:cs="Arial" w:eastAsia="Arial" w:hAnsi="Arial"/>
                <w:sz w:val="16"/>
                <w:szCs w:val="16"/>
                <w:i w:val="1"/>
                <w:iCs w:val="1"/>
                <w:color w:val="auto"/>
              </w:rPr>
              <w:t>Sales and Marketing</w:t>
            </w:r>
          </w:p>
        </w:tc>
        <w:tc>
          <w:tcPr>
            <w:tcW w:w="1000" w:type="dxa"/>
            <w:vAlign w:val="bottom"/>
            <w:tcBorders>
              <w:bottom w:val="single" w:sz="8" w:color="BFBFBF"/>
            </w:tcBorders>
          </w:tcPr>
          <w:p>
            <w:pPr>
              <w:spacing w:after="0"/>
              <w:rPr>
                <w:sz w:val="4"/>
                <w:szCs w:val="4"/>
                <w:color w:val="auto"/>
              </w:rPr>
            </w:pPr>
          </w:p>
        </w:tc>
        <w:tc>
          <w:tcPr>
            <w:tcW w:w="1200" w:type="dxa"/>
            <w:vAlign w:val="bottom"/>
            <w:tcBorders>
              <w:bottom w:val="single" w:sz="8" w:color="BFBFBF"/>
            </w:tcBorders>
          </w:tcPr>
          <w:p>
            <w:pPr>
              <w:spacing w:after="0"/>
              <w:rPr>
                <w:sz w:val="4"/>
                <w:szCs w:val="4"/>
                <w:color w:val="auto"/>
              </w:rPr>
            </w:pPr>
          </w:p>
        </w:tc>
        <w:tc>
          <w:tcPr>
            <w:tcW w:w="1160" w:type="dxa"/>
            <w:vAlign w:val="bottom"/>
            <w:tcBorders>
              <w:bottom w:val="single" w:sz="8" w:color="BFBFBF"/>
            </w:tcBorders>
          </w:tcPr>
          <w:p>
            <w:pPr>
              <w:spacing w:after="0"/>
              <w:rPr>
                <w:sz w:val="4"/>
                <w:szCs w:val="4"/>
                <w:color w:val="auto"/>
              </w:rPr>
            </w:pPr>
          </w:p>
        </w:tc>
        <w:tc>
          <w:tcPr>
            <w:tcW w:w="1300" w:type="dxa"/>
            <w:vAlign w:val="bottom"/>
            <w:tcBorders>
              <w:bottom w:val="single" w:sz="8" w:color="BFBFBF"/>
            </w:tcBorders>
          </w:tcPr>
          <w:p>
            <w:pPr>
              <w:spacing w:after="0"/>
              <w:rPr>
                <w:sz w:val="4"/>
                <w:szCs w:val="4"/>
                <w:color w:val="auto"/>
              </w:rPr>
            </w:pPr>
          </w:p>
        </w:tc>
        <w:tc>
          <w:tcPr>
            <w:tcW w:w="1320" w:type="dxa"/>
            <w:vAlign w:val="bottom"/>
            <w:tcBorders>
              <w:bottom w:val="single" w:sz="8" w:color="BFBFBF"/>
            </w:tcBorders>
          </w:tcPr>
          <w:p>
            <w:pPr>
              <w:spacing w:after="0"/>
              <w:rPr>
                <w:sz w:val="4"/>
                <w:szCs w:val="4"/>
                <w:color w:val="auto"/>
              </w:rPr>
            </w:pPr>
          </w:p>
        </w:tc>
        <w:tc>
          <w:tcPr>
            <w:tcW w:w="1100" w:type="dxa"/>
            <w:vAlign w:val="bottom"/>
            <w:tcBorders>
              <w:bottom w:val="single" w:sz="8" w:color="BFBFBF"/>
            </w:tcBorders>
          </w:tcPr>
          <w:p>
            <w:pPr>
              <w:spacing w:after="0"/>
              <w:rPr>
                <w:sz w:val="4"/>
                <w:szCs w:val="4"/>
                <w:color w:val="auto"/>
              </w:rPr>
            </w:pPr>
          </w:p>
        </w:tc>
        <w:tc>
          <w:tcPr>
            <w:tcW w:w="0" w:type="dxa"/>
            <w:vAlign w:val="bottom"/>
          </w:tcPr>
          <w:p>
            <w:pPr>
              <w:spacing w:after="0"/>
              <w:rPr>
                <w:sz w:val="1"/>
                <w:szCs w:val="1"/>
                <w:color w:val="auto"/>
              </w:rPr>
            </w:pPr>
          </w:p>
        </w:tc>
      </w:tr>
      <w:tr>
        <w:trPr>
          <w:trHeight w:val="136"/>
        </w:trPr>
        <w:tc>
          <w:tcPr>
            <w:tcW w:w="80" w:type="dxa"/>
            <w:vAlign w:val="bottom"/>
            <w:vMerge w:val="continue"/>
          </w:tcPr>
          <w:p>
            <w:pPr>
              <w:spacing w:after="0"/>
              <w:rPr>
                <w:sz w:val="11"/>
                <w:szCs w:val="11"/>
                <w:color w:val="auto"/>
              </w:rPr>
            </w:pPr>
          </w:p>
        </w:tc>
        <w:tc>
          <w:tcPr>
            <w:tcW w:w="2240" w:type="dxa"/>
            <w:vAlign w:val="bottom"/>
            <w:vMerge w:val="continue"/>
          </w:tcPr>
          <w:p>
            <w:pPr>
              <w:spacing w:after="0"/>
              <w:rPr>
                <w:sz w:val="11"/>
                <w:szCs w:val="11"/>
                <w:color w:val="auto"/>
              </w:rPr>
            </w:pPr>
          </w:p>
        </w:tc>
        <w:tc>
          <w:tcPr>
            <w:tcW w:w="1000" w:type="dxa"/>
            <w:vAlign w:val="bottom"/>
            <w:vMerge w:val="restart"/>
          </w:tcPr>
          <w:p>
            <w:pPr>
              <w:ind w:left="360"/>
              <w:spacing w:after="0"/>
              <w:rPr>
                <w:sz w:val="20"/>
                <w:szCs w:val="20"/>
                <w:color w:val="auto"/>
              </w:rPr>
            </w:pPr>
            <w:r>
              <w:rPr>
                <w:rFonts w:ascii="Arial" w:cs="Arial" w:eastAsia="Arial" w:hAnsi="Arial"/>
                <w:sz w:val="16"/>
                <w:szCs w:val="16"/>
                <w:color w:val="auto"/>
              </w:rPr>
              <w:t>2019</w:t>
            </w:r>
          </w:p>
        </w:tc>
        <w:tc>
          <w:tcPr>
            <w:tcW w:w="1200" w:type="dxa"/>
            <w:vAlign w:val="bottom"/>
            <w:vMerge w:val="restart"/>
          </w:tcPr>
          <w:p>
            <w:pPr>
              <w:jc w:val="center"/>
              <w:ind w:left="19"/>
              <w:spacing w:after="0"/>
              <w:rPr>
                <w:sz w:val="20"/>
                <w:szCs w:val="20"/>
                <w:color w:val="auto"/>
              </w:rPr>
            </w:pPr>
            <w:r>
              <w:rPr>
                <w:rFonts w:ascii="Arial" w:cs="Arial" w:eastAsia="Arial" w:hAnsi="Arial"/>
                <w:sz w:val="16"/>
                <w:szCs w:val="16"/>
                <w:color w:val="auto"/>
              </w:rPr>
              <w:t>428,200</w:t>
            </w:r>
          </w:p>
        </w:tc>
        <w:tc>
          <w:tcPr>
            <w:tcW w:w="1160" w:type="dxa"/>
            <w:vAlign w:val="bottom"/>
            <w:vMerge w:val="restart"/>
          </w:tcPr>
          <w:p>
            <w:pPr>
              <w:jc w:val="center"/>
              <w:spacing w:after="0"/>
              <w:rPr>
                <w:sz w:val="20"/>
                <w:szCs w:val="20"/>
                <w:color w:val="auto"/>
              </w:rPr>
            </w:pPr>
            <w:r>
              <w:rPr>
                <w:rFonts w:ascii="Arial" w:cs="Arial" w:eastAsia="Arial" w:hAnsi="Arial"/>
                <w:sz w:val="16"/>
                <w:szCs w:val="16"/>
                <w:color w:val="auto"/>
              </w:rPr>
              <w:t>3,147,860</w:t>
            </w:r>
          </w:p>
        </w:tc>
        <w:tc>
          <w:tcPr>
            <w:tcW w:w="1300" w:type="dxa"/>
            <w:vAlign w:val="bottom"/>
            <w:vMerge w:val="restart"/>
          </w:tcPr>
          <w:p>
            <w:pPr>
              <w:jc w:val="center"/>
              <w:spacing w:after="0"/>
              <w:rPr>
                <w:sz w:val="20"/>
                <w:szCs w:val="20"/>
                <w:color w:val="auto"/>
              </w:rPr>
            </w:pPr>
            <w:r>
              <w:rPr>
                <w:rFonts w:ascii="Arial" w:cs="Arial" w:eastAsia="Arial" w:hAnsi="Arial"/>
                <w:sz w:val="16"/>
                <w:szCs w:val="16"/>
                <w:color w:val="auto"/>
              </w:rPr>
              <w:t>222,373</w:t>
            </w:r>
          </w:p>
        </w:tc>
        <w:tc>
          <w:tcPr>
            <w:tcW w:w="1320" w:type="dxa"/>
            <w:vAlign w:val="bottom"/>
            <w:vMerge w:val="restart"/>
          </w:tcPr>
          <w:p>
            <w:pPr>
              <w:jc w:val="center"/>
              <w:spacing w:after="0"/>
              <w:rPr>
                <w:sz w:val="20"/>
                <w:szCs w:val="20"/>
                <w:color w:val="auto"/>
              </w:rPr>
            </w:pPr>
            <w:r>
              <w:rPr>
                <w:rFonts w:ascii="Arial" w:cs="Arial" w:eastAsia="Arial" w:hAnsi="Arial"/>
                <w:sz w:val="16"/>
                <w:szCs w:val="16"/>
                <w:color w:val="auto"/>
              </w:rPr>
              <w:t>12,561</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auto"/>
              </w:rPr>
              <w:t>3,810,994</w:t>
            </w:r>
          </w:p>
        </w:tc>
        <w:tc>
          <w:tcPr>
            <w:tcW w:w="0" w:type="dxa"/>
            <w:vAlign w:val="bottom"/>
          </w:tcPr>
          <w:p>
            <w:pPr>
              <w:spacing w:after="0"/>
              <w:rPr>
                <w:sz w:val="1"/>
                <w:szCs w:val="1"/>
                <w:color w:val="auto"/>
              </w:rPr>
            </w:pPr>
          </w:p>
        </w:tc>
      </w:tr>
      <w:tr>
        <w:trPr>
          <w:trHeight w:val="77"/>
        </w:trPr>
        <w:tc>
          <w:tcPr>
            <w:tcW w:w="80" w:type="dxa"/>
            <w:vAlign w:val="bottom"/>
          </w:tcPr>
          <w:p>
            <w:pPr>
              <w:spacing w:after="0"/>
              <w:rPr>
                <w:sz w:val="6"/>
                <w:szCs w:val="6"/>
                <w:color w:val="auto"/>
              </w:rPr>
            </w:pPr>
          </w:p>
        </w:tc>
        <w:tc>
          <w:tcPr>
            <w:tcW w:w="224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1300" w:type="dxa"/>
            <w:vAlign w:val="bottom"/>
            <w:vMerge w:val="continue"/>
          </w:tcPr>
          <w:p>
            <w:pPr>
              <w:spacing w:after="0"/>
              <w:rPr>
                <w:sz w:val="6"/>
                <w:szCs w:val="6"/>
                <w:color w:val="auto"/>
              </w:rPr>
            </w:pPr>
          </w:p>
        </w:tc>
        <w:tc>
          <w:tcPr>
            <w:tcW w:w="132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80" w:type="dxa"/>
            <w:vAlign w:val="bottom"/>
            <w:shd w:val="clear" w:color="auto" w:fill="E5E5E5"/>
          </w:tcPr>
          <w:p>
            <w:pPr>
              <w:spacing w:after="0"/>
              <w:rPr>
                <w:sz w:val="19"/>
                <w:szCs w:val="19"/>
                <w:color w:val="auto"/>
              </w:rPr>
            </w:pPr>
          </w:p>
        </w:tc>
        <w:tc>
          <w:tcPr>
            <w:tcW w:w="2240" w:type="dxa"/>
            <w:vAlign w:val="bottom"/>
            <w:shd w:val="clear" w:color="auto" w:fill="E5E5E5"/>
          </w:tcPr>
          <w:p>
            <w:pPr>
              <w:spacing w:after="0"/>
              <w:rPr>
                <w:sz w:val="20"/>
                <w:szCs w:val="20"/>
                <w:color w:val="auto"/>
              </w:rPr>
            </w:pPr>
            <w:r>
              <w:rPr>
                <w:rFonts w:ascii="Arial" w:cs="Arial" w:eastAsia="Arial" w:hAnsi="Arial"/>
                <w:sz w:val="16"/>
                <w:szCs w:val="16"/>
                <w:color w:val="auto"/>
              </w:rPr>
              <w:t>Robert J. Terry</w:t>
            </w:r>
          </w:p>
        </w:tc>
        <w:tc>
          <w:tcPr>
            <w:tcW w:w="1000" w:type="dxa"/>
            <w:vAlign w:val="bottom"/>
            <w:shd w:val="clear" w:color="auto" w:fill="E5E5E5"/>
          </w:tcPr>
          <w:p>
            <w:pPr>
              <w:ind w:left="360"/>
              <w:spacing w:after="0"/>
              <w:rPr>
                <w:sz w:val="20"/>
                <w:szCs w:val="20"/>
                <w:color w:val="auto"/>
              </w:rPr>
            </w:pPr>
            <w:r>
              <w:rPr>
                <w:rFonts w:ascii="Arial" w:cs="Arial" w:eastAsia="Arial" w:hAnsi="Arial"/>
                <w:sz w:val="16"/>
                <w:szCs w:val="16"/>
                <w:color w:val="auto"/>
              </w:rPr>
              <w:t>2021</w:t>
            </w:r>
          </w:p>
        </w:tc>
        <w:tc>
          <w:tcPr>
            <w:tcW w:w="1200" w:type="dxa"/>
            <w:vAlign w:val="bottom"/>
            <w:shd w:val="clear" w:color="auto" w:fill="E5E5E5"/>
          </w:tcPr>
          <w:p>
            <w:pPr>
              <w:jc w:val="center"/>
              <w:ind w:left="19"/>
              <w:spacing w:after="0"/>
              <w:rPr>
                <w:sz w:val="20"/>
                <w:szCs w:val="20"/>
                <w:color w:val="auto"/>
              </w:rPr>
            </w:pPr>
            <w:r>
              <w:rPr>
                <w:rFonts w:ascii="Arial" w:cs="Arial" w:eastAsia="Arial" w:hAnsi="Arial"/>
                <w:sz w:val="16"/>
                <w:szCs w:val="16"/>
                <w:color w:val="auto"/>
              </w:rPr>
              <w:t>490,027</w:t>
            </w:r>
          </w:p>
        </w:tc>
        <w:tc>
          <w:tcPr>
            <w:tcW w:w="116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2,850,298</w:t>
            </w:r>
          </w:p>
        </w:tc>
        <w:tc>
          <w:tcPr>
            <w:tcW w:w="130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787,200</w:t>
            </w:r>
          </w:p>
        </w:tc>
        <w:tc>
          <w:tcPr>
            <w:tcW w:w="132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16,045</w:t>
            </w:r>
          </w:p>
        </w:tc>
        <w:tc>
          <w:tcPr>
            <w:tcW w:w="110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4,143,570</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2240" w:type="dxa"/>
            <w:vAlign w:val="bottom"/>
          </w:tcPr>
          <w:p>
            <w:pPr>
              <w:ind w:left="160"/>
              <w:spacing w:after="0" w:line="175" w:lineRule="exact"/>
              <w:rPr>
                <w:sz w:val="20"/>
                <w:szCs w:val="20"/>
                <w:color w:val="auto"/>
              </w:rPr>
            </w:pPr>
            <w:r>
              <w:rPr>
                <w:rFonts w:ascii="Arial" w:cs="Arial" w:eastAsia="Arial" w:hAnsi="Arial"/>
                <w:sz w:val="16"/>
                <w:szCs w:val="16"/>
                <w:i w:val="1"/>
                <w:iCs w:val="1"/>
                <w:color w:val="auto"/>
              </w:rPr>
              <w:t>Senior Vice President,</w:t>
            </w:r>
          </w:p>
        </w:tc>
        <w:tc>
          <w:tcPr>
            <w:tcW w:w="1000" w:type="dxa"/>
            <w:vAlign w:val="bottom"/>
          </w:tcPr>
          <w:p>
            <w:pPr>
              <w:ind w:left="360"/>
              <w:spacing w:after="0" w:line="175" w:lineRule="exact"/>
              <w:rPr>
                <w:sz w:val="20"/>
                <w:szCs w:val="20"/>
                <w:color w:val="auto"/>
              </w:rPr>
            </w:pPr>
            <w:r>
              <w:rPr>
                <w:rFonts w:ascii="Arial" w:cs="Arial" w:eastAsia="Arial" w:hAnsi="Arial"/>
                <w:sz w:val="16"/>
                <w:szCs w:val="16"/>
                <w:color w:val="auto"/>
              </w:rPr>
              <w:t>2020</w:t>
            </w:r>
          </w:p>
        </w:tc>
        <w:tc>
          <w:tcPr>
            <w:tcW w:w="1200" w:type="dxa"/>
            <w:vAlign w:val="bottom"/>
          </w:tcPr>
          <w:p>
            <w:pPr>
              <w:jc w:val="center"/>
              <w:ind w:left="19"/>
              <w:spacing w:after="0" w:line="175" w:lineRule="exact"/>
              <w:rPr>
                <w:sz w:val="20"/>
                <w:szCs w:val="20"/>
                <w:color w:val="auto"/>
              </w:rPr>
            </w:pPr>
            <w:r>
              <w:rPr>
                <w:rFonts w:ascii="Arial" w:cs="Arial" w:eastAsia="Arial" w:hAnsi="Arial"/>
                <w:sz w:val="16"/>
                <w:szCs w:val="16"/>
                <w:color w:val="auto"/>
              </w:rPr>
              <w:t>479,396</w:t>
            </w:r>
          </w:p>
        </w:tc>
        <w:tc>
          <w:tcPr>
            <w:tcW w:w="1160" w:type="dxa"/>
            <w:vAlign w:val="bottom"/>
          </w:tcPr>
          <w:p>
            <w:pPr>
              <w:jc w:val="center"/>
              <w:spacing w:after="0" w:line="175" w:lineRule="exact"/>
              <w:rPr>
                <w:sz w:val="20"/>
                <w:szCs w:val="20"/>
                <w:color w:val="auto"/>
              </w:rPr>
            </w:pPr>
            <w:r>
              <w:rPr>
                <w:rFonts w:ascii="Arial" w:cs="Arial" w:eastAsia="Arial" w:hAnsi="Arial"/>
                <w:sz w:val="16"/>
                <w:szCs w:val="16"/>
                <w:color w:val="auto"/>
              </w:rPr>
              <w:t>4,431,833</w:t>
            </w:r>
          </w:p>
        </w:tc>
        <w:tc>
          <w:tcPr>
            <w:tcW w:w="1300" w:type="dxa"/>
            <w:vAlign w:val="bottom"/>
          </w:tcPr>
          <w:p>
            <w:pPr>
              <w:jc w:val="center"/>
              <w:spacing w:after="0" w:line="175" w:lineRule="exact"/>
              <w:rPr>
                <w:sz w:val="20"/>
                <w:szCs w:val="20"/>
                <w:color w:val="auto"/>
              </w:rPr>
            </w:pPr>
            <w:r>
              <w:rPr>
                <w:rFonts w:ascii="Arial" w:cs="Arial" w:eastAsia="Arial" w:hAnsi="Arial"/>
                <w:sz w:val="16"/>
                <w:szCs w:val="16"/>
                <w:color w:val="auto"/>
              </w:rPr>
              <w:t>756,800</w:t>
            </w:r>
          </w:p>
        </w:tc>
        <w:tc>
          <w:tcPr>
            <w:tcW w:w="1320" w:type="dxa"/>
            <w:vAlign w:val="bottom"/>
          </w:tcPr>
          <w:p>
            <w:pPr>
              <w:jc w:val="center"/>
              <w:spacing w:after="0" w:line="175" w:lineRule="exact"/>
              <w:rPr>
                <w:sz w:val="20"/>
                <w:szCs w:val="20"/>
                <w:color w:val="auto"/>
              </w:rPr>
            </w:pPr>
            <w:r>
              <w:rPr>
                <w:rFonts w:ascii="Arial" w:cs="Arial" w:eastAsia="Arial" w:hAnsi="Arial"/>
                <w:sz w:val="16"/>
                <w:szCs w:val="16"/>
                <w:color w:val="auto"/>
              </w:rPr>
              <w:t>15,994</w:t>
            </w:r>
          </w:p>
        </w:tc>
        <w:tc>
          <w:tcPr>
            <w:tcW w:w="1100" w:type="dxa"/>
            <w:vAlign w:val="bottom"/>
          </w:tcPr>
          <w:p>
            <w:pPr>
              <w:jc w:val="center"/>
              <w:spacing w:after="0" w:line="175" w:lineRule="exact"/>
              <w:rPr>
                <w:sz w:val="20"/>
                <w:szCs w:val="20"/>
                <w:color w:val="auto"/>
              </w:rPr>
            </w:pPr>
            <w:r>
              <w:rPr>
                <w:rFonts w:ascii="Arial" w:cs="Arial" w:eastAsia="Arial" w:hAnsi="Arial"/>
                <w:sz w:val="16"/>
                <w:szCs w:val="16"/>
                <w:color w:val="auto"/>
              </w:rPr>
              <w:t>5,684,023</w:t>
            </w:r>
          </w:p>
        </w:tc>
        <w:tc>
          <w:tcPr>
            <w:tcW w:w="0" w:type="dxa"/>
            <w:vAlign w:val="bottom"/>
          </w:tcPr>
          <w:p>
            <w:pPr>
              <w:spacing w:after="0"/>
              <w:rPr>
                <w:sz w:val="1"/>
                <w:szCs w:val="1"/>
                <w:color w:val="auto"/>
              </w:rPr>
            </w:pPr>
          </w:p>
        </w:tc>
      </w:tr>
      <w:tr>
        <w:trPr>
          <w:trHeight w:val="55"/>
        </w:trPr>
        <w:tc>
          <w:tcPr>
            <w:tcW w:w="80" w:type="dxa"/>
            <w:vAlign w:val="bottom"/>
            <w:vMerge w:val="restart"/>
          </w:tcPr>
          <w:p>
            <w:pPr>
              <w:spacing w:after="0"/>
              <w:rPr>
                <w:sz w:val="4"/>
                <w:szCs w:val="4"/>
                <w:color w:val="auto"/>
              </w:rPr>
            </w:pPr>
          </w:p>
        </w:tc>
        <w:tc>
          <w:tcPr>
            <w:tcW w:w="2240" w:type="dxa"/>
            <w:vAlign w:val="bottom"/>
            <w:vMerge w:val="restart"/>
          </w:tcPr>
          <w:p>
            <w:pPr>
              <w:ind w:left="160"/>
              <w:spacing w:after="0" w:line="175" w:lineRule="exact"/>
              <w:rPr>
                <w:sz w:val="20"/>
                <w:szCs w:val="20"/>
                <w:color w:val="auto"/>
              </w:rPr>
            </w:pPr>
            <w:r>
              <w:rPr>
                <w:rFonts w:ascii="Arial" w:cs="Arial" w:eastAsia="Arial" w:hAnsi="Arial"/>
                <w:sz w:val="16"/>
                <w:szCs w:val="16"/>
                <w:i w:val="1"/>
                <w:iCs w:val="1"/>
                <w:color w:val="auto"/>
              </w:rPr>
              <w:t>General Counsel and</w:t>
            </w:r>
          </w:p>
        </w:tc>
        <w:tc>
          <w:tcPr>
            <w:tcW w:w="1000" w:type="dxa"/>
            <w:vAlign w:val="bottom"/>
            <w:tcBorders>
              <w:bottom w:val="single" w:sz="8" w:color="BFBFBF"/>
            </w:tcBorders>
          </w:tcPr>
          <w:p>
            <w:pPr>
              <w:spacing w:after="0"/>
              <w:rPr>
                <w:sz w:val="4"/>
                <w:szCs w:val="4"/>
                <w:color w:val="auto"/>
              </w:rPr>
            </w:pPr>
          </w:p>
        </w:tc>
        <w:tc>
          <w:tcPr>
            <w:tcW w:w="1200" w:type="dxa"/>
            <w:vAlign w:val="bottom"/>
            <w:tcBorders>
              <w:bottom w:val="single" w:sz="8" w:color="BFBFBF"/>
            </w:tcBorders>
          </w:tcPr>
          <w:p>
            <w:pPr>
              <w:spacing w:after="0"/>
              <w:rPr>
                <w:sz w:val="4"/>
                <w:szCs w:val="4"/>
                <w:color w:val="auto"/>
              </w:rPr>
            </w:pPr>
          </w:p>
        </w:tc>
        <w:tc>
          <w:tcPr>
            <w:tcW w:w="1160" w:type="dxa"/>
            <w:vAlign w:val="bottom"/>
            <w:tcBorders>
              <w:bottom w:val="single" w:sz="8" w:color="BFBFBF"/>
            </w:tcBorders>
          </w:tcPr>
          <w:p>
            <w:pPr>
              <w:spacing w:after="0"/>
              <w:rPr>
                <w:sz w:val="4"/>
                <w:szCs w:val="4"/>
                <w:color w:val="auto"/>
              </w:rPr>
            </w:pPr>
          </w:p>
        </w:tc>
        <w:tc>
          <w:tcPr>
            <w:tcW w:w="1300" w:type="dxa"/>
            <w:vAlign w:val="bottom"/>
            <w:tcBorders>
              <w:bottom w:val="single" w:sz="8" w:color="BFBFBF"/>
            </w:tcBorders>
          </w:tcPr>
          <w:p>
            <w:pPr>
              <w:spacing w:after="0"/>
              <w:rPr>
                <w:sz w:val="4"/>
                <w:szCs w:val="4"/>
                <w:color w:val="auto"/>
              </w:rPr>
            </w:pPr>
          </w:p>
        </w:tc>
        <w:tc>
          <w:tcPr>
            <w:tcW w:w="1320" w:type="dxa"/>
            <w:vAlign w:val="bottom"/>
            <w:tcBorders>
              <w:bottom w:val="single" w:sz="8" w:color="BFBFBF"/>
            </w:tcBorders>
          </w:tcPr>
          <w:p>
            <w:pPr>
              <w:spacing w:after="0"/>
              <w:rPr>
                <w:sz w:val="4"/>
                <w:szCs w:val="4"/>
                <w:color w:val="auto"/>
              </w:rPr>
            </w:pPr>
          </w:p>
        </w:tc>
        <w:tc>
          <w:tcPr>
            <w:tcW w:w="1100" w:type="dxa"/>
            <w:vAlign w:val="bottom"/>
            <w:tcBorders>
              <w:bottom w:val="single" w:sz="8" w:color="BFBFBF"/>
            </w:tcBorders>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80" w:type="dxa"/>
            <w:vAlign w:val="bottom"/>
            <w:vMerge w:val="continue"/>
          </w:tcPr>
          <w:p>
            <w:pPr>
              <w:spacing w:after="0"/>
              <w:rPr>
                <w:sz w:val="8"/>
                <w:szCs w:val="8"/>
                <w:color w:val="auto"/>
              </w:rPr>
            </w:pPr>
          </w:p>
        </w:tc>
        <w:tc>
          <w:tcPr>
            <w:tcW w:w="2240" w:type="dxa"/>
            <w:vAlign w:val="bottom"/>
            <w:vMerge w:val="continue"/>
          </w:tcPr>
          <w:p>
            <w:pPr>
              <w:spacing w:after="0"/>
              <w:rPr>
                <w:sz w:val="8"/>
                <w:szCs w:val="8"/>
                <w:color w:val="auto"/>
              </w:rPr>
            </w:pPr>
          </w:p>
        </w:tc>
        <w:tc>
          <w:tcPr>
            <w:tcW w:w="1000" w:type="dxa"/>
            <w:vAlign w:val="bottom"/>
            <w:vMerge w:val="restart"/>
          </w:tcPr>
          <w:p>
            <w:pPr>
              <w:ind w:left="360"/>
              <w:spacing w:after="0"/>
              <w:rPr>
                <w:sz w:val="20"/>
                <w:szCs w:val="20"/>
                <w:color w:val="auto"/>
              </w:rPr>
            </w:pPr>
            <w:r>
              <w:rPr>
                <w:rFonts w:ascii="Arial" w:cs="Arial" w:eastAsia="Arial" w:hAnsi="Arial"/>
                <w:sz w:val="16"/>
                <w:szCs w:val="16"/>
                <w:color w:val="auto"/>
              </w:rPr>
              <w:t>2019</w:t>
            </w:r>
          </w:p>
        </w:tc>
        <w:tc>
          <w:tcPr>
            <w:tcW w:w="1200" w:type="dxa"/>
            <w:vAlign w:val="bottom"/>
            <w:vMerge w:val="restart"/>
          </w:tcPr>
          <w:p>
            <w:pPr>
              <w:jc w:val="center"/>
              <w:ind w:left="19"/>
              <w:spacing w:after="0"/>
              <w:rPr>
                <w:sz w:val="20"/>
                <w:szCs w:val="20"/>
                <w:color w:val="auto"/>
              </w:rPr>
            </w:pPr>
            <w:r>
              <w:rPr>
                <w:rFonts w:ascii="Arial" w:cs="Arial" w:eastAsia="Arial" w:hAnsi="Arial"/>
                <w:sz w:val="16"/>
                <w:szCs w:val="16"/>
                <w:color w:val="auto"/>
              </w:rPr>
              <w:t>442,700</w:t>
            </w:r>
          </w:p>
        </w:tc>
        <w:tc>
          <w:tcPr>
            <w:tcW w:w="1160" w:type="dxa"/>
            <w:vAlign w:val="bottom"/>
            <w:vMerge w:val="restart"/>
          </w:tcPr>
          <w:p>
            <w:pPr>
              <w:jc w:val="center"/>
              <w:spacing w:after="0"/>
              <w:rPr>
                <w:sz w:val="20"/>
                <w:szCs w:val="20"/>
                <w:color w:val="auto"/>
              </w:rPr>
            </w:pPr>
            <w:r>
              <w:rPr>
                <w:rFonts w:ascii="Arial" w:cs="Arial" w:eastAsia="Arial" w:hAnsi="Arial"/>
                <w:sz w:val="16"/>
                <w:szCs w:val="16"/>
                <w:color w:val="auto"/>
              </w:rPr>
              <w:t>1,981,920</w:t>
            </w:r>
          </w:p>
        </w:tc>
        <w:tc>
          <w:tcPr>
            <w:tcW w:w="1300" w:type="dxa"/>
            <w:vAlign w:val="bottom"/>
            <w:vMerge w:val="restart"/>
          </w:tcPr>
          <w:p>
            <w:pPr>
              <w:jc w:val="center"/>
              <w:spacing w:after="0"/>
              <w:rPr>
                <w:sz w:val="20"/>
                <w:szCs w:val="20"/>
                <w:color w:val="auto"/>
              </w:rPr>
            </w:pPr>
            <w:r>
              <w:rPr>
                <w:rFonts w:ascii="Arial" w:cs="Arial" w:eastAsia="Arial" w:hAnsi="Arial"/>
                <w:sz w:val="16"/>
                <w:szCs w:val="16"/>
                <w:color w:val="auto"/>
              </w:rPr>
              <w:t>230,112</w:t>
            </w:r>
          </w:p>
        </w:tc>
        <w:tc>
          <w:tcPr>
            <w:tcW w:w="1320" w:type="dxa"/>
            <w:vAlign w:val="bottom"/>
            <w:vMerge w:val="restart"/>
          </w:tcPr>
          <w:p>
            <w:pPr>
              <w:jc w:val="center"/>
              <w:spacing w:after="0"/>
              <w:rPr>
                <w:sz w:val="20"/>
                <w:szCs w:val="20"/>
                <w:color w:val="auto"/>
              </w:rPr>
            </w:pPr>
            <w:r>
              <w:rPr>
                <w:rFonts w:ascii="Arial" w:cs="Arial" w:eastAsia="Arial" w:hAnsi="Arial"/>
                <w:sz w:val="16"/>
                <w:szCs w:val="16"/>
                <w:color w:val="auto"/>
              </w:rPr>
              <w:t>15,287</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auto"/>
              </w:rPr>
              <w:t>2,670,019</w:t>
            </w:r>
          </w:p>
        </w:tc>
        <w:tc>
          <w:tcPr>
            <w:tcW w:w="0" w:type="dxa"/>
            <w:vAlign w:val="bottom"/>
          </w:tcPr>
          <w:p>
            <w:pPr>
              <w:spacing w:after="0"/>
              <w:rPr>
                <w:sz w:val="1"/>
                <w:szCs w:val="1"/>
                <w:color w:val="auto"/>
              </w:rPr>
            </w:pPr>
          </w:p>
        </w:tc>
      </w:tr>
      <w:tr>
        <w:trPr>
          <w:trHeight w:val="103"/>
        </w:trPr>
        <w:tc>
          <w:tcPr>
            <w:tcW w:w="80" w:type="dxa"/>
            <w:vAlign w:val="bottom"/>
          </w:tcPr>
          <w:p>
            <w:pPr>
              <w:spacing w:after="0"/>
              <w:rPr>
                <w:sz w:val="8"/>
                <w:szCs w:val="8"/>
                <w:color w:val="auto"/>
              </w:rPr>
            </w:pPr>
          </w:p>
        </w:tc>
        <w:tc>
          <w:tcPr>
            <w:tcW w:w="2240" w:type="dxa"/>
            <w:vAlign w:val="bottom"/>
            <w:vMerge w:val="restart"/>
          </w:tcPr>
          <w:p>
            <w:pPr>
              <w:ind w:left="160"/>
              <w:spacing w:after="0"/>
              <w:rPr>
                <w:sz w:val="20"/>
                <w:szCs w:val="20"/>
                <w:color w:val="auto"/>
              </w:rPr>
            </w:pPr>
            <w:r>
              <w:rPr>
                <w:rFonts w:ascii="Arial" w:cs="Arial" w:eastAsia="Arial" w:hAnsi="Arial"/>
                <w:sz w:val="16"/>
                <w:szCs w:val="16"/>
                <w:i w:val="1"/>
                <w:iCs w:val="1"/>
                <w:color w:val="auto"/>
              </w:rPr>
              <w:t>Secretary</w:t>
            </w:r>
          </w:p>
        </w:tc>
        <w:tc>
          <w:tcPr>
            <w:tcW w:w="100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1320" w:type="dxa"/>
            <w:vAlign w:val="bottom"/>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80" w:type="dxa"/>
            <w:vAlign w:val="bottom"/>
          </w:tcPr>
          <w:p>
            <w:pPr>
              <w:spacing w:after="0"/>
              <w:rPr>
                <w:sz w:val="10"/>
                <w:szCs w:val="10"/>
                <w:color w:val="auto"/>
              </w:rPr>
            </w:pPr>
          </w:p>
        </w:tc>
        <w:tc>
          <w:tcPr>
            <w:tcW w:w="224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6"/>
        </w:trPr>
        <w:tc>
          <w:tcPr>
            <w:tcW w:w="80" w:type="dxa"/>
            <w:vAlign w:val="bottom"/>
            <w:shd w:val="clear" w:color="auto" w:fill="E5E5E5"/>
          </w:tcPr>
          <w:p>
            <w:pPr>
              <w:spacing w:after="0"/>
              <w:rPr>
                <w:sz w:val="19"/>
                <w:szCs w:val="19"/>
                <w:color w:val="auto"/>
              </w:rPr>
            </w:pPr>
          </w:p>
        </w:tc>
        <w:tc>
          <w:tcPr>
            <w:tcW w:w="2240" w:type="dxa"/>
            <w:vAlign w:val="bottom"/>
            <w:shd w:val="clear" w:color="auto" w:fill="E5E5E5"/>
          </w:tcPr>
          <w:p>
            <w:pPr>
              <w:spacing w:after="0"/>
              <w:rPr>
                <w:sz w:val="20"/>
                <w:szCs w:val="20"/>
                <w:color w:val="auto"/>
              </w:rPr>
            </w:pPr>
            <w:r>
              <w:rPr>
                <w:rFonts w:ascii="Arial" w:cs="Arial" w:eastAsia="Arial" w:hAnsi="Arial"/>
                <w:sz w:val="16"/>
                <w:szCs w:val="16"/>
                <w:color w:val="auto"/>
              </w:rPr>
              <w:t>Karilee A. Durham</w:t>
            </w:r>
            <w:r>
              <w:rPr>
                <w:rFonts w:ascii="Arial" w:cs="Arial" w:eastAsia="Arial" w:hAnsi="Arial"/>
                <w:sz w:val="16"/>
                <w:szCs w:val="16"/>
                <w:color w:val="0076A8"/>
              </w:rPr>
              <w:t>(4)</w:t>
            </w:r>
          </w:p>
        </w:tc>
        <w:tc>
          <w:tcPr>
            <w:tcW w:w="1000" w:type="dxa"/>
            <w:vAlign w:val="bottom"/>
            <w:shd w:val="clear" w:color="auto" w:fill="E5E5E5"/>
          </w:tcPr>
          <w:p>
            <w:pPr>
              <w:ind w:left="360"/>
              <w:spacing w:after="0"/>
              <w:rPr>
                <w:sz w:val="20"/>
                <w:szCs w:val="20"/>
                <w:color w:val="auto"/>
              </w:rPr>
            </w:pPr>
            <w:r>
              <w:rPr>
                <w:rFonts w:ascii="Arial" w:cs="Arial" w:eastAsia="Arial" w:hAnsi="Arial"/>
                <w:sz w:val="16"/>
                <w:szCs w:val="16"/>
                <w:color w:val="auto"/>
              </w:rPr>
              <w:t>2021</w:t>
            </w:r>
          </w:p>
        </w:tc>
        <w:tc>
          <w:tcPr>
            <w:tcW w:w="1200" w:type="dxa"/>
            <w:vAlign w:val="bottom"/>
            <w:shd w:val="clear" w:color="auto" w:fill="E5E5E5"/>
          </w:tcPr>
          <w:p>
            <w:pPr>
              <w:jc w:val="center"/>
              <w:ind w:left="19"/>
              <w:spacing w:after="0"/>
              <w:rPr>
                <w:sz w:val="20"/>
                <w:szCs w:val="20"/>
                <w:color w:val="auto"/>
              </w:rPr>
            </w:pPr>
            <w:r>
              <w:rPr>
                <w:rFonts w:ascii="Arial" w:cs="Arial" w:eastAsia="Arial" w:hAnsi="Arial"/>
                <w:sz w:val="16"/>
                <w:szCs w:val="16"/>
                <w:color w:val="auto"/>
              </w:rPr>
              <w:t>448,131</w:t>
            </w:r>
          </w:p>
        </w:tc>
        <w:tc>
          <w:tcPr>
            <w:tcW w:w="116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2,005,655</w:t>
            </w:r>
          </w:p>
        </w:tc>
        <w:tc>
          <w:tcPr>
            <w:tcW w:w="130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720,000</w:t>
            </w:r>
          </w:p>
        </w:tc>
        <w:tc>
          <w:tcPr>
            <w:tcW w:w="132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13,830</w:t>
            </w:r>
          </w:p>
        </w:tc>
        <w:tc>
          <w:tcPr>
            <w:tcW w:w="110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3,187,616</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2240" w:type="dxa"/>
            <w:vAlign w:val="bottom"/>
          </w:tcPr>
          <w:p>
            <w:pPr>
              <w:ind w:left="160"/>
              <w:spacing w:after="0" w:line="175" w:lineRule="exact"/>
              <w:rPr>
                <w:sz w:val="20"/>
                <w:szCs w:val="20"/>
                <w:color w:val="auto"/>
              </w:rPr>
            </w:pPr>
            <w:r>
              <w:rPr>
                <w:rFonts w:ascii="Arial" w:cs="Arial" w:eastAsia="Arial" w:hAnsi="Arial"/>
                <w:sz w:val="16"/>
                <w:szCs w:val="16"/>
                <w:i w:val="1"/>
                <w:iCs w:val="1"/>
                <w:color w:val="auto"/>
              </w:rPr>
              <w:t>Senior Vice President,</w:t>
            </w:r>
          </w:p>
        </w:tc>
        <w:tc>
          <w:tcPr>
            <w:tcW w:w="1000" w:type="dxa"/>
            <w:vAlign w:val="bottom"/>
          </w:tcPr>
          <w:p>
            <w:pPr>
              <w:ind w:left="360"/>
              <w:spacing w:after="0" w:line="175" w:lineRule="exact"/>
              <w:rPr>
                <w:sz w:val="20"/>
                <w:szCs w:val="20"/>
                <w:color w:val="auto"/>
              </w:rPr>
            </w:pPr>
            <w:r>
              <w:rPr>
                <w:rFonts w:ascii="Arial" w:cs="Arial" w:eastAsia="Arial" w:hAnsi="Arial"/>
                <w:sz w:val="16"/>
                <w:szCs w:val="16"/>
                <w:color w:val="auto"/>
              </w:rPr>
              <w:t>2020</w:t>
            </w:r>
          </w:p>
        </w:tc>
        <w:tc>
          <w:tcPr>
            <w:tcW w:w="1200" w:type="dxa"/>
            <w:vAlign w:val="bottom"/>
          </w:tcPr>
          <w:p>
            <w:pPr>
              <w:jc w:val="center"/>
              <w:ind w:left="19"/>
              <w:spacing w:after="0" w:line="175" w:lineRule="exact"/>
              <w:rPr>
                <w:sz w:val="20"/>
                <w:szCs w:val="20"/>
                <w:color w:val="auto"/>
              </w:rPr>
            </w:pPr>
            <w:r>
              <w:rPr>
                <w:rFonts w:ascii="Arial" w:cs="Arial" w:eastAsia="Arial" w:hAnsi="Arial"/>
                <w:sz w:val="16"/>
                <w:szCs w:val="16"/>
                <w:color w:val="auto"/>
              </w:rPr>
              <w:t>437,908</w:t>
            </w:r>
          </w:p>
        </w:tc>
        <w:tc>
          <w:tcPr>
            <w:tcW w:w="1160" w:type="dxa"/>
            <w:vAlign w:val="bottom"/>
          </w:tcPr>
          <w:p>
            <w:pPr>
              <w:jc w:val="center"/>
              <w:spacing w:after="0" w:line="175" w:lineRule="exact"/>
              <w:rPr>
                <w:sz w:val="20"/>
                <w:szCs w:val="20"/>
                <w:color w:val="auto"/>
              </w:rPr>
            </w:pPr>
            <w:r>
              <w:rPr>
                <w:rFonts w:ascii="Arial" w:cs="Arial" w:eastAsia="Arial" w:hAnsi="Arial"/>
                <w:sz w:val="16"/>
                <w:szCs w:val="16"/>
                <w:color w:val="auto"/>
              </w:rPr>
              <w:t>3,037,435</w:t>
            </w:r>
          </w:p>
        </w:tc>
        <w:tc>
          <w:tcPr>
            <w:tcW w:w="1300" w:type="dxa"/>
            <w:vAlign w:val="bottom"/>
          </w:tcPr>
          <w:p>
            <w:pPr>
              <w:jc w:val="center"/>
              <w:spacing w:after="0" w:line="175" w:lineRule="exact"/>
              <w:rPr>
                <w:sz w:val="20"/>
                <w:szCs w:val="20"/>
                <w:color w:val="auto"/>
              </w:rPr>
            </w:pPr>
            <w:r>
              <w:rPr>
                <w:rFonts w:ascii="Arial" w:cs="Arial" w:eastAsia="Arial" w:hAnsi="Arial"/>
                <w:sz w:val="16"/>
                <w:szCs w:val="16"/>
                <w:color w:val="auto"/>
              </w:rPr>
              <w:t>691,200</w:t>
            </w:r>
          </w:p>
        </w:tc>
        <w:tc>
          <w:tcPr>
            <w:tcW w:w="1320" w:type="dxa"/>
            <w:vAlign w:val="bottom"/>
          </w:tcPr>
          <w:p>
            <w:pPr>
              <w:jc w:val="center"/>
              <w:spacing w:after="0" w:line="175" w:lineRule="exact"/>
              <w:rPr>
                <w:sz w:val="20"/>
                <w:szCs w:val="20"/>
                <w:color w:val="auto"/>
              </w:rPr>
            </w:pPr>
            <w:r>
              <w:rPr>
                <w:rFonts w:ascii="Arial" w:cs="Arial" w:eastAsia="Arial" w:hAnsi="Arial"/>
                <w:sz w:val="16"/>
                <w:szCs w:val="16"/>
                <w:color w:val="auto"/>
              </w:rPr>
              <w:t>16,531</w:t>
            </w:r>
          </w:p>
        </w:tc>
        <w:tc>
          <w:tcPr>
            <w:tcW w:w="1100" w:type="dxa"/>
            <w:vAlign w:val="bottom"/>
          </w:tcPr>
          <w:p>
            <w:pPr>
              <w:jc w:val="center"/>
              <w:spacing w:after="0" w:line="175" w:lineRule="exact"/>
              <w:rPr>
                <w:sz w:val="20"/>
                <w:szCs w:val="20"/>
                <w:color w:val="auto"/>
              </w:rPr>
            </w:pPr>
            <w:r>
              <w:rPr>
                <w:rFonts w:ascii="Arial" w:cs="Arial" w:eastAsia="Arial" w:hAnsi="Arial"/>
                <w:sz w:val="16"/>
                <w:szCs w:val="16"/>
                <w:color w:val="auto"/>
              </w:rPr>
              <w:t>4,183,074</w:t>
            </w:r>
          </w:p>
        </w:tc>
        <w:tc>
          <w:tcPr>
            <w:tcW w:w="0" w:type="dxa"/>
            <w:vAlign w:val="bottom"/>
          </w:tcPr>
          <w:p>
            <w:pPr>
              <w:spacing w:after="0"/>
              <w:rPr>
                <w:sz w:val="1"/>
                <w:szCs w:val="1"/>
                <w:color w:val="auto"/>
              </w:rPr>
            </w:pPr>
          </w:p>
        </w:tc>
      </w:tr>
      <w:tr>
        <w:trPr>
          <w:trHeight w:val="211"/>
        </w:trPr>
        <w:tc>
          <w:tcPr>
            <w:tcW w:w="80" w:type="dxa"/>
            <w:vAlign w:val="bottom"/>
          </w:tcPr>
          <w:p>
            <w:pPr>
              <w:spacing w:after="0"/>
              <w:rPr>
                <w:sz w:val="18"/>
                <w:szCs w:val="18"/>
                <w:color w:val="auto"/>
              </w:rPr>
            </w:pPr>
          </w:p>
        </w:tc>
        <w:tc>
          <w:tcPr>
            <w:tcW w:w="2240" w:type="dxa"/>
            <w:vAlign w:val="bottom"/>
          </w:tcPr>
          <w:p>
            <w:pPr>
              <w:ind w:left="160"/>
              <w:spacing w:after="0"/>
              <w:rPr>
                <w:sz w:val="20"/>
                <w:szCs w:val="20"/>
                <w:color w:val="auto"/>
              </w:rPr>
            </w:pPr>
            <w:r>
              <w:rPr>
                <w:rFonts w:ascii="Arial" w:cs="Arial" w:eastAsia="Arial" w:hAnsi="Arial"/>
                <w:sz w:val="16"/>
                <w:szCs w:val="16"/>
                <w:i w:val="1"/>
                <w:iCs w:val="1"/>
                <w:color w:val="auto"/>
              </w:rPr>
              <w:t>Human Resources</w:t>
            </w:r>
          </w:p>
        </w:tc>
        <w:tc>
          <w:tcPr>
            <w:tcW w:w="1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81280</wp:posOffset>
            </wp:positionV>
            <wp:extent cx="597471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974715" cy="8890"/>
                    </a:xfrm>
                    <a:prstGeom prst="rect">
                      <a:avLst/>
                    </a:prstGeom>
                    <a:noFill/>
                  </pic:spPr>
                </pic:pic>
              </a:graphicData>
            </a:graphic>
          </wp:anchor>
        </w:drawing>
      </w:r>
    </w:p>
    <w:p>
      <w:pPr>
        <w:spacing w:after="0" w:line="215" w:lineRule="exact"/>
        <w:rPr>
          <w:sz w:val="20"/>
          <w:szCs w:val="20"/>
          <w:color w:val="auto"/>
        </w:rPr>
      </w:pPr>
    </w:p>
    <w:p>
      <w:pPr>
        <w:ind w:left="1080" w:right="20" w:hanging="354"/>
        <w:spacing w:after="0" w:line="250" w:lineRule="auto"/>
        <w:tabs>
          <w:tab w:leader="none" w:pos="1080" w:val="left"/>
        </w:tabs>
        <w:numPr>
          <w:ilvl w:val="0"/>
          <w:numId w:val="53"/>
        </w:numPr>
        <w:rPr>
          <w:rFonts w:ascii="Arial" w:cs="Arial" w:eastAsia="Arial" w:hAnsi="Arial"/>
          <w:sz w:val="16"/>
          <w:szCs w:val="16"/>
          <w:i w:val="1"/>
          <w:iCs w:val="1"/>
          <w:color w:val="auto"/>
        </w:rPr>
      </w:pPr>
      <w:r>
        <w:rPr>
          <w:rFonts w:ascii="Arial" w:cs="Arial" w:eastAsia="Arial" w:hAnsi="Arial"/>
          <w:sz w:val="16"/>
          <w:szCs w:val="16"/>
          <w:i w:val="1"/>
          <w:iCs w:val="1"/>
          <w:color w:val="auto"/>
        </w:rPr>
        <w:t>The amounts in the Stock Awards column represent the grant date fair values, computed in accordance with the provisions of FASB ASC Topic 718 — Compensation — Stock Compensation (“ASC 718”), of PSAs and RSUs granted during the applicable fiscal year, without regard to estimated forfeiture rates. For fiscal years 2019, 2020, and 2021, assuming the highest level of performance achievement with respect to the PSAs, the grant date fair values of the Stock Awards would be as follows: Mr. Griffin (FY 2019: $14,658,935; FY 2020: $25,430,512; FY 2021: $14,912,691), Mr. Sennesael (FY 2019: $4,104,438; FY 2020: $6,637,546; FY 2021: $4,609,190), Mr. Bori (FY 2019: $3,957,856; FY 2020: $5,666,259; FY 2021: $3,931,401), Mr. Terry (FY 2019: $2,491,891; FY 2020: $5,211,819; FY 2021: $3,660,286), and Ms. Durham (FY 2020: $3,577,434; FY 2021: $2,575,596). For a description of the assumptions used in calculating the fair value of equity awards in fiscal year 2021 under ASC 718, see Note 10 of the Company’s financial statements included in the Company’s Annual Report on Form 10-K filed with the SEC on November 24, 2021.</w:t>
      </w:r>
    </w:p>
    <w:p>
      <w:pPr>
        <w:ind w:left="1080" w:right="1000" w:hanging="354"/>
        <w:spacing w:after="0" w:line="260" w:lineRule="auto"/>
        <w:tabs>
          <w:tab w:leader="none" w:pos="1080" w:val="left"/>
        </w:tabs>
        <w:numPr>
          <w:ilvl w:val="0"/>
          <w:numId w:val="53"/>
        </w:numPr>
        <w:rPr>
          <w:rFonts w:ascii="Arial" w:cs="Arial" w:eastAsia="Arial" w:hAnsi="Arial"/>
          <w:sz w:val="16"/>
          <w:szCs w:val="16"/>
          <w:i w:val="1"/>
          <w:iCs w:val="1"/>
          <w:color w:val="auto"/>
        </w:rPr>
      </w:pPr>
      <w:r>
        <w:rPr>
          <w:rFonts w:ascii="Arial" w:cs="Arial" w:eastAsia="Arial" w:hAnsi="Arial"/>
          <w:sz w:val="16"/>
          <w:szCs w:val="16"/>
          <w:i w:val="1"/>
          <w:iCs w:val="1"/>
          <w:color w:val="auto"/>
        </w:rPr>
        <w:t>Reflects amounts paid to the Named Executive Officers pursuant to the executive incentive plan adopted by the Compensation Committee for each year indicated.</w:t>
      </w:r>
    </w:p>
    <w:p>
      <w:pPr>
        <w:ind w:left="1080" w:right="340" w:hanging="354"/>
        <w:spacing w:after="0" w:line="250" w:lineRule="auto"/>
        <w:tabs>
          <w:tab w:leader="none" w:pos="1080" w:val="left"/>
        </w:tabs>
        <w:numPr>
          <w:ilvl w:val="0"/>
          <w:numId w:val="53"/>
        </w:numPr>
        <w:rPr>
          <w:rFonts w:ascii="Arial" w:cs="Arial" w:eastAsia="Arial" w:hAnsi="Arial"/>
          <w:sz w:val="16"/>
          <w:szCs w:val="16"/>
          <w:i w:val="1"/>
          <w:iCs w:val="1"/>
          <w:color w:val="auto"/>
        </w:rPr>
      </w:pPr>
      <w:r>
        <w:rPr>
          <w:rFonts w:ascii="Arial" w:cs="Arial" w:eastAsia="Arial" w:hAnsi="Arial"/>
          <w:sz w:val="16"/>
          <w:szCs w:val="16"/>
          <w:i w:val="1"/>
          <w:iCs w:val="1"/>
          <w:color w:val="auto"/>
        </w:rPr>
        <w:t>“All Other Compensation” includes the Company’s contributions to the executive’s 401(k) Plan account, the cost of group term life insurance premiums, and financial planning benefits. For fiscal year 2021, it specifically includes $11,600 in Company contributions to each Named Executive Officer’s 401(k) Plan account, as well as $11,500 in financial planning benefits for Mr. Griffin.</w:t>
      </w:r>
    </w:p>
    <w:p>
      <w:pPr>
        <w:spacing w:after="0" w:line="2" w:lineRule="exact"/>
        <w:rPr>
          <w:rFonts w:ascii="Arial" w:cs="Arial" w:eastAsia="Arial" w:hAnsi="Arial"/>
          <w:sz w:val="16"/>
          <w:szCs w:val="16"/>
          <w:i w:val="1"/>
          <w:iCs w:val="1"/>
          <w:color w:val="auto"/>
        </w:rPr>
      </w:pPr>
    </w:p>
    <w:p>
      <w:pPr>
        <w:ind w:left="1080" w:hanging="354"/>
        <w:spacing w:after="0"/>
        <w:tabs>
          <w:tab w:leader="none" w:pos="1080" w:val="left"/>
        </w:tabs>
        <w:numPr>
          <w:ilvl w:val="0"/>
          <w:numId w:val="53"/>
        </w:numPr>
        <w:rPr>
          <w:rFonts w:ascii="Arial" w:cs="Arial" w:eastAsia="Arial" w:hAnsi="Arial"/>
          <w:sz w:val="16"/>
          <w:szCs w:val="16"/>
          <w:i w:val="1"/>
          <w:iCs w:val="1"/>
          <w:color w:val="auto"/>
        </w:rPr>
      </w:pPr>
      <w:r>
        <w:rPr>
          <w:rFonts w:ascii="Arial" w:cs="Arial" w:eastAsia="Arial" w:hAnsi="Arial"/>
          <w:sz w:val="16"/>
          <w:szCs w:val="16"/>
          <w:i w:val="1"/>
          <w:iCs w:val="1"/>
          <w:color w:val="auto"/>
        </w:rPr>
        <w:t>Ms. Durham was not a Named Executive Officer prior to fiscal year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60"/>
        <w:spacing w:after="0"/>
        <w:tabs>
          <w:tab w:leader="none" w:pos="4817" w:val="left"/>
        </w:tabs>
        <w:rPr>
          <w:sz w:val="20"/>
          <w:szCs w:val="20"/>
          <w:color w:val="auto"/>
        </w:rPr>
      </w:pPr>
      <w:r>
        <w:rPr>
          <w:rFonts w:ascii="Arial" w:cs="Arial" w:eastAsia="Arial" w:hAnsi="Arial"/>
          <w:sz w:val="16"/>
          <w:szCs w:val="16"/>
          <w:color w:val="auto"/>
        </w:rPr>
        <w:t>44</w:t>
      </w:r>
      <w:r>
        <w:rPr>
          <w:sz w:val="20"/>
          <w:szCs w:val="20"/>
          <w:color w:val="auto"/>
        </w:rPr>
        <w:tab/>
      </w:r>
      <w:r>
        <w:rPr>
          <w:sz w:val="1"/>
          <w:szCs w:val="1"/>
          <w:color w:val="auto"/>
        </w:rPr>
        <w:drawing>
          <wp:inline distT="0" distB="0" distL="0" distR="0">
            <wp:extent cx="779780" cy="257175"/>
            <wp:effectExtent l="0" t="0" r="0" b="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132" w:right="1259" w:bottom="1440" w:gutter="0" w:footer="0" w:header="0"/>
        </w:sectPr>
      </w:pPr>
    </w:p>
    <w:bookmarkStart w:id="49" w:name="page50"/>
    <w:bookmarkEnd w:id="4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Arial" w:cs="Arial" w:eastAsia="Arial" w:hAnsi="Arial"/>
          <w:sz w:val="23"/>
          <w:szCs w:val="23"/>
          <w:b w:val="1"/>
          <w:bCs w:val="1"/>
          <w:i w:val="1"/>
          <w:iCs w:val="1"/>
          <w:color w:val="auto"/>
        </w:rPr>
        <w:t>Grants of Plan-Based Awards Table</w:t>
      </w:r>
    </w:p>
    <w:p>
      <w:pPr>
        <w:spacing w:after="0" w:line="161" w:lineRule="exact"/>
        <w:rPr>
          <w:sz w:val="20"/>
          <w:szCs w:val="20"/>
          <w:color w:val="auto"/>
        </w:rPr>
      </w:pPr>
    </w:p>
    <w:p>
      <w:pPr>
        <w:jc w:val="both"/>
        <w:ind w:left="660" w:right="820"/>
        <w:spacing w:after="0" w:line="287" w:lineRule="auto"/>
        <w:rPr>
          <w:sz w:val="20"/>
          <w:szCs w:val="20"/>
          <w:color w:val="auto"/>
        </w:rPr>
      </w:pPr>
      <w:r>
        <w:rPr>
          <w:rFonts w:ascii="Arial" w:cs="Arial" w:eastAsia="Arial" w:hAnsi="Arial"/>
          <w:sz w:val="19"/>
          <w:szCs w:val="19"/>
          <w:color w:val="191919"/>
        </w:rPr>
        <w:t>The following table summarizes all grants of plan-based awards made to the Named Executive Officers in fiscal year 2021, including incentive awards payable under our Fiscal Year 2021 Executive Incentive Plan.</w:t>
      </w:r>
    </w:p>
    <w:p>
      <w:pPr>
        <w:spacing w:after="0" w:line="224" w:lineRule="exact"/>
        <w:rPr>
          <w:sz w:val="20"/>
          <w:szCs w:val="20"/>
          <w:color w:val="auto"/>
        </w:rPr>
      </w:pPr>
    </w:p>
    <w:tbl>
      <w:tblPr>
        <w:tblLayout w:type="fixed"/>
        <w:tblInd w:w="660" w:type="dxa"/>
        <w:tblCellMar>
          <w:top w:w="0" w:type="dxa"/>
          <w:left w:w="0" w:type="dxa"/>
          <w:bottom w:w="0" w:type="dxa"/>
          <w:right w:w="0" w:type="dxa"/>
        </w:tblCellMar>
      </w:tblPr>
      <w:tr>
        <w:trPr>
          <w:trHeight w:val="170"/>
        </w:trPr>
        <w:tc>
          <w:tcPr>
            <w:tcW w:w="60" w:type="dxa"/>
            <w:vAlign w:val="bottom"/>
            <w:shd w:val="clear" w:color="auto" w:fill="0076A8"/>
          </w:tcPr>
          <w:p>
            <w:pPr>
              <w:spacing w:after="0"/>
              <w:rPr>
                <w:sz w:val="14"/>
                <w:szCs w:val="14"/>
                <w:color w:val="auto"/>
              </w:rPr>
            </w:pPr>
          </w:p>
        </w:tc>
        <w:tc>
          <w:tcPr>
            <w:tcW w:w="1300" w:type="dxa"/>
            <w:vAlign w:val="bottom"/>
            <w:shd w:val="clear" w:color="auto" w:fill="0076A8"/>
          </w:tcPr>
          <w:p>
            <w:pPr>
              <w:spacing w:after="0"/>
              <w:rPr>
                <w:sz w:val="14"/>
                <w:szCs w:val="14"/>
                <w:color w:val="auto"/>
              </w:rPr>
            </w:pPr>
          </w:p>
        </w:tc>
        <w:tc>
          <w:tcPr>
            <w:tcW w:w="1000" w:type="dxa"/>
            <w:vAlign w:val="bottom"/>
            <w:shd w:val="clear" w:color="auto" w:fill="0076A8"/>
          </w:tcPr>
          <w:p>
            <w:pPr>
              <w:spacing w:after="0"/>
              <w:rPr>
                <w:sz w:val="14"/>
                <w:szCs w:val="14"/>
                <w:color w:val="auto"/>
              </w:rPr>
            </w:pPr>
          </w:p>
        </w:tc>
        <w:tc>
          <w:tcPr>
            <w:tcW w:w="820" w:type="dxa"/>
            <w:vAlign w:val="bottom"/>
            <w:shd w:val="clear" w:color="auto" w:fill="0076A8"/>
          </w:tcPr>
          <w:p>
            <w:pPr>
              <w:spacing w:after="0"/>
              <w:rPr>
                <w:sz w:val="14"/>
                <w:szCs w:val="14"/>
                <w:color w:val="auto"/>
              </w:rPr>
            </w:pPr>
          </w:p>
        </w:tc>
        <w:tc>
          <w:tcPr>
            <w:tcW w:w="860" w:type="dxa"/>
            <w:vAlign w:val="bottom"/>
            <w:shd w:val="clear" w:color="auto" w:fill="0076A8"/>
          </w:tcPr>
          <w:p>
            <w:pPr>
              <w:spacing w:after="0"/>
              <w:rPr>
                <w:sz w:val="14"/>
                <w:szCs w:val="14"/>
                <w:color w:val="auto"/>
              </w:rPr>
            </w:pPr>
          </w:p>
        </w:tc>
        <w:tc>
          <w:tcPr>
            <w:tcW w:w="860" w:type="dxa"/>
            <w:vAlign w:val="bottom"/>
            <w:shd w:val="clear" w:color="auto" w:fill="0076A8"/>
          </w:tcPr>
          <w:p>
            <w:pPr>
              <w:spacing w:after="0"/>
              <w:rPr>
                <w:sz w:val="14"/>
                <w:szCs w:val="14"/>
                <w:color w:val="auto"/>
              </w:rPr>
            </w:pPr>
          </w:p>
        </w:tc>
        <w:tc>
          <w:tcPr>
            <w:tcW w:w="860" w:type="dxa"/>
            <w:vAlign w:val="bottom"/>
            <w:shd w:val="clear" w:color="auto" w:fill="0076A8"/>
          </w:tcPr>
          <w:p>
            <w:pPr>
              <w:spacing w:after="0"/>
              <w:rPr>
                <w:sz w:val="14"/>
                <w:szCs w:val="14"/>
                <w:color w:val="auto"/>
              </w:rPr>
            </w:pPr>
          </w:p>
        </w:tc>
        <w:tc>
          <w:tcPr>
            <w:tcW w:w="800" w:type="dxa"/>
            <w:vAlign w:val="bottom"/>
            <w:shd w:val="clear" w:color="auto" w:fill="0076A8"/>
          </w:tcPr>
          <w:p>
            <w:pPr>
              <w:spacing w:after="0"/>
              <w:rPr>
                <w:sz w:val="14"/>
                <w:szCs w:val="14"/>
                <w:color w:val="auto"/>
              </w:rPr>
            </w:pPr>
          </w:p>
        </w:tc>
        <w:tc>
          <w:tcPr>
            <w:tcW w:w="880" w:type="dxa"/>
            <w:vAlign w:val="bottom"/>
            <w:shd w:val="clear" w:color="auto" w:fill="0076A8"/>
          </w:tcPr>
          <w:p>
            <w:pPr>
              <w:spacing w:after="0"/>
              <w:rPr>
                <w:sz w:val="14"/>
                <w:szCs w:val="14"/>
                <w:color w:val="auto"/>
              </w:rPr>
            </w:pPr>
          </w:p>
        </w:tc>
        <w:tc>
          <w:tcPr>
            <w:tcW w:w="820" w:type="dxa"/>
            <w:vAlign w:val="bottom"/>
            <w:shd w:val="clear" w:color="auto" w:fill="0076A8"/>
          </w:tcPr>
          <w:p>
            <w:pPr>
              <w:jc w:val="center"/>
              <w:spacing w:after="0"/>
              <w:rPr>
                <w:sz w:val="20"/>
                <w:szCs w:val="20"/>
                <w:color w:val="auto"/>
              </w:rPr>
            </w:pPr>
            <w:r>
              <w:rPr>
                <w:rFonts w:ascii="Arial" w:cs="Arial" w:eastAsia="Arial" w:hAnsi="Arial"/>
                <w:sz w:val="13"/>
                <w:szCs w:val="13"/>
                <w:color w:val="FFFFFF"/>
                <w:w w:val="94"/>
              </w:rPr>
              <w:t>All Other</w:t>
            </w:r>
          </w:p>
        </w:tc>
        <w:tc>
          <w:tcPr>
            <w:tcW w:w="1140" w:type="dxa"/>
            <w:vAlign w:val="bottom"/>
            <w:shd w:val="clear" w:color="auto" w:fill="0076A8"/>
          </w:tcPr>
          <w:p>
            <w:pPr>
              <w:jc w:val="center"/>
              <w:ind w:right="15"/>
              <w:spacing w:after="0"/>
              <w:rPr>
                <w:sz w:val="20"/>
                <w:szCs w:val="20"/>
                <w:color w:val="auto"/>
              </w:rPr>
            </w:pPr>
            <w:r>
              <w:rPr>
                <w:rFonts w:ascii="Arial" w:cs="Arial" w:eastAsia="Arial" w:hAnsi="Arial"/>
                <w:sz w:val="13"/>
                <w:szCs w:val="13"/>
                <w:color w:val="FFFFFF"/>
                <w:w w:val="97"/>
              </w:rPr>
              <w:t>Grant Date</w:t>
            </w:r>
          </w:p>
        </w:tc>
        <w:tc>
          <w:tcPr>
            <w:tcW w:w="0" w:type="dxa"/>
            <w:vAlign w:val="bottom"/>
          </w:tcPr>
          <w:p>
            <w:pPr>
              <w:spacing w:after="0"/>
              <w:rPr>
                <w:sz w:val="1"/>
                <w:szCs w:val="1"/>
                <w:color w:val="auto"/>
              </w:rPr>
            </w:pPr>
          </w:p>
        </w:tc>
      </w:tr>
      <w:tr>
        <w:trPr>
          <w:trHeight w:val="121"/>
        </w:trPr>
        <w:tc>
          <w:tcPr>
            <w:tcW w:w="60" w:type="dxa"/>
            <w:vAlign w:val="bottom"/>
            <w:shd w:val="clear" w:color="auto" w:fill="0076A8"/>
          </w:tcPr>
          <w:p>
            <w:pPr>
              <w:spacing w:after="0"/>
              <w:rPr>
                <w:sz w:val="10"/>
                <w:szCs w:val="10"/>
                <w:color w:val="auto"/>
              </w:rPr>
            </w:pPr>
          </w:p>
        </w:tc>
        <w:tc>
          <w:tcPr>
            <w:tcW w:w="1300" w:type="dxa"/>
            <w:vAlign w:val="bottom"/>
            <w:shd w:val="clear" w:color="auto" w:fill="0076A8"/>
          </w:tcPr>
          <w:p>
            <w:pPr>
              <w:spacing w:after="0"/>
              <w:rPr>
                <w:sz w:val="10"/>
                <w:szCs w:val="10"/>
                <w:color w:val="auto"/>
              </w:rPr>
            </w:pPr>
          </w:p>
        </w:tc>
        <w:tc>
          <w:tcPr>
            <w:tcW w:w="1000" w:type="dxa"/>
            <w:vAlign w:val="bottom"/>
            <w:shd w:val="clear" w:color="auto" w:fill="0076A8"/>
          </w:tcPr>
          <w:p>
            <w:pPr>
              <w:spacing w:after="0"/>
              <w:rPr>
                <w:sz w:val="10"/>
                <w:szCs w:val="10"/>
                <w:color w:val="auto"/>
              </w:rPr>
            </w:pPr>
          </w:p>
        </w:tc>
        <w:tc>
          <w:tcPr>
            <w:tcW w:w="820" w:type="dxa"/>
            <w:vAlign w:val="bottom"/>
            <w:shd w:val="clear" w:color="auto" w:fill="0076A8"/>
          </w:tcPr>
          <w:p>
            <w:pPr>
              <w:spacing w:after="0"/>
              <w:rPr>
                <w:sz w:val="10"/>
                <w:szCs w:val="10"/>
                <w:color w:val="auto"/>
              </w:rPr>
            </w:pPr>
          </w:p>
        </w:tc>
        <w:tc>
          <w:tcPr>
            <w:tcW w:w="860" w:type="dxa"/>
            <w:vAlign w:val="bottom"/>
            <w:shd w:val="clear" w:color="auto" w:fill="0076A8"/>
          </w:tcPr>
          <w:p>
            <w:pPr>
              <w:spacing w:after="0"/>
              <w:rPr>
                <w:sz w:val="10"/>
                <w:szCs w:val="10"/>
                <w:color w:val="auto"/>
              </w:rPr>
            </w:pPr>
          </w:p>
        </w:tc>
        <w:tc>
          <w:tcPr>
            <w:tcW w:w="860" w:type="dxa"/>
            <w:vAlign w:val="bottom"/>
            <w:shd w:val="clear" w:color="auto" w:fill="0076A8"/>
          </w:tcPr>
          <w:p>
            <w:pPr>
              <w:spacing w:after="0"/>
              <w:rPr>
                <w:sz w:val="10"/>
                <w:szCs w:val="10"/>
                <w:color w:val="auto"/>
              </w:rPr>
            </w:pPr>
          </w:p>
        </w:tc>
        <w:tc>
          <w:tcPr>
            <w:tcW w:w="860" w:type="dxa"/>
            <w:vAlign w:val="bottom"/>
            <w:shd w:val="clear" w:color="auto" w:fill="0076A8"/>
          </w:tcPr>
          <w:p>
            <w:pPr>
              <w:spacing w:after="0"/>
              <w:rPr>
                <w:sz w:val="10"/>
                <w:szCs w:val="10"/>
                <w:color w:val="auto"/>
              </w:rPr>
            </w:pPr>
          </w:p>
        </w:tc>
        <w:tc>
          <w:tcPr>
            <w:tcW w:w="800" w:type="dxa"/>
            <w:vAlign w:val="bottom"/>
            <w:shd w:val="clear" w:color="auto" w:fill="0076A8"/>
          </w:tcPr>
          <w:p>
            <w:pPr>
              <w:spacing w:after="0"/>
              <w:rPr>
                <w:sz w:val="10"/>
                <w:szCs w:val="10"/>
                <w:color w:val="auto"/>
              </w:rPr>
            </w:pPr>
          </w:p>
        </w:tc>
        <w:tc>
          <w:tcPr>
            <w:tcW w:w="880" w:type="dxa"/>
            <w:vAlign w:val="bottom"/>
            <w:shd w:val="clear" w:color="auto" w:fill="0076A8"/>
          </w:tcPr>
          <w:p>
            <w:pPr>
              <w:spacing w:after="0"/>
              <w:rPr>
                <w:sz w:val="10"/>
                <w:szCs w:val="10"/>
                <w:color w:val="auto"/>
              </w:rPr>
            </w:pPr>
          </w:p>
        </w:tc>
        <w:tc>
          <w:tcPr>
            <w:tcW w:w="820" w:type="dxa"/>
            <w:vAlign w:val="bottom"/>
            <w:shd w:val="clear" w:color="auto" w:fill="0076A8"/>
          </w:tcPr>
          <w:p>
            <w:pPr>
              <w:jc w:val="center"/>
              <w:spacing w:after="0" w:line="122" w:lineRule="exact"/>
              <w:rPr>
                <w:sz w:val="20"/>
                <w:szCs w:val="20"/>
                <w:color w:val="auto"/>
              </w:rPr>
            </w:pPr>
            <w:r>
              <w:rPr>
                <w:rFonts w:ascii="Arial" w:cs="Arial" w:eastAsia="Arial" w:hAnsi="Arial"/>
                <w:sz w:val="13"/>
                <w:szCs w:val="13"/>
                <w:color w:val="FFFFFF"/>
                <w:w w:val="98"/>
              </w:rPr>
              <w:t>Stock</w:t>
            </w:r>
          </w:p>
        </w:tc>
        <w:tc>
          <w:tcPr>
            <w:tcW w:w="1140" w:type="dxa"/>
            <w:vAlign w:val="bottom"/>
            <w:shd w:val="clear" w:color="auto" w:fill="0076A8"/>
          </w:tcPr>
          <w:p>
            <w:pPr>
              <w:jc w:val="center"/>
              <w:spacing w:after="0" w:line="122" w:lineRule="exact"/>
              <w:rPr>
                <w:sz w:val="20"/>
                <w:szCs w:val="20"/>
                <w:color w:val="auto"/>
              </w:rPr>
            </w:pPr>
            <w:r>
              <w:rPr>
                <w:rFonts w:ascii="Arial" w:cs="Arial" w:eastAsia="Arial" w:hAnsi="Arial"/>
                <w:sz w:val="13"/>
                <w:szCs w:val="13"/>
                <w:color w:val="FFFFFF"/>
                <w:w w:val="94"/>
              </w:rPr>
              <w:t>Fair Value</w:t>
            </w:r>
          </w:p>
        </w:tc>
        <w:tc>
          <w:tcPr>
            <w:tcW w:w="0" w:type="dxa"/>
            <w:vAlign w:val="bottom"/>
          </w:tcPr>
          <w:p>
            <w:pPr>
              <w:spacing w:after="0"/>
              <w:rPr>
                <w:sz w:val="1"/>
                <w:szCs w:val="1"/>
                <w:color w:val="auto"/>
              </w:rPr>
            </w:pPr>
          </w:p>
        </w:tc>
      </w:tr>
      <w:tr>
        <w:trPr>
          <w:trHeight w:val="141"/>
        </w:trPr>
        <w:tc>
          <w:tcPr>
            <w:tcW w:w="60" w:type="dxa"/>
            <w:vAlign w:val="bottom"/>
            <w:shd w:val="clear" w:color="auto" w:fill="0076A8"/>
          </w:tcPr>
          <w:p>
            <w:pPr>
              <w:spacing w:after="0"/>
              <w:rPr>
                <w:sz w:val="12"/>
                <w:szCs w:val="12"/>
                <w:color w:val="auto"/>
              </w:rPr>
            </w:pPr>
          </w:p>
        </w:tc>
        <w:tc>
          <w:tcPr>
            <w:tcW w:w="1300" w:type="dxa"/>
            <w:vAlign w:val="bottom"/>
            <w:shd w:val="clear" w:color="auto" w:fill="0076A8"/>
          </w:tcPr>
          <w:p>
            <w:pPr>
              <w:spacing w:after="0"/>
              <w:rPr>
                <w:sz w:val="12"/>
                <w:szCs w:val="12"/>
                <w:color w:val="auto"/>
              </w:rPr>
            </w:pPr>
          </w:p>
        </w:tc>
        <w:tc>
          <w:tcPr>
            <w:tcW w:w="1000" w:type="dxa"/>
            <w:vAlign w:val="bottom"/>
            <w:shd w:val="clear" w:color="auto" w:fill="0076A8"/>
          </w:tcPr>
          <w:p>
            <w:pPr>
              <w:spacing w:after="0"/>
              <w:rPr>
                <w:sz w:val="12"/>
                <w:szCs w:val="12"/>
                <w:color w:val="auto"/>
              </w:rPr>
            </w:pPr>
          </w:p>
        </w:tc>
        <w:tc>
          <w:tcPr>
            <w:tcW w:w="2540" w:type="dxa"/>
            <w:vAlign w:val="bottom"/>
            <w:gridSpan w:val="3"/>
            <w:shd w:val="clear" w:color="auto" w:fill="0076A8"/>
          </w:tcPr>
          <w:p>
            <w:pPr>
              <w:jc w:val="center"/>
              <w:spacing w:after="0" w:line="141" w:lineRule="exact"/>
              <w:rPr>
                <w:sz w:val="20"/>
                <w:szCs w:val="20"/>
                <w:color w:val="auto"/>
              </w:rPr>
            </w:pPr>
            <w:r>
              <w:rPr>
                <w:rFonts w:ascii="Arial" w:cs="Arial" w:eastAsia="Arial" w:hAnsi="Arial"/>
                <w:sz w:val="13"/>
                <w:szCs w:val="13"/>
                <w:color w:val="FFFFFF"/>
                <w:w w:val="96"/>
              </w:rPr>
              <w:t>Estimated Future Payouts Under Non-</w:t>
            </w:r>
          </w:p>
        </w:tc>
        <w:tc>
          <w:tcPr>
            <w:tcW w:w="2540" w:type="dxa"/>
            <w:vAlign w:val="bottom"/>
            <w:gridSpan w:val="3"/>
            <w:shd w:val="clear" w:color="auto" w:fill="0076A8"/>
          </w:tcPr>
          <w:p>
            <w:pPr>
              <w:jc w:val="center"/>
              <w:spacing w:after="0" w:line="141" w:lineRule="exact"/>
              <w:rPr>
                <w:sz w:val="20"/>
                <w:szCs w:val="20"/>
                <w:color w:val="auto"/>
              </w:rPr>
            </w:pPr>
            <w:r>
              <w:rPr>
                <w:rFonts w:ascii="Arial" w:cs="Arial" w:eastAsia="Arial" w:hAnsi="Arial"/>
                <w:sz w:val="13"/>
                <w:szCs w:val="13"/>
                <w:color w:val="FFFFFF"/>
                <w:w w:val="96"/>
              </w:rPr>
              <w:t>Estimated Future Payouts Under Equity</w:t>
            </w:r>
          </w:p>
        </w:tc>
        <w:tc>
          <w:tcPr>
            <w:tcW w:w="820" w:type="dxa"/>
            <w:vAlign w:val="bottom"/>
            <w:shd w:val="clear" w:color="auto" w:fill="0076A8"/>
          </w:tcPr>
          <w:p>
            <w:pPr>
              <w:jc w:val="center"/>
              <w:spacing w:after="0" w:line="141" w:lineRule="exact"/>
              <w:rPr>
                <w:sz w:val="20"/>
                <w:szCs w:val="20"/>
                <w:color w:val="auto"/>
              </w:rPr>
            </w:pPr>
            <w:r>
              <w:rPr>
                <w:rFonts w:ascii="Arial" w:cs="Arial" w:eastAsia="Arial" w:hAnsi="Arial"/>
                <w:sz w:val="13"/>
                <w:szCs w:val="13"/>
                <w:color w:val="FFFFFF"/>
                <w:w w:val="93"/>
              </w:rPr>
              <w:t>Awards:</w:t>
            </w:r>
          </w:p>
        </w:tc>
        <w:tc>
          <w:tcPr>
            <w:tcW w:w="1140" w:type="dxa"/>
            <w:vAlign w:val="bottom"/>
            <w:shd w:val="clear" w:color="auto" w:fill="0076A8"/>
          </w:tcPr>
          <w:p>
            <w:pPr>
              <w:jc w:val="center"/>
              <w:ind w:right="15"/>
              <w:spacing w:after="0" w:line="141" w:lineRule="exact"/>
              <w:rPr>
                <w:sz w:val="20"/>
                <w:szCs w:val="20"/>
                <w:color w:val="auto"/>
              </w:rPr>
            </w:pPr>
            <w:r>
              <w:rPr>
                <w:rFonts w:ascii="Arial" w:cs="Arial" w:eastAsia="Arial" w:hAnsi="Arial"/>
                <w:sz w:val="13"/>
                <w:szCs w:val="13"/>
                <w:color w:val="FFFFFF"/>
                <w:w w:val="97"/>
              </w:rPr>
              <w:t>of Stock</w:t>
            </w:r>
          </w:p>
        </w:tc>
        <w:tc>
          <w:tcPr>
            <w:tcW w:w="0" w:type="dxa"/>
            <w:vAlign w:val="bottom"/>
          </w:tcPr>
          <w:p>
            <w:pPr>
              <w:spacing w:after="0"/>
              <w:rPr>
                <w:sz w:val="1"/>
                <w:szCs w:val="1"/>
                <w:color w:val="auto"/>
              </w:rPr>
            </w:pPr>
          </w:p>
        </w:tc>
      </w:tr>
      <w:tr>
        <w:trPr>
          <w:trHeight w:val="175"/>
        </w:trPr>
        <w:tc>
          <w:tcPr>
            <w:tcW w:w="60" w:type="dxa"/>
            <w:vAlign w:val="bottom"/>
            <w:shd w:val="clear" w:color="auto" w:fill="0076A8"/>
          </w:tcPr>
          <w:p>
            <w:pPr>
              <w:spacing w:after="0"/>
              <w:rPr>
                <w:sz w:val="15"/>
                <w:szCs w:val="15"/>
                <w:color w:val="auto"/>
              </w:rPr>
            </w:pPr>
          </w:p>
        </w:tc>
        <w:tc>
          <w:tcPr>
            <w:tcW w:w="1300" w:type="dxa"/>
            <w:vAlign w:val="bottom"/>
            <w:shd w:val="clear" w:color="auto" w:fill="0076A8"/>
          </w:tcPr>
          <w:p>
            <w:pPr>
              <w:spacing w:after="0"/>
              <w:rPr>
                <w:sz w:val="15"/>
                <w:szCs w:val="15"/>
                <w:color w:val="auto"/>
              </w:rPr>
            </w:pPr>
          </w:p>
        </w:tc>
        <w:tc>
          <w:tcPr>
            <w:tcW w:w="1000" w:type="dxa"/>
            <w:vAlign w:val="bottom"/>
            <w:shd w:val="clear" w:color="auto" w:fill="0076A8"/>
          </w:tcPr>
          <w:p>
            <w:pPr>
              <w:spacing w:after="0"/>
              <w:rPr>
                <w:sz w:val="15"/>
                <w:szCs w:val="15"/>
                <w:color w:val="auto"/>
              </w:rPr>
            </w:pPr>
          </w:p>
        </w:tc>
        <w:tc>
          <w:tcPr>
            <w:tcW w:w="2540" w:type="dxa"/>
            <w:vAlign w:val="bottom"/>
            <w:gridSpan w:val="3"/>
            <w:shd w:val="clear" w:color="auto" w:fill="0076A8"/>
          </w:tcPr>
          <w:p>
            <w:pPr>
              <w:jc w:val="center"/>
              <w:spacing w:after="0" w:line="122" w:lineRule="exact"/>
              <w:rPr>
                <w:sz w:val="20"/>
                <w:szCs w:val="20"/>
                <w:color w:val="auto"/>
              </w:rPr>
            </w:pPr>
            <w:r>
              <w:rPr>
                <w:rFonts w:ascii="Arial" w:cs="Arial" w:eastAsia="Arial" w:hAnsi="Arial"/>
                <w:sz w:val="13"/>
                <w:szCs w:val="13"/>
                <w:color w:val="FFFFFF"/>
                <w:w w:val="97"/>
              </w:rPr>
              <w:t>Equity Incentive Plan Awards(1)</w:t>
            </w:r>
          </w:p>
        </w:tc>
        <w:tc>
          <w:tcPr>
            <w:tcW w:w="2540" w:type="dxa"/>
            <w:vAlign w:val="bottom"/>
            <w:gridSpan w:val="3"/>
            <w:shd w:val="clear" w:color="auto" w:fill="0076A8"/>
          </w:tcPr>
          <w:p>
            <w:pPr>
              <w:jc w:val="center"/>
              <w:spacing w:after="0" w:line="122" w:lineRule="exact"/>
              <w:rPr>
                <w:sz w:val="20"/>
                <w:szCs w:val="20"/>
                <w:color w:val="auto"/>
              </w:rPr>
            </w:pPr>
            <w:r>
              <w:rPr>
                <w:rFonts w:ascii="Arial" w:cs="Arial" w:eastAsia="Arial" w:hAnsi="Arial"/>
                <w:sz w:val="13"/>
                <w:szCs w:val="13"/>
                <w:color w:val="FFFFFF"/>
                <w:w w:val="96"/>
              </w:rPr>
              <w:t>Incentive Plan Awards(2)</w:t>
            </w:r>
          </w:p>
        </w:tc>
        <w:tc>
          <w:tcPr>
            <w:tcW w:w="820" w:type="dxa"/>
            <w:vAlign w:val="bottom"/>
            <w:shd w:val="clear" w:color="auto" w:fill="0076A8"/>
          </w:tcPr>
          <w:p>
            <w:pPr>
              <w:jc w:val="center"/>
              <w:spacing w:after="0" w:line="122" w:lineRule="exact"/>
              <w:rPr>
                <w:sz w:val="20"/>
                <w:szCs w:val="20"/>
                <w:color w:val="auto"/>
              </w:rPr>
            </w:pPr>
            <w:r>
              <w:rPr>
                <w:rFonts w:ascii="Arial" w:cs="Arial" w:eastAsia="Arial" w:hAnsi="Arial"/>
                <w:sz w:val="13"/>
                <w:szCs w:val="13"/>
                <w:color w:val="FFFFFF"/>
                <w:w w:val="98"/>
              </w:rPr>
              <w:t>Number of</w:t>
            </w:r>
          </w:p>
        </w:tc>
        <w:tc>
          <w:tcPr>
            <w:tcW w:w="1140" w:type="dxa"/>
            <w:vAlign w:val="bottom"/>
            <w:shd w:val="clear" w:color="auto" w:fill="0076A8"/>
          </w:tcPr>
          <w:p>
            <w:pPr>
              <w:jc w:val="center"/>
              <w:spacing w:after="0" w:line="122" w:lineRule="exact"/>
              <w:rPr>
                <w:sz w:val="20"/>
                <w:szCs w:val="20"/>
                <w:color w:val="auto"/>
              </w:rPr>
            </w:pPr>
            <w:r>
              <w:rPr>
                <w:rFonts w:ascii="Arial" w:cs="Arial" w:eastAsia="Arial" w:hAnsi="Arial"/>
                <w:sz w:val="13"/>
                <w:szCs w:val="13"/>
                <w:color w:val="FFFFFF"/>
                <w:w w:val="92"/>
              </w:rPr>
              <w:t>and</w:t>
            </w:r>
          </w:p>
        </w:tc>
        <w:tc>
          <w:tcPr>
            <w:tcW w:w="0" w:type="dxa"/>
            <w:vAlign w:val="bottom"/>
          </w:tcPr>
          <w:p>
            <w:pPr>
              <w:spacing w:after="0"/>
              <w:rPr>
                <w:sz w:val="1"/>
                <w:szCs w:val="1"/>
                <w:color w:val="auto"/>
              </w:rPr>
            </w:pPr>
          </w:p>
        </w:tc>
      </w:tr>
      <w:tr>
        <w:trPr>
          <w:trHeight w:val="28"/>
        </w:trPr>
        <w:tc>
          <w:tcPr>
            <w:tcW w:w="60" w:type="dxa"/>
            <w:vAlign w:val="bottom"/>
            <w:tcBorders>
              <w:top w:val="single" w:sz="8" w:color="0076A8"/>
            </w:tcBorders>
            <w:shd w:val="clear" w:color="auto" w:fill="0076A8"/>
          </w:tcPr>
          <w:p>
            <w:pPr>
              <w:spacing w:after="0"/>
              <w:rPr>
                <w:sz w:val="2"/>
                <w:szCs w:val="2"/>
                <w:color w:val="auto"/>
              </w:rPr>
            </w:pPr>
          </w:p>
        </w:tc>
        <w:tc>
          <w:tcPr>
            <w:tcW w:w="1300" w:type="dxa"/>
            <w:vAlign w:val="bottom"/>
            <w:tcBorders>
              <w:top w:val="single" w:sz="8" w:color="0076A8"/>
            </w:tcBorders>
            <w:shd w:val="clear" w:color="auto" w:fill="0076A8"/>
          </w:tcPr>
          <w:p>
            <w:pPr>
              <w:spacing w:after="0"/>
              <w:rPr>
                <w:sz w:val="2"/>
                <w:szCs w:val="2"/>
                <w:color w:val="auto"/>
              </w:rPr>
            </w:pPr>
          </w:p>
        </w:tc>
        <w:tc>
          <w:tcPr>
            <w:tcW w:w="1000" w:type="dxa"/>
            <w:vAlign w:val="bottom"/>
            <w:tcBorders>
              <w:top w:val="single" w:sz="8" w:color="0076A8"/>
            </w:tcBorders>
            <w:shd w:val="clear" w:color="auto" w:fill="0076A8"/>
          </w:tcPr>
          <w:p>
            <w:pPr>
              <w:spacing w:after="0"/>
              <w:rPr>
                <w:sz w:val="2"/>
                <w:szCs w:val="2"/>
                <w:color w:val="auto"/>
              </w:rPr>
            </w:pPr>
          </w:p>
        </w:tc>
        <w:tc>
          <w:tcPr>
            <w:tcW w:w="820" w:type="dxa"/>
            <w:vAlign w:val="bottom"/>
            <w:tcBorders>
              <w:top w:val="single" w:sz="8" w:color="0076A8"/>
            </w:tcBorders>
            <w:vMerge w:val="restart"/>
            <w:shd w:val="clear" w:color="auto" w:fill="0076A8"/>
          </w:tcPr>
          <w:p>
            <w:pPr>
              <w:ind w:left="140"/>
              <w:spacing w:after="0"/>
              <w:rPr>
                <w:sz w:val="20"/>
                <w:szCs w:val="20"/>
                <w:color w:val="auto"/>
              </w:rPr>
            </w:pPr>
            <w:r>
              <w:rPr>
                <w:rFonts w:ascii="Arial" w:cs="Arial" w:eastAsia="Arial" w:hAnsi="Arial"/>
                <w:sz w:val="13"/>
                <w:szCs w:val="13"/>
                <w:color w:val="FFFFFF"/>
              </w:rPr>
              <w:t>Threshold</w:t>
            </w:r>
          </w:p>
        </w:tc>
        <w:tc>
          <w:tcPr>
            <w:tcW w:w="860" w:type="dxa"/>
            <w:vAlign w:val="bottom"/>
            <w:tcBorders>
              <w:top w:val="single" w:sz="8" w:color="0076A8"/>
            </w:tcBorders>
            <w:vMerge w:val="restart"/>
            <w:shd w:val="clear" w:color="auto" w:fill="0076A8"/>
          </w:tcPr>
          <w:p>
            <w:pPr>
              <w:jc w:val="center"/>
              <w:spacing w:after="0"/>
              <w:rPr>
                <w:sz w:val="20"/>
                <w:szCs w:val="20"/>
                <w:color w:val="auto"/>
              </w:rPr>
            </w:pPr>
            <w:r>
              <w:rPr>
                <w:rFonts w:ascii="Arial" w:cs="Arial" w:eastAsia="Arial" w:hAnsi="Arial"/>
                <w:sz w:val="13"/>
                <w:szCs w:val="13"/>
                <w:color w:val="FFFFFF"/>
                <w:w w:val="90"/>
              </w:rPr>
              <w:t>Target</w:t>
            </w:r>
          </w:p>
        </w:tc>
        <w:tc>
          <w:tcPr>
            <w:tcW w:w="860" w:type="dxa"/>
            <w:vAlign w:val="bottom"/>
            <w:tcBorders>
              <w:top w:val="single" w:sz="8" w:color="0076A8"/>
            </w:tcBorders>
            <w:vMerge w:val="restart"/>
            <w:shd w:val="clear" w:color="auto" w:fill="0076A8"/>
          </w:tcPr>
          <w:p>
            <w:pPr>
              <w:jc w:val="right"/>
              <w:ind w:right="91"/>
              <w:spacing w:after="0"/>
              <w:rPr>
                <w:sz w:val="20"/>
                <w:szCs w:val="20"/>
                <w:color w:val="auto"/>
              </w:rPr>
            </w:pPr>
            <w:r>
              <w:rPr>
                <w:rFonts w:ascii="Arial" w:cs="Arial" w:eastAsia="Arial" w:hAnsi="Arial"/>
                <w:sz w:val="13"/>
                <w:szCs w:val="13"/>
                <w:color w:val="FFFFFF"/>
              </w:rPr>
              <w:t>Maximum</w:t>
            </w:r>
          </w:p>
        </w:tc>
        <w:tc>
          <w:tcPr>
            <w:tcW w:w="860" w:type="dxa"/>
            <w:vAlign w:val="bottom"/>
            <w:tcBorders>
              <w:top w:val="single" w:sz="8" w:color="0076A8"/>
            </w:tcBorders>
            <w:vMerge w:val="restart"/>
            <w:shd w:val="clear" w:color="auto" w:fill="0076A8"/>
          </w:tcPr>
          <w:p>
            <w:pPr>
              <w:jc w:val="right"/>
              <w:ind w:right="112"/>
              <w:spacing w:after="0"/>
              <w:rPr>
                <w:sz w:val="20"/>
                <w:szCs w:val="20"/>
                <w:color w:val="auto"/>
              </w:rPr>
            </w:pPr>
            <w:r>
              <w:rPr>
                <w:rFonts w:ascii="Arial" w:cs="Arial" w:eastAsia="Arial" w:hAnsi="Arial"/>
                <w:sz w:val="13"/>
                <w:szCs w:val="13"/>
                <w:color w:val="FFFFFF"/>
              </w:rPr>
              <w:t>Threshold</w:t>
            </w:r>
          </w:p>
        </w:tc>
        <w:tc>
          <w:tcPr>
            <w:tcW w:w="800" w:type="dxa"/>
            <w:vAlign w:val="bottom"/>
            <w:tcBorders>
              <w:top w:val="single" w:sz="8" w:color="0076A8"/>
            </w:tcBorders>
            <w:vMerge w:val="restart"/>
            <w:shd w:val="clear" w:color="auto" w:fill="0076A8"/>
          </w:tcPr>
          <w:p>
            <w:pPr>
              <w:jc w:val="center"/>
              <w:spacing w:after="0"/>
              <w:rPr>
                <w:sz w:val="20"/>
                <w:szCs w:val="20"/>
                <w:color w:val="auto"/>
              </w:rPr>
            </w:pPr>
            <w:r>
              <w:rPr>
                <w:rFonts w:ascii="Arial" w:cs="Arial" w:eastAsia="Arial" w:hAnsi="Arial"/>
                <w:sz w:val="13"/>
                <w:szCs w:val="13"/>
                <w:color w:val="FFFFFF"/>
                <w:w w:val="95"/>
              </w:rPr>
              <w:t>Target</w:t>
            </w:r>
          </w:p>
        </w:tc>
        <w:tc>
          <w:tcPr>
            <w:tcW w:w="880" w:type="dxa"/>
            <w:vAlign w:val="bottom"/>
            <w:tcBorders>
              <w:top w:val="single" w:sz="8" w:color="0076A8"/>
            </w:tcBorders>
            <w:vMerge w:val="restart"/>
            <w:shd w:val="clear" w:color="auto" w:fill="0076A8"/>
          </w:tcPr>
          <w:p>
            <w:pPr>
              <w:jc w:val="right"/>
              <w:ind w:right="91"/>
              <w:spacing w:after="0"/>
              <w:rPr>
                <w:sz w:val="20"/>
                <w:szCs w:val="20"/>
                <w:color w:val="auto"/>
              </w:rPr>
            </w:pPr>
            <w:r>
              <w:rPr>
                <w:rFonts w:ascii="Arial" w:cs="Arial" w:eastAsia="Arial" w:hAnsi="Arial"/>
                <w:sz w:val="13"/>
                <w:szCs w:val="13"/>
                <w:color w:val="FFFFFF"/>
              </w:rPr>
              <w:t>Maximum</w:t>
            </w:r>
          </w:p>
        </w:tc>
        <w:tc>
          <w:tcPr>
            <w:tcW w:w="820" w:type="dxa"/>
            <w:vAlign w:val="bottom"/>
            <w:tcBorders>
              <w:top w:val="single" w:sz="8" w:color="0076A8"/>
            </w:tcBorders>
            <w:shd w:val="clear" w:color="auto" w:fill="0076A8"/>
          </w:tcPr>
          <w:p>
            <w:pPr>
              <w:jc w:val="center"/>
              <w:spacing w:after="0" w:line="28" w:lineRule="exact"/>
              <w:rPr>
                <w:sz w:val="20"/>
                <w:szCs w:val="20"/>
                <w:color w:val="auto"/>
              </w:rPr>
            </w:pPr>
            <w:r>
              <w:rPr>
                <w:rFonts w:ascii="Arial" w:cs="Arial" w:eastAsia="Arial" w:hAnsi="Arial"/>
                <w:sz w:val="3"/>
                <w:szCs w:val="3"/>
                <w:color w:val="FFFFFF"/>
              </w:rPr>
              <w:t>Stock Or</w:t>
            </w:r>
          </w:p>
        </w:tc>
        <w:tc>
          <w:tcPr>
            <w:tcW w:w="1140" w:type="dxa"/>
            <w:vAlign w:val="bottom"/>
            <w:tcBorders>
              <w:top w:val="single" w:sz="8" w:color="0076A8"/>
            </w:tcBorders>
            <w:shd w:val="clear" w:color="auto" w:fill="0076A8"/>
          </w:tcPr>
          <w:p>
            <w:pPr>
              <w:jc w:val="center"/>
              <w:spacing w:after="0" w:line="28" w:lineRule="exact"/>
              <w:rPr>
                <w:sz w:val="20"/>
                <w:szCs w:val="20"/>
                <w:color w:val="auto"/>
              </w:rPr>
            </w:pPr>
            <w:r>
              <w:rPr>
                <w:rFonts w:ascii="Arial" w:cs="Arial" w:eastAsia="Arial" w:hAnsi="Arial"/>
                <w:sz w:val="3"/>
                <w:szCs w:val="3"/>
                <w:color w:val="FFFFFF"/>
              </w:rPr>
              <w:t>Option</w:t>
            </w:r>
          </w:p>
        </w:tc>
        <w:tc>
          <w:tcPr>
            <w:tcW w:w="0" w:type="dxa"/>
            <w:vAlign w:val="bottom"/>
          </w:tcPr>
          <w:p>
            <w:pPr>
              <w:spacing w:after="0" w:line="20" w:lineRule="exact"/>
              <w:rPr>
                <w:sz w:val="1"/>
                <w:szCs w:val="1"/>
                <w:color w:val="auto"/>
              </w:rPr>
            </w:pPr>
          </w:p>
        </w:tc>
      </w:tr>
      <w:tr>
        <w:trPr>
          <w:trHeight w:val="122"/>
        </w:trPr>
        <w:tc>
          <w:tcPr>
            <w:tcW w:w="60" w:type="dxa"/>
            <w:vAlign w:val="bottom"/>
            <w:shd w:val="clear" w:color="auto" w:fill="0076A8"/>
          </w:tcPr>
          <w:p>
            <w:pPr>
              <w:spacing w:after="0"/>
              <w:rPr>
                <w:sz w:val="10"/>
                <w:szCs w:val="10"/>
                <w:color w:val="auto"/>
              </w:rPr>
            </w:pPr>
          </w:p>
        </w:tc>
        <w:tc>
          <w:tcPr>
            <w:tcW w:w="1300" w:type="dxa"/>
            <w:vAlign w:val="bottom"/>
            <w:vMerge w:val="restart"/>
            <w:shd w:val="clear" w:color="auto" w:fill="0076A8"/>
          </w:tcPr>
          <w:p>
            <w:pPr>
              <w:spacing w:after="0"/>
              <w:rPr>
                <w:sz w:val="20"/>
                <w:szCs w:val="20"/>
                <w:color w:val="auto"/>
              </w:rPr>
            </w:pPr>
            <w:r>
              <w:rPr>
                <w:rFonts w:ascii="Arial" w:cs="Arial" w:eastAsia="Arial" w:hAnsi="Arial"/>
                <w:sz w:val="13"/>
                <w:szCs w:val="13"/>
                <w:color w:val="FFFFFF"/>
              </w:rPr>
              <w:t>Name</w:t>
            </w:r>
          </w:p>
        </w:tc>
        <w:tc>
          <w:tcPr>
            <w:tcW w:w="1000" w:type="dxa"/>
            <w:vAlign w:val="bottom"/>
            <w:vMerge w:val="restart"/>
            <w:shd w:val="clear" w:color="auto" w:fill="0076A8"/>
          </w:tcPr>
          <w:p>
            <w:pPr>
              <w:jc w:val="center"/>
              <w:spacing w:after="0"/>
              <w:rPr>
                <w:sz w:val="20"/>
                <w:szCs w:val="20"/>
                <w:color w:val="auto"/>
              </w:rPr>
            </w:pPr>
            <w:r>
              <w:rPr>
                <w:rFonts w:ascii="Arial" w:cs="Arial" w:eastAsia="Arial" w:hAnsi="Arial"/>
                <w:sz w:val="13"/>
                <w:szCs w:val="13"/>
                <w:color w:val="FFFFFF"/>
                <w:w w:val="97"/>
              </w:rPr>
              <w:t>Grant Date</w:t>
            </w:r>
          </w:p>
        </w:tc>
        <w:tc>
          <w:tcPr>
            <w:tcW w:w="820" w:type="dxa"/>
            <w:vAlign w:val="bottom"/>
            <w:vMerge w:val="continue"/>
            <w:shd w:val="clear" w:color="auto" w:fill="0076A8"/>
          </w:tcPr>
          <w:p>
            <w:pPr>
              <w:spacing w:after="0"/>
              <w:rPr>
                <w:sz w:val="10"/>
                <w:szCs w:val="10"/>
                <w:color w:val="auto"/>
              </w:rPr>
            </w:pPr>
          </w:p>
        </w:tc>
        <w:tc>
          <w:tcPr>
            <w:tcW w:w="860" w:type="dxa"/>
            <w:vAlign w:val="bottom"/>
            <w:vMerge w:val="continue"/>
            <w:shd w:val="clear" w:color="auto" w:fill="0076A8"/>
          </w:tcPr>
          <w:p>
            <w:pPr>
              <w:spacing w:after="0"/>
              <w:rPr>
                <w:sz w:val="10"/>
                <w:szCs w:val="10"/>
                <w:color w:val="auto"/>
              </w:rPr>
            </w:pPr>
          </w:p>
        </w:tc>
        <w:tc>
          <w:tcPr>
            <w:tcW w:w="860" w:type="dxa"/>
            <w:vAlign w:val="bottom"/>
            <w:vMerge w:val="continue"/>
            <w:shd w:val="clear" w:color="auto" w:fill="0076A8"/>
          </w:tcPr>
          <w:p>
            <w:pPr>
              <w:spacing w:after="0"/>
              <w:rPr>
                <w:sz w:val="10"/>
                <w:szCs w:val="10"/>
                <w:color w:val="auto"/>
              </w:rPr>
            </w:pPr>
          </w:p>
        </w:tc>
        <w:tc>
          <w:tcPr>
            <w:tcW w:w="860" w:type="dxa"/>
            <w:vAlign w:val="bottom"/>
            <w:vMerge w:val="continue"/>
            <w:shd w:val="clear" w:color="auto" w:fill="0076A8"/>
          </w:tcPr>
          <w:p>
            <w:pPr>
              <w:spacing w:after="0"/>
              <w:rPr>
                <w:sz w:val="10"/>
                <w:szCs w:val="10"/>
                <w:color w:val="auto"/>
              </w:rPr>
            </w:pPr>
          </w:p>
        </w:tc>
        <w:tc>
          <w:tcPr>
            <w:tcW w:w="800" w:type="dxa"/>
            <w:vAlign w:val="bottom"/>
            <w:vMerge w:val="continue"/>
            <w:shd w:val="clear" w:color="auto" w:fill="0076A8"/>
          </w:tcPr>
          <w:p>
            <w:pPr>
              <w:spacing w:after="0"/>
              <w:rPr>
                <w:sz w:val="10"/>
                <w:szCs w:val="10"/>
                <w:color w:val="auto"/>
              </w:rPr>
            </w:pPr>
          </w:p>
        </w:tc>
        <w:tc>
          <w:tcPr>
            <w:tcW w:w="880" w:type="dxa"/>
            <w:vAlign w:val="bottom"/>
            <w:vMerge w:val="continue"/>
            <w:shd w:val="clear" w:color="auto" w:fill="0076A8"/>
          </w:tcPr>
          <w:p>
            <w:pPr>
              <w:spacing w:after="0"/>
              <w:rPr>
                <w:sz w:val="10"/>
                <w:szCs w:val="10"/>
                <w:color w:val="auto"/>
              </w:rPr>
            </w:pPr>
          </w:p>
        </w:tc>
        <w:tc>
          <w:tcPr>
            <w:tcW w:w="820" w:type="dxa"/>
            <w:vAlign w:val="bottom"/>
            <w:shd w:val="clear" w:color="auto" w:fill="0076A8"/>
          </w:tcPr>
          <w:p>
            <w:pPr>
              <w:jc w:val="center"/>
              <w:spacing w:after="0" w:line="122" w:lineRule="exact"/>
              <w:rPr>
                <w:sz w:val="20"/>
                <w:szCs w:val="20"/>
                <w:color w:val="auto"/>
              </w:rPr>
            </w:pPr>
            <w:r>
              <w:rPr>
                <w:rFonts w:ascii="Arial" w:cs="Arial" w:eastAsia="Arial" w:hAnsi="Arial"/>
                <w:sz w:val="13"/>
                <w:szCs w:val="13"/>
                <w:color w:val="FFFFFF"/>
                <w:w w:val="94"/>
              </w:rPr>
              <w:t>Units</w:t>
            </w:r>
          </w:p>
        </w:tc>
        <w:tc>
          <w:tcPr>
            <w:tcW w:w="1140" w:type="dxa"/>
            <w:vAlign w:val="bottom"/>
            <w:shd w:val="clear" w:color="auto" w:fill="0076A8"/>
          </w:tcPr>
          <w:p>
            <w:pPr>
              <w:jc w:val="center"/>
              <w:ind w:right="15"/>
              <w:spacing w:after="0" w:line="122" w:lineRule="exact"/>
              <w:rPr>
                <w:sz w:val="20"/>
                <w:szCs w:val="20"/>
                <w:color w:val="auto"/>
              </w:rPr>
            </w:pPr>
            <w:r>
              <w:rPr>
                <w:rFonts w:ascii="Arial" w:cs="Arial" w:eastAsia="Arial" w:hAnsi="Arial"/>
                <w:sz w:val="13"/>
                <w:szCs w:val="13"/>
                <w:color w:val="FFFFFF"/>
                <w:w w:val="96"/>
              </w:rPr>
              <w:t>Awards</w:t>
            </w:r>
          </w:p>
        </w:tc>
        <w:tc>
          <w:tcPr>
            <w:tcW w:w="0" w:type="dxa"/>
            <w:vAlign w:val="bottom"/>
          </w:tcPr>
          <w:p>
            <w:pPr>
              <w:spacing w:after="0"/>
              <w:rPr>
                <w:sz w:val="1"/>
                <w:szCs w:val="1"/>
                <w:color w:val="auto"/>
              </w:rPr>
            </w:pPr>
          </w:p>
        </w:tc>
      </w:tr>
      <w:tr>
        <w:trPr>
          <w:trHeight w:val="168"/>
        </w:trPr>
        <w:tc>
          <w:tcPr>
            <w:tcW w:w="60" w:type="dxa"/>
            <w:vAlign w:val="bottom"/>
            <w:shd w:val="clear" w:color="auto" w:fill="0076A8"/>
          </w:tcPr>
          <w:p>
            <w:pPr>
              <w:spacing w:after="0"/>
              <w:rPr>
                <w:sz w:val="14"/>
                <w:szCs w:val="14"/>
                <w:color w:val="auto"/>
              </w:rPr>
            </w:pPr>
          </w:p>
        </w:tc>
        <w:tc>
          <w:tcPr>
            <w:tcW w:w="1300" w:type="dxa"/>
            <w:vAlign w:val="bottom"/>
            <w:vMerge w:val="continue"/>
            <w:shd w:val="clear" w:color="auto" w:fill="0076A8"/>
          </w:tcPr>
          <w:p>
            <w:pPr>
              <w:spacing w:after="0"/>
              <w:rPr>
                <w:sz w:val="14"/>
                <w:szCs w:val="14"/>
                <w:color w:val="auto"/>
              </w:rPr>
            </w:pPr>
          </w:p>
        </w:tc>
        <w:tc>
          <w:tcPr>
            <w:tcW w:w="1000" w:type="dxa"/>
            <w:vAlign w:val="bottom"/>
            <w:vMerge w:val="continue"/>
            <w:shd w:val="clear" w:color="auto" w:fill="0076A8"/>
          </w:tcPr>
          <w:p>
            <w:pPr>
              <w:spacing w:after="0"/>
              <w:rPr>
                <w:sz w:val="14"/>
                <w:szCs w:val="14"/>
                <w:color w:val="auto"/>
              </w:rPr>
            </w:pPr>
          </w:p>
        </w:tc>
        <w:tc>
          <w:tcPr>
            <w:tcW w:w="820" w:type="dxa"/>
            <w:vAlign w:val="bottom"/>
            <w:shd w:val="clear" w:color="auto" w:fill="0076A8"/>
          </w:tcPr>
          <w:p>
            <w:pPr>
              <w:jc w:val="center"/>
              <w:spacing w:after="0"/>
              <w:rPr>
                <w:sz w:val="20"/>
                <w:szCs w:val="20"/>
                <w:color w:val="auto"/>
              </w:rPr>
            </w:pPr>
            <w:r>
              <w:rPr>
                <w:rFonts w:ascii="Arial" w:cs="Arial" w:eastAsia="Arial" w:hAnsi="Arial"/>
                <w:sz w:val="13"/>
                <w:szCs w:val="13"/>
                <w:color w:val="FFFFFF"/>
              </w:rPr>
              <w:t>($)</w:t>
            </w:r>
          </w:p>
        </w:tc>
        <w:tc>
          <w:tcPr>
            <w:tcW w:w="860" w:type="dxa"/>
            <w:vAlign w:val="bottom"/>
            <w:shd w:val="clear" w:color="auto" w:fill="0076A8"/>
          </w:tcPr>
          <w:p>
            <w:pPr>
              <w:jc w:val="center"/>
              <w:spacing w:after="0"/>
              <w:rPr>
                <w:sz w:val="20"/>
                <w:szCs w:val="20"/>
                <w:color w:val="auto"/>
              </w:rPr>
            </w:pPr>
            <w:r>
              <w:rPr>
                <w:rFonts w:ascii="Arial" w:cs="Arial" w:eastAsia="Arial" w:hAnsi="Arial"/>
                <w:sz w:val="13"/>
                <w:szCs w:val="13"/>
                <w:color w:val="FFFFFF"/>
              </w:rPr>
              <w:t>($)</w:t>
            </w:r>
          </w:p>
        </w:tc>
        <w:tc>
          <w:tcPr>
            <w:tcW w:w="860" w:type="dxa"/>
            <w:vAlign w:val="bottom"/>
            <w:shd w:val="clear" w:color="auto" w:fill="0076A8"/>
          </w:tcPr>
          <w:p>
            <w:pPr>
              <w:jc w:val="right"/>
              <w:ind w:right="291"/>
              <w:spacing w:after="0"/>
              <w:rPr>
                <w:sz w:val="20"/>
                <w:szCs w:val="20"/>
                <w:color w:val="auto"/>
              </w:rPr>
            </w:pPr>
            <w:r>
              <w:rPr>
                <w:rFonts w:ascii="Arial" w:cs="Arial" w:eastAsia="Arial" w:hAnsi="Arial"/>
                <w:sz w:val="13"/>
                <w:szCs w:val="13"/>
                <w:color w:val="FFFFFF"/>
              </w:rPr>
              <w:t>($)</w:t>
            </w:r>
          </w:p>
        </w:tc>
        <w:tc>
          <w:tcPr>
            <w:tcW w:w="860" w:type="dxa"/>
            <w:vAlign w:val="bottom"/>
            <w:shd w:val="clear" w:color="auto" w:fill="0076A8"/>
          </w:tcPr>
          <w:p>
            <w:pPr>
              <w:jc w:val="right"/>
              <w:ind w:right="312"/>
              <w:spacing w:after="0"/>
              <w:rPr>
                <w:sz w:val="20"/>
                <w:szCs w:val="20"/>
                <w:color w:val="auto"/>
              </w:rPr>
            </w:pPr>
            <w:r>
              <w:rPr>
                <w:rFonts w:ascii="Arial" w:cs="Arial" w:eastAsia="Arial" w:hAnsi="Arial"/>
                <w:sz w:val="13"/>
                <w:szCs w:val="13"/>
                <w:color w:val="FFFFFF"/>
              </w:rPr>
              <w:t>(#)</w:t>
            </w:r>
          </w:p>
        </w:tc>
        <w:tc>
          <w:tcPr>
            <w:tcW w:w="800" w:type="dxa"/>
            <w:vAlign w:val="bottom"/>
            <w:shd w:val="clear" w:color="auto" w:fill="0076A8"/>
          </w:tcPr>
          <w:p>
            <w:pPr>
              <w:jc w:val="center"/>
              <w:spacing w:after="0"/>
              <w:rPr>
                <w:sz w:val="20"/>
                <w:szCs w:val="20"/>
                <w:color w:val="auto"/>
              </w:rPr>
            </w:pPr>
            <w:r>
              <w:rPr>
                <w:rFonts w:ascii="Arial" w:cs="Arial" w:eastAsia="Arial" w:hAnsi="Arial"/>
                <w:sz w:val="13"/>
                <w:szCs w:val="13"/>
                <w:color w:val="FFFFFF"/>
              </w:rPr>
              <w:t>(#)</w:t>
            </w:r>
          </w:p>
        </w:tc>
        <w:tc>
          <w:tcPr>
            <w:tcW w:w="880" w:type="dxa"/>
            <w:vAlign w:val="bottom"/>
            <w:shd w:val="clear" w:color="auto" w:fill="0076A8"/>
          </w:tcPr>
          <w:p>
            <w:pPr>
              <w:jc w:val="right"/>
              <w:ind w:right="291"/>
              <w:spacing w:after="0"/>
              <w:rPr>
                <w:sz w:val="20"/>
                <w:szCs w:val="20"/>
                <w:color w:val="auto"/>
              </w:rPr>
            </w:pPr>
            <w:r>
              <w:rPr>
                <w:rFonts w:ascii="Arial" w:cs="Arial" w:eastAsia="Arial" w:hAnsi="Arial"/>
                <w:sz w:val="13"/>
                <w:szCs w:val="13"/>
                <w:color w:val="FFFFFF"/>
              </w:rPr>
              <w:t>(#)</w:t>
            </w:r>
          </w:p>
        </w:tc>
        <w:tc>
          <w:tcPr>
            <w:tcW w:w="820" w:type="dxa"/>
            <w:vAlign w:val="bottom"/>
            <w:shd w:val="clear" w:color="auto" w:fill="0076A8"/>
          </w:tcPr>
          <w:p>
            <w:pPr>
              <w:jc w:val="center"/>
              <w:spacing w:after="0"/>
              <w:rPr>
                <w:sz w:val="20"/>
                <w:szCs w:val="20"/>
                <w:color w:val="auto"/>
              </w:rPr>
            </w:pPr>
            <w:r>
              <w:rPr>
                <w:rFonts w:ascii="Arial" w:cs="Arial" w:eastAsia="Arial" w:hAnsi="Arial"/>
                <w:sz w:val="13"/>
                <w:szCs w:val="13"/>
                <w:color w:val="FFFFFF"/>
              </w:rPr>
              <w:t>(#)(3)</w:t>
            </w:r>
          </w:p>
        </w:tc>
        <w:tc>
          <w:tcPr>
            <w:tcW w:w="1140" w:type="dxa"/>
            <w:vAlign w:val="bottom"/>
            <w:shd w:val="clear" w:color="auto" w:fill="0076A8"/>
          </w:tcPr>
          <w:p>
            <w:pPr>
              <w:jc w:val="center"/>
              <w:spacing w:after="0"/>
              <w:rPr>
                <w:sz w:val="20"/>
                <w:szCs w:val="20"/>
                <w:color w:val="auto"/>
              </w:rPr>
            </w:pPr>
            <w:r>
              <w:rPr>
                <w:rFonts w:ascii="Arial" w:cs="Arial" w:eastAsia="Arial" w:hAnsi="Arial"/>
                <w:sz w:val="13"/>
                <w:szCs w:val="13"/>
                <w:color w:val="FFFFFF"/>
              </w:rPr>
              <w:t>($)</w:t>
            </w:r>
          </w:p>
        </w:tc>
        <w:tc>
          <w:tcPr>
            <w:tcW w:w="0" w:type="dxa"/>
            <w:vAlign w:val="bottom"/>
          </w:tcPr>
          <w:p>
            <w:pPr>
              <w:spacing w:after="0"/>
              <w:rPr>
                <w:sz w:val="1"/>
                <w:szCs w:val="1"/>
                <w:color w:val="auto"/>
              </w:rPr>
            </w:pPr>
          </w:p>
        </w:tc>
      </w:tr>
      <w:tr>
        <w:trPr>
          <w:trHeight w:val="162"/>
        </w:trPr>
        <w:tc>
          <w:tcPr>
            <w:tcW w:w="60" w:type="dxa"/>
            <w:vAlign w:val="bottom"/>
            <w:shd w:val="clear" w:color="auto" w:fill="E5E5E5"/>
          </w:tcPr>
          <w:p>
            <w:pPr>
              <w:spacing w:after="0"/>
              <w:rPr>
                <w:sz w:val="14"/>
                <w:szCs w:val="14"/>
                <w:color w:val="auto"/>
              </w:rPr>
            </w:pPr>
          </w:p>
        </w:tc>
        <w:tc>
          <w:tcPr>
            <w:tcW w:w="1300" w:type="dxa"/>
            <w:vAlign w:val="bottom"/>
            <w:shd w:val="clear" w:color="auto" w:fill="E5E5E5"/>
          </w:tcPr>
          <w:p>
            <w:pPr>
              <w:spacing w:after="0"/>
              <w:rPr>
                <w:sz w:val="20"/>
                <w:szCs w:val="20"/>
                <w:color w:val="auto"/>
              </w:rPr>
            </w:pPr>
            <w:r>
              <w:rPr>
                <w:rFonts w:ascii="Arial" w:cs="Arial" w:eastAsia="Arial" w:hAnsi="Arial"/>
                <w:sz w:val="14"/>
                <w:szCs w:val="14"/>
                <w:color w:val="auto"/>
              </w:rPr>
              <w:t>Liam K. Griffin</w:t>
            </w:r>
          </w:p>
        </w:tc>
        <w:tc>
          <w:tcPr>
            <w:tcW w:w="1000" w:type="dxa"/>
            <w:vAlign w:val="bottom"/>
            <w:shd w:val="clear" w:color="auto" w:fill="E5E5E5"/>
          </w:tcPr>
          <w:p>
            <w:pPr>
              <w:spacing w:after="0"/>
              <w:rPr>
                <w:sz w:val="14"/>
                <w:szCs w:val="14"/>
                <w:color w:val="auto"/>
              </w:rPr>
            </w:pPr>
          </w:p>
        </w:tc>
        <w:tc>
          <w:tcPr>
            <w:tcW w:w="82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860,000</w:t>
            </w:r>
          </w:p>
        </w:tc>
        <w:tc>
          <w:tcPr>
            <w:tcW w:w="860" w:type="dxa"/>
            <w:vAlign w:val="bottom"/>
            <w:shd w:val="clear" w:color="auto" w:fill="E5E5E5"/>
          </w:tcPr>
          <w:p>
            <w:pPr>
              <w:jc w:val="right"/>
              <w:ind w:right="11"/>
              <w:spacing w:after="0"/>
              <w:rPr>
                <w:sz w:val="20"/>
                <w:szCs w:val="20"/>
                <w:color w:val="auto"/>
              </w:rPr>
            </w:pPr>
            <w:r>
              <w:rPr>
                <w:rFonts w:ascii="Arial" w:cs="Arial" w:eastAsia="Arial" w:hAnsi="Arial"/>
                <w:sz w:val="14"/>
                <w:szCs w:val="14"/>
                <w:color w:val="auto"/>
              </w:rPr>
              <w:t>1,720,000</w:t>
            </w:r>
          </w:p>
        </w:tc>
        <w:tc>
          <w:tcPr>
            <w:tcW w:w="860" w:type="dxa"/>
            <w:vAlign w:val="bottom"/>
            <w:shd w:val="clear" w:color="auto" w:fill="E5E5E5"/>
          </w:tcPr>
          <w:p>
            <w:pPr>
              <w:jc w:val="right"/>
              <w:ind w:right="51"/>
              <w:spacing w:after="0"/>
              <w:rPr>
                <w:sz w:val="20"/>
                <w:szCs w:val="20"/>
                <w:color w:val="auto"/>
              </w:rPr>
            </w:pPr>
            <w:r>
              <w:rPr>
                <w:rFonts w:ascii="Arial" w:cs="Arial" w:eastAsia="Arial" w:hAnsi="Arial"/>
                <w:sz w:val="14"/>
                <w:szCs w:val="14"/>
                <w:color w:val="auto"/>
              </w:rPr>
              <w:t>3,440,000</w:t>
            </w:r>
          </w:p>
        </w:tc>
        <w:tc>
          <w:tcPr>
            <w:tcW w:w="860" w:type="dxa"/>
            <w:vAlign w:val="bottom"/>
            <w:shd w:val="clear" w:color="auto" w:fill="E5E5E5"/>
          </w:tcPr>
          <w:p>
            <w:pPr>
              <w:spacing w:after="0"/>
              <w:rPr>
                <w:sz w:val="14"/>
                <w:szCs w:val="14"/>
                <w:color w:val="auto"/>
              </w:rPr>
            </w:pPr>
          </w:p>
        </w:tc>
        <w:tc>
          <w:tcPr>
            <w:tcW w:w="800" w:type="dxa"/>
            <w:vAlign w:val="bottom"/>
            <w:shd w:val="clear" w:color="auto" w:fill="E5E5E5"/>
          </w:tcPr>
          <w:p>
            <w:pPr>
              <w:spacing w:after="0"/>
              <w:rPr>
                <w:sz w:val="14"/>
                <w:szCs w:val="14"/>
                <w:color w:val="auto"/>
              </w:rPr>
            </w:pPr>
          </w:p>
        </w:tc>
        <w:tc>
          <w:tcPr>
            <w:tcW w:w="880" w:type="dxa"/>
            <w:vAlign w:val="bottom"/>
            <w:shd w:val="clear" w:color="auto" w:fill="E5E5E5"/>
          </w:tcPr>
          <w:p>
            <w:pPr>
              <w:spacing w:after="0"/>
              <w:rPr>
                <w:sz w:val="14"/>
                <w:szCs w:val="14"/>
                <w:color w:val="auto"/>
              </w:rPr>
            </w:pPr>
          </w:p>
        </w:tc>
        <w:tc>
          <w:tcPr>
            <w:tcW w:w="820" w:type="dxa"/>
            <w:vAlign w:val="bottom"/>
            <w:shd w:val="clear" w:color="auto" w:fill="E5E5E5"/>
          </w:tcPr>
          <w:p>
            <w:pPr>
              <w:spacing w:after="0"/>
              <w:rPr>
                <w:sz w:val="14"/>
                <w:szCs w:val="14"/>
                <w:color w:val="auto"/>
              </w:rPr>
            </w:pPr>
          </w:p>
        </w:tc>
        <w:tc>
          <w:tcPr>
            <w:tcW w:w="114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0" w:type="dxa"/>
            <w:vAlign w:val="bottom"/>
            <w:tcBorders>
              <w:bottom w:val="single" w:sz="8" w:color="BFBFBF"/>
            </w:tcBorders>
          </w:tcPr>
          <w:p>
            <w:pPr>
              <w:jc w:val="center"/>
              <w:spacing w:after="0"/>
              <w:rPr>
                <w:sz w:val="20"/>
                <w:szCs w:val="20"/>
                <w:color w:val="auto"/>
              </w:rPr>
            </w:pPr>
            <w:r>
              <w:rPr>
                <w:rFonts w:ascii="Arial" w:cs="Arial" w:eastAsia="Arial" w:hAnsi="Arial"/>
                <w:sz w:val="14"/>
                <w:szCs w:val="14"/>
                <w:color w:val="auto"/>
              </w:rPr>
              <w:t>11/11/2020</w:t>
            </w:r>
          </w:p>
        </w:tc>
        <w:tc>
          <w:tcPr>
            <w:tcW w:w="820" w:type="dxa"/>
            <w:vAlign w:val="bottom"/>
            <w:tcBorders>
              <w:bottom w:val="single" w:sz="8" w:color="BFBFBF"/>
            </w:tcBorders>
          </w:tcPr>
          <w:p>
            <w:pPr>
              <w:spacing w:after="0"/>
              <w:rPr>
                <w:sz w:val="14"/>
                <w:szCs w:val="14"/>
                <w:color w:val="auto"/>
              </w:rPr>
            </w:pPr>
          </w:p>
        </w:tc>
        <w:tc>
          <w:tcPr>
            <w:tcW w:w="860" w:type="dxa"/>
            <w:vAlign w:val="bottom"/>
            <w:tcBorders>
              <w:bottom w:val="single" w:sz="8" w:color="BFBFBF"/>
            </w:tcBorders>
          </w:tcPr>
          <w:p>
            <w:pPr>
              <w:spacing w:after="0"/>
              <w:rPr>
                <w:sz w:val="14"/>
                <w:szCs w:val="14"/>
                <w:color w:val="auto"/>
              </w:rPr>
            </w:pPr>
          </w:p>
        </w:tc>
        <w:tc>
          <w:tcPr>
            <w:tcW w:w="860" w:type="dxa"/>
            <w:vAlign w:val="bottom"/>
            <w:tcBorders>
              <w:bottom w:val="single" w:sz="8" w:color="BFBFBF"/>
            </w:tcBorders>
          </w:tcPr>
          <w:p>
            <w:pPr>
              <w:spacing w:after="0"/>
              <w:rPr>
                <w:sz w:val="14"/>
                <w:szCs w:val="14"/>
                <w:color w:val="auto"/>
              </w:rPr>
            </w:pPr>
          </w:p>
        </w:tc>
        <w:tc>
          <w:tcPr>
            <w:tcW w:w="860" w:type="dxa"/>
            <w:vAlign w:val="bottom"/>
            <w:tcBorders>
              <w:bottom w:val="single" w:sz="8" w:color="BFBFBF"/>
            </w:tcBorders>
          </w:tcPr>
          <w:p>
            <w:pPr>
              <w:jc w:val="right"/>
              <w:ind w:right="172"/>
              <w:spacing w:after="0"/>
              <w:rPr>
                <w:sz w:val="20"/>
                <w:szCs w:val="20"/>
                <w:color w:val="auto"/>
              </w:rPr>
            </w:pPr>
            <w:r>
              <w:rPr>
                <w:rFonts w:ascii="Arial" w:cs="Arial" w:eastAsia="Arial" w:hAnsi="Arial"/>
                <w:sz w:val="14"/>
                <w:szCs w:val="14"/>
                <w:color w:val="auto"/>
              </w:rPr>
              <w:t>22,937</w:t>
            </w:r>
          </w:p>
        </w:tc>
        <w:tc>
          <w:tcPr>
            <w:tcW w:w="800" w:type="dxa"/>
            <w:vAlign w:val="bottom"/>
            <w:tcBorders>
              <w:bottom w:val="single" w:sz="8" w:color="BFBFBF"/>
            </w:tcBorders>
          </w:tcPr>
          <w:p>
            <w:pPr>
              <w:jc w:val="right"/>
              <w:ind w:right="111"/>
              <w:spacing w:after="0"/>
              <w:rPr>
                <w:sz w:val="20"/>
                <w:szCs w:val="20"/>
                <w:color w:val="auto"/>
              </w:rPr>
            </w:pPr>
            <w:r>
              <w:rPr>
                <w:rFonts w:ascii="Arial" w:cs="Arial" w:eastAsia="Arial" w:hAnsi="Arial"/>
                <w:sz w:val="14"/>
                <w:szCs w:val="14"/>
                <w:color w:val="auto"/>
              </w:rPr>
              <w:t>45,874</w:t>
            </w:r>
          </w:p>
        </w:tc>
        <w:tc>
          <w:tcPr>
            <w:tcW w:w="880" w:type="dxa"/>
            <w:vAlign w:val="bottom"/>
            <w:tcBorders>
              <w:bottom w:val="single" w:sz="8" w:color="BFBFBF"/>
            </w:tcBorders>
          </w:tcPr>
          <w:p>
            <w:pPr>
              <w:jc w:val="right"/>
              <w:ind w:right="91"/>
              <w:spacing w:after="0"/>
              <w:rPr>
                <w:sz w:val="20"/>
                <w:szCs w:val="20"/>
                <w:color w:val="auto"/>
              </w:rPr>
            </w:pPr>
            <w:r>
              <w:rPr>
                <w:rFonts w:ascii="Arial" w:cs="Arial" w:eastAsia="Arial" w:hAnsi="Arial"/>
                <w:sz w:val="14"/>
                <w:szCs w:val="14"/>
                <w:color w:val="auto"/>
              </w:rPr>
              <w:t>114,685</w:t>
            </w:r>
          </w:p>
        </w:tc>
        <w:tc>
          <w:tcPr>
            <w:tcW w:w="820" w:type="dxa"/>
            <w:vAlign w:val="bottom"/>
            <w:tcBorders>
              <w:bottom w:val="single" w:sz="8" w:color="BFBFBF"/>
            </w:tcBorders>
          </w:tcPr>
          <w:p>
            <w:pPr>
              <w:spacing w:after="0"/>
              <w:rPr>
                <w:sz w:val="14"/>
                <w:szCs w:val="14"/>
                <w:color w:val="auto"/>
              </w:rPr>
            </w:pPr>
          </w:p>
        </w:tc>
        <w:tc>
          <w:tcPr>
            <w:tcW w:w="1140" w:type="dxa"/>
            <w:vAlign w:val="bottom"/>
            <w:tcBorders>
              <w:bottom w:val="single" w:sz="8" w:color="BFBFBF"/>
            </w:tcBorders>
          </w:tcPr>
          <w:p>
            <w:pPr>
              <w:jc w:val="right"/>
              <w:ind w:right="135"/>
              <w:spacing w:after="0"/>
              <w:rPr>
                <w:sz w:val="20"/>
                <w:szCs w:val="20"/>
                <w:color w:val="auto"/>
              </w:rPr>
            </w:pPr>
            <w:r>
              <w:rPr>
                <w:rFonts w:ascii="Arial" w:cs="Arial" w:eastAsia="Arial" w:hAnsi="Arial"/>
                <w:sz w:val="14"/>
                <w:szCs w:val="14"/>
                <w:color w:val="auto"/>
              </w:rPr>
              <w:t>7,212,769</w:t>
            </w:r>
            <w:r>
              <w:rPr>
                <w:rFonts w:ascii="Arial" w:cs="Arial" w:eastAsia="Arial" w:hAnsi="Arial"/>
                <w:sz w:val="14"/>
                <w:szCs w:val="14"/>
                <w:color w:val="0076A8"/>
              </w:rPr>
              <w:t>(4)</w:t>
            </w: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0" w:type="dxa"/>
            <w:vAlign w:val="bottom"/>
          </w:tcPr>
          <w:p>
            <w:pPr>
              <w:jc w:val="center"/>
              <w:spacing w:after="0" w:line="155" w:lineRule="exact"/>
              <w:rPr>
                <w:sz w:val="20"/>
                <w:szCs w:val="20"/>
                <w:color w:val="auto"/>
              </w:rPr>
            </w:pPr>
            <w:r>
              <w:rPr>
                <w:rFonts w:ascii="Arial" w:cs="Arial" w:eastAsia="Arial" w:hAnsi="Arial"/>
                <w:sz w:val="14"/>
                <w:szCs w:val="14"/>
                <w:color w:val="auto"/>
              </w:rPr>
              <w:t>11/11/2020</w:t>
            </w: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20" w:type="dxa"/>
            <w:vAlign w:val="bottom"/>
          </w:tcPr>
          <w:p>
            <w:pPr>
              <w:jc w:val="right"/>
              <w:ind w:right="117"/>
              <w:spacing w:after="0" w:line="155" w:lineRule="exact"/>
              <w:rPr>
                <w:sz w:val="20"/>
                <w:szCs w:val="20"/>
                <w:color w:val="auto"/>
              </w:rPr>
            </w:pPr>
            <w:r>
              <w:rPr>
                <w:rFonts w:ascii="Arial" w:cs="Arial" w:eastAsia="Arial" w:hAnsi="Arial"/>
                <w:sz w:val="14"/>
                <w:szCs w:val="14"/>
                <w:color w:val="auto"/>
              </w:rPr>
              <w:t>30,583</w:t>
            </w:r>
          </w:p>
        </w:tc>
        <w:tc>
          <w:tcPr>
            <w:tcW w:w="1140" w:type="dxa"/>
            <w:vAlign w:val="bottom"/>
          </w:tcPr>
          <w:p>
            <w:pPr>
              <w:jc w:val="right"/>
              <w:ind w:right="135"/>
              <w:spacing w:after="0" w:line="155" w:lineRule="exact"/>
              <w:rPr>
                <w:sz w:val="20"/>
                <w:szCs w:val="20"/>
                <w:color w:val="auto"/>
              </w:rPr>
            </w:pPr>
            <w:r>
              <w:rPr>
                <w:rFonts w:ascii="Arial" w:cs="Arial" w:eastAsia="Arial" w:hAnsi="Arial"/>
                <w:sz w:val="14"/>
                <w:szCs w:val="14"/>
                <w:color w:val="auto"/>
              </w:rPr>
              <w:t>4,399,976</w:t>
            </w:r>
            <w:r>
              <w:rPr>
                <w:rFonts w:ascii="Arial" w:cs="Arial" w:eastAsia="Arial" w:hAnsi="Arial"/>
                <w:sz w:val="14"/>
                <w:szCs w:val="14"/>
                <w:color w:val="0076A8"/>
              </w:rPr>
              <w:t>(5)</w:t>
            </w:r>
          </w:p>
        </w:tc>
        <w:tc>
          <w:tcPr>
            <w:tcW w:w="0" w:type="dxa"/>
            <w:vAlign w:val="bottom"/>
          </w:tcPr>
          <w:p>
            <w:pPr>
              <w:spacing w:after="0"/>
              <w:rPr>
                <w:sz w:val="1"/>
                <w:szCs w:val="1"/>
                <w:color w:val="auto"/>
              </w:rPr>
            </w:pPr>
          </w:p>
        </w:tc>
      </w:tr>
      <w:tr>
        <w:trPr>
          <w:trHeight w:val="162"/>
        </w:trPr>
        <w:tc>
          <w:tcPr>
            <w:tcW w:w="60" w:type="dxa"/>
            <w:vAlign w:val="bottom"/>
            <w:shd w:val="clear" w:color="auto" w:fill="E5E5E5"/>
          </w:tcPr>
          <w:p>
            <w:pPr>
              <w:spacing w:after="0"/>
              <w:rPr>
                <w:sz w:val="14"/>
                <w:szCs w:val="14"/>
                <w:color w:val="auto"/>
              </w:rPr>
            </w:pPr>
          </w:p>
        </w:tc>
        <w:tc>
          <w:tcPr>
            <w:tcW w:w="1300" w:type="dxa"/>
            <w:vAlign w:val="bottom"/>
            <w:shd w:val="clear" w:color="auto" w:fill="E5E5E5"/>
          </w:tcPr>
          <w:p>
            <w:pPr>
              <w:spacing w:after="0"/>
              <w:rPr>
                <w:sz w:val="20"/>
                <w:szCs w:val="20"/>
                <w:color w:val="auto"/>
              </w:rPr>
            </w:pPr>
            <w:r>
              <w:rPr>
                <w:rFonts w:ascii="Arial" w:cs="Arial" w:eastAsia="Arial" w:hAnsi="Arial"/>
                <w:sz w:val="14"/>
                <w:szCs w:val="14"/>
                <w:color w:val="auto"/>
              </w:rPr>
              <w:t>Kris Sennesael</w:t>
            </w:r>
          </w:p>
        </w:tc>
        <w:tc>
          <w:tcPr>
            <w:tcW w:w="1000" w:type="dxa"/>
            <w:vAlign w:val="bottom"/>
            <w:shd w:val="clear" w:color="auto" w:fill="E5E5E5"/>
          </w:tcPr>
          <w:p>
            <w:pPr>
              <w:spacing w:after="0"/>
              <w:rPr>
                <w:sz w:val="14"/>
                <w:szCs w:val="14"/>
                <w:color w:val="auto"/>
              </w:rPr>
            </w:pPr>
          </w:p>
        </w:tc>
        <w:tc>
          <w:tcPr>
            <w:tcW w:w="82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280,000</w:t>
            </w:r>
          </w:p>
        </w:tc>
        <w:tc>
          <w:tcPr>
            <w:tcW w:w="860" w:type="dxa"/>
            <w:vAlign w:val="bottom"/>
            <w:shd w:val="clear" w:color="auto" w:fill="E5E5E5"/>
          </w:tcPr>
          <w:p>
            <w:pPr>
              <w:jc w:val="right"/>
              <w:ind w:right="11"/>
              <w:spacing w:after="0"/>
              <w:rPr>
                <w:sz w:val="20"/>
                <w:szCs w:val="20"/>
                <w:color w:val="auto"/>
              </w:rPr>
            </w:pPr>
            <w:r>
              <w:rPr>
                <w:rFonts w:ascii="Arial" w:cs="Arial" w:eastAsia="Arial" w:hAnsi="Arial"/>
                <w:sz w:val="14"/>
                <w:szCs w:val="14"/>
                <w:color w:val="auto"/>
              </w:rPr>
              <w:t>560,000</w:t>
            </w:r>
          </w:p>
        </w:tc>
        <w:tc>
          <w:tcPr>
            <w:tcW w:w="860" w:type="dxa"/>
            <w:vAlign w:val="bottom"/>
            <w:shd w:val="clear" w:color="auto" w:fill="E5E5E5"/>
          </w:tcPr>
          <w:p>
            <w:pPr>
              <w:jc w:val="right"/>
              <w:ind w:right="51"/>
              <w:spacing w:after="0"/>
              <w:rPr>
                <w:sz w:val="20"/>
                <w:szCs w:val="20"/>
                <w:color w:val="auto"/>
              </w:rPr>
            </w:pPr>
            <w:r>
              <w:rPr>
                <w:rFonts w:ascii="Arial" w:cs="Arial" w:eastAsia="Arial" w:hAnsi="Arial"/>
                <w:sz w:val="14"/>
                <w:szCs w:val="14"/>
                <w:color w:val="auto"/>
              </w:rPr>
              <w:t>1,120,000</w:t>
            </w:r>
          </w:p>
        </w:tc>
        <w:tc>
          <w:tcPr>
            <w:tcW w:w="860" w:type="dxa"/>
            <w:vAlign w:val="bottom"/>
            <w:shd w:val="clear" w:color="auto" w:fill="E5E5E5"/>
          </w:tcPr>
          <w:p>
            <w:pPr>
              <w:spacing w:after="0"/>
              <w:rPr>
                <w:sz w:val="14"/>
                <w:szCs w:val="14"/>
                <w:color w:val="auto"/>
              </w:rPr>
            </w:pPr>
          </w:p>
        </w:tc>
        <w:tc>
          <w:tcPr>
            <w:tcW w:w="800" w:type="dxa"/>
            <w:vAlign w:val="bottom"/>
            <w:shd w:val="clear" w:color="auto" w:fill="E5E5E5"/>
          </w:tcPr>
          <w:p>
            <w:pPr>
              <w:spacing w:after="0"/>
              <w:rPr>
                <w:sz w:val="14"/>
                <w:szCs w:val="14"/>
                <w:color w:val="auto"/>
              </w:rPr>
            </w:pPr>
          </w:p>
        </w:tc>
        <w:tc>
          <w:tcPr>
            <w:tcW w:w="880" w:type="dxa"/>
            <w:vAlign w:val="bottom"/>
            <w:shd w:val="clear" w:color="auto" w:fill="E5E5E5"/>
          </w:tcPr>
          <w:p>
            <w:pPr>
              <w:spacing w:after="0"/>
              <w:rPr>
                <w:sz w:val="14"/>
                <w:szCs w:val="14"/>
                <w:color w:val="auto"/>
              </w:rPr>
            </w:pPr>
          </w:p>
        </w:tc>
        <w:tc>
          <w:tcPr>
            <w:tcW w:w="820" w:type="dxa"/>
            <w:vAlign w:val="bottom"/>
            <w:shd w:val="clear" w:color="auto" w:fill="E5E5E5"/>
          </w:tcPr>
          <w:p>
            <w:pPr>
              <w:spacing w:after="0"/>
              <w:rPr>
                <w:sz w:val="14"/>
                <w:szCs w:val="14"/>
                <w:color w:val="auto"/>
              </w:rPr>
            </w:pPr>
          </w:p>
        </w:tc>
        <w:tc>
          <w:tcPr>
            <w:tcW w:w="114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0" w:type="dxa"/>
            <w:vAlign w:val="bottom"/>
            <w:tcBorders>
              <w:bottom w:val="single" w:sz="8" w:color="BFBFBF"/>
            </w:tcBorders>
          </w:tcPr>
          <w:p>
            <w:pPr>
              <w:jc w:val="center"/>
              <w:spacing w:after="0"/>
              <w:rPr>
                <w:sz w:val="20"/>
                <w:szCs w:val="20"/>
                <w:color w:val="auto"/>
              </w:rPr>
            </w:pPr>
            <w:r>
              <w:rPr>
                <w:rFonts w:ascii="Arial" w:cs="Arial" w:eastAsia="Arial" w:hAnsi="Arial"/>
                <w:sz w:val="14"/>
                <w:szCs w:val="14"/>
                <w:color w:val="auto"/>
              </w:rPr>
              <w:t>11/11/2020</w:t>
            </w:r>
          </w:p>
        </w:tc>
        <w:tc>
          <w:tcPr>
            <w:tcW w:w="820" w:type="dxa"/>
            <w:vAlign w:val="bottom"/>
            <w:tcBorders>
              <w:bottom w:val="single" w:sz="8" w:color="BFBFBF"/>
            </w:tcBorders>
          </w:tcPr>
          <w:p>
            <w:pPr>
              <w:spacing w:after="0"/>
              <w:rPr>
                <w:sz w:val="14"/>
                <w:szCs w:val="14"/>
                <w:color w:val="auto"/>
              </w:rPr>
            </w:pPr>
          </w:p>
        </w:tc>
        <w:tc>
          <w:tcPr>
            <w:tcW w:w="860" w:type="dxa"/>
            <w:vAlign w:val="bottom"/>
            <w:tcBorders>
              <w:bottom w:val="single" w:sz="8" w:color="BFBFBF"/>
            </w:tcBorders>
          </w:tcPr>
          <w:p>
            <w:pPr>
              <w:spacing w:after="0"/>
              <w:rPr>
                <w:sz w:val="14"/>
                <w:szCs w:val="14"/>
                <w:color w:val="auto"/>
              </w:rPr>
            </w:pPr>
          </w:p>
        </w:tc>
        <w:tc>
          <w:tcPr>
            <w:tcW w:w="860" w:type="dxa"/>
            <w:vAlign w:val="bottom"/>
            <w:tcBorders>
              <w:bottom w:val="single" w:sz="8" w:color="BFBFBF"/>
            </w:tcBorders>
          </w:tcPr>
          <w:p>
            <w:pPr>
              <w:spacing w:after="0"/>
              <w:rPr>
                <w:sz w:val="14"/>
                <w:szCs w:val="14"/>
                <w:color w:val="auto"/>
              </w:rPr>
            </w:pPr>
          </w:p>
        </w:tc>
        <w:tc>
          <w:tcPr>
            <w:tcW w:w="860" w:type="dxa"/>
            <w:vAlign w:val="bottom"/>
            <w:tcBorders>
              <w:bottom w:val="single" w:sz="8" w:color="BFBFBF"/>
            </w:tcBorders>
          </w:tcPr>
          <w:p>
            <w:pPr>
              <w:jc w:val="right"/>
              <w:ind w:right="172"/>
              <w:spacing w:after="0"/>
              <w:rPr>
                <w:sz w:val="20"/>
                <w:szCs w:val="20"/>
                <w:color w:val="auto"/>
              </w:rPr>
            </w:pPr>
            <w:r>
              <w:rPr>
                <w:rFonts w:ascii="Arial" w:cs="Arial" w:eastAsia="Arial" w:hAnsi="Arial"/>
                <w:sz w:val="14"/>
                <w:szCs w:val="14"/>
                <w:color w:val="auto"/>
              </w:rPr>
              <w:t>7,089</w:t>
            </w:r>
          </w:p>
        </w:tc>
        <w:tc>
          <w:tcPr>
            <w:tcW w:w="800" w:type="dxa"/>
            <w:vAlign w:val="bottom"/>
            <w:tcBorders>
              <w:bottom w:val="single" w:sz="8" w:color="BFBFBF"/>
            </w:tcBorders>
          </w:tcPr>
          <w:p>
            <w:pPr>
              <w:jc w:val="right"/>
              <w:ind w:right="111"/>
              <w:spacing w:after="0"/>
              <w:rPr>
                <w:sz w:val="20"/>
                <w:szCs w:val="20"/>
                <w:color w:val="auto"/>
              </w:rPr>
            </w:pPr>
            <w:r>
              <w:rPr>
                <w:rFonts w:ascii="Arial" w:cs="Arial" w:eastAsia="Arial" w:hAnsi="Arial"/>
                <w:sz w:val="14"/>
                <w:szCs w:val="14"/>
                <w:color w:val="auto"/>
              </w:rPr>
              <w:t>14,179</w:t>
            </w:r>
          </w:p>
        </w:tc>
        <w:tc>
          <w:tcPr>
            <w:tcW w:w="880" w:type="dxa"/>
            <w:vAlign w:val="bottom"/>
            <w:tcBorders>
              <w:bottom w:val="single" w:sz="8" w:color="BFBFBF"/>
            </w:tcBorders>
          </w:tcPr>
          <w:p>
            <w:pPr>
              <w:jc w:val="right"/>
              <w:ind w:right="91"/>
              <w:spacing w:after="0"/>
              <w:rPr>
                <w:sz w:val="20"/>
                <w:szCs w:val="20"/>
                <w:color w:val="auto"/>
              </w:rPr>
            </w:pPr>
            <w:r>
              <w:rPr>
                <w:rFonts w:ascii="Arial" w:cs="Arial" w:eastAsia="Arial" w:hAnsi="Arial"/>
                <w:sz w:val="14"/>
                <w:szCs w:val="14"/>
                <w:color w:val="auto"/>
              </w:rPr>
              <w:t>35,447</w:t>
            </w:r>
          </w:p>
        </w:tc>
        <w:tc>
          <w:tcPr>
            <w:tcW w:w="820" w:type="dxa"/>
            <w:vAlign w:val="bottom"/>
            <w:tcBorders>
              <w:bottom w:val="single" w:sz="8" w:color="BFBFBF"/>
            </w:tcBorders>
          </w:tcPr>
          <w:p>
            <w:pPr>
              <w:spacing w:after="0"/>
              <w:rPr>
                <w:sz w:val="14"/>
                <w:szCs w:val="14"/>
                <w:color w:val="auto"/>
              </w:rPr>
            </w:pPr>
          </w:p>
        </w:tc>
        <w:tc>
          <w:tcPr>
            <w:tcW w:w="1140" w:type="dxa"/>
            <w:vAlign w:val="bottom"/>
            <w:tcBorders>
              <w:bottom w:val="single" w:sz="8" w:color="BFBFBF"/>
            </w:tcBorders>
          </w:tcPr>
          <w:p>
            <w:pPr>
              <w:jc w:val="right"/>
              <w:ind w:right="135"/>
              <w:spacing w:after="0"/>
              <w:rPr>
                <w:sz w:val="20"/>
                <w:szCs w:val="20"/>
                <w:color w:val="auto"/>
              </w:rPr>
            </w:pPr>
            <w:r>
              <w:rPr>
                <w:rFonts w:ascii="Arial" w:cs="Arial" w:eastAsia="Arial" w:hAnsi="Arial"/>
                <w:sz w:val="14"/>
                <w:szCs w:val="14"/>
                <w:color w:val="auto"/>
              </w:rPr>
              <w:t>2,229,364</w:t>
            </w:r>
            <w:r>
              <w:rPr>
                <w:rFonts w:ascii="Arial" w:cs="Arial" w:eastAsia="Arial" w:hAnsi="Arial"/>
                <w:sz w:val="14"/>
                <w:szCs w:val="14"/>
                <w:color w:val="0076A8"/>
              </w:rPr>
              <w:t>(4)</w:t>
            </w:r>
          </w:p>
        </w:tc>
        <w:tc>
          <w:tcPr>
            <w:tcW w:w="0" w:type="dxa"/>
            <w:vAlign w:val="bottom"/>
          </w:tcPr>
          <w:p>
            <w:pPr>
              <w:spacing w:after="0"/>
              <w:rPr>
                <w:sz w:val="1"/>
                <w:szCs w:val="1"/>
                <w:color w:val="auto"/>
              </w:rPr>
            </w:pPr>
          </w:p>
        </w:tc>
      </w:tr>
      <w:tr>
        <w:trPr>
          <w:trHeight w:val="155"/>
        </w:trPr>
        <w:tc>
          <w:tcPr>
            <w:tcW w:w="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0" w:type="dxa"/>
            <w:vAlign w:val="bottom"/>
          </w:tcPr>
          <w:p>
            <w:pPr>
              <w:jc w:val="center"/>
              <w:spacing w:after="0" w:line="155" w:lineRule="exact"/>
              <w:rPr>
                <w:sz w:val="20"/>
                <w:szCs w:val="20"/>
                <w:color w:val="auto"/>
              </w:rPr>
            </w:pPr>
            <w:r>
              <w:rPr>
                <w:rFonts w:ascii="Arial" w:cs="Arial" w:eastAsia="Arial" w:hAnsi="Arial"/>
                <w:sz w:val="14"/>
                <w:szCs w:val="14"/>
                <w:color w:val="auto"/>
              </w:rPr>
              <w:t>11/11/2020</w:t>
            </w: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20" w:type="dxa"/>
            <w:vAlign w:val="bottom"/>
          </w:tcPr>
          <w:p>
            <w:pPr>
              <w:jc w:val="right"/>
              <w:ind w:right="117"/>
              <w:spacing w:after="0" w:line="155" w:lineRule="exact"/>
              <w:rPr>
                <w:sz w:val="20"/>
                <w:szCs w:val="20"/>
                <w:color w:val="auto"/>
              </w:rPr>
            </w:pPr>
            <w:r>
              <w:rPr>
                <w:rFonts w:ascii="Arial" w:cs="Arial" w:eastAsia="Arial" w:hAnsi="Arial"/>
                <w:sz w:val="14"/>
                <w:szCs w:val="14"/>
                <w:color w:val="auto"/>
              </w:rPr>
              <w:t>9,452</w:t>
            </w:r>
          </w:p>
        </w:tc>
        <w:tc>
          <w:tcPr>
            <w:tcW w:w="1140" w:type="dxa"/>
            <w:vAlign w:val="bottom"/>
          </w:tcPr>
          <w:p>
            <w:pPr>
              <w:jc w:val="right"/>
              <w:ind w:right="135"/>
              <w:spacing w:after="0" w:line="155" w:lineRule="exact"/>
              <w:rPr>
                <w:sz w:val="20"/>
                <w:szCs w:val="20"/>
                <w:color w:val="auto"/>
              </w:rPr>
            </w:pPr>
            <w:r>
              <w:rPr>
                <w:rFonts w:ascii="Arial" w:cs="Arial" w:eastAsia="Arial" w:hAnsi="Arial"/>
                <w:sz w:val="14"/>
                <w:szCs w:val="14"/>
                <w:color w:val="auto"/>
              </w:rPr>
              <w:t>1,359,859</w:t>
            </w:r>
            <w:r>
              <w:rPr>
                <w:rFonts w:ascii="Arial" w:cs="Arial" w:eastAsia="Arial" w:hAnsi="Arial"/>
                <w:sz w:val="14"/>
                <w:szCs w:val="14"/>
                <w:color w:val="0076A8"/>
              </w:rPr>
              <w:t>(5)</w:t>
            </w:r>
          </w:p>
        </w:tc>
        <w:tc>
          <w:tcPr>
            <w:tcW w:w="0" w:type="dxa"/>
            <w:vAlign w:val="bottom"/>
          </w:tcPr>
          <w:p>
            <w:pPr>
              <w:spacing w:after="0"/>
              <w:rPr>
                <w:sz w:val="1"/>
                <w:szCs w:val="1"/>
                <w:color w:val="auto"/>
              </w:rPr>
            </w:pPr>
          </w:p>
        </w:tc>
      </w:tr>
      <w:tr>
        <w:trPr>
          <w:trHeight w:val="162"/>
        </w:trPr>
        <w:tc>
          <w:tcPr>
            <w:tcW w:w="60" w:type="dxa"/>
            <w:vAlign w:val="bottom"/>
            <w:shd w:val="clear" w:color="auto" w:fill="E5E5E5"/>
          </w:tcPr>
          <w:p>
            <w:pPr>
              <w:spacing w:after="0"/>
              <w:rPr>
                <w:sz w:val="14"/>
                <w:szCs w:val="14"/>
                <w:color w:val="auto"/>
              </w:rPr>
            </w:pPr>
          </w:p>
        </w:tc>
        <w:tc>
          <w:tcPr>
            <w:tcW w:w="1300" w:type="dxa"/>
            <w:vAlign w:val="bottom"/>
            <w:shd w:val="clear" w:color="auto" w:fill="E5E5E5"/>
          </w:tcPr>
          <w:p>
            <w:pPr>
              <w:spacing w:after="0"/>
              <w:rPr>
                <w:sz w:val="20"/>
                <w:szCs w:val="20"/>
                <w:color w:val="auto"/>
              </w:rPr>
            </w:pPr>
            <w:r>
              <w:rPr>
                <w:rFonts w:ascii="Arial" w:cs="Arial" w:eastAsia="Arial" w:hAnsi="Arial"/>
                <w:sz w:val="14"/>
                <w:szCs w:val="14"/>
                <w:color w:val="auto"/>
              </w:rPr>
              <w:t>Carlos S. Bori</w:t>
            </w:r>
          </w:p>
        </w:tc>
        <w:tc>
          <w:tcPr>
            <w:tcW w:w="1000" w:type="dxa"/>
            <w:vAlign w:val="bottom"/>
            <w:shd w:val="clear" w:color="auto" w:fill="E5E5E5"/>
          </w:tcPr>
          <w:p>
            <w:pPr>
              <w:spacing w:after="0"/>
              <w:rPr>
                <w:sz w:val="14"/>
                <w:szCs w:val="14"/>
                <w:color w:val="auto"/>
              </w:rPr>
            </w:pPr>
          </w:p>
        </w:tc>
        <w:tc>
          <w:tcPr>
            <w:tcW w:w="82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190,000</w:t>
            </w:r>
          </w:p>
        </w:tc>
        <w:tc>
          <w:tcPr>
            <w:tcW w:w="860" w:type="dxa"/>
            <w:vAlign w:val="bottom"/>
            <w:shd w:val="clear" w:color="auto" w:fill="E5E5E5"/>
          </w:tcPr>
          <w:p>
            <w:pPr>
              <w:jc w:val="right"/>
              <w:ind w:right="11"/>
              <w:spacing w:after="0"/>
              <w:rPr>
                <w:sz w:val="20"/>
                <w:szCs w:val="20"/>
                <w:color w:val="auto"/>
              </w:rPr>
            </w:pPr>
            <w:r>
              <w:rPr>
                <w:rFonts w:ascii="Arial" w:cs="Arial" w:eastAsia="Arial" w:hAnsi="Arial"/>
                <w:sz w:val="14"/>
                <w:szCs w:val="14"/>
                <w:color w:val="auto"/>
              </w:rPr>
              <w:t>380,000</w:t>
            </w:r>
          </w:p>
        </w:tc>
        <w:tc>
          <w:tcPr>
            <w:tcW w:w="860" w:type="dxa"/>
            <w:vAlign w:val="bottom"/>
            <w:shd w:val="clear" w:color="auto" w:fill="E5E5E5"/>
          </w:tcPr>
          <w:p>
            <w:pPr>
              <w:jc w:val="right"/>
              <w:ind w:right="51"/>
              <w:spacing w:after="0"/>
              <w:rPr>
                <w:sz w:val="20"/>
                <w:szCs w:val="20"/>
                <w:color w:val="auto"/>
              </w:rPr>
            </w:pPr>
            <w:r>
              <w:rPr>
                <w:rFonts w:ascii="Arial" w:cs="Arial" w:eastAsia="Arial" w:hAnsi="Arial"/>
                <w:sz w:val="14"/>
                <w:szCs w:val="14"/>
                <w:color w:val="auto"/>
              </w:rPr>
              <w:t>760,000</w:t>
            </w:r>
          </w:p>
        </w:tc>
        <w:tc>
          <w:tcPr>
            <w:tcW w:w="860" w:type="dxa"/>
            <w:vAlign w:val="bottom"/>
            <w:shd w:val="clear" w:color="auto" w:fill="E5E5E5"/>
          </w:tcPr>
          <w:p>
            <w:pPr>
              <w:spacing w:after="0"/>
              <w:rPr>
                <w:sz w:val="14"/>
                <w:szCs w:val="14"/>
                <w:color w:val="auto"/>
              </w:rPr>
            </w:pPr>
          </w:p>
        </w:tc>
        <w:tc>
          <w:tcPr>
            <w:tcW w:w="800" w:type="dxa"/>
            <w:vAlign w:val="bottom"/>
            <w:shd w:val="clear" w:color="auto" w:fill="E5E5E5"/>
          </w:tcPr>
          <w:p>
            <w:pPr>
              <w:spacing w:after="0"/>
              <w:rPr>
                <w:sz w:val="14"/>
                <w:szCs w:val="14"/>
                <w:color w:val="auto"/>
              </w:rPr>
            </w:pPr>
          </w:p>
        </w:tc>
        <w:tc>
          <w:tcPr>
            <w:tcW w:w="880" w:type="dxa"/>
            <w:vAlign w:val="bottom"/>
            <w:shd w:val="clear" w:color="auto" w:fill="E5E5E5"/>
          </w:tcPr>
          <w:p>
            <w:pPr>
              <w:spacing w:after="0"/>
              <w:rPr>
                <w:sz w:val="14"/>
                <w:szCs w:val="14"/>
                <w:color w:val="auto"/>
              </w:rPr>
            </w:pPr>
          </w:p>
        </w:tc>
        <w:tc>
          <w:tcPr>
            <w:tcW w:w="820" w:type="dxa"/>
            <w:vAlign w:val="bottom"/>
            <w:shd w:val="clear" w:color="auto" w:fill="E5E5E5"/>
          </w:tcPr>
          <w:p>
            <w:pPr>
              <w:spacing w:after="0"/>
              <w:rPr>
                <w:sz w:val="14"/>
                <w:szCs w:val="14"/>
                <w:color w:val="auto"/>
              </w:rPr>
            </w:pPr>
          </w:p>
        </w:tc>
        <w:tc>
          <w:tcPr>
            <w:tcW w:w="114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0" w:type="dxa"/>
            <w:vAlign w:val="bottom"/>
            <w:tcBorders>
              <w:bottom w:val="single" w:sz="8" w:color="BFBFBF"/>
            </w:tcBorders>
          </w:tcPr>
          <w:p>
            <w:pPr>
              <w:jc w:val="center"/>
              <w:spacing w:after="0"/>
              <w:rPr>
                <w:sz w:val="20"/>
                <w:szCs w:val="20"/>
                <w:color w:val="auto"/>
              </w:rPr>
            </w:pPr>
            <w:r>
              <w:rPr>
                <w:rFonts w:ascii="Arial" w:cs="Arial" w:eastAsia="Arial" w:hAnsi="Arial"/>
                <w:sz w:val="14"/>
                <w:szCs w:val="14"/>
                <w:color w:val="auto"/>
              </w:rPr>
              <w:t>11/11/2020</w:t>
            </w:r>
          </w:p>
        </w:tc>
        <w:tc>
          <w:tcPr>
            <w:tcW w:w="820" w:type="dxa"/>
            <w:vAlign w:val="bottom"/>
            <w:tcBorders>
              <w:bottom w:val="single" w:sz="8" w:color="BFBFBF"/>
            </w:tcBorders>
          </w:tcPr>
          <w:p>
            <w:pPr>
              <w:spacing w:after="0"/>
              <w:rPr>
                <w:sz w:val="14"/>
                <w:szCs w:val="14"/>
                <w:color w:val="auto"/>
              </w:rPr>
            </w:pPr>
          </w:p>
        </w:tc>
        <w:tc>
          <w:tcPr>
            <w:tcW w:w="860" w:type="dxa"/>
            <w:vAlign w:val="bottom"/>
            <w:tcBorders>
              <w:bottom w:val="single" w:sz="8" w:color="BFBFBF"/>
            </w:tcBorders>
          </w:tcPr>
          <w:p>
            <w:pPr>
              <w:spacing w:after="0"/>
              <w:rPr>
                <w:sz w:val="14"/>
                <w:szCs w:val="14"/>
                <w:color w:val="auto"/>
              </w:rPr>
            </w:pPr>
          </w:p>
        </w:tc>
        <w:tc>
          <w:tcPr>
            <w:tcW w:w="860" w:type="dxa"/>
            <w:vAlign w:val="bottom"/>
            <w:tcBorders>
              <w:bottom w:val="single" w:sz="8" w:color="BFBFBF"/>
            </w:tcBorders>
          </w:tcPr>
          <w:p>
            <w:pPr>
              <w:spacing w:after="0"/>
              <w:rPr>
                <w:sz w:val="14"/>
                <w:szCs w:val="14"/>
                <w:color w:val="auto"/>
              </w:rPr>
            </w:pPr>
          </w:p>
        </w:tc>
        <w:tc>
          <w:tcPr>
            <w:tcW w:w="860" w:type="dxa"/>
            <w:vAlign w:val="bottom"/>
            <w:tcBorders>
              <w:bottom w:val="single" w:sz="8" w:color="BFBFBF"/>
            </w:tcBorders>
          </w:tcPr>
          <w:p>
            <w:pPr>
              <w:jc w:val="right"/>
              <w:ind w:right="172"/>
              <w:spacing w:after="0"/>
              <w:rPr>
                <w:sz w:val="20"/>
                <w:szCs w:val="20"/>
                <w:color w:val="auto"/>
              </w:rPr>
            </w:pPr>
            <w:r>
              <w:rPr>
                <w:rFonts w:ascii="Arial" w:cs="Arial" w:eastAsia="Arial" w:hAnsi="Arial"/>
                <w:sz w:val="14"/>
                <w:szCs w:val="14"/>
                <w:color w:val="auto"/>
              </w:rPr>
              <w:t>6,047</w:t>
            </w:r>
          </w:p>
        </w:tc>
        <w:tc>
          <w:tcPr>
            <w:tcW w:w="800" w:type="dxa"/>
            <w:vAlign w:val="bottom"/>
            <w:tcBorders>
              <w:bottom w:val="single" w:sz="8" w:color="BFBFBF"/>
            </w:tcBorders>
          </w:tcPr>
          <w:p>
            <w:pPr>
              <w:jc w:val="right"/>
              <w:ind w:right="111"/>
              <w:spacing w:after="0"/>
              <w:rPr>
                <w:sz w:val="20"/>
                <w:szCs w:val="20"/>
                <w:color w:val="auto"/>
              </w:rPr>
            </w:pPr>
            <w:r>
              <w:rPr>
                <w:rFonts w:ascii="Arial" w:cs="Arial" w:eastAsia="Arial" w:hAnsi="Arial"/>
                <w:sz w:val="14"/>
                <w:szCs w:val="14"/>
                <w:color w:val="auto"/>
              </w:rPr>
              <w:t>12,094</w:t>
            </w:r>
          </w:p>
        </w:tc>
        <w:tc>
          <w:tcPr>
            <w:tcW w:w="880" w:type="dxa"/>
            <w:vAlign w:val="bottom"/>
            <w:tcBorders>
              <w:bottom w:val="single" w:sz="8" w:color="BFBFBF"/>
            </w:tcBorders>
          </w:tcPr>
          <w:p>
            <w:pPr>
              <w:jc w:val="right"/>
              <w:ind w:right="91"/>
              <w:spacing w:after="0"/>
              <w:rPr>
                <w:sz w:val="20"/>
                <w:szCs w:val="20"/>
                <w:color w:val="auto"/>
              </w:rPr>
            </w:pPr>
            <w:r>
              <w:rPr>
                <w:rFonts w:ascii="Arial" w:cs="Arial" w:eastAsia="Arial" w:hAnsi="Arial"/>
                <w:sz w:val="14"/>
                <w:szCs w:val="14"/>
                <w:color w:val="auto"/>
              </w:rPr>
              <w:t>30,235</w:t>
            </w:r>
          </w:p>
        </w:tc>
        <w:tc>
          <w:tcPr>
            <w:tcW w:w="820" w:type="dxa"/>
            <w:vAlign w:val="bottom"/>
            <w:tcBorders>
              <w:bottom w:val="single" w:sz="8" w:color="BFBFBF"/>
            </w:tcBorders>
          </w:tcPr>
          <w:p>
            <w:pPr>
              <w:spacing w:after="0"/>
              <w:rPr>
                <w:sz w:val="14"/>
                <w:szCs w:val="14"/>
                <w:color w:val="auto"/>
              </w:rPr>
            </w:pPr>
          </w:p>
        </w:tc>
        <w:tc>
          <w:tcPr>
            <w:tcW w:w="1140" w:type="dxa"/>
            <w:vAlign w:val="bottom"/>
            <w:tcBorders>
              <w:bottom w:val="single" w:sz="8" w:color="BFBFBF"/>
            </w:tcBorders>
          </w:tcPr>
          <w:p>
            <w:pPr>
              <w:jc w:val="right"/>
              <w:ind w:right="135"/>
              <w:spacing w:after="0"/>
              <w:rPr>
                <w:sz w:val="20"/>
                <w:szCs w:val="20"/>
                <w:color w:val="auto"/>
              </w:rPr>
            </w:pPr>
            <w:r>
              <w:rPr>
                <w:rFonts w:ascii="Arial" w:cs="Arial" w:eastAsia="Arial" w:hAnsi="Arial"/>
                <w:sz w:val="14"/>
                <w:szCs w:val="14"/>
                <w:color w:val="auto"/>
              </w:rPr>
              <w:t>1,901,540</w:t>
            </w:r>
            <w:r>
              <w:rPr>
                <w:rFonts w:ascii="Arial" w:cs="Arial" w:eastAsia="Arial" w:hAnsi="Arial"/>
                <w:sz w:val="14"/>
                <w:szCs w:val="14"/>
                <w:color w:val="0076A8"/>
              </w:rPr>
              <w:t>(4)</w:t>
            </w:r>
          </w:p>
        </w:tc>
        <w:tc>
          <w:tcPr>
            <w:tcW w:w="0" w:type="dxa"/>
            <w:vAlign w:val="bottom"/>
          </w:tcPr>
          <w:p>
            <w:pPr>
              <w:spacing w:after="0"/>
              <w:rPr>
                <w:sz w:val="1"/>
                <w:szCs w:val="1"/>
                <w:color w:val="auto"/>
              </w:rPr>
            </w:pPr>
          </w:p>
        </w:tc>
      </w:tr>
      <w:tr>
        <w:trPr>
          <w:trHeight w:val="155"/>
        </w:trPr>
        <w:tc>
          <w:tcPr>
            <w:tcW w:w="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0" w:type="dxa"/>
            <w:vAlign w:val="bottom"/>
          </w:tcPr>
          <w:p>
            <w:pPr>
              <w:jc w:val="center"/>
              <w:spacing w:after="0" w:line="155" w:lineRule="exact"/>
              <w:rPr>
                <w:sz w:val="20"/>
                <w:szCs w:val="20"/>
                <w:color w:val="auto"/>
              </w:rPr>
            </w:pPr>
            <w:r>
              <w:rPr>
                <w:rFonts w:ascii="Arial" w:cs="Arial" w:eastAsia="Arial" w:hAnsi="Arial"/>
                <w:sz w:val="14"/>
                <w:szCs w:val="14"/>
                <w:color w:val="auto"/>
              </w:rPr>
              <w:t>11/11/2020</w:t>
            </w: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20" w:type="dxa"/>
            <w:vAlign w:val="bottom"/>
          </w:tcPr>
          <w:p>
            <w:pPr>
              <w:jc w:val="right"/>
              <w:ind w:right="117"/>
              <w:spacing w:after="0" w:line="155" w:lineRule="exact"/>
              <w:rPr>
                <w:sz w:val="20"/>
                <w:szCs w:val="20"/>
                <w:color w:val="auto"/>
              </w:rPr>
            </w:pPr>
            <w:r>
              <w:rPr>
                <w:rFonts w:ascii="Arial" w:cs="Arial" w:eastAsia="Arial" w:hAnsi="Arial"/>
                <w:sz w:val="14"/>
                <w:szCs w:val="14"/>
                <w:color w:val="auto"/>
              </w:rPr>
              <w:t>8,062</w:t>
            </w:r>
          </w:p>
        </w:tc>
        <w:tc>
          <w:tcPr>
            <w:tcW w:w="1140" w:type="dxa"/>
            <w:vAlign w:val="bottom"/>
          </w:tcPr>
          <w:p>
            <w:pPr>
              <w:jc w:val="right"/>
              <w:ind w:right="135"/>
              <w:spacing w:after="0" w:line="155" w:lineRule="exact"/>
              <w:rPr>
                <w:sz w:val="20"/>
                <w:szCs w:val="20"/>
                <w:color w:val="auto"/>
              </w:rPr>
            </w:pPr>
            <w:r>
              <w:rPr>
                <w:rFonts w:ascii="Arial" w:cs="Arial" w:eastAsia="Arial" w:hAnsi="Arial"/>
                <w:sz w:val="14"/>
                <w:szCs w:val="14"/>
                <w:color w:val="auto"/>
              </w:rPr>
              <w:t>1,159,880</w:t>
            </w:r>
            <w:r>
              <w:rPr>
                <w:rFonts w:ascii="Arial" w:cs="Arial" w:eastAsia="Arial" w:hAnsi="Arial"/>
                <w:sz w:val="14"/>
                <w:szCs w:val="14"/>
                <w:color w:val="0076A8"/>
              </w:rPr>
              <w:t>(5)</w:t>
            </w:r>
          </w:p>
        </w:tc>
        <w:tc>
          <w:tcPr>
            <w:tcW w:w="0" w:type="dxa"/>
            <w:vAlign w:val="bottom"/>
          </w:tcPr>
          <w:p>
            <w:pPr>
              <w:spacing w:after="0"/>
              <w:rPr>
                <w:sz w:val="1"/>
                <w:szCs w:val="1"/>
                <w:color w:val="auto"/>
              </w:rPr>
            </w:pPr>
          </w:p>
        </w:tc>
      </w:tr>
      <w:tr>
        <w:trPr>
          <w:trHeight w:val="162"/>
        </w:trPr>
        <w:tc>
          <w:tcPr>
            <w:tcW w:w="60" w:type="dxa"/>
            <w:vAlign w:val="bottom"/>
            <w:shd w:val="clear" w:color="auto" w:fill="E5E5E5"/>
          </w:tcPr>
          <w:p>
            <w:pPr>
              <w:spacing w:after="0"/>
              <w:rPr>
                <w:sz w:val="14"/>
                <w:szCs w:val="14"/>
                <w:color w:val="auto"/>
              </w:rPr>
            </w:pPr>
          </w:p>
        </w:tc>
        <w:tc>
          <w:tcPr>
            <w:tcW w:w="1300" w:type="dxa"/>
            <w:vAlign w:val="bottom"/>
            <w:shd w:val="clear" w:color="auto" w:fill="E5E5E5"/>
          </w:tcPr>
          <w:p>
            <w:pPr>
              <w:spacing w:after="0"/>
              <w:rPr>
                <w:sz w:val="20"/>
                <w:szCs w:val="20"/>
                <w:color w:val="auto"/>
              </w:rPr>
            </w:pPr>
            <w:r>
              <w:rPr>
                <w:rFonts w:ascii="Arial" w:cs="Arial" w:eastAsia="Arial" w:hAnsi="Arial"/>
                <w:sz w:val="14"/>
                <w:szCs w:val="14"/>
                <w:color w:val="auto"/>
              </w:rPr>
              <w:t>Robert J. Terry</w:t>
            </w:r>
          </w:p>
        </w:tc>
        <w:tc>
          <w:tcPr>
            <w:tcW w:w="1000" w:type="dxa"/>
            <w:vAlign w:val="bottom"/>
            <w:shd w:val="clear" w:color="auto" w:fill="E5E5E5"/>
          </w:tcPr>
          <w:p>
            <w:pPr>
              <w:spacing w:after="0"/>
              <w:rPr>
                <w:sz w:val="14"/>
                <w:szCs w:val="14"/>
                <w:color w:val="auto"/>
              </w:rPr>
            </w:pPr>
          </w:p>
        </w:tc>
        <w:tc>
          <w:tcPr>
            <w:tcW w:w="82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196,800</w:t>
            </w:r>
          </w:p>
        </w:tc>
        <w:tc>
          <w:tcPr>
            <w:tcW w:w="860" w:type="dxa"/>
            <w:vAlign w:val="bottom"/>
            <w:shd w:val="clear" w:color="auto" w:fill="E5E5E5"/>
          </w:tcPr>
          <w:p>
            <w:pPr>
              <w:jc w:val="right"/>
              <w:ind w:right="11"/>
              <w:spacing w:after="0"/>
              <w:rPr>
                <w:sz w:val="20"/>
                <w:szCs w:val="20"/>
                <w:color w:val="auto"/>
              </w:rPr>
            </w:pPr>
            <w:r>
              <w:rPr>
                <w:rFonts w:ascii="Arial" w:cs="Arial" w:eastAsia="Arial" w:hAnsi="Arial"/>
                <w:sz w:val="14"/>
                <w:szCs w:val="14"/>
                <w:color w:val="auto"/>
              </w:rPr>
              <w:t>393,600</w:t>
            </w:r>
          </w:p>
        </w:tc>
        <w:tc>
          <w:tcPr>
            <w:tcW w:w="860" w:type="dxa"/>
            <w:vAlign w:val="bottom"/>
            <w:shd w:val="clear" w:color="auto" w:fill="E5E5E5"/>
          </w:tcPr>
          <w:p>
            <w:pPr>
              <w:jc w:val="right"/>
              <w:ind w:right="51"/>
              <w:spacing w:after="0"/>
              <w:rPr>
                <w:sz w:val="20"/>
                <w:szCs w:val="20"/>
                <w:color w:val="auto"/>
              </w:rPr>
            </w:pPr>
            <w:r>
              <w:rPr>
                <w:rFonts w:ascii="Arial" w:cs="Arial" w:eastAsia="Arial" w:hAnsi="Arial"/>
                <w:sz w:val="14"/>
                <w:szCs w:val="14"/>
                <w:color w:val="auto"/>
              </w:rPr>
              <w:t>787,200</w:t>
            </w:r>
          </w:p>
        </w:tc>
        <w:tc>
          <w:tcPr>
            <w:tcW w:w="860" w:type="dxa"/>
            <w:vAlign w:val="bottom"/>
            <w:shd w:val="clear" w:color="auto" w:fill="E5E5E5"/>
          </w:tcPr>
          <w:p>
            <w:pPr>
              <w:spacing w:after="0"/>
              <w:rPr>
                <w:sz w:val="14"/>
                <w:szCs w:val="14"/>
                <w:color w:val="auto"/>
              </w:rPr>
            </w:pPr>
          </w:p>
        </w:tc>
        <w:tc>
          <w:tcPr>
            <w:tcW w:w="800" w:type="dxa"/>
            <w:vAlign w:val="bottom"/>
            <w:shd w:val="clear" w:color="auto" w:fill="E5E5E5"/>
          </w:tcPr>
          <w:p>
            <w:pPr>
              <w:spacing w:after="0"/>
              <w:rPr>
                <w:sz w:val="14"/>
                <w:szCs w:val="14"/>
                <w:color w:val="auto"/>
              </w:rPr>
            </w:pPr>
          </w:p>
        </w:tc>
        <w:tc>
          <w:tcPr>
            <w:tcW w:w="880" w:type="dxa"/>
            <w:vAlign w:val="bottom"/>
            <w:shd w:val="clear" w:color="auto" w:fill="E5E5E5"/>
          </w:tcPr>
          <w:p>
            <w:pPr>
              <w:spacing w:after="0"/>
              <w:rPr>
                <w:sz w:val="14"/>
                <w:szCs w:val="14"/>
                <w:color w:val="auto"/>
              </w:rPr>
            </w:pPr>
          </w:p>
        </w:tc>
        <w:tc>
          <w:tcPr>
            <w:tcW w:w="820" w:type="dxa"/>
            <w:vAlign w:val="bottom"/>
            <w:shd w:val="clear" w:color="auto" w:fill="E5E5E5"/>
          </w:tcPr>
          <w:p>
            <w:pPr>
              <w:spacing w:after="0"/>
              <w:rPr>
                <w:sz w:val="14"/>
                <w:szCs w:val="14"/>
                <w:color w:val="auto"/>
              </w:rPr>
            </w:pPr>
          </w:p>
        </w:tc>
        <w:tc>
          <w:tcPr>
            <w:tcW w:w="114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0" w:type="dxa"/>
            <w:vAlign w:val="bottom"/>
            <w:tcBorders>
              <w:bottom w:val="single" w:sz="8" w:color="BFBFBF"/>
            </w:tcBorders>
          </w:tcPr>
          <w:p>
            <w:pPr>
              <w:jc w:val="center"/>
              <w:spacing w:after="0"/>
              <w:rPr>
                <w:sz w:val="20"/>
                <w:szCs w:val="20"/>
                <w:color w:val="auto"/>
              </w:rPr>
            </w:pPr>
            <w:r>
              <w:rPr>
                <w:rFonts w:ascii="Arial" w:cs="Arial" w:eastAsia="Arial" w:hAnsi="Arial"/>
                <w:sz w:val="14"/>
                <w:szCs w:val="14"/>
                <w:color w:val="auto"/>
              </w:rPr>
              <w:t>11/11/2020</w:t>
            </w:r>
          </w:p>
        </w:tc>
        <w:tc>
          <w:tcPr>
            <w:tcW w:w="820" w:type="dxa"/>
            <w:vAlign w:val="bottom"/>
            <w:tcBorders>
              <w:bottom w:val="single" w:sz="8" w:color="BFBFBF"/>
            </w:tcBorders>
          </w:tcPr>
          <w:p>
            <w:pPr>
              <w:spacing w:after="0"/>
              <w:rPr>
                <w:sz w:val="14"/>
                <w:szCs w:val="14"/>
                <w:color w:val="auto"/>
              </w:rPr>
            </w:pPr>
          </w:p>
        </w:tc>
        <w:tc>
          <w:tcPr>
            <w:tcW w:w="860" w:type="dxa"/>
            <w:vAlign w:val="bottom"/>
            <w:tcBorders>
              <w:bottom w:val="single" w:sz="8" w:color="BFBFBF"/>
            </w:tcBorders>
          </w:tcPr>
          <w:p>
            <w:pPr>
              <w:spacing w:after="0"/>
              <w:rPr>
                <w:sz w:val="14"/>
                <w:szCs w:val="14"/>
                <w:color w:val="auto"/>
              </w:rPr>
            </w:pPr>
          </w:p>
        </w:tc>
        <w:tc>
          <w:tcPr>
            <w:tcW w:w="860" w:type="dxa"/>
            <w:vAlign w:val="bottom"/>
            <w:tcBorders>
              <w:bottom w:val="single" w:sz="8" w:color="BFBFBF"/>
            </w:tcBorders>
          </w:tcPr>
          <w:p>
            <w:pPr>
              <w:spacing w:after="0"/>
              <w:rPr>
                <w:sz w:val="14"/>
                <w:szCs w:val="14"/>
                <w:color w:val="auto"/>
              </w:rPr>
            </w:pPr>
          </w:p>
        </w:tc>
        <w:tc>
          <w:tcPr>
            <w:tcW w:w="860" w:type="dxa"/>
            <w:vAlign w:val="bottom"/>
            <w:tcBorders>
              <w:bottom w:val="single" w:sz="8" w:color="BFBFBF"/>
            </w:tcBorders>
          </w:tcPr>
          <w:p>
            <w:pPr>
              <w:jc w:val="right"/>
              <w:ind w:right="172"/>
              <w:spacing w:after="0"/>
              <w:rPr>
                <w:sz w:val="20"/>
                <w:szCs w:val="20"/>
                <w:color w:val="auto"/>
              </w:rPr>
            </w:pPr>
            <w:r>
              <w:rPr>
                <w:rFonts w:ascii="Arial" w:cs="Arial" w:eastAsia="Arial" w:hAnsi="Arial"/>
                <w:sz w:val="14"/>
                <w:szCs w:val="14"/>
                <w:color w:val="auto"/>
              </w:rPr>
              <w:t>5,630</w:t>
            </w:r>
          </w:p>
        </w:tc>
        <w:tc>
          <w:tcPr>
            <w:tcW w:w="800" w:type="dxa"/>
            <w:vAlign w:val="bottom"/>
            <w:tcBorders>
              <w:bottom w:val="single" w:sz="8" w:color="BFBFBF"/>
            </w:tcBorders>
          </w:tcPr>
          <w:p>
            <w:pPr>
              <w:jc w:val="right"/>
              <w:ind w:right="111"/>
              <w:spacing w:after="0"/>
              <w:rPr>
                <w:sz w:val="20"/>
                <w:szCs w:val="20"/>
                <w:color w:val="auto"/>
              </w:rPr>
            </w:pPr>
            <w:r>
              <w:rPr>
                <w:rFonts w:ascii="Arial" w:cs="Arial" w:eastAsia="Arial" w:hAnsi="Arial"/>
                <w:sz w:val="14"/>
                <w:szCs w:val="14"/>
                <w:color w:val="auto"/>
              </w:rPr>
              <w:t>11,260</w:t>
            </w:r>
          </w:p>
        </w:tc>
        <w:tc>
          <w:tcPr>
            <w:tcW w:w="880" w:type="dxa"/>
            <w:vAlign w:val="bottom"/>
            <w:tcBorders>
              <w:bottom w:val="single" w:sz="8" w:color="BFBFBF"/>
            </w:tcBorders>
          </w:tcPr>
          <w:p>
            <w:pPr>
              <w:jc w:val="right"/>
              <w:ind w:right="91"/>
              <w:spacing w:after="0"/>
              <w:rPr>
                <w:sz w:val="20"/>
                <w:szCs w:val="20"/>
                <w:color w:val="auto"/>
              </w:rPr>
            </w:pPr>
            <w:r>
              <w:rPr>
                <w:rFonts w:ascii="Arial" w:cs="Arial" w:eastAsia="Arial" w:hAnsi="Arial"/>
                <w:sz w:val="14"/>
                <w:szCs w:val="14"/>
                <w:color w:val="auto"/>
              </w:rPr>
              <w:t>28,150</w:t>
            </w:r>
          </w:p>
        </w:tc>
        <w:tc>
          <w:tcPr>
            <w:tcW w:w="820" w:type="dxa"/>
            <w:vAlign w:val="bottom"/>
            <w:tcBorders>
              <w:bottom w:val="single" w:sz="8" w:color="BFBFBF"/>
            </w:tcBorders>
          </w:tcPr>
          <w:p>
            <w:pPr>
              <w:spacing w:after="0"/>
              <w:rPr>
                <w:sz w:val="14"/>
                <w:szCs w:val="14"/>
                <w:color w:val="auto"/>
              </w:rPr>
            </w:pPr>
          </w:p>
        </w:tc>
        <w:tc>
          <w:tcPr>
            <w:tcW w:w="1140" w:type="dxa"/>
            <w:vAlign w:val="bottom"/>
            <w:tcBorders>
              <w:bottom w:val="single" w:sz="8" w:color="BFBFBF"/>
            </w:tcBorders>
          </w:tcPr>
          <w:p>
            <w:pPr>
              <w:jc w:val="right"/>
              <w:ind w:right="135"/>
              <w:spacing w:after="0"/>
              <w:rPr>
                <w:sz w:val="20"/>
                <w:szCs w:val="20"/>
                <w:color w:val="auto"/>
              </w:rPr>
            </w:pPr>
            <w:r>
              <w:rPr>
                <w:rFonts w:ascii="Arial" w:cs="Arial" w:eastAsia="Arial" w:hAnsi="Arial"/>
                <w:sz w:val="14"/>
                <w:szCs w:val="14"/>
                <w:color w:val="auto"/>
              </w:rPr>
              <w:t>1,770,410</w:t>
            </w:r>
            <w:r>
              <w:rPr>
                <w:rFonts w:ascii="Arial" w:cs="Arial" w:eastAsia="Arial" w:hAnsi="Arial"/>
                <w:sz w:val="14"/>
                <w:szCs w:val="14"/>
                <w:color w:val="0076A8"/>
              </w:rPr>
              <w:t>(4)</w:t>
            </w: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0" w:type="dxa"/>
            <w:vAlign w:val="bottom"/>
          </w:tcPr>
          <w:p>
            <w:pPr>
              <w:jc w:val="center"/>
              <w:spacing w:after="0" w:line="155" w:lineRule="exact"/>
              <w:rPr>
                <w:sz w:val="20"/>
                <w:szCs w:val="20"/>
                <w:color w:val="auto"/>
              </w:rPr>
            </w:pPr>
            <w:r>
              <w:rPr>
                <w:rFonts w:ascii="Arial" w:cs="Arial" w:eastAsia="Arial" w:hAnsi="Arial"/>
                <w:sz w:val="14"/>
                <w:szCs w:val="14"/>
                <w:color w:val="auto"/>
              </w:rPr>
              <w:t>11/11/2020</w:t>
            </w: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20" w:type="dxa"/>
            <w:vAlign w:val="bottom"/>
          </w:tcPr>
          <w:p>
            <w:pPr>
              <w:jc w:val="right"/>
              <w:ind w:right="117"/>
              <w:spacing w:after="0" w:line="155" w:lineRule="exact"/>
              <w:rPr>
                <w:sz w:val="20"/>
                <w:szCs w:val="20"/>
                <w:color w:val="auto"/>
              </w:rPr>
            </w:pPr>
            <w:r>
              <w:rPr>
                <w:rFonts w:ascii="Arial" w:cs="Arial" w:eastAsia="Arial" w:hAnsi="Arial"/>
                <w:sz w:val="14"/>
                <w:szCs w:val="14"/>
                <w:color w:val="auto"/>
              </w:rPr>
              <w:t>7,506</w:t>
            </w:r>
          </w:p>
        </w:tc>
        <w:tc>
          <w:tcPr>
            <w:tcW w:w="1140" w:type="dxa"/>
            <w:vAlign w:val="bottom"/>
          </w:tcPr>
          <w:p>
            <w:pPr>
              <w:jc w:val="right"/>
              <w:ind w:right="135"/>
              <w:spacing w:after="0" w:line="155" w:lineRule="exact"/>
              <w:rPr>
                <w:sz w:val="20"/>
                <w:szCs w:val="20"/>
                <w:color w:val="auto"/>
              </w:rPr>
            </w:pPr>
            <w:r>
              <w:rPr>
                <w:rFonts w:ascii="Arial" w:cs="Arial" w:eastAsia="Arial" w:hAnsi="Arial"/>
                <w:sz w:val="14"/>
                <w:szCs w:val="14"/>
                <w:color w:val="auto"/>
              </w:rPr>
              <w:t>1,079,888</w:t>
            </w:r>
            <w:r>
              <w:rPr>
                <w:rFonts w:ascii="Arial" w:cs="Arial" w:eastAsia="Arial" w:hAnsi="Arial"/>
                <w:sz w:val="14"/>
                <w:szCs w:val="14"/>
                <w:color w:val="0076A8"/>
              </w:rPr>
              <w:t>(5)</w:t>
            </w:r>
          </w:p>
        </w:tc>
        <w:tc>
          <w:tcPr>
            <w:tcW w:w="0" w:type="dxa"/>
            <w:vAlign w:val="bottom"/>
          </w:tcPr>
          <w:p>
            <w:pPr>
              <w:spacing w:after="0"/>
              <w:rPr>
                <w:sz w:val="1"/>
                <w:szCs w:val="1"/>
                <w:color w:val="auto"/>
              </w:rPr>
            </w:pPr>
          </w:p>
        </w:tc>
      </w:tr>
      <w:tr>
        <w:trPr>
          <w:trHeight w:val="162"/>
        </w:trPr>
        <w:tc>
          <w:tcPr>
            <w:tcW w:w="60" w:type="dxa"/>
            <w:vAlign w:val="bottom"/>
            <w:shd w:val="clear" w:color="auto" w:fill="E5E5E5"/>
          </w:tcPr>
          <w:p>
            <w:pPr>
              <w:spacing w:after="0"/>
              <w:rPr>
                <w:sz w:val="14"/>
                <w:szCs w:val="14"/>
                <w:color w:val="auto"/>
              </w:rPr>
            </w:pPr>
          </w:p>
        </w:tc>
        <w:tc>
          <w:tcPr>
            <w:tcW w:w="1300" w:type="dxa"/>
            <w:vAlign w:val="bottom"/>
            <w:shd w:val="clear" w:color="auto" w:fill="E5E5E5"/>
          </w:tcPr>
          <w:p>
            <w:pPr>
              <w:spacing w:after="0"/>
              <w:rPr>
                <w:sz w:val="20"/>
                <w:szCs w:val="20"/>
                <w:color w:val="auto"/>
              </w:rPr>
            </w:pPr>
            <w:r>
              <w:rPr>
                <w:rFonts w:ascii="Arial" w:cs="Arial" w:eastAsia="Arial" w:hAnsi="Arial"/>
                <w:sz w:val="14"/>
                <w:szCs w:val="14"/>
                <w:color w:val="auto"/>
              </w:rPr>
              <w:t>Karilee A. Durham</w:t>
            </w:r>
          </w:p>
        </w:tc>
        <w:tc>
          <w:tcPr>
            <w:tcW w:w="1000" w:type="dxa"/>
            <w:vAlign w:val="bottom"/>
            <w:shd w:val="clear" w:color="auto" w:fill="E5E5E5"/>
          </w:tcPr>
          <w:p>
            <w:pPr>
              <w:spacing w:after="0"/>
              <w:rPr>
                <w:sz w:val="14"/>
                <w:szCs w:val="14"/>
                <w:color w:val="auto"/>
              </w:rPr>
            </w:pPr>
          </w:p>
        </w:tc>
        <w:tc>
          <w:tcPr>
            <w:tcW w:w="82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180,000</w:t>
            </w:r>
          </w:p>
        </w:tc>
        <w:tc>
          <w:tcPr>
            <w:tcW w:w="860" w:type="dxa"/>
            <w:vAlign w:val="bottom"/>
            <w:shd w:val="clear" w:color="auto" w:fill="E5E5E5"/>
          </w:tcPr>
          <w:p>
            <w:pPr>
              <w:jc w:val="right"/>
              <w:ind w:right="11"/>
              <w:spacing w:after="0"/>
              <w:rPr>
                <w:sz w:val="20"/>
                <w:szCs w:val="20"/>
                <w:color w:val="auto"/>
              </w:rPr>
            </w:pPr>
            <w:r>
              <w:rPr>
                <w:rFonts w:ascii="Arial" w:cs="Arial" w:eastAsia="Arial" w:hAnsi="Arial"/>
                <w:sz w:val="14"/>
                <w:szCs w:val="14"/>
                <w:color w:val="auto"/>
              </w:rPr>
              <w:t>360,000</w:t>
            </w:r>
          </w:p>
        </w:tc>
        <w:tc>
          <w:tcPr>
            <w:tcW w:w="860" w:type="dxa"/>
            <w:vAlign w:val="bottom"/>
            <w:shd w:val="clear" w:color="auto" w:fill="E5E5E5"/>
          </w:tcPr>
          <w:p>
            <w:pPr>
              <w:jc w:val="right"/>
              <w:ind w:right="51"/>
              <w:spacing w:after="0"/>
              <w:rPr>
                <w:sz w:val="20"/>
                <w:szCs w:val="20"/>
                <w:color w:val="auto"/>
              </w:rPr>
            </w:pPr>
            <w:r>
              <w:rPr>
                <w:rFonts w:ascii="Arial" w:cs="Arial" w:eastAsia="Arial" w:hAnsi="Arial"/>
                <w:sz w:val="14"/>
                <w:szCs w:val="14"/>
                <w:color w:val="auto"/>
              </w:rPr>
              <w:t>720,000</w:t>
            </w:r>
          </w:p>
        </w:tc>
        <w:tc>
          <w:tcPr>
            <w:tcW w:w="860" w:type="dxa"/>
            <w:vAlign w:val="bottom"/>
            <w:shd w:val="clear" w:color="auto" w:fill="E5E5E5"/>
          </w:tcPr>
          <w:p>
            <w:pPr>
              <w:spacing w:after="0"/>
              <w:rPr>
                <w:sz w:val="14"/>
                <w:szCs w:val="14"/>
                <w:color w:val="auto"/>
              </w:rPr>
            </w:pPr>
          </w:p>
        </w:tc>
        <w:tc>
          <w:tcPr>
            <w:tcW w:w="800" w:type="dxa"/>
            <w:vAlign w:val="bottom"/>
            <w:shd w:val="clear" w:color="auto" w:fill="E5E5E5"/>
          </w:tcPr>
          <w:p>
            <w:pPr>
              <w:spacing w:after="0"/>
              <w:rPr>
                <w:sz w:val="14"/>
                <w:szCs w:val="14"/>
                <w:color w:val="auto"/>
              </w:rPr>
            </w:pPr>
          </w:p>
        </w:tc>
        <w:tc>
          <w:tcPr>
            <w:tcW w:w="880" w:type="dxa"/>
            <w:vAlign w:val="bottom"/>
            <w:shd w:val="clear" w:color="auto" w:fill="E5E5E5"/>
          </w:tcPr>
          <w:p>
            <w:pPr>
              <w:spacing w:after="0"/>
              <w:rPr>
                <w:sz w:val="14"/>
                <w:szCs w:val="14"/>
                <w:color w:val="auto"/>
              </w:rPr>
            </w:pPr>
          </w:p>
        </w:tc>
        <w:tc>
          <w:tcPr>
            <w:tcW w:w="820" w:type="dxa"/>
            <w:vAlign w:val="bottom"/>
            <w:shd w:val="clear" w:color="auto" w:fill="E5E5E5"/>
          </w:tcPr>
          <w:p>
            <w:pPr>
              <w:spacing w:after="0"/>
              <w:rPr>
                <w:sz w:val="14"/>
                <w:szCs w:val="14"/>
                <w:color w:val="auto"/>
              </w:rPr>
            </w:pPr>
          </w:p>
        </w:tc>
        <w:tc>
          <w:tcPr>
            <w:tcW w:w="1140" w:type="dxa"/>
            <w:vAlign w:val="bottom"/>
            <w:shd w:val="clear" w:color="auto" w:fill="E5E5E5"/>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0" w:type="dxa"/>
            <w:vAlign w:val="bottom"/>
            <w:tcBorders>
              <w:bottom w:val="single" w:sz="8" w:color="BFBFBF"/>
            </w:tcBorders>
          </w:tcPr>
          <w:p>
            <w:pPr>
              <w:jc w:val="center"/>
              <w:spacing w:after="0"/>
              <w:rPr>
                <w:sz w:val="20"/>
                <w:szCs w:val="20"/>
                <w:color w:val="auto"/>
              </w:rPr>
            </w:pPr>
            <w:r>
              <w:rPr>
                <w:rFonts w:ascii="Arial" w:cs="Arial" w:eastAsia="Arial" w:hAnsi="Arial"/>
                <w:sz w:val="14"/>
                <w:szCs w:val="14"/>
                <w:color w:val="auto"/>
              </w:rPr>
              <w:t>11/11/2020</w:t>
            </w:r>
          </w:p>
        </w:tc>
        <w:tc>
          <w:tcPr>
            <w:tcW w:w="820" w:type="dxa"/>
            <w:vAlign w:val="bottom"/>
            <w:tcBorders>
              <w:bottom w:val="single" w:sz="8" w:color="BFBFBF"/>
            </w:tcBorders>
          </w:tcPr>
          <w:p>
            <w:pPr>
              <w:spacing w:after="0"/>
              <w:rPr>
                <w:sz w:val="14"/>
                <w:szCs w:val="14"/>
                <w:color w:val="auto"/>
              </w:rPr>
            </w:pPr>
          </w:p>
        </w:tc>
        <w:tc>
          <w:tcPr>
            <w:tcW w:w="860" w:type="dxa"/>
            <w:vAlign w:val="bottom"/>
            <w:tcBorders>
              <w:bottom w:val="single" w:sz="8" w:color="BFBFBF"/>
            </w:tcBorders>
          </w:tcPr>
          <w:p>
            <w:pPr>
              <w:spacing w:after="0"/>
              <w:rPr>
                <w:sz w:val="14"/>
                <w:szCs w:val="14"/>
                <w:color w:val="auto"/>
              </w:rPr>
            </w:pPr>
          </w:p>
        </w:tc>
        <w:tc>
          <w:tcPr>
            <w:tcW w:w="860" w:type="dxa"/>
            <w:vAlign w:val="bottom"/>
            <w:tcBorders>
              <w:bottom w:val="single" w:sz="8" w:color="BFBFBF"/>
            </w:tcBorders>
          </w:tcPr>
          <w:p>
            <w:pPr>
              <w:spacing w:after="0"/>
              <w:rPr>
                <w:sz w:val="14"/>
                <w:szCs w:val="14"/>
                <w:color w:val="auto"/>
              </w:rPr>
            </w:pPr>
          </w:p>
        </w:tc>
        <w:tc>
          <w:tcPr>
            <w:tcW w:w="860" w:type="dxa"/>
            <w:vAlign w:val="bottom"/>
            <w:tcBorders>
              <w:bottom w:val="single" w:sz="8" w:color="BFBFBF"/>
            </w:tcBorders>
          </w:tcPr>
          <w:p>
            <w:pPr>
              <w:jc w:val="right"/>
              <w:ind w:right="172"/>
              <w:spacing w:after="0"/>
              <w:rPr>
                <w:sz w:val="20"/>
                <w:szCs w:val="20"/>
                <w:color w:val="auto"/>
              </w:rPr>
            </w:pPr>
            <w:r>
              <w:rPr>
                <w:rFonts w:ascii="Arial" w:cs="Arial" w:eastAsia="Arial" w:hAnsi="Arial"/>
                <w:sz w:val="14"/>
                <w:szCs w:val="14"/>
                <w:color w:val="auto"/>
              </w:rPr>
              <w:t>3,961</w:t>
            </w:r>
          </w:p>
        </w:tc>
        <w:tc>
          <w:tcPr>
            <w:tcW w:w="800" w:type="dxa"/>
            <w:vAlign w:val="bottom"/>
            <w:tcBorders>
              <w:bottom w:val="single" w:sz="8" w:color="BFBFBF"/>
            </w:tcBorders>
          </w:tcPr>
          <w:p>
            <w:pPr>
              <w:jc w:val="right"/>
              <w:ind w:right="111"/>
              <w:spacing w:after="0"/>
              <w:rPr>
                <w:sz w:val="20"/>
                <w:szCs w:val="20"/>
                <w:color w:val="auto"/>
              </w:rPr>
            </w:pPr>
            <w:r>
              <w:rPr>
                <w:rFonts w:ascii="Arial" w:cs="Arial" w:eastAsia="Arial" w:hAnsi="Arial"/>
                <w:sz w:val="14"/>
                <w:szCs w:val="14"/>
                <w:color w:val="auto"/>
              </w:rPr>
              <w:t>7,923</w:t>
            </w:r>
          </w:p>
        </w:tc>
        <w:tc>
          <w:tcPr>
            <w:tcW w:w="880" w:type="dxa"/>
            <w:vAlign w:val="bottom"/>
            <w:tcBorders>
              <w:bottom w:val="single" w:sz="8" w:color="BFBFBF"/>
            </w:tcBorders>
          </w:tcPr>
          <w:p>
            <w:pPr>
              <w:jc w:val="right"/>
              <w:ind w:right="91"/>
              <w:spacing w:after="0"/>
              <w:rPr>
                <w:sz w:val="20"/>
                <w:szCs w:val="20"/>
                <w:color w:val="auto"/>
              </w:rPr>
            </w:pPr>
            <w:r>
              <w:rPr>
                <w:rFonts w:ascii="Arial" w:cs="Arial" w:eastAsia="Arial" w:hAnsi="Arial"/>
                <w:sz w:val="14"/>
                <w:szCs w:val="14"/>
                <w:color w:val="auto"/>
              </w:rPr>
              <w:t>19,807</w:t>
            </w:r>
          </w:p>
        </w:tc>
        <w:tc>
          <w:tcPr>
            <w:tcW w:w="820" w:type="dxa"/>
            <w:vAlign w:val="bottom"/>
            <w:tcBorders>
              <w:bottom w:val="single" w:sz="8" w:color="BFBFBF"/>
            </w:tcBorders>
          </w:tcPr>
          <w:p>
            <w:pPr>
              <w:spacing w:after="0"/>
              <w:rPr>
                <w:sz w:val="14"/>
                <w:szCs w:val="14"/>
                <w:color w:val="auto"/>
              </w:rPr>
            </w:pPr>
          </w:p>
        </w:tc>
        <w:tc>
          <w:tcPr>
            <w:tcW w:w="1140" w:type="dxa"/>
            <w:vAlign w:val="bottom"/>
            <w:tcBorders>
              <w:bottom w:val="single" w:sz="8" w:color="BFBFBF"/>
            </w:tcBorders>
          </w:tcPr>
          <w:p>
            <w:pPr>
              <w:jc w:val="right"/>
              <w:ind w:right="135"/>
              <w:spacing w:after="0"/>
              <w:rPr>
                <w:sz w:val="20"/>
                <w:szCs w:val="20"/>
                <w:color w:val="auto"/>
              </w:rPr>
            </w:pPr>
            <w:r>
              <w:rPr>
                <w:rFonts w:ascii="Arial" w:cs="Arial" w:eastAsia="Arial" w:hAnsi="Arial"/>
                <w:sz w:val="14"/>
                <w:szCs w:val="14"/>
                <w:color w:val="auto"/>
              </w:rPr>
              <w:t>1,245,733</w:t>
            </w:r>
            <w:r>
              <w:rPr>
                <w:rFonts w:ascii="Arial" w:cs="Arial" w:eastAsia="Arial" w:hAnsi="Arial"/>
                <w:sz w:val="14"/>
                <w:szCs w:val="14"/>
                <w:color w:val="0076A8"/>
              </w:rPr>
              <w:t>(4)</w:t>
            </w:r>
          </w:p>
        </w:tc>
        <w:tc>
          <w:tcPr>
            <w:tcW w:w="0" w:type="dxa"/>
            <w:vAlign w:val="bottom"/>
          </w:tcPr>
          <w:p>
            <w:pPr>
              <w:spacing w:after="0"/>
              <w:rPr>
                <w:sz w:val="1"/>
                <w:szCs w:val="1"/>
                <w:color w:val="auto"/>
              </w:rPr>
            </w:pPr>
          </w:p>
        </w:tc>
      </w:tr>
      <w:tr>
        <w:trPr>
          <w:trHeight w:val="177"/>
        </w:trPr>
        <w:tc>
          <w:tcPr>
            <w:tcW w:w="60" w:type="dxa"/>
            <w:vAlign w:val="bottom"/>
            <w:tcBorders>
              <w:bottom w:val="single" w:sz="8" w:color="CCCCCC"/>
            </w:tcBorders>
          </w:tcPr>
          <w:p>
            <w:pPr>
              <w:spacing w:after="0"/>
              <w:rPr>
                <w:sz w:val="15"/>
                <w:szCs w:val="15"/>
                <w:color w:val="auto"/>
              </w:rPr>
            </w:pPr>
          </w:p>
        </w:tc>
        <w:tc>
          <w:tcPr>
            <w:tcW w:w="1300" w:type="dxa"/>
            <w:vAlign w:val="bottom"/>
            <w:tcBorders>
              <w:bottom w:val="single" w:sz="8" w:color="CCCCCC"/>
            </w:tcBorders>
          </w:tcPr>
          <w:p>
            <w:pPr>
              <w:spacing w:after="0"/>
              <w:rPr>
                <w:sz w:val="15"/>
                <w:szCs w:val="15"/>
                <w:color w:val="auto"/>
              </w:rPr>
            </w:pPr>
          </w:p>
        </w:tc>
        <w:tc>
          <w:tcPr>
            <w:tcW w:w="1000" w:type="dxa"/>
            <w:vAlign w:val="bottom"/>
            <w:tcBorders>
              <w:bottom w:val="single" w:sz="8" w:color="CCCCCC"/>
            </w:tcBorders>
          </w:tcPr>
          <w:p>
            <w:pPr>
              <w:jc w:val="center"/>
              <w:spacing w:after="0"/>
              <w:rPr>
                <w:sz w:val="20"/>
                <w:szCs w:val="20"/>
                <w:color w:val="auto"/>
              </w:rPr>
            </w:pPr>
            <w:r>
              <w:rPr>
                <w:rFonts w:ascii="Arial" w:cs="Arial" w:eastAsia="Arial" w:hAnsi="Arial"/>
                <w:sz w:val="14"/>
                <w:szCs w:val="14"/>
                <w:color w:val="auto"/>
              </w:rPr>
              <w:t>11/11/2020</w:t>
            </w:r>
          </w:p>
        </w:tc>
        <w:tc>
          <w:tcPr>
            <w:tcW w:w="820" w:type="dxa"/>
            <w:vAlign w:val="bottom"/>
            <w:tcBorders>
              <w:bottom w:val="single" w:sz="8" w:color="CCCCCC"/>
            </w:tcBorders>
          </w:tcPr>
          <w:p>
            <w:pPr>
              <w:spacing w:after="0"/>
              <w:rPr>
                <w:sz w:val="15"/>
                <w:szCs w:val="15"/>
                <w:color w:val="auto"/>
              </w:rPr>
            </w:pPr>
          </w:p>
        </w:tc>
        <w:tc>
          <w:tcPr>
            <w:tcW w:w="860" w:type="dxa"/>
            <w:vAlign w:val="bottom"/>
            <w:tcBorders>
              <w:bottom w:val="single" w:sz="8" w:color="CCCCCC"/>
            </w:tcBorders>
          </w:tcPr>
          <w:p>
            <w:pPr>
              <w:spacing w:after="0"/>
              <w:rPr>
                <w:sz w:val="15"/>
                <w:szCs w:val="15"/>
                <w:color w:val="auto"/>
              </w:rPr>
            </w:pPr>
          </w:p>
        </w:tc>
        <w:tc>
          <w:tcPr>
            <w:tcW w:w="860" w:type="dxa"/>
            <w:vAlign w:val="bottom"/>
            <w:tcBorders>
              <w:bottom w:val="single" w:sz="8" w:color="CCCCCC"/>
            </w:tcBorders>
          </w:tcPr>
          <w:p>
            <w:pPr>
              <w:spacing w:after="0"/>
              <w:rPr>
                <w:sz w:val="15"/>
                <w:szCs w:val="15"/>
                <w:color w:val="auto"/>
              </w:rPr>
            </w:pPr>
          </w:p>
        </w:tc>
        <w:tc>
          <w:tcPr>
            <w:tcW w:w="860" w:type="dxa"/>
            <w:vAlign w:val="bottom"/>
            <w:tcBorders>
              <w:bottom w:val="single" w:sz="8" w:color="CCCCCC"/>
            </w:tcBorders>
          </w:tcPr>
          <w:p>
            <w:pPr>
              <w:spacing w:after="0"/>
              <w:rPr>
                <w:sz w:val="15"/>
                <w:szCs w:val="15"/>
                <w:color w:val="auto"/>
              </w:rPr>
            </w:pPr>
          </w:p>
        </w:tc>
        <w:tc>
          <w:tcPr>
            <w:tcW w:w="800" w:type="dxa"/>
            <w:vAlign w:val="bottom"/>
            <w:tcBorders>
              <w:bottom w:val="single" w:sz="8" w:color="CCCCCC"/>
            </w:tcBorders>
          </w:tcPr>
          <w:p>
            <w:pPr>
              <w:spacing w:after="0"/>
              <w:rPr>
                <w:sz w:val="15"/>
                <w:szCs w:val="15"/>
                <w:color w:val="auto"/>
              </w:rPr>
            </w:pPr>
          </w:p>
        </w:tc>
        <w:tc>
          <w:tcPr>
            <w:tcW w:w="880" w:type="dxa"/>
            <w:vAlign w:val="bottom"/>
            <w:tcBorders>
              <w:bottom w:val="single" w:sz="8" w:color="CCCCCC"/>
            </w:tcBorders>
          </w:tcPr>
          <w:p>
            <w:pPr>
              <w:spacing w:after="0"/>
              <w:rPr>
                <w:sz w:val="15"/>
                <w:szCs w:val="15"/>
                <w:color w:val="auto"/>
              </w:rPr>
            </w:pPr>
          </w:p>
        </w:tc>
        <w:tc>
          <w:tcPr>
            <w:tcW w:w="820" w:type="dxa"/>
            <w:vAlign w:val="bottom"/>
            <w:tcBorders>
              <w:bottom w:val="single" w:sz="8" w:color="CCCCCC"/>
            </w:tcBorders>
          </w:tcPr>
          <w:p>
            <w:pPr>
              <w:jc w:val="right"/>
              <w:ind w:right="117"/>
              <w:spacing w:after="0"/>
              <w:rPr>
                <w:sz w:val="20"/>
                <w:szCs w:val="20"/>
                <w:color w:val="auto"/>
              </w:rPr>
            </w:pPr>
            <w:r>
              <w:rPr>
                <w:rFonts w:ascii="Arial" w:cs="Arial" w:eastAsia="Arial" w:hAnsi="Arial"/>
                <w:sz w:val="14"/>
                <w:szCs w:val="14"/>
                <w:color w:val="auto"/>
              </w:rPr>
              <w:t>5,282</w:t>
            </w:r>
          </w:p>
        </w:tc>
        <w:tc>
          <w:tcPr>
            <w:tcW w:w="1140" w:type="dxa"/>
            <w:vAlign w:val="bottom"/>
            <w:tcBorders>
              <w:bottom w:val="single" w:sz="8" w:color="CCCCCC"/>
            </w:tcBorders>
          </w:tcPr>
          <w:p>
            <w:pPr>
              <w:jc w:val="right"/>
              <w:ind w:right="135"/>
              <w:spacing w:after="0"/>
              <w:rPr>
                <w:sz w:val="20"/>
                <w:szCs w:val="20"/>
                <w:color w:val="auto"/>
              </w:rPr>
            </w:pPr>
            <w:r>
              <w:rPr>
                <w:rFonts w:ascii="Arial" w:cs="Arial" w:eastAsia="Arial" w:hAnsi="Arial"/>
                <w:sz w:val="14"/>
                <w:szCs w:val="14"/>
                <w:color w:val="auto"/>
              </w:rPr>
              <w:t>759,921</w:t>
            </w:r>
            <w:r>
              <w:rPr>
                <w:rFonts w:ascii="Arial" w:cs="Arial" w:eastAsia="Arial" w:hAnsi="Arial"/>
                <w:sz w:val="14"/>
                <w:szCs w:val="14"/>
                <w:color w:val="0076A8"/>
              </w:rPr>
              <w:t>(5)</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1080" w:right="700" w:hanging="354"/>
        <w:spacing w:after="0" w:line="253" w:lineRule="auto"/>
        <w:tabs>
          <w:tab w:leader="none" w:pos="1080" w:val="left"/>
        </w:tabs>
        <w:numPr>
          <w:ilvl w:val="0"/>
          <w:numId w:val="54"/>
        </w:numPr>
        <w:rPr>
          <w:rFonts w:ascii="Arial" w:cs="Arial" w:eastAsia="Arial" w:hAnsi="Arial"/>
          <w:sz w:val="16"/>
          <w:szCs w:val="16"/>
          <w:i w:val="1"/>
          <w:iCs w:val="1"/>
          <w:color w:val="auto"/>
        </w:rPr>
      </w:pPr>
      <w:r>
        <w:rPr>
          <w:rFonts w:ascii="Arial" w:cs="Arial" w:eastAsia="Arial" w:hAnsi="Arial"/>
          <w:sz w:val="16"/>
          <w:szCs w:val="16"/>
          <w:i w:val="1"/>
          <w:iCs w:val="1"/>
          <w:color w:val="auto"/>
        </w:rPr>
        <w:t>The amounts shown represent the potential value of awards earned under the Incentive Plan. The amounts actually paid to the Named Executive Officers under the Incentive Plan are shown above in the “Summary Compensation Table“ under “Non-Equity Incentive Plan Compensation.” For a more complete description of the Incentive Plan, please see description above under “Components of Compensation — Short-Term Incentives.”</w:t>
      </w:r>
    </w:p>
    <w:p>
      <w:pPr>
        <w:spacing w:after="0" w:line="1" w:lineRule="exact"/>
        <w:rPr>
          <w:rFonts w:ascii="Arial" w:cs="Arial" w:eastAsia="Arial" w:hAnsi="Arial"/>
          <w:sz w:val="16"/>
          <w:szCs w:val="16"/>
          <w:i w:val="1"/>
          <w:iCs w:val="1"/>
          <w:color w:val="auto"/>
        </w:rPr>
      </w:pPr>
    </w:p>
    <w:p>
      <w:pPr>
        <w:ind w:left="1080" w:right="700" w:hanging="354"/>
        <w:spacing w:after="0" w:line="254" w:lineRule="auto"/>
        <w:tabs>
          <w:tab w:leader="none" w:pos="1080" w:val="left"/>
        </w:tabs>
        <w:numPr>
          <w:ilvl w:val="0"/>
          <w:numId w:val="54"/>
        </w:numPr>
        <w:rPr>
          <w:rFonts w:ascii="Arial" w:cs="Arial" w:eastAsia="Arial" w:hAnsi="Arial"/>
          <w:sz w:val="16"/>
          <w:szCs w:val="16"/>
          <w:i w:val="1"/>
          <w:iCs w:val="1"/>
          <w:color w:val="auto"/>
        </w:rPr>
      </w:pPr>
      <w:r>
        <w:rPr>
          <w:rFonts w:ascii="Arial" w:cs="Arial" w:eastAsia="Arial" w:hAnsi="Arial"/>
          <w:sz w:val="16"/>
          <w:szCs w:val="16"/>
          <w:i w:val="1"/>
          <w:iCs w:val="1"/>
          <w:color w:val="auto"/>
        </w:rPr>
        <w:t>The amounts shown represent shares potentially issuable pursuant to the FY21 PSAs granted on November 11, 2021, under the Company’s 2015 Long-Term Incentive Plan, as described above under “Components of Compensation — Long-Term Stock-Based Compensation.”</w:t>
      </w:r>
    </w:p>
    <w:p>
      <w:pPr>
        <w:spacing w:after="0" w:line="1" w:lineRule="exact"/>
        <w:rPr>
          <w:rFonts w:ascii="Arial" w:cs="Arial" w:eastAsia="Arial" w:hAnsi="Arial"/>
          <w:sz w:val="16"/>
          <w:szCs w:val="16"/>
          <w:i w:val="1"/>
          <w:iCs w:val="1"/>
          <w:color w:val="auto"/>
        </w:rPr>
      </w:pPr>
    </w:p>
    <w:p>
      <w:pPr>
        <w:ind w:left="1080" w:right="700" w:hanging="354"/>
        <w:spacing w:after="0" w:line="253" w:lineRule="auto"/>
        <w:tabs>
          <w:tab w:leader="none" w:pos="1080" w:val="left"/>
        </w:tabs>
        <w:numPr>
          <w:ilvl w:val="0"/>
          <w:numId w:val="54"/>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shares underlying RSU awards granted under the Company’s 2015 Long-Term Incentive Plan. The RSU award vests over four years at a rate of twenty-five percent (25%) per year commencing one year after the date of grant and on each subsequent anniversary of the grant date for the following three years, provided the executive remains employed by the Company through each such vesting date.</w:t>
      </w:r>
    </w:p>
    <w:p>
      <w:pPr>
        <w:spacing w:after="0" w:line="1" w:lineRule="exact"/>
        <w:rPr>
          <w:rFonts w:ascii="Arial" w:cs="Arial" w:eastAsia="Arial" w:hAnsi="Arial"/>
          <w:sz w:val="16"/>
          <w:szCs w:val="16"/>
          <w:i w:val="1"/>
          <w:iCs w:val="1"/>
          <w:color w:val="auto"/>
        </w:rPr>
      </w:pPr>
    </w:p>
    <w:p>
      <w:pPr>
        <w:ind w:left="1080" w:right="660" w:hanging="354"/>
        <w:spacing w:after="0" w:line="249" w:lineRule="auto"/>
        <w:tabs>
          <w:tab w:leader="none" w:pos="1080" w:val="left"/>
        </w:tabs>
        <w:numPr>
          <w:ilvl w:val="0"/>
          <w:numId w:val="54"/>
        </w:numPr>
        <w:rPr>
          <w:rFonts w:ascii="Arial" w:cs="Arial" w:eastAsia="Arial" w:hAnsi="Arial"/>
          <w:sz w:val="16"/>
          <w:szCs w:val="16"/>
          <w:i w:val="1"/>
          <w:iCs w:val="1"/>
          <w:color w:val="auto"/>
        </w:rPr>
      </w:pPr>
      <w:r>
        <w:rPr>
          <w:rFonts w:ascii="Arial" w:cs="Arial" w:eastAsia="Arial" w:hAnsi="Arial"/>
          <w:sz w:val="16"/>
          <w:szCs w:val="16"/>
          <w:i w:val="1"/>
          <w:iCs w:val="1"/>
          <w:color w:val="auto"/>
        </w:rPr>
        <w:t>Reflects the grant date fair value of the FY21 PSAs, computed in accordance with the provisions of ASC 718, using (a) a Monte Carlo simulation (which weights the probability of multiple potential outcomes) to value the portion of the award related to TSR percentile ranking, and (b) a price of $143.87 per share, which was the closing sale price of the Company’s common stock on the Nasdaq Global Select Market on November 11, 2020, to value the portion of the award related to emerging revenue growth and design wins, assuming performance at the “target” level. For a description of the assumptions used in calculating the fair value of equity awards granted in fiscal year 2021 under ASC 718, see Note 10 of the Company’s financial statements included in the Company’s Annual Report on Form 10-K filed with the SEC on November 24, 2021.</w:t>
      </w:r>
    </w:p>
    <w:p>
      <w:pPr>
        <w:ind w:left="1080" w:right="680" w:hanging="354"/>
        <w:spacing w:after="0" w:line="258" w:lineRule="auto"/>
        <w:tabs>
          <w:tab w:leader="none" w:pos="1080" w:val="left"/>
        </w:tabs>
        <w:numPr>
          <w:ilvl w:val="0"/>
          <w:numId w:val="54"/>
        </w:numPr>
        <w:rPr>
          <w:rFonts w:ascii="Arial" w:cs="Arial" w:eastAsia="Arial" w:hAnsi="Arial"/>
          <w:sz w:val="16"/>
          <w:szCs w:val="16"/>
          <w:i w:val="1"/>
          <w:iCs w:val="1"/>
          <w:color w:val="auto"/>
        </w:rPr>
      </w:pPr>
      <w:r>
        <w:rPr>
          <w:rFonts w:ascii="Arial" w:cs="Arial" w:eastAsia="Arial" w:hAnsi="Arial"/>
          <w:sz w:val="16"/>
          <w:szCs w:val="16"/>
          <w:i w:val="1"/>
          <w:iCs w:val="1"/>
          <w:color w:val="auto"/>
        </w:rPr>
        <w:t>Reflects the grant date fair value of the RSUs granted on November 11, 2020, computed in accordance with the provisions of ASC 718 using a price of $143.87 per share, which was the closing price of the Company’s common stock on the Nasdaq Global Select Market on November 11,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3080385</wp:posOffset>
            </wp:positionH>
            <wp:positionV relativeFrom="paragraph">
              <wp:posOffset>1641475</wp:posOffset>
            </wp:positionV>
            <wp:extent cx="779780" cy="25717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7978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860" w:type="dxa"/>
            <w:vAlign w:val="bottom"/>
          </w:tcPr>
          <w:p>
            <w:pPr>
              <w:ind w:left="660"/>
              <w:spacing w:after="0"/>
              <w:rPr>
                <w:sz w:val="20"/>
                <w:szCs w:val="20"/>
                <w:color w:val="auto"/>
              </w:rPr>
            </w:pPr>
            <w:r>
              <w:rPr>
                <w:rFonts w:ascii="Arial" w:cs="Arial" w:eastAsia="Arial" w:hAnsi="Arial"/>
                <w:sz w:val="16"/>
                <w:szCs w:val="16"/>
                <w:color w:val="auto"/>
              </w:rPr>
              <w:t>Proxy Statement</w:t>
            </w:r>
          </w:p>
        </w:tc>
        <w:tc>
          <w:tcPr>
            <w:tcW w:w="4860" w:type="dxa"/>
            <w:vAlign w:val="bottom"/>
          </w:tcPr>
          <w:p>
            <w:pPr>
              <w:jc w:val="right"/>
              <w:ind w:right="579"/>
              <w:spacing w:after="0"/>
              <w:rPr>
                <w:sz w:val="20"/>
                <w:szCs w:val="20"/>
                <w:color w:val="auto"/>
              </w:rPr>
            </w:pPr>
            <w:r>
              <w:rPr>
                <w:rFonts w:ascii="Arial" w:cs="Arial" w:eastAsia="Arial" w:hAnsi="Arial"/>
                <w:sz w:val="16"/>
                <w:szCs w:val="16"/>
                <w:color w:val="auto"/>
              </w:rPr>
              <w:t>45</w:t>
            </w:r>
          </w:p>
        </w:tc>
      </w:tr>
      <w:tr>
        <w:trPr>
          <w:trHeight w:val="296"/>
        </w:trPr>
        <w:tc>
          <w:tcPr>
            <w:tcW w:w="5860" w:type="dxa"/>
            <w:vAlign w:val="bottom"/>
            <w:tcBorders>
              <w:bottom w:val="single" w:sz="8" w:color="9A9A9A"/>
            </w:tcBorders>
          </w:tcPr>
          <w:p>
            <w:pPr>
              <w:spacing w:after="0"/>
              <w:rPr>
                <w:sz w:val="24"/>
                <w:szCs w:val="24"/>
                <w:color w:val="auto"/>
              </w:rPr>
            </w:pPr>
          </w:p>
        </w:tc>
        <w:tc>
          <w:tcPr>
            <w:tcW w:w="4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50" w:name="page51"/>
    <w:bookmarkEnd w:id="5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Arial" w:cs="Arial" w:eastAsia="Arial" w:hAnsi="Arial"/>
          <w:sz w:val="23"/>
          <w:szCs w:val="23"/>
          <w:b w:val="1"/>
          <w:bCs w:val="1"/>
          <w:i w:val="1"/>
          <w:iCs w:val="1"/>
          <w:color w:val="auto"/>
        </w:rPr>
        <w:t>Outstanding Equity Awards at Fiscal Year End Table</w:t>
      </w:r>
    </w:p>
    <w:p>
      <w:pPr>
        <w:spacing w:after="0" w:line="161" w:lineRule="exact"/>
        <w:rPr>
          <w:sz w:val="20"/>
          <w:szCs w:val="20"/>
          <w:color w:val="auto"/>
        </w:rPr>
      </w:pPr>
    </w:p>
    <w:p>
      <w:pPr>
        <w:ind w:left="660" w:right="680"/>
        <w:spacing w:after="0" w:line="261" w:lineRule="auto"/>
        <w:rPr>
          <w:sz w:val="20"/>
          <w:szCs w:val="20"/>
          <w:color w:val="auto"/>
        </w:rPr>
      </w:pPr>
      <w:r>
        <w:rPr>
          <w:rFonts w:ascii="Arial" w:cs="Arial" w:eastAsia="Arial" w:hAnsi="Arial"/>
          <w:sz w:val="20"/>
          <w:szCs w:val="20"/>
          <w:color w:val="191919"/>
        </w:rPr>
        <w:t>The following table summarizes the unvested stock awards and all stock options held by the Named Executive Officers as of the end of fiscal year 2021.</w:t>
      </w:r>
    </w:p>
    <w:p>
      <w:pPr>
        <w:spacing w:after="0" w:line="246" w:lineRule="exact"/>
        <w:rPr>
          <w:sz w:val="20"/>
          <w:szCs w:val="20"/>
          <w:color w:val="auto"/>
        </w:rPr>
      </w:pPr>
    </w:p>
    <w:tbl>
      <w:tblPr>
        <w:tblLayout w:type="fixed"/>
        <w:tblInd w:w="660" w:type="dxa"/>
        <w:tblCellMar>
          <w:top w:w="0" w:type="dxa"/>
          <w:left w:w="0" w:type="dxa"/>
          <w:bottom w:w="0" w:type="dxa"/>
          <w:right w:w="0" w:type="dxa"/>
        </w:tblCellMar>
      </w:tblPr>
      <w:tr>
        <w:trPr>
          <w:trHeight w:val="236"/>
        </w:trPr>
        <w:tc>
          <w:tcPr>
            <w:tcW w:w="1200" w:type="dxa"/>
            <w:vAlign w:val="bottom"/>
            <w:shd w:val="clear" w:color="auto" w:fill="0076A8"/>
          </w:tcPr>
          <w:p>
            <w:pPr>
              <w:spacing w:after="0"/>
              <w:rPr>
                <w:sz w:val="20"/>
                <w:szCs w:val="20"/>
                <w:color w:val="auto"/>
              </w:rPr>
            </w:pPr>
          </w:p>
        </w:tc>
        <w:tc>
          <w:tcPr>
            <w:tcW w:w="1080" w:type="dxa"/>
            <w:vAlign w:val="bottom"/>
            <w:shd w:val="clear" w:color="auto" w:fill="0076A8"/>
          </w:tcPr>
          <w:p>
            <w:pPr>
              <w:spacing w:after="0"/>
              <w:rPr>
                <w:sz w:val="20"/>
                <w:szCs w:val="20"/>
                <w:color w:val="auto"/>
              </w:rPr>
            </w:pPr>
          </w:p>
        </w:tc>
        <w:tc>
          <w:tcPr>
            <w:tcW w:w="1960" w:type="dxa"/>
            <w:vAlign w:val="bottom"/>
            <w:gridSpan w:val="2"/>
            <w:shd w:val="clear" w:color="auto" w:fill="0076A8"/>
          </w:tcPr>
          <w:p>
            <w:pPr>
              <w:ind w:left="440"/>
              <w:spacing w:after="0"/>
              <w:rPr>
                <w:sz w:val="20"/>
                <w:szCs w:val="20"/>
                <w:color w:val="auto"/>
              </w:rPr>
            </w:pPr>
            <w:r>
              <w:rPr>
                <w:rFonts w:ascii="Arial" w:cs="Arial" w:eastAsia="Arial" w:hAnsi="Arial"/>
                <w:sz w:val="14"/>
                <w:szCs w:val="14"/>
                <w:color w:val="FFFFFF"/>
              </w:rPr>
              <w:t>Option Awards</w:t>
            </w:r>
          </w:p>
        </w:tc>
        <w:tc>
          <w:tcPr>
            <w:tcW w:w="1020" w:type="dxa"/>
            <w:vAlign w:val="bottom"/>
            <w:shd w:val="clear" w:color="auto" w:fill="0076A8"/>
          </w:tcPr>
          <w:p>
            <w:pPr>
              <w:spacing w:after="0"/>
              <w:rPr>
                <w:sz w:val="20"/>
                <w:szCs w:val="20"/>
                <w:color w:val="auto"/>
              </w:rPr>
            </w:pPr>
          </w:p>
        </w:tc>
        <w:tc>
          <w:tcPr>
            <w:tcW w:w="1000" w:type="dxa"/>
            <w:vAlign w:val="bottom"/>
            <w:shd w:val="clear" w:color="auto" w:fill="0076A8"/>
          </w:tcPr>
          <w:p>
            <w:pPr>
              <w:spacing w:after="0"/>
              <w:rPr>
                <w:sz w:val="20"/>
                <w:szCs w:val="20"/>
                <w:color w:val="auto"/>
              </w:rPr>
            </w:pPr>
          </w:p>
        </w:tc>
        <w:tc>
          <w:tcPr>
            <w:tcW w:w="2180" w:type="dxa"/>
            <w:vAlign w:val="bottom"/>
            <w:gridSpan w:val="2"/>
            <w:shd w:val="clear" w:color="auto" w:fill="0076A8"/>
          </w:tcPr>
          <w:p>
            <w:pPr>
              <w:jc w:val="right"/>
              <w:ind w:right="648"/>
              <w:spacing w:after="0"/>
              <w:rPr>
                <w:sz w:val="20"/>
                <w:szCs w:val="20"/>
                <w:color w:val="auto"/>
              </w:rPr>
            </w:pPr>
            <w:r>
              <w:rPr>
                <w:rFonts w:ascii="Arial" w:cs="Arial" w:eastAsia="Arial" w:hAnsi="Arial"/>
                <w:sz w:val="14"/>
                <w:szCs w:val="14"/>
                <w:color w:val="FFFFFF"/>
              </w:rPr>
              <w:t>Stock Awards</w:t>
            </w:r>
          </w:p>
        </w:tc>
        <w:tc>
          <w:tcPr>
            <w:tcW w:w="960" w:type="dxa"/>
            <w:vAlign w:val="bottom"/>
            <w:shd w:val="clear" w:color="auto" w:fill="0076A8"/>
          </w:tcPr>
          <w:p>
            <w:pPr>
              <w:spacing w:after="0"/>
              <w:rPr>
                <w:sz w:val="20"/>
                <w:szCs w:val="20"/>
                <w:color w:val="auto"/>
              </w:rPr>
            </w:pPr>
          </w:p>
        </w:tc>
        <w:tc>
          <w:tcPr>
            <w:tcW w:w="0" w:type="dxa"/>
            <w:vAlign w:val="bottom"/>
          </w:tcPr>
          <w:p>
            <w:pPr>
              <w:spacing w:after="0"/>
              <w:rPr>
                <w:sz w:val="1"/>
                <w:szCs w:val="1"/>
                <w:color w:val="auto"/>
              </w:rPr>
            </w:pPr>
          </w:p>
        </w:tc>
      </w:tr>
      <w:tr>
        <w:trPr>
          <w:trHeight w:val="133"/>
        </w:trPr>
        <w:tc>
          <w:tcPr>
            <w:tcW w:w="1200" w:type="dxa"/>
            <w:vAlign w:val="bottom"/>
            <w:shd w:val="clear" w:color="auto" w:fill="0076A8"/>
          </w:tcPr>
          <w:p>
            <w:pPr>
              <w:spacing w:after="0"/>
              <w:rPr>
                <w:sz w:val="11"/>
                <w:szCs w:val="11"/>
                <w:color w:val="auto"/>
              </w:rPr>
            </w:pPr>
          </w:p>
        </w:tc>
        <w:tc>
          <w:tcPr>
            <w:tcW w:w="1080" w:type="dxa"/>
            <w:vAlign w:val="bottom"/>
            <w:shd w:val="clear" w:color="auto" w:fill="0076A8"/>
          </w:tcPr>
          <w:p>
            <w:pPr>
              <w:spacing w:after="0"/>
              <w:rPr>
                <w:sz w:val="11"/>
                <w:szCs w:val="11"/>
                <w:color w:val="auto"/>
              </w:rPr>
            </w:pPr>
          </w:p>
        </w:tc>
        <w:tc>
          <w:tcPr>
            <w:tcW w:w="1140" w:type="dxa"/>
            <w:vAlign w:val="bottom"/>
            <w:shd w:val="clear" w:color="auto" w:fill="0076A8"/>
          </w:tcPr>
          <w:p>
            <w:pPr>
              <w:spacing w:after="0"/>
              <w:rPr>
                <w:sz w:val="11"/>
                <w:szCs w:val="11"/>
                <w:color w:val="auto"/>
              </w:rPr>
            </w:pPr>
          </w:p>
        </w:tc>
        <w:tc>
          <w:tcPr>
            <w:tcW w:w="820" w:type="dxa"/>
            <w:vAlign w:val="bottom"/>
            <w:shd w:val="clear" w:color="auto" w:fill="0076A8"/>
          </w:tcPr>
          <w:p>
            <w:pPr>
              <w:spacing w:after="0"/>
              <w:rPr>
                <w:sz w:val="11"/>
                <w:szCs w:val="11"/>
                <w:color w:val="auto"/>
              </w:rPr>
            </w:pPr>
          </w:p>
        </w:tc>
        <w:tc>
          <w:tcPr>
            <w:tcW w:w="1020" w:type="dxa"/>
            <w:vAlign w:val="bottom"/>
            <w:shd w:val="clear" w:color="auto" w:fill="0076A8"/>
          </w:tcPr>
          <w:p>
            <w:pPr>
              <w:spacing w:after="0"/>
              <w:rPr>
                <w:sz w:val="11"/>
                <w:szCs w:val="11"/>
                <w:color w:val="auto"/>
              </w:rPr>
            </w:pPr>
          </w:p>
        </w:tc>
        <w:tc>
          <w:tcPr>
            <w:tcW w:w="1000" w:type="dxa"/>
            <w:vAlign w:val="bottom"/>
            <w:shd w:val="clear" w:color="auto" w:fill="0076A8"/>
          </w:tcPr>
          <w:p>
            <w:pPr>
              <w:spacing w:after="0"/>
              <w:rPr>
                <w:sz w:val="11"/>
                <w:szCs w:val="11"/>
                <w:color w:val="auto"/>
              </w:rPr>
            </w:pPr>
          </w:p>
        </w:tc>
        <w:tc>
          <w:tcPr>
            <w:tcW w:w="1100" w:type="dxa"/>
            <w:vAlign w:val="bottom"/>
            <w:shd w:val="clear" w:color="auto" w:fill="0076A8"/>
          </w:tcPr>
          <w:p>
            <w:pPr>
              <w:spacing w:after="0"/>
              <w:rPr>
                <w:sz w:val="11"/>
                <w:szCs w:val="11"/>
                <w:color w:val="auto"/>
              </w:rPr>
            </w:pPr>
          </w:p>
        </w:tc>
        <w:tc>
          <w:tcPr>
            <w:tcW w:w="1080" w:type="dxa"/>
            <w:vAlign w:val="bottom"/>
            <w:shd w:val="clear" w:color="auto" w:fill="0076A8"/>
          </w:tcPr>
          <w:p>
            <w:pPr>
              <w:spacing w:after="0"/>
              <w:rPr>
                <w:sz w:val="11"/>
                <w:szCs w:val="11"/>
                <w:color w:val="auto"/>
              </w:rPr>
            </w:pPr>
          </w:p>
        </w:tc>
        <w:tc>
          <w:tcPr>
            <w:tcW w:w="960" w:type="dxa"/>
            <w:vAlign w:val="bottom"/>
            <w:shd w:val="clear" w:color="auto" w:fill="0076A8"/>
          </w:tcPr>
          <w:p>
            <w:pPr>
              <w:jc w:val="center"/>
              <w:spacing w:after="0" w:line="133" w:lineRule="exact"/>
              <w:rPr>
                <w:sz w:val="20"/>
                <w:szCs w:val="20"/>
                <w:color w:val="auto"/>
              </w:rPr>
            </w:pPr>
            <w:r>
              <w:rPr>
                <w:rFonts w:ascii="Arial" w:cs="Arial" w:eastAsia="Arial" w:hAnsi="Arial"/>
                <w:sz w:val="14"/>
                <w:szCs w:val="14"/>
                <w:color w:val="FFFFFF"/>
              </w:rPr>
              <w:t>Equity</w:t>
            </w:r>
          </w:p>
        </w:tc>
        <w:tc>
          <w:tcPr>
            <w:tcW w:w="0" w:type="dxa"/>
            <w:vAlign w:val="bottom"/>
          </w:tcPr>
          <w:p>
            <w:pPr>
              <w:spacing w:after="0"/>
              <w:rPr>
                <w:sz w:val="1"/>
                <w:szCs w:val="1"/>
                <w:color w:val="auto"/>
              </w:rPr>
            </w:pPr>
          </w:p>
        </w:tc>
      </w:tr>
      <w:tr>
        <w:trPr>
          <w:trHeight w:val="135"/>
        </w:trPr>
        <w:tc>
          <w:tcPr>
            <w:tcW w:w="1200" w:type="dxa"/>
            <w:vAlign w:val="bottom"/>
            <w:shd w:val="clear" w:color="auto" w:fill="0076A8"/>
          </w:tcPr>
          <w:p>
            <w:pPr>
              <w:spacing w:after="0"/>
              <w:rPr>
                <w:sz w:val="11"/>
                <w:szCs w:val="11"/>
                <w:color w:val="auto"/>
              </w:rPr>
            </w:pPr>
          </w:p>
        </w:tc>
        <w:tc>
          <w:tcPr>
            <w:tcW w:w="1080" w:type="dxa"/>
            <w:vAlign w:val="bottom"/>
            <w:shd w:val="clear" w:color="auto" w:fill="0076A8"/>
          </w:tcPr>
          <w:p>
            <w:pPr>
              <w:spacing w:after="0"/>
              <w:rPr>
                <w:sz w:val="11"/>
                <w:szCs w:val="11"/>
                <w:color w:val="auto"/>
              </w:rPr>
            </w:pPr>
          </w:p>
        </w:tc>
        <w:tc>
          <w:tcPr>
            <w:tcW w:w="1140" w:type="dxa"/>
            <w:vAlign w:val="bottom"/>
            <w:shd w:val="clear" w:color="auto" w:fill="0076A8"/>
          </w:tcPr>
          <w:p>
            <w:pPr>
              <w:spacing w:after="0"/>
              <w:rPr>
                <w:sz w:val="11"/>
                <w:szCs w:val="11"/>
                <w:color w:val="auto"/>
              </w:rPr>
            </w:pPr>
          </w:p>
        </w:tc>
        <w:tc>
          <w:tcPr>
            <w:tcW w:w="820" w:type="dxa"/>
            <w:vAlign w:val="bottom"/>
            <w:shd w:val="clear" w:color="auto" w:fill="0076A8"/>
          </w:tcPr>
          <w:p>
            <w:pPr>
              <w:spacing w:after="0"/>
              <w:rPr>
                <w:sz w:val="11"/>
                <w:szCs w:val="11"/>
                <w:color w:val="auto"/>
              </w:rPr>
            </w:pPr>
          </w:p>
        </w:tc>
        <w:tc>
          <w:tcPr>
            <w:tcW w:w="1020" w:type="dxa"/>
            <w:vAlign w:val="bottom"/>
            <w:shd w:val="clear" w:color="auto" w:fill="0076A8"/>
          </w:tcPr>
          <w:p>
            <w:pPr>
              <w:spacing w:after="0"/>
              <w:rPr>
                <w:sz w:val="11"/>
                <w:szCs w:val="11"/>
                <w:color w:val="auto"/>
              </w:rPr>
            </w:pPr>
          </w:p>
        </w:tc>
        <w:tc>
          <w:tcPr>
            <w:tcW w:w="1000" w:type="dxa"/>
            <w:vAlign w:val="bottom"/>
            <w:shd w:val="clear" w:color="auto" w:fill="0076A8"/>
          </w:tcPr>
          <w:p>
            <w:pPr>
              <w:spacing w:after="0"/>
              <w:rPr>
                <w:sz w:val="11"/>
                <w:szCs w:val="11"/>
                <w:color w:val="auto"/>
              </w:rPr>
            </w:pPr>
          </w:p>
        </w:tc>
        <w:tc>
          <w:tcPr>
            <w:tcW w:w="1100" w:type="dxa"/>
            <w:vAlign w:val="bottom"/>
            <w:shd w:val="clear" w:color="auto" w:fill="0076A8"/>
          </w:tcPr>
          <w:p>
            <w:pPr>
              <w:spacing w:after="0"/>
              <w:rPr>
                <w:sz w:val="11"/>
                <w:szCs w:val="11"/>
                <w:color w:val="auto"/>
              </w:rPr>
            </w:pPr>
          </w:p>
        </w:tc>
        <w:tc>
          <w:tcPr>
            <w:tcW w:w="1080" w:type="dxa"/>
            <w:vAlign w:val="bottom"/>
            <w:shd w:val="clear" w:color="auto" w:fill="0076A8"/>
          </w:tcPr>
          <w:p>
            <w:pPr>
              <w:spacing w:after="0"/>
              <w:rPr>
                <w:sz w:val="11"/>
                <w:szCs w:val="11"/>
                <w:color w:val="auto"/>
              </w:rPr>
            </w:pPr>
          </w:p>
        </w:tc>
        <w:tc>
          <w:tcPr>
            <w:tcW w:w="960" w:type="dxa"/>
            <w:vAlign w:val="bottom"/>
            <w:shd w:val="clear" w:color="auto" w:fill="0076A8"/>
          </w:tcPr>
          <w:p>
            <w:pPr>
              <w:jc w:val="center"/>
              <w:spacing w:after="0" w:line="135" w:lineRule="exact"/>
              <w:rPr>
                <w:sz w:val="20"/>
                <w:szCs w:val="20"/>
                <w:color w:val="auto"/>
              </w:rPr>
            </w:pPr>
            <w:r>
              <w:rPr>
                <w:rFonts w:ascii="Arial" w:cs="Arial" w:eastAsia="Arial" w:hAnsi="Arial"/>
                <w:sz w:val="14"/>
                <w:szCs w:val="14"/>
                <w:color w:val="FFFFFF"/>
              </w:rPr>
              <w:t>Incentive</w:t>
            </w:r>
          </w:p>
        </w:tc>
        <w:tc>
          <w:tcPr>
            <w:tcW w:w="0" w:type="dxa"/>
            <w:vAlign w:val="bottom"/>
          </w:tcPr>
          <w:p>
            <w:pPr>
              <w:spacing w:after="0"/>
              <w:rPr>
                <w:sz w:val="1"/>
                <w:szCs w:val="1"/>
                <w:color w:val="auto"/>
              </w:rPr>
            </w:pPr>
          </w:p>
        </w:tc>
      </w:tr>
      <w:tr>
        <w:trPr>
          <w:trHeight w:val="135"/>
        </w:trPr>
        <w:tc>
          <w:tcPr>
            <w:tcW w:w="1200" w:type="dxa"/>
            <w:vAlign w:val="bottom"/>
            <w:shd w:val="clear" w:color="auto" w:fill="0076A8"/>
          </w:tcPr>
          <w:p>
            <w:pPr>
              <w:spacing w:after="0"/>
              <w:rPr>
                <w:sz w:val="11"/>
                <w:szCs w:val="11"/>
                <w:color w:val="auto"/>
              </w:rPr>
            </w:pPr>
          </w:p>
        </w:tc>
        <w:tc>
          <w:tcPr>
            <w:tcW w:w="1080" w:type="dxa"/>
            <w:vAlign w:val="bottom"/>
            <w:shd w:val="clear" w:color="auto" w:fill="0076A8"/>
          </w:tcPr>
          <w:p>
            <w:pPr>
              <w:spacing w:after="0"/>
              <w:rPr>
                <w:sz w:val="11"/>
                <w:szCs w:val="11"/>
                <w:color w:val="auto"/>
              </w:rPr>
            </w:pPr>
          </w:p>
        </w:tc>
        <w:tc>
          <w:tcPr>
            <w:tcW w:w="1140" w:type="dxa"/>
            <w:vAlign w:val="bottom"/>
            <w:shd w:val="clear" w:color="auto" w:fill="0076A8"/>
          </w:tcPr>
          <w:p>
            <w:pPr>
              <w:spacing w:after="0"/>
              <w:rPr>
                <w:sz w:val="11"/>
                <w:szCs w:val="11"/>
                <w:color w:val="auto"/>
              </w:rPr>
            </w:pPr>
          </w:p>
        </w:tc>
        <w:tc>
          <w:tcPr>
            <w:tcW w:w="820" w:type="dxa"/>
            <w:vAlign w:val="bottom"/>
            <w:shd w:val="clear" w:color="auto" w:fill="0076A8"/>
          </w:tcPr>
          <w:p>
            <w:pPr>
              <w:spacing w:after="0"/>
              <w:rPr>
                <w:sz w:val="11"/>
                <w:szCs w:val="11"/>
                <w:color w:val="auto"/>
              </w:rPr>
            </w:pPr>
          </w:p>
        </w:tc>
        <w:tc>
          <w:tcPr>
            <w:tcW w:w="1020" w:type="dxa"/>
            <w:vAlign w:val="bottom"/>
            <w:shd w:val="clear" w:color="auto" w:fill="0076A8"/>
          </w:tcPr>
          <w:p>
            <w:pPr>
              <w:spacing w:after="0"/>
              <w:rPr>
                <w:sz w:val="11"/>
                <w:szCs w:val="11"/>
                <w:color w:val="auto"/>
              </w:rPr>
            </w:pPr>
          </w:p>
        </w:tc>
        <w:tc>
          <w:tcPr>
            <w:tcW w:w="1000" w:type="dxa"/>
            <w:vAlign w:val="bottom"/>
            <w:shd w:val="clear" w:color="auto" w:fill="0076A8"/>
          </w:tcPr>
          <w:p>
            <w:pPr>
              <w:spacing w:after="0"/>
              <w:rPr>
                <w:sz w:val="11"/>
                <w:szCs w:val="11"/>
                <w:color w:val="auto"/>
              </w:rPr>
            </w:pPr>
          </w:p>
        </w:tc>
        <w:tc>
          <w:tcPr>
            <w:tcW w:w="1100" w:type="dxa"/>
            <w:vAlign w:val="bottom"/>
            <w:shd w:val="clear" w:color="auto" w:fill="0076A8"/>
          </w:tcPr>
          <w:p>
            <w:pPr>
              <w:spacing w:after="0"/>
              <w:rPr>
                <w:sz w:val="11"/>
                <w:szCs w:val="11"/>
                <w:color w:val="auto"/>
              </w:rPr>
            </w:pPr>
          </w:p>
        </w:tc>
        <w:tc>
          <w:tcPr>
            <w:tcW w:w="1080" w:type="dxa"/>
            <w:vAlign w:val="bottom"/>
            <w:vMerge w:val="restart"/>
            <w:shd w:val="clear" w:color="auto" w:fill="0076A8"/>
          </w:tcPr>
          <w:p>
            <w:pPr>
              <w:jc w:val="center"/>
              <w:spacing w:after="0"/>
              <w:rPr>
                <w:sz w:val="20"/>
                <w:szCs w:val="20"/>
                <w:color w:val="auto"/>
              </w:rPr>
            </w:pPr>
            <w:r>
              <w:rPr>
                <w:rFonts w:ascii="Arial" w:cs="Arial" w:eastAsia="Arial" w:hAnsi="Arial"/>
                <w:sz w:val="14"/>
                <w:szCs w:val="14"/>
                <w:color w:val="FFFFFF"/>
              </w:rPr>
              <w:t>Equity</w:t>
            </w:r>
          </w:p>
        </w:tc>
        <w:tc>
          <w:tcPr>
            <w:tcW w:w="960" w:type="dxa"/>
            <w:vAlign w:val="bottom"/>
            <w:shd w:val="clear" w:color="auto" w:fill="0076A8"/>
          </w:tcPr>
          <w:p>
            <w:pPr>
              <w:jc w:val="center"/>
              <w:spacing w:after="0" w:line="135" w:lineRule="exact"/>
              <w:rPr>
                <w:sz w:val="20"/>
                <w:szCs w:val="20"/>
                <w:color w:val="auto"/>
              </w:rPr>
            </w:pPr>
            <w:r>
              <w:rPr>
                <w:rFonts w:ascii="Arial" w:cs="Arial" w:eastAsia="Arial" w:hAnsi="Arial"/>
                <w:sz w:val="14"/>
                <w:szCs w:val="14"/>
                <w:color w:val="FFFFFF"/>
                <w:w w:val="99"/>
              </w:rPr>
              <w:t>Plan</w:t>
            </w:r>
          </w:p>
        </w:tc>
        <w:tc>
          <w:tcPr>
            <w:tcW w:w="0" w:type="dxa"/>
            <w:vAlign w:val="bottom"/>
          </w:tcPr>
          <w:p>
            <w:pPr>
              <w:spacing w:after="0"/>
              <w:rPr>
                <w:sz w:val="1"/>
                <w:szCs w:val="1"/>
                <w:color w:val="auto"/>
              </w:rPr>
            </w:pPr>
          </w:p>
        </w:tc>
      </w:tr>
      <w:tr>
        <w:trPr>
          <w:trHeight w:val="135"/>
        </w:trPr>
        <w:tc>
          <w:tcPr>
            <w:tcW w:w="1200" w:type="dxa"/>
            <w:vAlign w:val="bottom"/>
            <w:shd w:val="clear" w:color="auto" w:fill="0076A8"/>
          </w:tcPr>
          <w:p>
            <w:pPr>
              <w:spacing w:after="0"/>
              <w:rPr>
                <w:sz w:val="11"/>
                <w:szCs w:val="11"/>
                <w:color w:val="auto"/>
              </w:rPr>
            </w:pPr>
          </w:p>
        </w:tc>
        <w:tc>
          <w:tcPr>
            <w:tcW w:w="1080" w:type="dxa"/>
            <w:vAlign w:val="bottom"/>
            <w:shd w:val="clear" w:color="auto" w:fill="0076A8"/>
          </w:tcPr>
          <w:p>
            <w:pPr>
              <w:spacing w:after="0"/>
              <w:rPr>
                <w:sz w:val="11"/>
                <w:szCs w:val="11"/>
                <w:color w:val="auto"/>
              </w:rPr>
            </w:pPr>
          </w:p>
        </w:tc>
        <w:tc>
          <w:tcPr>
            <w:tcW w:w="1140" w:type="dxa"/>
            <w:vAlign w:val="bottom"/>
            <w:shd w:val="clear" w:color="auto" w:fill="0076A8"/>
          </w:tcPr>
          <w:p>
            <w:pPr>
              <w:spacing w:after="0"/>
              <w:rPr>
                <w:sz w:val="11"/>
                <w:szCs w:val="11"/>
                <w:color w:val="auto"/>
              </w:rPr>
            </w:pPr>
          </w:p>
        </w:tc>
        <w:tc>
          <w:tcPr>
            <w:tcW w:w="820" w:type="dxa"/>
            <w:vAlign w:val="bottom"/>
            <w:shd w:val="clear" w:color="auto" w:fill="0076A8"/>
          </w:tcPr>
          <w:p>
            <w:pPr>
              <w:spacing w:after="0"/>
              <w:rPr>
                <w:sz w:val="11"/>
                <w:szCs w:val="11"/>
                <w:color w:val="auto"/>
              </w:rPr>
            </w:pPr>
          </w:p>
        </w:tc>
        <w:tc>
          <w:tcPr>
            <w:tcW w:w="1020" w:type="dxa"/>
            <w:vAlign w:val="bottom"/>
            <w:shd w:val="clear" w:color="auto" w:fill="0076A8"/>
          </w:tcPr>
          <w:p>
            <w:pPr>
              <w:spacing w:after="0"/>
              <w:rPr>
                <w:sz w:val="11"/>
                <w:szCs w:val="11"/>
                <w:color w:val="auto"/>
              </w:rPr>
            </w:pPr>
          </w:p>
        </w:tc>
        <w:tc>
          <w:tcPr>
            <w:tcW w:w="1000" w:type="dxa"/>
            <w:vAlign w:val="bottom"/>
            <w:shd w:val="clear" w:color="auto" w:fill="0076A8"/>
          </w:tcPr>
          <w:p>
            <w:pPr>
              <w:spacing w:after="0"/>
              <w:rPr>
                <w:sz w:val="11"/>
                <w:szCs w:val="11"/>
                <w:color w:val="auto"/>
              </w:rPr>
            </w:pPr>
          </w:p>
        </w:tc>
        <w:tc>
          <w:tcPr>
            <w:tcW w:w="1100" w:type="dxa"/>
            <w:vAlign w:val="bottom"/>
            <w:shd w:val="clear" w:color="auto" w:fill="0076A8"/>
          </w:tcPr>
          <w:p>
            <w:pPr>
              <w:spacing w:after="0"/>
              <w:rPr>
                <w:sz w:val="11"/>
                <w:szCs w:val="11"/>
                <w:color w:val="auto"/>
              </w:rPr>
            </w:pPr>
          </w:p>
        </w:tc>
        <w:tc>
          <w:tcPr>
            <w:tcW w:w="1080" w:type="dxa"/>
            <w:vAlign w:val="bottom"/>
            <w:vMerge w:val="continue"/>
            <w:shd w:val="clear" w:color="auto" w:fill="0076A8"/>
          </w:tcPr>
          <w:p>
            <w:pPr>
              <w:spacing w:after="0"/>
              <w:rPr>
                <w:sz w:val="11"/>
                <w:szCs w:val="11"/>
                <w:color w:val="auto"/>
              </w:rPr>
            </w:pPr>
          </w:p>
        </w:tc>
        <w:tc>
          <w:tcPr>
            <w:tcW w:w="960" w:type="dxa"/>
            <w:vAlign w:val="bottom"/>
            <w:shd w:val="clear" w:color="auto" w:fill="0076A8"/>
          </w:tcPr>
          <w:p>
            <w:pPr>
              <w:jc w:val="center"/>
              <w:spacing w:after="0" w:line="135" w:lineRule="exact"/>
              <w:rPr>
                <w:sz w:val="20"/>
                <w:szCs w:val="20"/>
                <w:color w:val="auto"/>
              </w:rPr>
            </w:pPr>
            <w:r>
              <w:rPr>
                <w:rFonts w:ascii="Arial" w:cs="Arial" w:eastAsia="Arial" w:hAnsi="Arial"/>
                <w:sz w:val="14"/>
                <w:szCs w:val="14"/>
                <w:color w:val="FFFFFF"/>
              </w:rPr>
              <w:t>Awards:</w:t>
            </w:r>
          </w:p>
        </w:tc>
        <w:tc>
          <w:tcPr>
            <w:tcW w:w="0" w:type="dxa"/>
            <w:vAlign w:val="bottom"/>
          </w:tcPr>
          <w:p>
            <w:pPr>
              <w:spacing w:after="0"/>
              <w:rPr>
                <w:sz w:val="1"/>
                <w:szCs w:val="1"/>
                <w:color w:val="auto"/>
              </w:rPr>
            </w:pPr>
          </w:p>
        </w:tc>
      </w:tr>
      <w:tr>
        <w:trPr>
          <w:trHeight w:val="135"/>
        </w:trPr>
        <w:tc>
          <w:tcPr>
            <w:tcW w:w="1200" w:type="dxa"/>
            <w:vAlign w:val="bottom"/>
            <w:shd w:val="clear" w:color="auto" w:fill="0076A8"/>
          </w:tcPr>
          <w:p>
            <w:pPr>
              <w:spacing w:after="0"/>
              <w:rPr>
                <w:sz w:val="11"/>
                <w:szCs w:val="11"/>
                <w:color w:val="auto"/>
              </w:rPr>
            </w:pPr>
          </w:p>
        </w:tc>
        <w:tc>
          <w:tcPr>
            <w:tcW w:w="1080" w:type="dxa"/>
            <w:vAlign w:val="bottom"/>
            <w:shd w:val="clear" w:color="auto" w:fill="0076A8"/>
          </w:tcPr>
          <w:p>
            <w:pPr>
              <w:spacing w:after="0"/>
              <w:rPr>
                <w:sz w:val="11"/>
                <w:szCs w:val="11"/>
                <w:color w:val="auto"/>
              </w:rPr>
            </w:pPr>
          </w:p>
        </w:tc>
        <w:tc>
          <w:tcPr>
            <w:tcW w:w="1140" w:type="dxa"/>
            <w:vAlign w:val="bottom"/>
            <w:shd w:val="clear" w:color="auto" w:fill="0076A8"/>
          </w:tcPr>
          <w:p>
            <w:pPr>
              <w:spacing w:after="0"/>
              <w:rPr>
                <w:sz w:val="11"/>
                <w:szCs w:val="11"/>
                <w:color w:val="auto"/>
              </w:rPr>
            </w:pPr>
          </w:p>
        </w:tc>
        <w:tc>
          <w:tcPr>
            <w:tcW w:w="820" w:type="dxa"/>
            <w:vAlign w:val="bottom"/>
            <w:shd w:val="clear" w:color="auto" w:fill="0076A8"/>
          </w:tcPr>
          <w:p>
            <w:pPr>
              <w:spacing w:after="0"/>
              <w:rPr>
                <w:sz w:val="11"/>
                <w:szCs w:val="11"/>
                <w:color w:val="auto"/>
              </w:rPr>
            </w:pPr>
          </w:p>
        </w:tc>
        <w:tc>
          <w:tcPr>
            <w:tcW w:w="1020" w:type="dxa"/>
            <w:vAlign w:val="bottom"/>
            <w:shd w:val="clear" w:color="auto" w:fill="0076A8"/>
          </w:tcPr>
          <w:p>
            <w:pPr>
              <w:spacing w:after="0"/>
              <w:rPr>
                <w:sz w:val="11"/>
                <w:szCs w:val="11"/>
                <w:color w:val="auto"/>
              </w:rPr>
            </w:pPr>
          </w:p>
        </w:tc>
        <w:tc>
          <w:tcPr>
            <w:tcW w:w="1000" w:type="dxa"/>
            <w:vAlign w:val="bottom"/>
            <w:vMerge w:val="restart"/>
            <w:shd w:val="clear" w:color="auto" w:fill="0076A8"/>
          </w:tcPr>
          <w:p>
            <w:pPr>
              <w:jc w:val="center"/>
              <w:spacing w:after="0"/>
              <w:rPr>
                <w:sz w:val="20"/>
                <w:szCs w:val="20"/>
                <w:color w:val="auto"/>
              </w:rPr>
            </w:pPr>
            <w:r>
              <w:rPr>
                <w:rFonts w:ascii="Arial" w:cs="Arial" w:eastAsia="Arial" w:hAnsi="Arial"/>
                <w:sz w:val="14"/>
                <w:szCs w:val="14"/>
                <w:color w:val="FFFFFF"/>
              </w:rPr>
              <w:t>Number</w:t>
            </w:r>
          </w:p>
        </w:tc>
        <w:tc>
          <w:tcPr>
            <w:tcW w:w="1100" w:type="dxa"/>
            <w:vAlign w:val="bottom"/>
            <w:shd w:val="clear" w:color="auto" w:fill="0076A8"/>
          </w:tcPr>
          <w:p>
            <w:pPr>
              <w:spacing w:after="0"/>
              <w:rPr>
                <w:sz w:val="11"/>
                <w:szCs w:val="11"/>
                <w:color w:val="auto"/>
              </w:rPr>
            </w:pPr>
          </w:p>
        </w:tc>
        <w:tc>
          <w:tcPr>
            <w:tcW w:w="1080" w:type="dxa"/>
            <w:vAlign w:val="bottom"/>
            <w:shd w:val="clear" w:color="auto" w:fill="0076A8"/>
          </w:tcPr>
          <w:p>
            <w:pPr>
              <w:jc w:val="right"/>
              <w:ind w:right="208"/>
              <w:spacing w:after="0" w:line="135" w:lineRule="exact"/>
              <w:rPr>
                <w:sz w:val="20"/>
                <w:szCs w:val="20"/>
                <w:color w:val="auto"/>
              </w:rPr>
            </w:pPr>
            <w:r>
              <w:rPr>
                <w:rFonts w:ascii="Arial" w:cs="Arial" w:eastAsia="Arial" w:hAnsi="Arial"/>
                <w:sz w:val="14"/>
                <w:szCs w:val="14"/>
                <w:color w:val="FFFFFF"/>
              </w:rPr>
              <w:t>Incentive</w:t>
            </w:r>
          </w:p>
        </w:tc>
        <w:tc>
          <w:tcPr>
            <w:tcW w:w="960" w:type="dxa"/>
            <w:vAlign w:val="bottom"/>
            <w:shd w:val="clear" w:color="auto" w:fill="0076A8"/>
          </w:tcPr>
          <w:p>
            <w:pPr>
              <w:jc w:val="center"/>
              <w:spacing w:after="0" w:line="135" w:lineRule="exact"/>
              <w:rPr>
                <w:sz w:val="20"/>
                <w:szCs w:val="20"/>
                <w:color w:val="auto"/>
              </w:rPr>
            </w:pPr>
            <w:r>
              <w:rPr>
                <w:rFonts w:ascii="Arial" w:cs="Arial" w:eastAsia="Arial" w:hAnsi="Arial"/>
                <w:sz w:val="14"/>
                <w:szCs w:val="14"/>
                <w:color w:val="FFFFFF"/>
              </w:rPr>
              <w:t>Market or</w:t>
            </w:r>
          </w:p>
        </w:tc>
        <w:tc>
          <w:tcPr>
            <w:tcW w:w="0" w:type="dxa"/>
            <w:vAlign w:val="bottom"/>
          </w:tcPr>
          <w:p>
            <w:pPr>
              <w:spacing w:after="0"/>
              <w:rPr>
                <w:sz w:val="1"/>
                <w:szCs w:val="1"/>
                <w:color w:val="auto"/>
              </w:rPr>
            </w:pPr>
          </w:p>
        </w:tc>
      </w:tr>
      <w:tr>
        <w:trPr>
          <w:trHeight w:val="135"/>
        </w:trPr>
        <w:tc>
          <w:tcPr>
            <w:tcW w:w="1200" w:type="dxa"/>
            <w:vAlign w:val="bottom"/>
            <w:shd w:val="clear" w:color="auto" w:fill="0076A8"/>
          </w:tcPr>
          <w:p>
            <w:pPr>
              <w:spacing w:after="0"/>
              <w:rPr>
                <w:sz w:val="11"/>
                <w:szCs w:val="11"/>
                <w:color w:val="auto"/>
              </w:rPr>
            </w:pPr>
          </w:p>
        </w:tc>
        <w:tc>
          <w:tcPr>
            <w:tcW w:w="1080" w:type="dxa"/>
            <w:vAlign w:val="bottom"/>
            <w:shd w:val="clear" w:color="auto" w:fill="0076A8"/>
          </w:tcPr>
          <w:p>
            <w:pPr>
              <w:spacing w:after="0"/>
              <w:rPr>
                <w:sz w:val="11"/>
                <w:szCs w:val="11"/>
                <w:color w:val="auto"/>
              </w:rPr>
            </w:pPr>
          </w:p>
        </w:tc>
        <w:tc>
          <w:tcPr>
            <w:tcW w:w="1140" w:type="dxa"/>
            <w:vAlign w:val="bottom"/>
            <w:shd w:val="clear" w:color="auto" w:fill="0076A8"/>
          </w:tcPr>
          <w:p>
            <w:pPr>
              <w:spacing w:after="0"/>
              <w:rPr>
                <w:sz w:val="11"/>
                <w:szCs w:val="11"/>
                <w:color w:val="auto"/>
              </w:rPr>
            </w:pPr>
          </w:p>
        </w:tc>
        <w:tc>
          <w:tcPr>
            <w:tcW w:w="820" w:type="dxa"/>
            <w:vAlign w:val="bottom"/>
            <w:shd w:val="clear" w:color="auto" w:fill="0076A8"/>
          </w:tcPr>
          <w:p>
            <w:pPr>
              <w:spacing w:after="0"/>
              <w:rPr>
                <w:sz w:val="11"/>
                <w:szCs w:val="11"/>
                <w:color w:val="auto"/>
              </w:rPr>
            </w:pPr>
          </w:p>
        </w:tc>
        <w:tc>
          <w:tcPr>
            <w:tcW w:w="1020" w:type="dxa"/>
            <w:vAlign w:val="bottom"/>
            <w:shd w:val="clear" w:color="auto" w:fill="0076A8"/>
          </w:tcPr>
          <w:p>
            <w:pPr>
              <w:spacing w:after="0"/>
              <w:rPr>
                <w:sz w:val="11"/>
                <w:szCs w:val="11"/>
                <w:color w:val="auto"/>
              </w:rPr>
            </w:pPr>
          </w:p>
        </w:tc>
        <w:tc>
          <w:tcPr>
            <w:tcW w:w="1000" w:type="dxa"/>
            <w:vAlign w:val="bottom"/>
            <w:vMerge w:val="continue"/>
            <w:shd w:val="clear" w:color="auto" w:fill="0076A8"/>
          </w:tcPr>
          <w:p>
            <w:pPr>
              <w:spacing w:after="0"/>
              <w:rPr>
                <w:sz w:val="11"/>
                <w:szCs w:val="11"/>
                <w:color w:val="auto"/>
              </w:rPr>
            </w:pPr>
          </w:p>
        </w:tc>
        <w:tc>
          <w:tcPr>
            <w:tcW w:w="1100" w:type="dxa"/>
            <w:vAlign w:val="bottom"/>
            <w:shd w:val="clear" w:color="auto" w:fill="0076A8"/>
          </w:tcPr>
          <w:p>
            <w:pPr>
              <w:spacing w:after="0"/>
              <w:rPr>
                <w:sz w:val="11"/>
                <w:szCs w:val="11"/>
                <w:color w:val="auto"/>
              </w:rPr>
            </w:pPr>
          </w:p>
        </w:tc>
        <w:tc>
          <w:tcPr>
            <w:tcW w:w="1080" w:type="dxa"/>
            <w:vAlign w:val="bottom"/>
            <w:shd w:val="clear" w:color="auto" w:fill="0076A8"/>
          </w:tcPr>
          <w:p>
            <w:pPr>
              <w:jc w:val="center"/>
              <w:spacing w:after="0" w:line="135" w:lineRule="exact"/>
              <w:rPr>
                <w:sz w:val="20"/>
                <w:szCs w:val="20"/>
                <w:color w:val="auto"/>
              </w:rPr>
            </w:pPr>
            <w:r>
              <w:rPr>
                <w:rFonts w:ascii="Arial" w:cs="Arial" w:eastAsia="Arial" w:hAnsi="Arial"/>
                <w:sz w:val="14"/>
                <w:szCs w:val="14"/>
                <w:color w:val="FFFFFF"/>
              </w:rPr>
              <w:t>Plan</w:t>
            </w:r>
          </w:p>
        </w:tc>
        <w:tc>
          <w:tcPr>
            <w:tcW w:w="960" w:type="dxa"/>
            <w:vAlign w:val="bottom"/>
            <w:shd w:val="clear" w:color="auto" w:fill="0076A8"/>
          </w:tcPr>
          <w:p>
            <w:pPr>
              <w:jc w:val="center"/>
              <w:spacing w:after="0" w:line="135" w:lineRule="exact"/>
              <w:rPr>
                <w:sz w:val="20"/>
                <w:szCs w:val="20"/>
                <w:color w:val="auto"/>
              </w:rPr>
            </w:pPr>
            <w:r>
              <w:rPr>
                <w:rFonts w:ascii="Arial" w:cs="Arial" w:eastAsia="Arial" w:hAnsi="Arial"/>
                <w:sz w:val="14"/>
                <w:szCs w:val="14"/>
                <w:color w:val="FFFFFF"/>
              </w:rPr>
              <w:t>Payout</w:t>
            </w:r>
          </w:p>
        </w:tc>
        <w:tc>
          <w:tcPr>
            <w:tcW w:w="0" w:type="dxa"/>
            <w:vAlign w:val="bottom"/>
          </w:tcPr>
          <w:p>
            <w:pPr>
              <w:spacing w:after="0"/>
              <w:rPr>
                <w:sz w:val="1"/>
                <w:szCs w:val="1"/>
                <w:color w:val="auto"/>
              </w:rPr>
            </w:pPr>
          </w:p>
        </w:tc>
      </w:tr>
      <w:tr>
        <w:trPr>
          <w:trHeight w:val="135"/>
        </w:trPr>
        <w:tc>
          <w:tcPr>
            <w:tcW w:w="1200" w:type="dxa"/>
            <w:vAlign w:val="bottom"/>
            <w:shd w:val="clear" w:color="auto" w:fill="0076A8"/>
          </w:tcPr>
          <w:p>
            <w:pPr>
              <w:spacing w:after="0"/>
              <w:rPr>
                <w:sz w:val="11"/>
                <w:szCs w:val="11"/>
                <w:color w:val="auto"/>
              </w:rPr>
            </w:pPr>
          </w:p>
        </w:tc>
        <w:tc>
          <w:tcPr>
            <w:tcW w:w="1080" w:type="dxa"/>
            <w:vAlign w:val="bottom"/>
            <w:shd w:val="clear" w:color="auto" w:fill="0076A8"/>
          </w:tcPr>
          <w:p>
            <w:pPr>
              <w:spacing w:after="0"/>
              <w:rPr>
                <w:sz w:val="11"/>
                <w:szCs w:val="11"/>
                <w:color w:val="auto"/>
              </w:rPr>
            </w:pPr>
          </w:p>
        </w:tc>
        <w:tc>
          <w:tcPr>
            <w:tcW w:w="1140" w:type="dxa"/>
            <w:vAlign w:val="bottom"/>
            <w:shd w:val="clear" w:color="auto" w:fill="0076A8"/>
          </w:tcPr>
          <w:p>
            <w:pPr>
              <w:spacing w:after="0"/>
              <w:rPr>
                <w:sz w:val="11"/>
                <w:szCs w:val="11"/>
                <w:color w:val="auto"/>
              </w:rPr>
            </w:pPr>
          </w:p>
        </w:tc>
        <w:tc>
          <w:tcPr>
            <w:tcW w:w="820" w:type="dxa"/>
            <w:vAlign w:val="bottom"/>
            <w:shd w:val="clear" w:color="auto" w:fill="0076A8"/>
          </w:tcPr>
          <w:p>
            <w:pPr>
              <w:spacing w:after="0"/>
              <w:rPr>
                <w:sz w:val="11"/>
                <w:szCs w:val="11"/>
                <w:color w:val="auto"/>
              </w:rPr>
            </w:pPr>
          </w:p>
        </w:tc>
        <w:tc>
          <w:tcPr>
            <w:tcW w:w="1020" w:type="dxa"/>
            <w:vAlign w:val="bottom"/>
            <w:shd w:val="clear" w:color="auto" w:fill="0076A8"/>
          </w:tcPr>
          <w:p>
            <w:pPr>
              <w:spacing w:after="0"/>
              <w:rPr>
                <w:sz w:val="11"/>
                <w:szCs w:val="11"/>
                <w:color w:val="auto"/>
              </w:rPr>
            </w:pPr>
          </w:p>
        </w:tc>
        <w:tc>
          <w:tcPr>
            <w:tcW w:w="1000" w:type="dxa"/>
            <w:vAlign w:val="bottom"/>
            <w:shd w:val="clear" w:color="auto" w:fill="0076A8"/>
          </w:tcPr>
          <w:p>
            <w:pPr>
              <w:jc w:val="center"/>
              <w:spacing w:after="0" w:line="135" w:lineRule="exact"/>
              <w:rPr>
                <w:sz w:val="20"/>
                <w:szCs w:val="20"/>
                <w:color w:val="auto"/>
              </w:rPr>
            </w:pPr>
            <w:r>
              <w:rPr>
                <w:rFonts w:ascii="Arial" w:cs="Arial" w:eastAsia="Arial" w:hAnsi="Arial"/>
                <w:sz w:val="14"/>
                <w:szCs w:val="14"/>
                <w:color w:val="FFFFFF"/>
              </w:rPr>
              <w:t>of Shares</w:t>
            </w:r>
          </w:p>
        </w:tc>
        <w:tc>
          <w:tcPr>
            <w:tcW w:w="1100" w:type="dxa"/>
            <w:vAlign w:val="bottom"/>
            <w:vMerge w:val="restart"/>
            <w:shd w:val="clear" w:color="auto" w:fill="0076A8"/>
          </w:tcPr>
          <w:p>
            <w:pPr>
              <w:jc w:val="center"/>
              <w:spacing w:after="0"/>
              <w:rPr>
                <w:sz w:val="20"/>
                <w:szCs w:val="20"/>
                <w:color w:val="auto"/>
              </w:rPr>
            </w:pPr>
            <w:r>
              <w:rPr>
                <w:rFonts w:ascii="Arial" w:cs="Arial" w:eastAsia="Arial" w:hAnsi="Arial"/>
                <w:sz w:val="14"/>
                <w:szCs w:val="14"/>
                <w:color w:val="FFFFFF"/>
              </w:rPr>
              <w:t>Market Value</w:t>
            </w:r>
          </w:p>
        </w:tc>
        <w:tc>
          <w:tcPr>
            <w:tcW w:w="1080" w:type="dxa"/>
            <w:vAlign w:val="bottom"/>
            <w:shd w:val="clear" w:color="auto" w:fill="0076A8"/>
          </w:tcPr>
          <w:p>
            <w:pPr>
              <w:jc w:val="center"/>
              <w:spacing w:after="0" w:line="135" w:lineRule="exact"/>
              <w:rPr>
                <w:sz w:val="20"/>
                <w:szCs w:val="20"/>
                <w:color w:val="auto"/>
              </w:rPr>
            </w:pPr>
            <w:r>
              <w:rPr>
                <w:rFonts w:ascii="Arial" w:cs="Arial" w:eastAsia="Arial" w:hAnsi="Arial"/>
                <w:sz w:val="14"/>
                <w:szCs w:val="14"/>
                <w:color w:val="FFFFFF"/>
              </w:rPr>
              <w:t>Awards:</w:t>
            </w:r>
          </w:p>
        </w:tc>
        <w:tc>
          <w:tcPr>
            <w:tcW w:w="960" w:type="dxa"/>
            <w:vAlign w:val="bottom"/>
            <w:shd w:val="clear" w:color="auto" w:fill="0076A8"/>
          </w:tcPr>
          <w:p>
            <w:pPr>
              <w:jc w:val="center"/>
              <w:spacing w:after="0" w:line="135" w:lineRule="exact"/>
              <w:rPr>
                <w:sz w:val="20"/>
                <w:szCs w:val="20"/>
                <w:color w:val="auto"/>
              </w:rPr>
            </w:pPr>
            <w:r>
              <w:rPr>
                <w:rFonts w:ascii="Arial" w:cs="Arial" w:eastAsia="Arial" w:hAnsi="Arial"/>
                <w:sz w:val="14"/>
                <w:szCs w:val="14"/>
                <w:color w:val="FFFFFF"/>
              </w:rPr>
              <w:t>Value of</w:t>
            </w:r>
          </w:p>
        </w:tc>
        <w:tc>
          <w:tcPr>
            <w:tcW w:w="0" w:type="dxa"/>
            <w:vAlign w:val="bottom"/>
          </w:tcPr>
          <w:p>
            <w:pPr>
              <w:spacing w:after="0"/>
              <w:rPr>
                <w:sz w:val="1"/>
                <w:szCs w:val="1"/>
                <w:color w:val="auto"/>
              </w:rPr>
            </w:pPr>
          </w:p>
        </w:tc>
      </w:tr>
      <w:tr>
        <w:trPr>
          <w:trHeight w:val="135"/>
        </w:trPr>
        <w:tc>
          <w:tcPr>
            <w:tcW w:w="1200" w:type="dxa"/>
            <w:vAlign w:val="bottom"/>
            <w:shd w:val="clear" w:color="auto" w:fill="0076A8"/>
          </w:tcPr>
          <w:p>
            <w:pPr>
              <w:spacing w:after="0"/>
              <w:rPr>
                <w:sz w:val="11"/>
                <w:szCs w:val="11"/>
                <w:color w:val="auto"/>
              </w:rPr>
            </w:pPr>
          </w:p>
        </w:tc>
        <w:tc>
          <w:tcPr>
            <w:tcW w:w="1080" w:type="dxa"/>
            <w:vAlign w:val="bottom"/>
            <w:vMerge w:val="restart"/>
            <w:shd w:val="clear" w:color="auto" w:fill="0076A8"/>
          </w:tcPr>
          <w:p>
            <w:pPr>
              <w:jc w:val="center"/>
              <w:spacing w:after="0"/>
              <w:rPr>
                <w:sz w:val="20"/>
                <w:szCs w:val="20"/>
                <w:color w:val="auto"/>
              </w:rPr>
            </w:pPr>
            <w:r>
              <w:rPr>
                <w:rFonts w:ascii="Arial" w:cs="Arial" w:eastAsia="Arial" w:hAnsi="Arial"/>
                <w:sz w:val="14"/>
                <w:szCs w:val="14"/>
                <w:color w:val="FFFFFF"/>
              </w:rPr>
              <w:t>Number of</w:t>
            </w:r>
          </w:p>
        </w:tc>
        <w:tc>
          <w:tcPr>
            <w:tcW w:w="1140" w:type="dxa"/>
            <w:vAlign w:val="bottom"/>
            <w:vMerge w:val="restart"/>
            <w:shd w:val="clear" w:color="auto" w:fill="0076A8"/>
          </w:tcPr>
          <w:p>
            <w:pPr>
              <w:jc w:val="center"/>
              <w:spacing w:after="0"/>
              <w:rPr>
                <w:sz w:val="20"/>
                <w:szCs w:val="20"/>
                <w:color w:val="auto"/>
              </w:rPr>
            </w:pPr>
            <w:r>
              <w:rPr>
                <w:rFonts w:ascii="Arial" w:cs="Arial" w:eastAsia="Arial" w:hAnsi="Arial"/>
                <w:sz w:val="14"/>
                <w:szCs w:val="14"/>
                <w:color w:val="FFFFFF"/>
              </w:rPr>
              <w:t>Number of</w:t>
            </w:r>
          </w:p>
        </w:tc>
        <w:tc>
          <w:tcPr>
            <w:tcW w:w="820" w:type="dxa"/>
            <w:vAlign w:val="bottom"/>
            <w:shd w:val="clear" w:color="auto" w:fill="0076A8"/>
          </w:tcPr>
          <w:p>
            <w:pPr>
              <w:spacing w:after="0"/>
              <w:rPr>
                <w:sz w:val="11"/>
                <w:szCs w:val="11"/>
                <w:color w:val="auto"/>
              </w:rPr>
            </w:pPr>
          </w:p>
        </w:tc>
        <w:tc>
          <w:tcPr>
            <w:tcW w:w="1020" w:type="dxa"/>
            <w:vAlign w:val="bottom"/>
            <w:shd w:val="clear" w:color="auto" w:fill="0076A8"/>
          </w:tcPr>
          <w:p>
            <w:pPr>
              <w:spacing w:after="0"/>
              <w:rPr>
                <w:sz w:val="11"/>
                <w:szCs w:val="11"/>
                <w:color w:val="auto"/>
              </w:rPr>
            </w:pPr>
          </w:p>
        </w:tc>
        <w:tc>
          <w:tcPr>
            <w:tcW w:w="1000" w:type="dxa"/>
            <w:vAlign w:val="bottom"/>
            <w:shd w:val="clear" w:color="auto" w:fill="0076A8"/>
          </w:tcPr>
          <w:p>
            <w:pPr>
              <w:jc w:val="center"/>
              <w:spacing w:after="0" w:line="135" w:lineRule="exact"/>
              <w:rPr>
                <w:sz w:val="20"/>
                <w:szCs w:val="20"/>
                <w:color w:val="auto"/>
              </w:rPr>
            </w:pPr>
            <w:r>
              <w:rPr>
                <w:rFonts w:ascii="Arial" w:cs="Arial" w:eastAsia="Arial" w:hAnsi="Arial"/>
                <w:sz w:val="14"/>
                <w:szCs w:val="14"/>
                <w:color w:val="FFFFFF"/>
              </w:rPr>
              <w:t>or Units</w:t>
            </w:r>
          </w:p>
        </w:tc>
        <w:tc>
          <w:tcPr>
            <w:tcW w:w="1100" w:type="dxa"/>
            <w:vAlign w:val="bottom"/>
            <w:vMerge w:val="continue"/>
            <w:shd w:val="clear" w:color="auto" w:fill="0076A8"/>
          </w:tcPr>
          <w:p>
            <w:pPr>
              <w:spacing w:after="0"/>
              <w:rPr>
                <w:sz w:val="11"/>
                <w:szCs w:val="11"/>
                <w:color w:val="auto"/>
              </w:rPr>
            </w:pPr>
          </w:p>
        </w:tc>
        <w:tc>
          <w:tcPr>
            <w:tcW w:w="1080" w:type="dxa"/>
            <w:vAlign w:val="bottom"/>
            <w:shd w:val="clear" w:color="auto" w:fill="0076A8"/>
          </w:tcPr>
          <w:p>
            <w:pPr>
              <w:jc w:val="center"/>
              <w:spacing w:after="0" w:line="135" w:lineRule="exact"/>
              <w:rPr>
                <w:sz w:val="20"/>
                <w:szCs w:val="20"/>
                <w:color w:val="auto"/>
              </w:rPr>
            </w:pPr>
            <w:r>
              <w:rPr>
                <w:rFonts w:ascii="Arial" w:cs="Arial" w:eastAsia="Arial" w:hAnsi="Arial"/>
                <w:sz w:val="14"/>
                <w:szCs w:val="14"/>
                <w:color w:val="FFFFFF"/>
              </w:rPr>
              <w:t>Number of</w:t>
            </w:r>
          </w:p>
        </w:tc>
        <w:tc>
          <w:tcPr>
            <w:tcW w:w="960" w:type="dxa"/>
            <w:vAlign w:val="bottom"/>
            <w:shd w:val="clear" w:color="auto" w:fill="0076A8"/>
          </w:tcPr>
          <w:p>
            <w:pPr>
              <w:jc w:val="center"/>
              <w:spacing w:after="0" w:line="135" w:lineRule="exact"/>
              <w:rPr>
                <w:sz w:val="20"/>
                <w:szCs w:val="20"/>
                <w:color w:val="auto"/>
              </w:rPr>
            </w:pPr>
            <w:r>
              <w:rPr>
                <w:rFonts w:ascii="Arial" w:cs="Arial" w:eastAsia="Arial" w:hAnsi="Arial"/>
                <w:sz w:val="14"/>
                <w:szCs w:val="14"/>
                <w:color w:val="FFFFFF"/>
              </w:rPr>
              <w:t>Unearned</w:t>
            </w:r>
          </w:p>
        </w:tc>
        <w:tc>
          <w:tcPr>
            <w:tcW w:w="0" w:type="dxa"/>
            <w:vAlign w:val="bottom"/>
          </w:tcPr>
          <w:p>
            <w:pPr>
              <w:spacing w:after="0"/>
              <w:rPr>
                <w:sz w:val="1"/>
                <w:szCs w:val="1"/>
                <w:color w:val="auto"/>
              </w:rPr>
            </w:pPr>
          </w:p>
        </w:tc>
      </w:tr>
      <w:tr>
        <w:trPr>
          <w:trHeight w:val="135"/>
        </w:trPr>
        <w:tc>
          <w:tcPr>
            <w:tcW w:w="1200" w:type="dxa"/>
            <w:vAlign w:val="bottom"/>
            <w:shd w:val="clear" w:color="auto" w:fill="0076A8"/>
          </w:tcPr>
          <w:p>
            <w:pPr>
              <w:spacing w:after="0"/>
              <w:rPr>
                <w:sz w:val="11"/>
                <w:szCs w:val="11"/>
                <w:color w:val="auto"/>
              </w:rPr>
            </w:pPr>
          </w:p>
        </w:tc>
        <w:tc>
          <w:tcPr>
            <w:tcW w:w="1080" w:type="dxa"/>
            <w:vAlign w:val="bottom"/>
            <w:vMerge w:val="continue"/>
            <w:shd w:val="clear" w:color="auto" w:fill="0076A8"/>
          </w:tcPr>
          <w:p>
            <w:pPr>
              <w:spacing w:after="0"/>
              <w:rPr>
                <w:sz w:val="11"/>
                <w:szCs w:val="11"/>
                <w:color w:val="auto"/>
              </w:rPr>
            </w:pPr>
          </w:p>
        </w:tc>
        <w:tc>
          <w:tcPr>
            <w:tcW w:w="1140" w:type="dxa"/>
            <w:vAlign w:val="bottom"/>
            <w:vMerge w:val="continue"/>
            <w:shd w:val="clear" w:color="auto" w:fill="0076A8"/>
          </w:tcPr>
          <w:p>
            <w:pPr>
              <w:spacing w:after="0"/>
              <w:rPr>
                <w:sz w:val="11"/>
                <w:szCs w:val="11"/>
                <w:color w:val="auto"/>
              </w:rPr>
            </w:pPr>
          </w:p>
        </w:tc>
        <w:tc>
          <w:tcPr>
            <w:tcW w:w="820" w:type="dxa"/>
            <w:vAlign w:val="bottom"/>
            <w:shd w:val="clear" w:color="auto" w:fill="0076A8"/>
          </w:tcPr>
          <w:p>
            <w:pPr>
              <w:spacing w:after="0"/>
              <w:rPr>
                <w:sz w:val="11"/>
                <w:szCs w:val="11"/>
                <w:color w:val="auto"/>
              </w:rPr>
            </w:pPr>
          </w:p>
        </w:tc>
        <w:tc>
          <w:tcPr>
            <w:tcW w:w="1020" w:type="dxa"/>
            <w:vAlign w:val="bottom"/>
            <w:shd w:val="clear" w:color="auto" w:fill="0076A8"/>
          </w:tcPr>
          <w:p>
            <w:pPr>
              <w:spacing w:after="0"/>
              <w:rPr>
                <w:sz w:val="11"/>
                <w:szCs w:val="11"/>
                <w:color w:val="auto"/>
              </w:rPr>
            </w:pPr>
          </w:p>
        </w:tc>
        <w:tc>
          <w:tcPr>
            <w:tcW w:w="1000" w:type="dxa"/>
            <w:vAlign w:val="bottom"/>
            <w:shd w:val="clear" w:color="auto" w:fill="0076A8"/>
          </w:tcPr>
          <w:p>
            <w:pPr>
              <w:jc w:val="center"/>
              <w:spacing w:after="0" w:line="135" w:lineRule="exact"/>
              <w:rPr>
                <w:sz w:val="20"/>
                <w:szCs w:val="20"/>
                <w:color w:val="auto"/>
              </w:rPr>
            </w:pPr>
            <w:r>
              <w:rPr>
                <w:rFonts w:ascii="Arial" w:cs="Arial" w:eastAsia="Arial" w:hAnsi="Arial"/>
                <w:sz w:val="14"/>
                <w:szCs w:val="14"/>
                <w:color w:val="FFFFFF"/>
              </w:rPr>
              <w:t>of Stock</w:t>
            </w:r>
          </w:p>
        </w:tc>
        <w:tc>
          <w:tcPr>
            <w:tcW w:w="1100" w:type="dxa"/>
            <w:vAlign w:val="bottom"/>
            <w:shd w:val="clear" w:color="auto" w:fill="0076A8"/>
          </w:tcPr>
          <w:p>
            <w:pPr>
              <w:jc w:val="center"/>
              <w:spacing w:after="0" w:line="135" w:lineRule="exact"/>
              <w:rPr>
                <w:sz w:val="20"/>
                <w:szCs w:val="20"/>
                <w:color w:val="auto"/>
              </w:rPr>
            </w:pPr>
            <w:r>
              <w:rPr>
                <w:rFonts w:ascii="Arial" w:cs="Arial" w:eastAsia="Arial" w:hAnsi="Arial"/>
                <w:sz w:val="14"/>
                <w:szCs w:val="14"/>
                <w:color w:val="FFFFFF"/>
              </w:rPr>
              <w:t>of Shares or</w:t>
            </w:r>
          </w:p>
        </w:tc>
        <w:tc>
          <w:tcPr>
            <w:tcW w:w="1080" w:type="dxa"/>
            <w:vAlign w:val="bottom"/>
            <w:shd w:val="clear" w:color="auto" w:fill="0076A8"/>
          </w:tcPr>
          <w:p>
            <w:pPr>
              <w:jc w:val="center"/>
              <w:spacing w:after="0" w:line="135" w:lineRule="exact"/>
              <w:rPr>
                <w:sz w:val="20"/>
                <w:szCs w:val="20"/>
                <w:color w:val="auto"/>
              </w:rPr>
            </w:pPr>
            <w:r>
              <w:rPr>
                <w:rFonts w:ascii="Arial" w:cs="Arial" w:eastAsia="Arial" w:hAnsi="Arial"/>
                <w:sz w:val="14"/>
                <w:szCs w:val="14"/>
                <w:color w:val="FFFFFF"/>
              </w:rPr>
              <w:t>Unearned</w:t>
            </w:r>
          </w:p>
        </w:tc>
        <w:tc>
          <w:tcPr>
            <w:tcW w:w="960" w:type="dxa"/>
            <w:vAlign w:val="bottom"/>
            <w:shd w:val="clear" w:color="auto" w:fill="0076A8"/>
          </w:tcPr>
          <w:p>
            <w:pPr>
              <w:jc w:val="center"/>
              <w:spacing w:after="0" w:line="135" w:lineRule="exact"/>
              <w:rPr>
                <w:sz w:val="20"/>
                <w:szCs w:val="20"/>
                <w:color w:val="auto"/>
              </w:rPr>
            </w:pPr>
            <w:r>
              <w:rPr>
                <w:rFonts w:ascii="Arial" w:cs="Arial" w:eastAsia="Arial" w:hAnsi="Arial"/>
                <w:sz w:val="14"/>
                <w:szCs w:val="14"/>
                <w:color w:val="FFFFFF"/>
              </w:rPr>
              <w:t>Shares,</w:t>
            </w:r>
          </w:p>
        </w:tc>
        <w:tc>
          <w:tcPr>
            <w:tcW w:w="0" w:type="dxa"/>
            <w:vAlign w:val="bottom"/>
          </w:tcPr>
          <w:p>
            <w:pPr>
              <w:spacing w:after="0"/>
              <w:rPr>
                <w:sz w:val="1"/>
                <w:szCs w:val="1"/>
                <w:color w:val="auto"/>
              </w:rPr>
            </w:pPr>
          </w:p>
        </w:tc>
      </w:tr>
      <w:tr>
        <w:trPr>
          <w:trHeight w:val="135"/>
        </w:trPr>
        <w:tc>
          <w:tcPr>
            <w:tcW w:w="1200" w:type="dxa"/>
            <w:vAlign w:val="bottom"/>
            <w:shd w:val="clear" w:color="auto" w:fill="0076A8"/>
          </w:tcPr>
          <w:p>
            <w:pPr>
              <w:spacing w:after="0"/>
              <w:rPr>
                <w:sz w:val="11"/>
                <w:szCs w:val="11"/>
                <w:color w:val="auto"/>
              </w:rPr>
            </w:pPr>
          </w:p>
        </w:tc>
        <w:tc>
          <w:tcPr>
            <w:tcW w:w="1080" w:type="dxa"/>
            <w:vAlign w:val="bottom"/>
            <w:shd w:val="clear" w:color="auto" w:fill="0076A8"/>
          </w:tcPr>
          <w:p>
            <w:pPr>
              <w:jc w:val="center"/>
              <w:spacing w:after="0" w:line="135" w:lineRule="exact"/>
              <w:rPr>
                <w:sz w:val="20"/>
                <w:szCs w:val="20"/>
                <w:color w:val="auto"/>
              </w:rPr>
            </w:pPr>
            <w:r>
              <w:rPr>
                <w:rFonts w:ascii="Arial" w:cs="Arial" w:eastAsia="Arial" w:hAnsi="Arial"/>
                <w:sz w:val="14"/>
                <w:szCs w:val="14"/>
                <w:color w:val="FFFFFF"/>
              </w:rPr>
              <w:t>Securities</w:t>
            </w:r>
          </w:p>
        </w:tc>
        <w:tc>
          <w:tcPr>
            <w:tcW w:w="1140" w:type="dxa"/>
            <w:vAlign w:val="bottom"/>
            <w:shd w:val="clear" w:color="auto" w:fill="0076A8"/>
          </w:tcPr>
          <w:p>
            <w:pPr>
              <w:jc w:val="center"/>
              <w:spacing w:after="0" w:line="135" w:lineRule="exact"/>
              <w:rPr>
                <w:sz w:val="20"/>
                <w:szCs w:val="20"/>
                <w:color w:val="auto"/>
              </w:rPr>
            </w:pPr>
            <w:r>
              <w:rPr>
                <w:rFonts w:ascii="Arial" w:cs="Arial" w:eastAsia="Arial" w:hAnsi="Arial"/>
                <w:sz w:val="14"/>
                <w:szCs w:val="14"/>
                <w:color w:val="FFFFFF"/>
              </w:rPr>
              <w:t>Securities</w:t>
            </w:r>
          </w:p>
        </w:tc>
        <w:tc>
          <w:tcPr>
            <w:tcW w:w="820" w:type="dxa"/>
            <w:vAlign w:val="bottom"/>
            <w:shd w:val="clear" w:color="auto" w:fill="0076A8"/>
          </w:tcPr>
          <w:p>
            <w:pPr>
              <w:spacing w:after="0"/>
              <w:rPr>
                <w:sz w:val="11"/>
                <w:szCs w:val="11"/>
                <w:color w:val="auto"/>
              </w:rPr>
            </w:pPr>
          </w:p>
        </w:tc>
        <w:tc>
          <w:tcPr>
            <w:tcW w:w="1020" w:type="dxa"/>
            <w:vAlign w:val="bottom"/>
            <w:shd w:val="clear" w:color="auto" w:fill="0076A8"/>
          </w:tcPr>
          <w:p>
            <w:pPr>
              <w:spacing w:after="0"/>
              <w:rPr>
                <w:sz w:val="11"/>
                <w:szCs w:val="11"/>
                <w:color w:val="auto"/>
              </w:rPr>
            </w:pPr>
          </w:p>
        </w:tc>
        <w:tc>
          <w:tcPr>
            <w:tcW w:w="1000" w:type="dxa"/>
            <w:vAlign w:val="bottom"/>
            <w:shd w:val="clear" w:color="auto" w:fill="0076A8"/>
          </w:tcPr>
          <w:p>
            <w:pPr>
              <w:jc w:val="center"/>
              <w:spacing w:after="0" w:line="135" w:lineRule="exact"/>
              <w:rPr>
                <w:sz w:val="20"/>
                <w:szCs w:val="20"/>
                <w:color w:val="auto"/>
              </w:rPr>
            </w:pPr>
            <w:r>
              <w:rPr>
                <w:rFonts w:ascii="Arial" w:cs="Arial" w:eastAsia="Arial" w:hAnsi="Arial"/>
                <w:sz w:val="14"/>
                <w:szCs w:val="14"/>
                <w:color w:val="FFFFFF"/>
              </w:rPr>
              <w:t>that</w:t>
            </w:r>
          </w:p>
        </w:tc>
        <w:tc>
          <w:tcPr>
            <w:tcW w:w="1100" w:type="dxa"/>
            <w:vAlign w:val="bottom"/>
            <w:shd w:val="clear" w:color="auto" w:fill="0076A8"/>
          </w:tcPr>
          <w:p>
            <w:pPr>
              <w:jc w:val="center"/>
              <w:spacing w:after="0" w:line="135" w:lineRule="exact"/>
              <w:rPr>
                <w:sz w:val="20"/>
                <w:szCs w:val="20"/>
                <w:color w:val="auto"/>
              </w:rPr>
            </w:pPr>
            <w:r>
              <w:rPr>
                <w:rFonts w:ascii="Arial" w:cs="Arial" w:eastAsia="Arial" w:hAnsi="Arial"/>
                <w:sz w:val="14"/>
                <w:szCs w:val="14"/>
                <w:color w:val="FFFFFF"/>
              </w:rPr>
              <w:t>Units of</w:t>
            </w:r>
          </w:p>
        </w:tc>
        <w:tc>
          <w:tcPr>
            <w:tcW w:w="1080" w:type="dxa"/>
            <w:vAlign w:val="bottom"/>
            <w:shd w:val="clear" w:color="auto" w:fill="0076A8"/>
          </w:tcPr>
          <w:p>
            <w:pPr>
              <w:jc w:val="center"/>
              <w:spacing w:after="0" w:line="135" w:lineRule="exact"/>
              <w:rPr>
                <w:sz w:val="20"/>
                <w:szCs w:val="20"/>
                <w:color w:val="auto"/>
              </w:rPr>
            </w:pPr>
            <w:r>
              <w:rPr>
                <w:rFonts w:ascii="Arial" w:cs="Arial" w:eastAsia="Arial" w:hAnsi="Arial"/>
                <w:sz w:val="14"/>
                <w:szCs w:val="14"/>
                <w:color w:val="FFFFFF"/>
              </w:rPr>
              <w:t>Shares, Units</w:t>
            </w:r>
          </w:p>
        </w:tc>
        <w:tc>
          <w:tcPr>
            <w:tcW w:w="960" w:type="dxa"/>
            <w:vAlign w:val="bottom"/>
            <w:shd w:val="clear" w:color="auto" w:fill="0076A8"/>
          </w:tcPr>
          <w:p>
            <w:pPr>
              <w:jc w:val="center"/>
              <w:spacing w:after="0" w:line="135" w:lineRule="exact"/>
              <w:rPr>
                <w:sz w:val="20"/>
                <w:szCs w:val="20"/>
                <w:color w:val="auto"/>
              </w:rPr>
            </w:pPr>
            <w:r>
              <w:rPr>
                <w:rFonts w:ascii="Arial" w:cs="Arial" w:eastAsia="Arial" w:hAnsi="Arial"/>
                <w:sz w:val="14"/>
                <w:szCs w:val="14"/>
                <w:color w:val="FFFFFF"/>
              </w:rPr>
              <w:t>Units or</w:t>
            </w:r>
          </w:p>
        </w:tc>
        <w:tc>
          <w:tcPr>
            <w:tcW w:w="0" w:type="dxa"/>
            <w:vAlign w:val="bottom"/>
          </w:tcPr>
          <w:p>
            <w:pPr>
              <w:spacing w:after="0"/>
              <w:rPr>
                <w:sz w:val="1"/>
                <w:szCs w:val="1"/>
                <w:color w:val="auto"/>
              </w:rPr>
            </w:pPr>
          </w:p>
        </w:tc>
      </w:tr>
      <w:tr>
        <w:trPr>
          <w:trHeight w:val="135"/>
        </w:trPr>
        <w:tc>
          <w:tcPr>
            <w:tcW w:w="1200" w:type="dxa"/>
            <w:vAlign w:val="bottom"/>
            <w:shd w:val="clear" w:color="auto" w:fill="0076A8"/>
          </w:tcPr>
          <w:p>
            <w:pPr>
              <w:spacing w:after="0"/>
              <w:rPr>
                <w:sz w:val="11"/>
                <w:szCs w:val="11"/>
                <w:color w:val="auto"/>
              </w:rPr>
            </w:pPr>
          </w:p>
        </w:tc>
        <w:tc>
          <w:tcPr>
            <w:tcW w:w="1080" w:type="dxa"/>
            <w:vAlign w:val="bottom"/>
            <w:shd w:val="clear" w:color="auto" w:fill="0076A8"/>
          </w:tcPr>
          <w:p>
            <w:pPr>
              <w:jc w:val="center"/>
              <w:spacing w:after="0" w:line="135" w:lineRule="exact"/>
              <w:rPr>
                <w:sz w:val="20"/>
                <w:szCs w:val="20"/>
                <w:color w:val="auto"/>
              </w:rPr>
            </w:pPr>
            <w:r>
              <w:rPr>
                <w:rFonts w:ascii="Arial" w:cs="Arial" w:eastAsia="Arial" w:hAnsi="Arial"/>
                <w:sz w:val="14"/>
                <w:szCs w:val="14"/>
                <w:color w:val="FFFFFF"/>
              </w:rPr>
              <w:t>Underlying</w:t>
            </w:r>
          </w:p>
        </w:tc>
        <w:tc>
          <w:tcPr>
            <w:tcW w:w="1140" w:type="dxa"/>
            <w:vAlign w:val="bottom"/>
            <w:shd w:val="clear" w:color="auto" w:fill="0076A8"/>
          </w:tcPr>
          <w:p>
            <w:pPr>
              <w:jc w:val="center"/>
              <w:spacing w:after="0" w:line="135" w:lineRule="exact"/>
              <w:rPr>
                <w:sz w:val="20"/>
                <w:szCs w:val="20"/>
                <w:color w:val="auto"/>
              </w:rPr>
            </w:pPr>
            <w:r>
              <w:rPr>
                <w:rFonts w:ascii="Arial" w:cs="Arial" w:eastAsia="Arial" w:hAnsi="Arial"/>
                <w:sz w:val="14"/>
                <w:szCs w:val="14"/>
                <w:color w:val="FFFFFF"/>
              </w:rPr>
              <w:t>Underlying</w:t>
            </w:r>
          </w:p>
        </w:tc>
        <w:tc>
          <w:tcPr>
            <w:tcW w:w="820" w:type="dxa"/>
            <w:vAlign w:val="bottom"/>
            <w:vMerge w:val="restart"/>
            <w:shd w:val="clear" w:color="auto" w:fill="0076A8"/>
          </w:tcPr>
          <w:p>
            <w:pPr>
              <w:jc w:val="center"/>
              <w:spacing w:after="0"/>
              <w:rPr>
                <w:sz w:val="20"/>
                <w:szCs w:val="20"/>
                <w:color w:val="auto"/>
              </w:rPr>
            </w:pPr>
            <w:r>
              <w:rPr>
                <w:rFonts w:ascii="Arial" w:cs="Arial" w:eastAsia="Arial" w:hAnsi="Arial"/>
                <w:sz w:val="14"/>
                <w:szCs w:val="14"/>
                <w:color w:val="FFFFFF"/>
              </w:rPr>
              <w:t>Option</w:t>
            </w:r>
          </w:p>
        </w:tc>
        <w:tc>
          <w:tcPr>
            <w:tcW w:w="1020" w:type="dxa"/>
            <w:vAlign w:val="bottom"/>
            <w:vMerge w:val="restart"/>
            <w:shd w:val="clear" w:color="auto" w:fill="0076A8"/>
          </w:tcPr>
          <w:p>
            <w:pPr>
              <w:jc w:val="right"/>
              <w:ind w:right="268"/>
              <w:spacing w:after="0"/>
              <w:rPr>
                <w:sz w:val="20"/>
                <w:szCs w:val="20"/>
                <w:color w:val="auto"/>
              </w:rPr>
            </w:pPr>
            <w:r>
              <w:rPr>
                <w:rFonts w:ascii="Arial" w:cs="Arial" w:eastAsia="Arial" w:hAnsi="Arial"/>
                <w:sz w:val="14"/>
                <w:szCs w:val="14"/>
                <w:color w:val="FFFFFF"/>
              </w:rPr>
              <w:t>Option</w:t>
            </w:r>
          </w:p>
        </w:tc>
        <w:tc>
          <w:tcPr>
            <w:tcW w:w="1000" w:type="dxa"/>
            <w:vAlign w:val="bottom"/>
            <w:shd w:val="clear" w:color="auto" w:fill="0076A8"/>
          </w:tcPr>
          <w:p>
            <w:pPr>
              <w:jc w:val="center"/>
              <w:spacing w:after="0" w:line="135" w:lineRule="exact"/>
              <w:rPr>
                <w:sz w:val="20"/>
                <w:szCs w:val="20"/>
                <w:color w:val="auto"/>
              </w:rPr>
            </w:pPr>
            <w:r>
              <w:rPr>
                <w:rFonts w:ascii="Arial" w:cs="Arial" w:eastAsia="Arial" w:hAnsi="Arial"/>
                <w:sz w:val="14"/>
                <w:szCs w:val="14"/>
                <w:color w:val="FFFFFF"/>
              </w:rPr>
              <w:t>Have</w:t>
            </w:r>
          </w:p>
        </w:tc>
        <w:tc>
          <w:tcPr>
            <w:tcW w:w="1100" w:type="dxa"/>
            <w:vAlign w:val="bottom"/>
            <w:shd w:val="clear" w:color="auto" w:fill="0076A8"/>
          </w:tcPr>
          <w:p>
            <w:pPr>
              <w:jc w:val="center"/>
              <w:spacing w:after="0" w:line="135" w:lineRule="exact"/>
              <w:rPr>
                <w:sz w:val="20"/>
                <w:szCs w:val="20"/>
                <w:color w:val="auto"/>
              </w:rPr>
            </w:pPr>
            <w:r>
              <w:rPr>
                <w:rFonts w:ascii="Arial" w:cs="Arial" w:eastAsia="Arial" w:hAnsi="Arial"/>
                <w:sz w:val="14"/>
                <w:szCs w:val="14"/>
                <w:color w:val="FFFFFF"/>
              </w:rPr>
              <w:t>Stock</w:t>
            </w:r>
          </w:p>
        </w:tc>
        <w:tc>
          <w:tcPr>
            <w:tcW w:w="1080" w:type="dxa"/>
            <w:vAlign w:val="bottom"/>
            <w:shd w:val="clear" w:color="auto" w:fill="0076A8"/>
          </w:tcPr>
          <w:p>
            <w:pPr>
              <w:jc w:val="center"/>
              <w:spacing w:after="0" w:line="135" w:lineRule="exact"/>
              <w:rPr>
                <w:sz w:val="20"/>
                <w:szCs w:val="20"/>
                <w:color w:val="auto"/>
              </w:rPr>
            </w:pPr>
            <w:r>
              <w:rPr>
                <w:rFonts w:ascii="Arial" w:cs="Arial" w:eastAsia="Arial" w:hAnsi="Arial"/>
                <w:sz w:val="14"/>
                <w:szCs w:val="14"/>
                <w:color w:val="FFFFFF"/>
              </w:rPr>
              <w:t>or other</w:t>
            </w:r>
          </w:p>
        </w:tc>
        <w:tc>
          <w:tcPr>
            <w:tcW w:w="960" w:type="dxa"/>
            <w:vAlign w:val="bottom"/>
            <w:shd w:val="clear" w:color="auto" w:fill="0076A8"/>
          </w:tcPr>
          <w:p>
            <w:pPr>
              <w:jc w:val="center"/>
              <w:spacing w:after="0" w:line="135" w:lineRule="exact"/>
              <w:rPr>
                <w:sz w:val="20"/>
                <w:szCs w:val="20"/>
                <w:color w:val="auto"/>
              </w:rPr>
            </w:pPr>
            <w:r>
              <w:rPr>
                <w:rFonts w:ascii="Arial" w:cs="Arial" w:eastAsia="Arial" w:hAnsi="Arial"/>
                <w:sz w:val="14"/>
                <w:szCs w:val="14"/>
                <w:color w:val="FFFFFF"/>
              </w:rPr>
              <w:t>other Rights</w:t>
            </w:r>
          </w:p>
        </w:tc>
        <w:tc>
          <w:tcPr>
            <w:tcW w:w="0" w:type="dxa"/>
            <w:vAlign w:val="bottom"/>
          </w:tcPr>
          <w:p>
            <w:pPr>
              <w:spacing w:after="0"/>
              <w:rPr>
                <w:sz w:val="1"/>
                <w:szCs w:val="1"/>
                <w:color w:val="auto"/>
              </w:rPr>
            </w:pPr>
          </w:p>
        </w:tc>
      </w:tr>
      <w:tr>
        <w:trPr>
          <w:trHeight w:val="135"/>
        </w:trPr>
        <w:tc>
          <w:tcPr>
            <w:tcW w:w="1200" w:type="dxa"/>
            <w:vAlign w:val="bottom"/>
            <w:shd w:val="clear" w:color="auto" w:fill="0076A8"/>
          </w:tcPr>
          <w:p>
            <w:pPr>
              <w:spacing w:after="0"/>
              <w:rPr>
                <w:sz w:val="11"/>
                <w:szCs w:val="11"/>
                <w:color w:val="auto"/>
              </w:rPr>
            </w:pPr>
          </w:p>
        </w:tc>
        <w:tc>
          <w:tcPr>
            <w:tcW w:w="1080" w:type="dxa"/>
            <w:vAlign w:val="bottom"/>
            <w:shd w:val="clear" w:color="auto" w:fill="0076A8"/>
          </w:tcPr>
          <w:p>
            <w:pPr>
              <w:jc w:val="center"/>
              <w:spacing w:after="0" w:line="135" w:lineRule="exact"/>
              <w:rPr>
                <w:sz w:val="20"/>
                <w:szCs w:val="20"/>
                <w:color w:val="auto"/>
              </w:rPr>
            </w:pPr>
            <w:r>
              <w:rPr>
                <w:rFonts w:ascii="Arial" w:cs="Arial" w:eastAsia="Arial" w:hAnsi="Arial"/>
                <w:sz w:val="14"/>
                <w:szCs w:val="14"/>
                <w:color w:val="FFFFFF"/>
              </w:rPr>
              <w:t>Unexercised</w:t>
            </w:r>
          </w:p>
        </w:tc>
        <w:tc>
          <w:tcPr>
            <w:tcW w:w="1140" w:type="dxa"/>
            <w:vAlign w:val="bottom"/>
            <w:shd w:val="clear" w:color="auto" w:fill="0076A8"/>
          </w:tcPr>
          <w:p>
            <w:pPr>
              <w:jc w:val="center"/>
              <w:spacing w:after="0" w:line="135" w:lineRule="exact"/>
              <w:rPr>
                <w:sz w:val="20"/>
                <w:szCs w:val="20"/>
                <w:color w:val="auto"/>
              </w:rPr>
            </w:pPr>
            <w:r>
              <w:rPr>
                <w:rFonts w:ascii="Arial" w:cs="Arial" w:eastAsia="Arial" w:hAnsi="Arial"/>
                <w:sz w:val="14"/>
                <w:szCs w:val="14"/>
                <w:color w:val="FFFFFF"/>
              </w:rPr>
              <w:t>Unexercised</w:t>
            </w:r>
          </w:p>
        </w:tc>
        <w:tc>
          <w:tcPr>
            <w:tcW w:w="820" w:type="dxa"/>
            <w:vAlign w:val="bottom"/>
            <w:vMerge w:val="continue"/>
            <w:shd w:val="clear" w:color="auto" w:fill="0076A8"/>
          </w:tcPr>
          <w:p>
            <w:pPr>
              <w:spacing w:after="0"/>
              <w:rPr>
                <w:sz w:val="11"/>
                <w:szCs w:val="11"/>
                <w:color w:val="auto"/>
              </w:rPr>
            </w:pPr>
          </w:p>
        </w:tc>
        <w:tc>
          <w:tcPr>
            <w:tcW w:w="1020" w:type="dxa"/>
            <w:vAlign w:val="bottom"/>
            <w:vMerge w:val="continue"/>
            <w:shd w:val="clear" w:color="auto" w:fill="0076A8"/>
          </w:tcPr>
          <w:p>
            <w:pPr>
              <w:spacing w:after="0"/>
              <w:rPr>
                <w:sz w:val="11"/>
                <w:szCs w:val="11"/>
                <w:color w:val="auto"/>
              </w:rPr>
            </w:pPr>
          </w:p>
        </w:tc>
        <w:tc>
          <w:tcPr>
            <w:tcW w:w="1000" w:type="dxa"/>
            <w:vAlign w:val="bottom"/>
            <w:shd w:val="clear" w:color="auto" w:fill="0076A8"/>
          </w:tcPr>
          <w:p>
            <w:pPr>
              <w:jc w:val="center"/>
              <w:spacing w:after="0" w:line="135" w:lineRule="exact"/>
              <w:rPr>
                <w:sz w:val="20"/>
                <w:szCs w:val="20"/>
                <w:color w:val="auto"/>
              </w:rPr>
            </w:pPr>
            <w:r>
              <w:rPr>
                <w:rFonts w:ascii="Arial" w:cs="Arial" w:eastAsia="Arial" w:hAnsi="Arial"/>
                <w:sz w:val="14"/>
                <w:szCs w:val="14"/>
                <w:color w:val="FFFFFF"/>
              </w:rPr>
              <w:t>Not</w:t>
            </w:r>
          </w:p>
        </w:tc>
        <w:tc>
          <w:tcPr>
            <w:tcW w:w="1100" w:type="dxa"/>
            <w:vAlign w:val="bottom"/>
            <w:shd w:val="clear" w:color="auto" w:fill="0076A8"/>
          </w:tcPr>
          <w:p>
            <w:pPr>
              <w:jc w:val="center"/>
              <w:spacing w:after="0" w:line="135" w:lineRule="exact"/>
              <w:rPr>
                <w:sz w:val="20"/>
                <w:szCs w:val="20"/>
                <w:color w:val="auto"/>
              </w:rPr>
            </w:pPr>
            <w:r>
              <w:rPr>
                <w:rFonts w:ascii="Arial" w:cs="Arial" w:eastAsia="Arial" w:hAnsi="Arial"/>
                <w:sz w:val="14"/>
                <w:szCs w:val="14"/>
                <w:color w:val="FFFFFF"/>
              </w:rPr>
              <w:t>that Have</w:t>
            </w:r>
          </w:p>
        </w:tc>
        <w:tc>
          <w:tcPr>
            <w:tcW w:w="1080" w:type="dxa"/>
            <w:vAlign w:val="bottom"/>
            <w:shd w:val="clear" w:color="auto" w:fill="0076A8"/>
          </w:tcPr>
          <w:p>
            <w:pPr>
              <w:jc w:val="center"/>
              <w:spacing w:after="0" w:line="135" w:lineRule="exact"/>
              <w:rPr>
                <w:sz w:val="20"/>
                <w:szCs w:val="20"/>
                <w:color w:val="auto"/>
              </w:rPr>
            </w:pPr>
            <w:r>
              <w:rPr>
                <w:rFonts w:ascii="Arial" w:cs="Arial" w:eastAsia="Arial" w:hAnsi="Arial"/>
                <w:sz w:val="14"/>
                <w:szCs w:val="14"/>
                <w:color w:val="FFFFFF"/>
              </w:rPr>
              <w:t>Rights that</w:t>
            </w:r>
          </w:p>
        </w:tc>
        <w:tc>
          <w:tcPr>
            <w:tcW w:w="960" w:type="dxa"/>
            <w:vAlign w:val="bottom"/>
            <w:shd w:val="clear" w:color="auto" w:fill="0076A8"/>
          </w:tcPr>
          <w:p>
            <w:pPr>
              <w:jc w:val="center"/>
              <w:spacing w:after="0" w:line="135" w:lineRule="exact"/>
              <w:rPr>
                <w:sz w:val="20"/>
                <w:szCs w:val="20"/>
                <w:color w:val="auto"/>
              </w:rPr>
            </w:pPr>
            <w:r>
              <w:rPr>
                <w:rFonts w:ascii="Arial" w:cs="Arial" w:eastAsia="Arial" w:hAnsi="Arial"/>
                <w:sz w:val="14"/>
                <w:szCs w:val="14"/>
                <w:color w:val="FFFFFF"/>
              </w:rPr>
              <w:t>that Have</w:t>
            </w:r>
          </w:p>
        </w:tc>
        <w:tc>
          <w:tcPr>
            <w:tcW w:w="0" w:type="dxa"/>
            <w:vAlign w:val="bottom"/>
          </w:tcPr>
          <w:p>
            <w:pPr>
              <w:spacing w:after="0"/>
              <w:rPr>
                <w:sz w:val="1"/>
                <w:szCs w:val="1"/>
                <w:color w:val="auto"/>
              </w:rPr>
            </w:pPr>
          </w:p>
        </w:tc>
      </w:tr>
      <w:tr>
        <w:trPr>
          <w:trHeight w:val="135"/>
        </w:trPr>
        <w:tc>
          <w:tcPr>
            <w:tcW w:w="1200" w:type="dxa"/>
            <w:vAlign w:val="bottom"/>
            <w:vMerge w:val="restart"/>
            <w:shd w:val="clear" w:color="auto" w:fill="0076A8"/>
          </w:tcPr>
          <w:p>
            <w:pPr>
              <w:spacing w:after="0"/>
              <w:rPr>
                <w:sz w:val="20"/>
                <w:szCs w:val="20"/>
                <w:color w:val="auto"/>
              </w:rPr>
            </w:pPr>
            <w:r>
              <w:rPr>
                <w:rFonts w:ascii="Arial" w:cs="Arial" w:eastAsia="Arial" w:hAnsi="Arial"/>
                <w:sz w:val="14"/>
                <w:szCs w:val="14"/>
                <w:color w:val="FFFFFF"/>
              </w:rPr>
              <w:t>Name</w:t>
            </w:r>
          </w:p>
        </w:tc>
        <w:tc>
          <w:tcPr>
            <w:tcW w:w="1080" w:type="dxa"/>
            <w:vAlign w:val="bottom"/>
            <w:shd w:val="clear" w:color="auto" w:fill="0076A8"/>
          </w:tcPr>
          <w:p>
            <w:pPr>
              <w:jc w:val="center"/>
              <w:spacing w:after="0" w:line="135" w:lineRule="exact"/>
              <w:rPr>
                <w:sz w:val="20"/>
                <w:szCs w:val="20"/>
                <w:color w:val="auto"/>
              </w:rPr>
            </w:pPr>
            <w:r>
              <w:rPr>
                <w:rFonts w:ascii="Arial" w:cs="Arial" w:eastAsia="Arial" w:hAnsi="Arial"/>
                <w:sz w:val="14"/>
                <w:szCs w:val="14"/>
                <w:color w:val="FFFFFF"/>
              </w:rPr>
              <w:t>Options (#)</w:t>
            </w:r>
          </w:p>
        </w:tc>
        <w:tc>
          <w:tcPr>
            <w:tcW w:w="1140" w:type="dxa"/>
            <w:vAlign w:val="bottom"/>
            <w:shd w:val="clear" w:color="auto" w:fill="0076A8"/>
          </w:tcPr>
          <w:p>
            <w:pPr>
              <w:jc w:val="center"/>
              <w:spacing w:after="0" w:line="135" w:lineRule="exact"/>
              <w:rPr>
                <w:sz w:val="20"/>
                <w:szCs w:val="20"/>
                <w:color w:val="auto"/>
              </w:rPr>
            </w:pPr>
            <w:r>
              <w:rPr>
                <w:rFonts w:ascii="Arial" w:cs="Arial" w:eastAsia="Arial" w:hAnsi="Arial"/>
                <w:sz w:val="14"/>
                <w:szCs w:val="14"/>
                <w:color w:val="FFFFFF"/>
              </w:rPr>
              <w:t>Options (#)</w:t>
            </w:r>
          </w:p>
        </w:tc>
        <w:tc>
          <w:tcPr>
            <w:tcW w:w="820" w:type="dxa"/>
            <w:vAlign w:val="bottom"/>
            <w:shd w:val="clear" w:color="auto" w:fill="0076A8"/>
          </w:tcPr>
          <w:p>
            <w:pPr>
              <w:jc w:val="center"/>
              <w:spacing w:after="0" w:line="135" w:lineRule="exact"/>
              <w:rPr>
                <w:sz w:val="20"/>
                <w:szCs w:val="20"/>
                <w:color w:val="auto"/>
              </w:rPr>
            </w:pPr>
            <w:r>
              <w:rPr>
                <w:rFonts w:ascii="Arial" w:cs="Arial" w:eastAsia="Arial" w:hAnsi="Arial"/>
                <w:sz w:val="14"/>
                <w:szCs w:val="14"/>
                <w:color w:val="FFFFFF"/>
              </w:rPr>
              <w:t>Exercise</w:t>
            </w:r>
          </w:p>
        </w:tc>
        <w:tc>
          <w:tcPr>
            <w:tcW w:w="1020" w:type="dxa"/>
            <w:vAlign w:val="bottom"/>
            <w:shd w:val="clear" w:color="auto" w:fill="0076A8"/>
          </w:tcPr>
          <w:p>
            <w:pPr>
              <w:jc w:val="right"/>
              <w:ind w:right="128"/>
              <w:spacing w:after="0" w:line="135" w:lineRule="exact"/>
              <w:rPr>
                <w:sz w:val="20"/>
                <w:szCs w:val="20"/>
                <w:color w:val="auto"/>
              </w:rPr>
            </w:pPr>
            <w:r>
              <w:rPr>
                <w:rFonts w:ascii="Arial" w:cs="Arial" w:eastAsia="Arial" w:hAnsi="Arial"/>
                <w:sz w:val="14"/>
                <w:szCs w:val="14"/>
                <w:color w:val="FFFFFF"/>
              </w:rPr>
              <w:t>Expiration</w:t>
            </w:r>
          </w:p>
        </w:tc>
        <w:tc>
          <w:tcPr>
            <w:tcW w:w="1000" w:type="dxa"/>
            <w:vAlign w:val="bottom"/>
            <w:shd w:val="clear" w:color="auto" w:fill="0076A8"/>
          </w:tcPr>
          <w:p>
            <w:pPr>
              <w:jc w:val="center"/>
              <w:spacing w:after="0" w:line="135" w:lineRule="exact"/>
              <w:rPr>
                <w:sz w:val="20"/>
                <w:szCs w:val="20"/>
                <w:color w:val="auto"/>
              </w:rPr>
            </w:pPr>
            <w:r>
              <w:rPr>
                <w:rFonts w:ascii="Arial" w:cs="Arial" w:eastAsia="Arial" w:hAnsi="Arial"/>
                <w:sz w:val="14"/>
                <w:szCs w:val="14"/>
                <w:color w:val="FFFFFF"/>
              </w:rPr>
              <w:t>Vested</w:t>
            </w:r>
          </w:p>
        </w:tc>
        <w:tc>
          <w:tcPr>
            <w:tcW w:w="1100" w:type="dxa"/>
            <w:vAlign w:val="bottom"/>
            <w:shd w:val="clear" w:color="auto" w:fill="0076A8"/>
          </w:tcPr>
          <w:p>
            <w:pPr>
              <w:jc w:val="center"/>
              <w:spacing w:after="0" w:line="135" w:lineRule="exact"/>
              <w:rPr>
                <w:sz w:val="20"/>
                <w:szCs w:val="20"/>
                <w:color w:val="auto"/>
              </w:rPr>
            </w:pPr>
            <w:r>
              <w:rPr>
                <w:rFonts w:ascii="Arial" w:cs="Arial" w:eastAsia="Arial" w:hAnsi="Arial"/>
                <w:sz w:val="14"/>
                <w:szCs w:val="14"/>
                <w:color w:val="FFFFFF"/>
              </w:rPr>
              <w:t>Not</w:t>
            </w:r>
          </w:p>
        </w:tc>
        <w:tc>
          <w:tcPr>
            <w:tcW w:w="1080" w:type="dxa"/>
            <w:vAlign w:val="bottom"/>
            <w:shd w:val="clear" w:color="auto" w:fill="0076A8"/>
          </w:tcPr>
          <w:p>
            <w:pPr>
              <w:jc w:val="center"/>
              <w:spacing w:after="0" w:line="135" w:lineRule="exact"/>
              <w:rPr>
                <w:sz w:val="20"/>
                <w:szCs w:val="20"/>
                <w:color w:val="auto"/>
              </w:rPr>
            </w:pPr>
            <w:r>
              <w:rPr>
                <w:rFonts w:ascii="Arial" w:cs="Arial" w:eastAsia="Arial" w:hAnsi="Arial"/>
                <w:sz w:val="14"/>
                <w:szCs w:val="14"/>
                <w:color w:val="FFFFFF"/>
              </w:rPr>
              <w:t>Have Not</w:t>
            </w:r>
          </w:p>
        </w:tc>
        <w:tc>
          <w:tcPr>
            <w:tcW w:w="960" w:type="dxa"/>
            <w:vAlign w:val="bottom"/>
            <w:shd w:val="clear" w:color="auto" w:fill="0076A8"/>
          </w:tcPr>
          <w:p>
            <w:pPr>
              <w:jc w:val="center"/>
              <w:spacing w:after="0" w:line="135" w:lineRule="exact"/>
              <w:rPr>
                <w:sz w:val="20"/>
                <w:szCs w:val="20"/>
                <w:color w:val="auto"/>
              </w:rPr>
            </w:pPr>
            <w:r>
              <w:rPr>
                <w:rFonts w:ascii="Arial" w:cs="Arial" w:eastAsia="Arial" w:hAnsi="Arial"/>
                <w:sz w:val="14"/>
                <w:szCs w:val="14"/>
                <w:color w:val="FFFFFF"/>
              </w:rPr>
              <w:t>Not Vested</w:t>
            </w:r>
          </w:p>
        </w:tc>
        <w:tc>
          <w:tcPr>
            <w:tcW w:w="0" w:type="dxa"/>
            <w:vAlign w:val="bottom"/>
          </w:tcPr>
          <w:p>
            <w:pPr>
              <w:spacing w:after="0"/>
              <w:rPr>
                <w:sz w:val="1"/>
                <w:szCs w:val="1"/>
                <w:color w:val="auto"/>
              </w:rPr>
            </w:pPr>
          </w:p>
        </w:tc>
      </w:tr>
      <w:tr>
        <w:trPr>
          <w:trHeight w:val="171"/>
        </w:trPr>
        <w:tc>
          <w:tcPr>
            <w:tcW w:w="1200" w:type="dxa"/>
            <w:vAlign w:val="bottom"/>
            <w:vMerge w:val="continue"/>
            <w:shd w:val="clear" w:color="auto" w:fill="0076A8"/>
          </w:tcPr>
          <w:p>
            <w:pPr>
              <w:spacing w:after="0"/>
              <w:rPr>
                <w:sz w:val="14"/>
                <w:szCs w:val="14"/>
                <w:color w:val="auto"/>
              </w:rPr>
            </w:pPr>
          </w:p>
        </w:tc>
        <w:tc>
          <w:tcPr>
            <w:tcW w:w="1080" w:type="dxa"/>
            <w:vAlign w:val="bottom"/>
            <w:shd w:val="clear" w:color="auto" w:fill="0076A8"/>
          </w:tcPr>
          <w:p>
            <w:pPr>
              <w:jc w:val="right"/>
              <w:ind w:right="68"/>
              <w:spacing w:after="0"/>
              <w:rPr>
                <w:sz w:val="20"/>
                <w:szCs w:val="20"/>
                <w:color w:val="auto"/>
              </w:rPr>
            </w:pPr>
            <w:r>
              <w:rPr>
                <w:rFonts w:ascii="Arial" w:cs="Arial" w:eastAsia="Arial" w:hAnsi="Arial"/>
                <w:sz w:val="14"/>
                <w:szCs w:val="14"/>
                <w:color w:val="FFFFFF"/>
              </w:rPr>
              <w:t>Exercisable</w:t>
            </w:r>
          </w:p>
        </w:tc>
        <w:tc>
          <w:tcPr>
            <w:tcW w:w="1140" w:type="dxa"/>
            <w:vAlign w:val="bottom"/>
            <w:shd w:val="clear" w:color="auto" w:fill="0076A8"/>
          </w:tcPr>
          <w:p>
            <w:pPr>
              <w:jc w:val="center"/>
              <w:spacing w:after="0"/>
              <w:rPr>
                <w:sz w:val="20"/>
                <w:szCs w:val="20"/>
                <w:color w:val="auto"/>
              </w:rPr>
            </w:pPr>
            <w:r>
              <w:rPr>
                <w:rFonts w:ascii="Arial" w:cs="Arial" w:eastAsia="Arial" w:hAnsi="Arial"/>
                <w:sz w:val="14"/>
                <w:szCs w:val="14"/>
                <w:color w:val="FFFFFF"/>
              </w:rPr>
              <w:t>Unexercisable</w:t>
            </w:r>
          </w:p>
        </w:tc>
        <w:tc>
          <w:tcPr>
            <w:tcW w:w="820" w:type="dxa"/>
            <w:vAlign w:val="bottom"/>
            <w:shd w:val="clear" w:color="auto" w:fill="0076A8"/>
          </w:tcPr>
          <w:p>
            <w:pPr>
              <w:jc w:val="center"/>
              <w:spacing w:after="0"/>
              <w:rPr>
                <w:sz w:val="20"/>
                <w:szCs w:val="20"/>
                <w:color w:val="auto"/>
              </w:rPr>
            </w:pPr>
            <w:r>
              <w:rPr>
                <w:rFonts w:ascii="Arial" w:cs="Arial" w:eastAsia="Arial" w:hAnsi="Arial"/>
                <w:sz w:val="14"/>
                <w:szCs w:val="14"/>
                <w:color w:val="FFFFFF"/>
              </w:rPr>
              <w:t>Price ($)</w:t>
            </w:r>
          </w:p>
        </w:tc>
        <w:tc>
          <w:tcPr>
            <w:tcW w:w="1020" w:type="dxa"/>
            <w:vAlign w:val="bottom"/>
            <w:shd w:val="clear" w:color="auto" w:fill="0076A8"/>
          </w:tcPr>
          <w:p>
            <w:pPr>
              <w:jc w:val="right"/>
              <w:ind w:right="308"/>
              <w:spacing w:after="0"/>
              <w:rPr>
                <w:sz w:val="20"/>
                <w:szCs w:val="20"/>
                <w:color w:val="auto"/>
              </w:rPr>
            </w:pPr>
            <w:r>
              <w:rPr>
                <w:rFonts w:ascii="Arial" w:cs="Arial" w:eastAsia="Arial" w:hAnsi="Arial"/>
                <w:sz w:val="14"/>
                <w:szCs w:val="14"/>
                <w:color w:val="FFFFFF"/>
              </w:rPr>
              <w:t>Date</w:t>
            </w:r>
          </w:p>
        </w:tc>
        <w:tc>
          <w:tcPr>
            <w:tcW w:w="1000" w:type="dxa"/>
            <w:vAlign w:val="bottom"/>
            <w:shd w:val="clear" w:color="auto" w:fill="0076A8"/>
          </w:tcPr>
          <w:p>
            <w:pPr>
              <w:jc w:val="right"/>
              <w:ind w:right="328"/>
              <w:spacing w:after="0"/>
              <w:rPr>
                <w:sz w:val="20"/>
                <w:szCs w:val="20"/>
                <w:color w:val="auto"/>
              </w:rPr>
            </w:pPr>
            <w:r>
              <w:rPr>
                <w:rFonts w:ascii="Arial" w:cs="Arial" w:eastAsia="Arial" w:hAnsi="Arial"/>
                <w:sz w:val="14"/>
                <w:szCs w:val="14"/>
                <w:color w:val="FFFFFF"/>
              </w:rPr>
              <w:t>(#)</w:t>
            </w:r>
          </w:p>
        </w:tc>
        <w:tc>
          <w:tcPr>
            <w:tcW w:w="1100" w:type="dxa"/>
            <w:vAlign w:val="bottom"/>
            <w:shd w:val="clear" w:color="auto" w:fill="0076A8"/>
          </w:tcPr>
          <w:p>
            <w:pPr>
              <w:jc w:val="center"/>
              <w:spacing w:after="0"/>
              <w:rPr>
                <w:sz w:val="20"/>
                <w:szCs w:val="20"/>
                <w:color w:val="auto"/>
              </w:rPr>
            </w:pPr>
            <w:r>
              <w:rPr>
                <w:rFonts w:ascii="Arial" w:cs="Arial" w:eastAsia="Arial" w:hAnsi="Arial"/>
                <w:sz w:val="14"/>
                <w:szCs w:val="14"/>
                <w:color w:val="FFFFFF"/>
              </w:rPr>
              <w:t>Vested ($)(1)</w:t>
            </w:r>
          </w:p>
        </w:tc>
        <w:tc>
          <w:tcPr>
            <w:tcW w:w="1080" w:type="dxa"/>
            <w:vAlign w:val="bottom"/>
            <w:shd w:val="clear" w:color="auto" w:fill="0076A8"/>
          </w:tcPr>
          <w:p>
            <w:pPr>
              <w:jc w:val="center"/>
              <w:spacing w:after="0"/>
              <w:rPr>
                <w:sz w:val="20"/>
                <w:szCs w:val="20"/>
                <w:color w:val="auto"/>
              </w:rPr>
            </w:pPr>
            <w:r>
              <w:rPr>
                <w:rFonts w:ascii="Arial" w:cs="Arial" w:eastAsia="Arial" w:hAnsi="Arial"/>
                <w:sz w:val="14"/>
                <w:szCs w:val="14"/>
                <w:color w:val="FFFFFF"/>
              </w:rPr>
              <w:t>Vested (#)</w:t>
            </w:r>
          </w:p>
        </w:tc>
        <w:tc>
          <w:tcPr>
            <w:tcW w:w="960" w:type="dxa"/>
            <w:vAlign w:val="bottom"/>
            <w:shd w:val="clear" w:color="auto" w:fill="0076A8"/>
          </w:tcPr>
          <w:p>
            <w:pPr>
              <w:jc w:val="center"/>
              <w:spacing w:after="0"/>
              <w:rPr>
                <w:sz w:val="20"/>
                <w:szCs w:val="20"/>
                <w:color w:val="auto"/>
              </w:rPr>
            </w:pPr>
            <w:r>
              <w:rPr>
                <w:rFonts w:ascii="Arial" w:cs="Arial" w:eastAsia="Arial" w:hAnsi="Arial"/>
                <w:sz w:val="14"/>
                <w:szCs w:val="14"/>
                <w:color w:val="FFFFFF"/>
              </w:rPr>
              <w:t>($)(1)</w:t>
            </w:r>
          </w:p>
        </w:tc>
        <w:tc>
          <w:tcPr>
            <w:tcW w:w="0" w:type="dxa"/>
            <w:vAlign w:val="bottom"/>
          </w:tcPr>
          <w:p>
            <w:pPr>
              <w:spacing w:after="0"/>
              <w:rPr>
                <w:sz w:val="1"/>
                <w:szCs w:val="1"/>
                <w:color w:val="auto"/>
              </w:rPr>
            </w:pPr>
          </w:p>
        </w:tc>
      </w:tr>
      <w:tr>
        <w:trPr>
          <w:trHeight w:val="189"/>
        </w:trPr>
        <w:tc>
          <w:tcPr>
            <w:tcW w:w="1200" w:type="dxa"/>
            <w:vAlign w:val="bottom"/>
            <w:shd w:val="clear" w:color="auto" w:fill="E5E5E5"/>
          </w:tcPr>
          <w:p>
            <w:pPr>
              <w:spacing w:after="0"/>
              <w:rPr>
                <w:sz w:val="20"/>
                <w:szCs w:val="20"/>
                <w:color w:val="auto"/>
              </w:rPr>
            </w:pPr>
            <w:r>
              <w:rPr>
                <w:rFonts w:ascii="Arial" w:cs="Arial" w:eastAsia="Arial" w:hAnsi="Arial"/>
                <w:sz w:val="14"/>
                <w:szCs w:val="14"/>
                <w:color w:val="auto"/>
              </w:rPr>
              <w:t>Liam K. Griffin</w:t>
            </w:r>
          </w:p>
        </w:tc>
        <w:tc>
          <w:tcPr>
            <w:tcW w:w="1080" w:type="dxa"/>
            <w:vAlign w:val="bottom"/>
            <w:shd w:val="clear" w:color="auto" w:fill="E5E5E5"/>
          </w:tcPr>
          <w:p>
            <w:pPr>
              <w:jc w:val="right"/>
              <w:ind w:right="208"/>
              <w:spacing w:after="0"/>
              <w:rPr>
                <w:sz w:val="20"/>
                <w:szCs w:val="20"/>
                <w:color w:val="auto"/>
              </w:rPr>
            </w:pPr>
            <w:r>
              <w:rPr>
                <w:rFonts w:ascii="Arial" w:cs="Arial" w:eastAsia="Arial" w:hAnsi="Arial"/>
                <w:sz w:val="14"/>
                <w:szCs w:val="14"/>
                <w:color w:val="auto"/>
              </w:rPr>
              <w:t>13,211</w:t>
            </w:r>
          </w:p>
        </w:tc>
        <w:tc>
          <w:tcPr>
            <w:tcW w:w="1140" w:type="dxa"/>
            <w:vAlign w:val="bottom"/>
            <w:shd w:val="clear" w:color="auto" w:fill="E5E5E5"/>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77.66</w:t>
            </w:r>
          </w:p>
        </w:tc>
        <w:tc>
          <w:tcPr>
            <w:tcW w:w="102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11/9/2023</w:t>
            </w:r>
          </w:p>
        </w:tc>
        <w:tc>
          <w:tcPr>
            <w:tcW w:w="1000" w:type="dxa"/>
            <w:vAlign w:val="bottom"/>
            <w:shd w:val="clear" w:color="auto" w:fill="E5E5E5"/>
          </w:tcPr>
          <w:p>
            <w:pPr>
              <w:jc w:val="right"/>
              <w:ind w:right="148"/>
              <w:spacing w:after="0"/>
              <w:rPr>
                <w:sz w:val="20"/>
                <w:szCs w:val="20"/>
                <w:color w:val="auto"/>
              </w:rPr>
            </w:pPr>
            <w:r>
              <w:rPr>
                <w:rFonts w:ascii="Arial" w:cs="Arial" w:eastAsia="Arial" w:hAnsi="Arial"/>
                <w:sz w:val="14"/>
                <w:szCs w:val="14"/>
                <w:color w:val="auto"/>
              </w:rPr>
              <w:t>26,914</w:t>
            </w:r>
            <w:r>
              <w:rPr>
                <w:rFonts w:ascii="Arial" w:cs="Arial" w:eastAsia="Arial" w:hAnsi="Arial"/>
                <w:sz w:val="14"/>
                <w:szCs w:val="14"/>
                <w:color w:val="0076A8"/>
              </w:rPr>
              <w:t>(2)</w:t>
            </w:r>
          </w:p>
        </w:tc>
        <w:tc>
          <w:tcPr>
            <w:tcW w:w="110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4,411,743</w:t>
            </w:r>
          </w:p>
        </w:tc>
        <w:tc>
          <w:tcPr>
            <w:tcW w:w="1080" w:type="dxa"/>
            <w:vAlign w:val="bottom"/>
            <w:shd w:val="clear" w:color="auto" w:fill="E5E5E5"/>
          </w:tcPr>
          <w:p>
            <w:pPr>
              <w:jc w:val="right"/>
              <w:ind w:right="128"/>
              <w:spacing w:after="0"/>
              <w:rPr>
                <w:sz w:val="20"/>
                <w:szCs w:val="20"/>
                <w:color w:val="auto"/>
              </w:rPr>
            </w:pPr>
            <w:r>
              <w:rPr>
                <w:rFonts w:ascii="Arial" w:cs="Arial" w:eastAsia="Arial" w:hAnsi="Arial"/>
                <w:sz w:val="14"/>
                <w:szCs w:val="14"/>
                <w:color w:val="auto"/>
              </w:rPr>
              <w:t>91,164</w:t>
            </w:r>
            <w:r>
              <w:rPr>
                <w:rFonts w:ascii="Arial" w:cs="Arial" w:eastAsia="Arial" w:hAnsi="Arial"/>
                <w:sz w:val="14"/>
                <w:szCs w:val="14"/>
                <w:color w:val="0076A8"/>
              </w:rPr>
              <w:t>(10)</w:t>
            </w:r>
          </w:p>
        </w:tc>
        <w:tc>
          <w:tcPr>
            <w:tcW w:w="96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14,943,603</w:t>
            </w:r>
          </w:p>
        </w:tc>
        <w:tc>
          <w:tcPr>
            <w:tcW w:w="0" w:type="dxa"/>
            <w:vAlign w:val="bottom"/>
          </w:tcPr>
          <w:p>
            <w:pPr>
              <w:spacing w:after="0"/>
              <w:rPr>
                <w:sz w:val="1"/>
                <w:szCs w:val="1"/>
                <w:color w:val="auto"/>
              </w:rPr>
            </w:pPr>
          </w:p>
        </w:tc>
      </w:tr>
      <w:tr>
        <w:trPr>
          <w:trHeight w:val="190"/>
        </w:trPr>
        <w:tc>
          <w:tcPr>
            <w:tcW w:w="1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30,388</w:t>
            </w:r>
            <w:r>
              <w:rPr>
                <w:rFonts w:ascii="Arial" w:cs="Arial" w:eastAsia="Arial" w:hAnsi="Arial"/>
                <w:sz w:val="14"/>
                <w:szCs w:val="14"/>
                <w:color w:val="0076A8"/>
              </w:rPr>
              <w:t>(3)</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4,981,201</w:t>
            </w: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11,468</w:t>
            </w:r>
            <w:r>
              <w:rPr>
                <w:rFonts w:ascii="Arial" w:cs="Arial" w:eastAsia="Arial" w:hAnsi="Arial"/>
                <w:sz w:val="14"/>
                <w:szCs w:val="14"/>
                <w:color w:val="0076A8"/>
              </w:rPr>
              <w:t>(11)</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1,879,835</w:t>
            </w: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94,965</w:t>
            </w:r>
            <w:r>
              <w:rPr>
                <w:rFonts w:ascii="Arial" w:cs="Arial" w:eastAsia="Arial" w:hAnsi="Arial"/>
                <w:sz w:val="14"/>
                <w:szCs w:val="14"/>
                <w:color w:val="0076A8"/>
              </w:rPr>
              <w:t>(4)</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15,566,663</w:t>
            </w:r>
          </w:p>
        </w:tc>
        <w:tc>
          <w:tcPr>
            <w:tcW w:w="10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45,874</w:t>
            </w:r>
            <w:r>
              <w:rPr>
                <w:rFonts w:ascii="Arial" w:cs="Arial" w:eastAsia="Arial" w:hAnsi="Arial"/>
                <w:sz w:val="14"/>
                <w:szCs w:val="14"/>
                <w:color w:val="0076A8"/>
              </w:rPr>
              <w:t>(5)</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7,519,666</w:t>
            </w:r>
          </w:p>
        </w:tc>
        <w:tc>
          <w:tcPr>
            <w:tcW w:w="10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6,193</w:t>
            </w:r>
            <w:r>
              <w:rPr>
                <w:rFonts w:ascii="Arial" w:cs="Arial" w:eastAsia="Arial" w:hAnsi="Arial"/>
                <w:sz w:val="14"/>
                <w:szCs w:val="14"/>
                <w:color w:val="0076A8"/>
              </w:rPr>
              <w:t>(6)</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1,015,157</w:t>
            </w:r>
          </w:p>
        </w:tc>
        <w:tc>
          <w:tcPr>
            <w:tcW w:w="10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24,200</w:t>
            </w:r>
            <w:r>
              <w:rPr>
                <w:rFonts w:ascii="Arial" w:cs="Arial" w:eastAsia="Arial" w:hAnsi="Arial"/>
                <w:sz w:val="14"/>
                <w:szCs w:val="14"/>
                <w:color w:val="0076A8"/>
              </w:rPr>
              <w:t>(7)</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3,966,864</w:t>
            </w:r>
          </w:p>
        </w:tc>
        <w:tc>
          <w:tcPr>
            <w:tcW w:w="10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30,388</w:t>
            </w:r>
            <w:r>
              <w:rPr>
                <w:rFonts w:ascii="Arial" w:cs="Arial" w:eastAsia="Arial" w:hAnsi="Arial"/>
                <w:sz w:val="14"/>
                <w:szCs w:val="14"/>
                <w:color w:val="0076A8"/>
              </w:rPr>
              <w:t>(8)</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4,981,201</w:t>
            </w:r>
          </w:p>
        </w:tc>
        <w:tc>
          <w:tcPr>
            <w:tcW w:w="10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30,583</w:t>
            </w:r>
            <w:r>
              <w:rPr>
                <w:rFonts w:ascii="Arial" w:cs="Arial" w:eastAsia="Arial" w:hAnsi="Arial"/>
                <w:sz w:val="14"/>
                <w:szCs w:val="14"/>
                <w:color w:val="0076A8"/>
              </w:rPr>
              <w:t>(9)</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5,013,165</w:t>
            </w:r>
          </w:p>
        </w:tc>
        <w:tc>
          <w:tcPr>
            <w:tcW w:w="10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0" w:type="dxa"/>
            <w:vAlign w:val="bottom"/>
            <w:shd w:val="clear" w:color="auto" w:fill="E5E5E5"/>
          </w:tcPr>
          <w:p>
            <w:pPr>
              <w:spacing w:after="0"/>
              <w:rPr>
                <w:sz w:val="20"/>
                <w:szCs w:val="20"/>
                <w:color w:val="auto"/>
              </w:rPr>
            </w:pPr>
            <w:r>
              <w:rPr>
                <w:rFonts w:ascii="Arial" w:cs="Arial" w:eastAsia="Arial" w:hAnsi="Arial"/>
                <w:sz w:val="14"/>
                <w:szCs w:val="14"/>
                <w:color w:val="auto"/>
              </w:rPr>
              <w:t>Kris Sennesael</w:t>
            </w:r>
          </w:p>
        </w:tc>
        <w:tc>
          <w:tcPr>
            <w:tcW w:w="1080" w:type="dxa"/>
            <w:vAlign w:val="bottom"/>
            <w:shd w:val="clear" w:color="auto" w:fill="E5E5E5"/>
          </w:tcPr>
          <w:p>
            <w:pPr>
              <w:jc w:val="right"/>
              <w:ind w:right="208"/>
              <w:spacing w:after="0"/>
              <w:rPr>
                <w:sz w:val="20"/>
                <w:szCs w:val="20"/>
                <w:color w:val="auto"/>
              </w:rPr>
            </w:pPr>
            <w:r>
              <w:rPr>
                <w:rFonts w:ascii="Arial" w:cs="Arial" w:eastAsia="Arial" w:hAnsi="Arial"/>
                <w:sz w:val="14"/>
                <w:szCs w:val="14"/>
                <w:color w:val="auto"/>
              </w:rPr>
              <w:t>40,000</w:t>
            </w:r>
          </w:p>
        </w:tc>
        <w:tc>
          <w:tcPr>
            <w:tcW w:w="1140" w:type="dxa"/>
            <w:vAlign w:val="bottom"/>
            <w:shd w:val="clear" w:color="auto" w:fill="E5E5E5"/>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75.22</w:t>
            </w:r>
          </w:p>
        </w:tc>
        <w:tc>
          <w:tcPr>
            <w:tcW w:w="102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8/29/2023</w:t>
            </w:r>
          </w:p>
        </w:tc>
        <w:tc>
          <w:tcPr>
            <w:tcW w:w="1000" w:type="dxa"/>
            <w:vAlign w:val="bottom"/>
            <w:shd w:val="clear" w:color="auto" w:fill="E5E5E5"/>
          </w:tcPr>
          <w:p>
            <w:pPr>
              <w:jc w:val="right"/>
              <w:ind w:right="148"/>
              <w:spacing w:after="0"/>
              <w:rPr>
                <w:sz w:val="20"/>
                <w:szCs w:val="20"/>
                <w:color w:val="auto"/>
              </w:rPr>
            </w:pPr>
            <w:r>
              <w:rPr>
                <w:rFonts w:ascii="Arial" w:cs="Arial" w:eastAsia="Arial" w:hAnsi="Arial"/>
                <w:sz w:val="14"/>
                <w:szCs w:val="14"/>
                <w:color w:val="auto"/>
              </w:rPr>
              <w:t>7,535</w:t>
            </w:r>
            <w:r>
              <w:rPr>
                <w:rFonts w:ascii="Arial" w:cs="Arial" w:eastAsia="Arial" w:hAnsi="Arial"/>
                <w:sz w:val="14"/>
                <w:szCs w:val="14"/>
                <w:color w:val="0076A8"/>
              </w:rPr>
              <w:t>(2)</w:t>
            </w:r>
          </w:p>
        </w:tc>
        <w:tc>
          <w:tcPr>
            <w:tcW w:w="110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1,235,137</w:t>
            </w:r>
          </w:p>
        </w:tc>
        <w:tc>
          <w:tcPr>
            <w:tcW w:w="1080" w:type="dxa"/>
            <w:vAlign w:val="bottom"/>
            <w:shd w:val="clear" w:color="auto" w:fill="E5E5E5"/>
          </w:tcPr>
          <w:p>
            <w:pPr>
              <w:jc w:val="right"/>
              <w:ind w:right="128"/>
              <w:spacing w:after="0"/>
              <w:rPr>
                <w:sz w:val="20"/>
                <w:szCs w:val="20"/>
                <w:color w:val="auto"/>
              </w:rPr>
            </w:pPr>
            <w:r>
              <w:rPr>
                <w:rFonts w:ascii="Arial" w:cs="Arial" w:eastAsia="Arial" w:hAnsi="Arial"/>
                <w:sz w:val="14"/>
                <w:szCs w:val="14"/>
                <w:color w:val="auto"/>
              </w:rPr>
              <w:t>29,172</w:t>
            </w:r>
            <w:r>
              <w:rPr>
                <w:rFonts w:ascii="Arial" w:cs="Arial" w:eastAsia="Arial" w:hAnsi="Arial"/>
                <w:sz w:val="14"/>
                <w:szCs w:val="14"/>
                <w:color w:val="0076A8"/>
              </w:rPr>
              <w:t>(10)</w:t>
            </w:r>
          </w:p>
        </w:tc>
        <w:tc>
          <w:tcPr>
            <w:tcW w:w="96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4,781,874</w:t>
            </w:r>
          </w:p>
        </w:tc>
        <w:tc>
          <w:tcPr>
            <w:tcW w:w="0" w:type="dxa"/>
            <w:vAlign w:val="bottom"/>
          </w:tcPr>
          <w:p>
            <w:pPr>
              <w:spacing w:after="0"/>
              <w:rPr>
                <w:sz w:val="1"/>
                <w:szCs w:val="1"/>
                <w:color w:val="auto"/>
              </w:rPr>
            </w:pPr>
          </w:p>
        </w:tc>
      </w:tr>
      <w:tr>
        <w:trPr>
          <w:trHeight w:val="191"/>
        </w:trPr>
        <w:tc>
          <w:tcPr>
            <w:tcW w:w="1200" w:type="dxa"/>
            <w:vAlign w:val="bottom"/>
          </w:tcPr>
          <w:p>
            <w:pPr>
              <w:spacing w:after="0"/>
              <w:rPr>
                <w:sz w:val="16"/>
                <w:szCs w:val="16"/>
                <w:color w:val="auto"/>
              </w:rPr>
            </w:pPr>
          </w:p>
        </w:tc>
        <w:tc>
          <w:tcPr>
            <w:tcW w:w="1080" w:type="dxa"/>
            <w:vAlign w:val="bottom"/>
          </w:tcPr>
          <w:p>
            <w:pPr>
              <w:jc w:val="right"/>
              <w:ind w:right="208"/>
              <w:spacing w:after="0"/>
              <w:rPr>
                <w:sz w:val="20"/>
                <w:szCs w:val="20"/>
                <w:color w:val="auto"/>
              </w:rPr>
            </w:pPr>
            <w:r>
              <w:rPr>
                <w:rFonts w:ascii="Arial" w:cs="Arial" w:eastAsia="Arial" w:hAnsi="Arial"/>
                <w:sz w:val="14"/>
                <w:szCs w:val="14"/>
                <w:color w:val="auto"/>
              </w:rPr>
              <w:t>12,770</w:t>
            </w:r>
          </w:p>
        </w:tc>
        <w:tc>
          <w:tcPr>
            <w:tcW w:w="11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tcPr>
          <w:p>
            <w:pPr>
              <w:jc w:val="center"/>
              <w:spacing w:after="0"/>
              <w:rPr>
                <w:sz w:val="20"/>
                <w:szCs w:val="20"/>
                <w:color w:val="auto"/>
              </w:rPr>
            </w:pPr>
            <w:r>
              <w:rPr>
                <w:rFonts w:ascii="Arial" w:cs="Arial" w:eastAsia="Arial" w:hAnsi="Arial"/>
                <w:sz w:val="14"/>
                <w:szCs w:val="14"/>
                <w:color w:val="auto"/>
              </w:rPr>
              <w:t>77.66</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11/9/2023</w:t>
            </w: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9,724</w:t>
            </w:r>
            <w:r>
              <w:rPr>
                <w:rFonts w:ascii="Arial" w:cs="Arial" w:eastAsia="Arial" w:hAnsi="Arial"/>
                <w:sz w:val="14"/>
                <w:szCs w:val="14"/>
                <w:color w:val="0076A8"/>
              </w:rPr>
              <w:t>(3)</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1,593,958</w:t>
            </w: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3,544</w:t>
            </w:r>
            <w:r>
              <w:rPr>
                <w:rFonts w:ascii="Arial" w:cs="Arial" w:eastAsia="Arial" w:hAnsi="Arial"/>
                <w:sz w:val="14"/>
                <w:szCs w:val="14"/>
                <w:color w:val="0076A8"/>
              </w:rPr>
              <w:t>(11)</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580,932</w:t>
            </w: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14,180</w:t>
            </w:r>
            <w:r>
              <w:rPr>
                <w:rFonts w:ascii="Arial" w:cs="Arial" w:eastAsia="Arial" w:hAnsi="Arial"/>
                <w:sz w:val="14"/>
                <w:szCs w:val="14"/>
                <w:color w:val="0076A8"/>
              </w:rPr>
              <w:t>(5)</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2,324,386</w:t>
            </w:r>
          </w:p>
        </w:tc>
        <w:tc>
          <w:tcPr>
            <w:tcW w:w="10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2,158</w:t>
            </w:r>
            <w:r>
              <w:rPr>
                <w:rFonts w:ascii="Arial" w:cs="Arial" w:eastAsia="Arial" w:hAnsi="Arial"/>
                <w:sz w:val="14"/>
                <w:szCs w:val="14"/>
                <w:color w:val="0076A8"/>
              </w:rPr>
              <w:t>(6)</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353,739</w:t>
            </w:r>
          </w:p>
        </w:tc>
        <w:tc>
          <w:tcPr>
            <w:tcW w:w="10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6,776</w:t>
            </w:r>
            <w:r>
              <w:rPr>
                <w:rFonts w:ascii="Arial" w:cs="Arial" w:eastAsia="Arial" w:hAnsi="Arial"/>
                <w:sz w:val="14"/>
                <w:szCs w:val="14"/>
                <w:color w:val="0076A8"/>
              </w:rPr>
              <w:t>(7)</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1,110,722</w:t>
            </w:r>
          </w:p>
        </w:tc>
        <w:tc>
          <w:tcPr>
            <w:tcW w:w="10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9,723</w:t>
            </w:r>
            <w:r>
              <w:rPr>
                <w:rFonts w:ascii="Arial" w:cs="Arial" w:eastAsia="Arial" w:hAnsi="Arial"/>
                <w:sz w:val="14"/>
                <w:szCs w:val="14"/>
                <w:color w:val="0076A8"/>
              </w:rPr>
              <w:t>(8)</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1,593,794</w:t>
            </w:r>
          </w:p>
        </w:tc>
        <w:tc>
          <w:tcPr>
            <w:tcW w:w="10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8,610</w:t>
            </w:r>
            <w:r>
              <w:rPr>
                <w:rFonts w:ascii="Arial" w:cs="Arial" w:eastAsia="Arial" w:hAnsi="Arial"/>
                <w:sz w:val="14"/>
                <w:szCs w:val="14"/>
                <w:color w:val="0076A8"/>
              </w:rPr>
              <w:t>(12)</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1,411,351</w:t>
            </w:r>
          </w:p>
        </w:tc>
        <w:tc>
          <w:tcPr>
            <w:tcW w:w="10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9,452</w:t>
            </w:r>
            <w:r>
              <w:rPr>
                <w:rFonts w:ascii="Arial" w:cs="Arial" w:eastAsia="Arial" w:hAnsi="Arial"/>
                <w:sz w:val="14"/>
                <w:szCs w:val="14"/>
                <w:color w:val="0076A8"/>
              </w:rPr>
              <w:t>(9)</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1,549,372</w:t>
            </w:r>
          </w:p>
        </w:tc>
        <w:tc>
          <w:tcPr>
            <w:tcW w:w="10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0" w:type="dxa"/>
            <w:vAlign w:val="bottom"/>
            <w:shd w:val="clear" w:color="auto" w:fill="E5E5E5"/>
          </w:tcPr>
          <w:p>
            <w:pPr>
              <w:spacing w:after="0"/>
              <w:rPr>
                <w:sz w:val="20"/>
                <w:szCs w:val="20"/>
                <w:color w:val="auto"/>
              </w:rPr>
            </w:pPr>
            <w:r>
              <w:rPr>
                <w:rFonts w:ascii="Arial" w:cs="Arial" w:eastAsia="Arial" w:hAnsi="Arial"/>
                <w:sz w:val="14"/>
                <w:szCs w:val="14"/>
                <w:color w:val="auto"/>
              </w:rPr>
              <w:t>Carlos S. Bori</w:t>
            </w:r>
          </w:p>
        </w:tc>
        <w:tc>
          <w:tcPr>
            <w:tcW w:w="1080" w:type="dxa"/>
            <w:vAlign w:val="bottom"/>
            <w:shd w:val="clear" w:color="auto" w:fill="E5E5E5"/>
          </w:tcPr>
          <w:p>
            <w:pPr>
              <w:spacing w:after="0"/>
              <w:rPr>
                <w:sz w:val="16"/>
                <w:szCs w:val="16"/>
                <w:color w:val="auto"/>
              </w:rPr>
            </w:pPr>
          </w:p>
        </w:tc>
        <w:tc>
          <w:tcPr>
            <w:tcW w:w="1140" w:type="dxa"/>
            <w:vAlign w:val="bottom"/>
            <w:shd w:val="clear" w:color="auto" w:fill="E5E5E5"/>
          </w:tcPr>
          <w:p>
            <w:pPr>
              <w:spacing w:after="0"/>
              <w:rPr>
                <w:sz w:val="16"/>
                <w:szCs w:val="16"/>
                <w:color w:val="auto"/>
              </w:rPr>
            </w:pPr>
          </w:p>
        </w:tc>
        <w:tc>
          <w:tcPr>
            <w:tcW w:w="820" w:type="dxa"/>
            <w:vAlign w:val="bottom"/>
            <w:shd w:val="clear" w:color="auto" w:fill="E5E5E5"/>
          </w:tcPr>
          <w:p>
            <w:pPr>
              <w:spacing w:after="0"/>
              <w:rPr>
                <w:sz w:val="16"/>
                <w:szCs w:val="16"/>
                <w:color w:val="auto"/>
              </w:rPr>
            </w:pPr>
          </w:p>
        </w:tc>
        <w:tc>
          <w:tcPr>
            <w:tcW w:w="1020" w:type="dxa"/>
            <w:vAlign w:val="bottom"/>
            <w:shd w:val="clear" w:color="auto" w:fill="E5E5E5"/>
          </w:tcPr>
          <w:p>
            <w:pPr>
              <w:spacing w:after="0"/>
              <w:rPr>
                <w:sz w:val="16"/>
                <w:szCs w:val="16"/>
                <w:color w:val="auto"/>
              </w:rPr>
            </w:pPr>
          </w:p>
        </w:tc>
        <w:tc>
          <w:tcPr>
            <w:tcW w:w="1000" w:type="dxa"/>
            <w:vAlign w:val="bottom"/>
            <w:shd w:val="clear" w:color="auto" w:fill="E5E5E5"/>
          </w:tcPr>
          <w:p>
            <w:pPr>
              <w:jc w:val="right"/>
              <w:ind w:right="148"/>
              <w:spacing w:after="0"/>
              <w:rPr>
                <w:sz w:val="20"/>
                <w:szCs w:val="20"/>
                <w:color w:val="auto"/>
              </w:rPr>
            </w:pPr>
            <w:r>
              <w:rPr>
                <w:rFonts w:ascii="Arial" w:cs="Arial" w:eastAsia="Arial" w:hAnsi="Arial"/>
                <w:sz w:val="14"/>
                <w:szCs w:val="14"/>
                <w:color w:val="auto"/>
              </w:rPr>
              <w:t>7,266</w:t>
            </w:r>
            <w:r>
              <w:rPr>
                <w:rFonts w:ascii="Arial" w:cs="Arial" w:eastAsia="Arial" w:hAnsi="Arial"/>
                <w:sz w:val="14"/>
                <w:szCs w:val="14"/>
                <w:color w:val="0076A8"/>
              </w:rPr>
              <w:t>(2)</w:t>
            </w:r>
          </w:p>
        </w:tc>
        <w:tc>
          <w:tcPr>
            <w:tcW w:w="110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1,191,043</w:t>
            </w:r>
          </w:p>
        </w:tc>
        <w:tc>
          <w:tcPr>
            <w:tcW w:w="1080" w:type="dxa"/>
            <w:vAlign w:val="bottom"/>
            <w:shd w:val="clear" w:color="auto" w:fill="E5E5E5"/>
          </w:tcPr>
          <w:p>
            <w:pPr>
              <w:jc w:val="right"/>
              <w:ind w:right="128"/>
              <w:spacing w:after="0"/>
              <w:rPr>
                <w:sz w:val="20"/>
                <w:szCs w:val="20"/>
                <w:color w:val="auto"/>
              </w:rPr>
            </w:pPr>
            <w:r>
              <w:rPr>
                <w:rFonts w:ascii="Arial" w:cs="Arial" w:eastAsia="Arial" w:hAnsi="Arial"/>
                <w:sz w:val="14"/>
                <w:szCs w:val="14"/>
                <w:color w:val="auto"/>
              </w:rPr>
              <w:t>24,615</w:t>
            </w:r>
            <w:r>
              <w:rPr>
                <w:rFonts w:ascii="Arial" w:cs="Arial" w:eastAsia="Arial" w:hAnsi="Arial"/>
                <w:sz w:val="14"/>
                <w:szCs w:val="14"/>
                <w:color w:val="0076A8"/>
              </w:rPr>
              <w:t>(10)</w:t>
            </w:r>
          </w:p>
        </w:tc>
        <w:tc>
          <w:tcPr>
            <w:tcW w:w="96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4,034,891</w:t>
            </w:r>
          </w:p>
        </w:tc>
        <w:tc>
          <w:tcPr>
            <w:tcW w:w="0" w:type="dxa"/>
            <w:vAlign w:val="bottom"/>
          </w:tcPr>
          <w:p>
            <w:pPr>
              <w:spacing w:after="0"/>
              <w:rPr>
                <w:sz w:val="1"/>
                <w:szCs w:val="1"/>
                <w:color w:val="auto"/>
              </w:rPr>
            </w:pPr>
          </w:p>
        </w:tc>
      </w:tr>
      <w:tr>
        <w:trPr>
          <w:trHeight w:val="191"/>
        </w:trPr>
        <w:tc>
          <w:tcPr>
            <w:tcW w:w="1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8,204</w:t>
            </w:r>
            <w:r>
              <w:rPr>
                <w:rFonts w:ascii="Arial" w:cs="Arial" w:eastAsia="Arial" w:hAnsi="Arial"/>
                <w:sz w:val="14"/>
                <w:szCs w:val="14"/>
                <w:color w:val="0076A8"/>
              </w:rPr>
              <w:t>(3)</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1,344,800</w:t>
            </w: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3,023</w:t>
            </w:r>
            <w:r>
              <w:rPr>
                <w:rFonts w:ascii="Arial" w:cs="Arial" w:eastAsia="Arial" w:hAnsi="Arial"/>
                <w:sz w:val="14"/>
                <w:szCs w:val="14"/>
                <w:color w:val="0076A8"/>
              </w:rPr>
              <w:t>(11)</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495,530</w:t>
            </w: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12,094</w:t>
            </w:r>
            <w:r>
              <w:rPr>
                <w:rFonts w:ascii="Arial" w:cs="Arial" w:eastAsia="Arial" w:hAnsi="Arial"/>
                <w:sz w:val="14"/>
                <w:szCs w:val="14"/>
                <w:color w:val="0076A8"/>
              </w:rPr>
              <w:t>(5)</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1,982,448</w:t>
            </w:r>
          </w:p>
        </w:tc>
        <w:tc>
          <w:tcPr>
            <w:tcW w:w="10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2,158</w:t>
            </w:r>
            <w:r>
              <w:rPr>
                <w:rFonts w:ascii="Arial" w:cs="Arial" w:eastAsia="Arial" w:hAnsi="Arial"/>
                <w:sz w:val="14"/>
                <w:szCs w:val="14"/>
                <w:color w:val="0076A8"/>
              </w:rPr>
              <w:t>(6)</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353,739</w:t>
            </w:r>
          </w:p>
        </w:tc>
        <w:tc>
          <w:tcPr>
            <w:tcW w:w="10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6,534</w:t>
            </w:r>
            <w:r>
              <w:rPr>
                <w:rFonts w:ascii="Arial" w:cs="Arial" w:eastAsia="Arial" w:hAnsi="Arial"/>
                <w:sz w:val="14"/>
                <w:szCs w:val="14"/>
                <w:color w:val="0076A8"/>
              </w:rPr>
              <w:t>(7)</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1,071,053</w:t>
            </w:r>
          </w:p>
        </w:tc>
        <w:tc>
          <w:tcPr>
            <w:tcW w:w="10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8,205</w:t>
            </w:r>
            <w:r>
              <w:rPr>
                <w:rFonts w:ascii="Arial" w:cs="Arial" w:eastAsia="Arial" w:hAnsi="Arial"/>
                <w:sz w:val="14"/>
                <w:szCs w:val="14"/>
                <w:color w:val="0076A8"/>
              </w:rPr>
              <w:t>(8)</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1,344,964</w:t>
            </w:r>
          </w:p>
        </w:tc>
        <w:tc>
          <w:tcPr>
            <w:tcW w:w="10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7,597</w:t>
            </w:r>
            <w:r>
              <w:rPr>
                <w:rFonts w:ascii="Arial" w:cs="Arial" w:eastAsia="Arial" w:hAnsi="Arial"/>
                <w:sz w:val="14"/>
                <w:szCs w:val="14"/>
                <w:color w:val="0076A8"/>
              </w:rPr>
              <w:t>(12)</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1,245,300</w:t>
            </w:r>
          </w:p>
        </w:tc>
        <w:tc>
          <w:tcPr>
            <w:tcW w:w="10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8,062</w:t>
            </w:r>
            <w:r>
              <w:rPr>
                <w:rFonts w:ascii="Arial" w:cs="Arial" w:eastAsia="Arial" w:hAnsi="Arial"/>
                <w:sz w:val="14"/>
                <w:szCs w:val="14"/>
                <w:color w:val="0076A8"/>
              </w:rPr>
              <w:t>(9)</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1,321,523</w:t>
            </w:r>
          </w:p>
        </w:tc>
        <w:tc>
          <w:tcPr>
            <w:tcW w:w="10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0" w:type="dxa"/>
            <w:vAlign w:val="bottom"/>
            <w:shd w:val="clear" w:color="auto" w:fill="E5E5E5"/>
          </w:tcPr>
          <w:p>
            <w:pPr>
              <w:spacing w:after="0"/>
              <w:rPr>
                <w:sz w:val="20"/>
                <w:szCs w:val="20"/>
                <w:color w:val="auto"/>
              </w:rPr>
            </w:pPr>
            <w:r>
              <w:rPr>
                <w:rFonts w:ascii="Arial" w:cs="Arial" w:eastAsia="Arial" w:hAnsi="Arial"/>
                <w:sz w:val="14"/>
                <w:szCs w:val="14"/>
                <w:color w:val="auto"/>
              </w:rPr>
              <w:t>Robert J. Terry</w:t>
            </w:r>
          </w:p>
        </w:tc>
        <w:tc>
          <w:tcPr>
            <w:tcW w:w="1080" w:type="dxa"/>
            <w:vAlign w:val="bottom"/>
            <w:shd w:val="clear" w:color="auto" w:fill="E5E5E5"/>
          </w:tcPr>
          <w:p>
            <w:pPr>
              <w:jc w:val="right"/>
              <w:ind w:right="208"/>
              <w:spacing w:after="0"/>
              <w:rPr>
                <w:sz w:val="20"/>
                <w:szCs w:val="20"/>
                <w:color w:val="auto"/>
              </w:rPr>
            </w:pPr>
            <w:r>
              <w:rPr>
                <w:rFonts w:ascii="Arial" w:cs="Arial" w:eastAsia="Arial" w:hAnsi="Arial"/>
                <w:sz w:val="14"/>
                <w:szCs w:val="14"/>
                <w:color w:val="auto"/>
              </w:rPr>
              <w:t>502</w:t>
            </w:r>
          </w:p>
        </w:tc>
        <w:tc>
          <w:tcPr>
            <w:tcW w:w="1140" w:type="dxa"/>
            <w:vAlign w:val="bottom"/>
            <w:shd w:val="clear" w:color="auto" w:fill="E5E5E5"/>
          </w:tcPr>
          <w:p>
            <w:pPr>
              <w:jc w:val="center"/>
              <w:spacing w:after="0"/>
              <w:rPr>
                <w:sz w:val="20"/>
                <w:szCs w:val="20"/>
                <w:color w:val="auto"/>
              </w:rPr>
            </w:pPr>
            <w:r>
              <w:rPr>
                <w:rFonts w:ascii="Arial" w:cs="Arial" w:eastAsia="Arial" w:hAnsi="Arial"/>
                <w:sz w:val="14"/>
                <w:szCs w:val="14"/>
                <w:color w:val="auto"/>
                <w:w w:val="99"/>
              </w:rPr>
              <w:t>—</w:t>
            </w:r>
          </w:p>
        </w:tc>
        <w:tc>
          <w:tcPr>
            <w:tcW w:w="820" w:type="dxa"/>
            <w:vAlign w:val="bottom"/>
            <w:shd w:val="clear" w:color="auto" w:fill="E5E5E5"/>
          </w:tcPr>
          <w:p>
            <w:pPr>
              <w:jc w:val="center"/>
              <w:spacing w:after="0"/>
              <w:rPr>
                <w:sz w:val="20"/>
                <w:szCs w:val="20"/>
                <w:color w:val="auto"/>
              </w:rPr>
            </w:pPr>
            <w:r>
              <w:rPr>
                <w:rFonts w:ascii="Arial" w:cs="Arial" w:eastAsia="Arial" w:hAnsi="Arial"/>
                <w:sz w:val="14"/>
                <w:szCs w:val="14"/>
                <w:color w:val="auto"/>
              </w:rPr>
              <w:t>75.91</w:t>
            </w:r>
          </w:p>
        </w:tc>
        <w:tc>
          <w:tcPr>
            <w:tcW w:w="102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11/10/2023</w:t>
            </w:r>
          </w:p>
        </w:tc>
        <w:tc>
          <w:tcPr>
            <w:tcW w:w="1000" w:type="dxa"/>
            <w:vAlign w:val="bottom"/>
            <w:shd w:val="clear" w:color="auto" w:fill="E5E5E5"/>
          </w:tcPr>
          <w:p>
            <w:pPr>
              <w:jc w:val="right"/>
              <w:ind w:right="148"/>
              <w:spacing w:after="0"/>
              <w:rPr>
                <w:sz w:val="20"/>
                <w:szCs w:val="20"/>
                <w:color w:val="auto"/>
              </w:rPr>
            </w:pPr>
            <w:r>
              <w:rPr>
                <w:rFonts w:ascii="Arial" w:cs="Arial" w:eastAsia="Arial" w:hAnsi="Arial"/>
                <w:sz w:val="14"/>
                <w:szCs w:val="14"/>
                <w:color w:val="auto"/>
              </w:rPr>
              <w:t>4,575</w:t>
            </w:r>
            <w:r>
              <w:rPr>
                <w:rFonts w:ascii="Arial" w:cs="Arial" w:eastAsia="Arial" w:hAnsi="Arial"/>
                <w:sz w:val="14"/>
                <w:szCs w:val="14"/>
                <w:color w:val="0076A8"/>
              </w:rPr>
              <w:t>(2)</w:t>
            </w:r>
          </w:p>
        </w:tc>
        <w:tc>
          <w:tcPr>
            <w:tcW w:w="110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749,934</w:t>
            </w:r>
          </w:p>
        </w:tc>
        <w:tc>
          <w:tcPr>
            <w:tcW w:w="1080" w:type="dxa"/>
            <w:vAlign w:val="bottom"/>
            <w:shd w:val="clear" w:color="auto" w:fill="E5E5E5"/>
          </w:tcPr>
          <w:p>
            <w:pPr>
              <w:jc w:val="right"/>
              <w:ind w:right="128"/>
              <w:spacing w:after="0"/>
              <w:rPr>
                <w:sz w:val="20"/>
                <w:szCs w:val="20"/>
                <w:color w:val="auto"/>
              </w:rPr>
            </w:pPr>
            <w:r>
              <w:rPr>
                <w:rFonts w:ascii="Arial" w:cs="Arial" w:eastAsia="Arial" w:hAnsi="Arial"/>
                <w:sz w:val="14"/>
                <w:szCs w:val="14"/>
                <w:color w:val="auto"/>
              </w:rPr>
              <w:t>23,703</w:t>
            </w:r>
            <w:r>
              <w:rPr>
                <w:rFonts w:ascii="Arial" w:cs="Arial" w:eastAsia="Arial" w:hAnsi="Arial"/>
                <w:sz w:val="14"/>
                <w:szCs w:val="14"/>
                <w:color w:val="0076A8"/>
              </w:rPr>
              <w:t>(10)</w:t>
            </w:r>
          </w:p>
        </w:tc>
        <w:tc>
          <w:tcPr>
            <w:tcW w:w="96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3,885,396</w:t>
            </w:r>
          </w:p>
        </w:tc>
        <w:tc>
          <w:tcPr>
            <w:tcW w:w="0" w:type="dxa"/>
            <w:vAlign w:val="bottom"/>
          </w:tcPr>
          <w:p>
            <w:pPr>
              <w:spacing w:after="0"/>
              <w:rPr>
                <w:sz w:val="1"/>
                <w:szCs w:val="1"/>
                <w:color w:val="auto"/>
              </w:rPr>
            </w:pPr>
          </w:p>
        </w:tc>
      </w:tr>
      <w:tr>
        <w:trPr>
          <w:trHeight w:val="190"/>
        </w:trPr>
        <w:tc>
          <w:tcPr>
            <w:tcW w:w="1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7,900</w:t>
            </w:r>
            <w:r>
              <w:rPr>
                <w:rFonts w:ascii="Arial" w:cs="Arial" w:eastAsia="Arial" w:hAnsi="Arial"/>
                <w:sz w:val="14"/>
                <w:szCs w:val="14"/>
                <w:color w:val="0076A8"/>
              </w:rPr>
              <w:t>(3)</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1,294,968</w:t>
            </w: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2,815</w:t>
            </w:r>
            <w:r>
              <w:rPr>
                <w:rFonts w:ascii="Arial" w:cs="Arial" w:eastAsia="Arial" w:hAnsi="Arial"/>
                <w:sz w:val="14"/>
                <w:szCs w:val="14"/>
                <w:color w:val="0076A8"/>
              </w:rPr>
              <w:t>(11)</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461,435</w:t>
            </w: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11,260</w:t>
            </w:r>
            <w:r>
              <w:rPr>
                <w:rFonts w:ascii="Arial" w:cs="Arial" w:eastAsia="Arial" w:hAnsi="Arial"/>
                <w:sz w:val="14"/>
                <w:szCs w:val="14"/>
                <w:color w:val="0076A8"/>
              </w:rPr>
              <w:t>(5)</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1,845,739</w:t>
            </w:r>
          </w:p>
        </w:tc>
        <w:tc>
          <w:tcPr>
            <w:tcW w:w="10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1,349</w:t>
            </w:r>
            <w:r>
              <w:rPr>
                <w:rFonts w:ascii="Arial" w:cs="Arial" w:eastAsia="Arial" w:hAnsi="Arial"/>
                <w:sz w:val="14"/>
                <w:szCs w:val="14"/>
                <w:color w:val="0076A8"/>
              </w:rPr>
              <w:t>(6)</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221,128</w:t>
            </w:r>
          </w:p>
        </w:tc>
        <w:tc>
          <w:tcPr>
            <w:tcW w:w="10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4,114</w:t>
            </w:r>
            <w:r>
              <w:rPr>
                <w:rFonts w:ascii="Arial" w:cs="Arial" w:eastAsia="Arial" w:hAnsi="Arial"/>
                <w:sz w:val="14"/>
                <w:szCs w:val="14"/>
                <w:color w:val="0076A8"/>
              </w:rPr>
              <w:t>(7)</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674,367</w:t>
            </w:r>
          </w:p>
        </w:tc>
        <w:tc>
          <w:tcPr>
            <w:tcW w:w="10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7,900</w:t>
            </w:r>
            <w:r>
              <w:rPr>
                <w:rFonts w:ascii="Arial" w:cs="Arial" w:eastAsia="Arial" w:hAnsi="Arial"/>
                <w:sz w:val="14"/>
                <w:szCs w:val="14"/>
                <w:color w:val="0076A8"/>
              </w:rPr>
              <w:t>(8)</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1,294,968</w:t>
            </w:r>
          </w:p>
        </w:tc>
        <w:tc>
          <w:tcPr>
            <w:tcW w:w="10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6,077</w:t>
            </w:r>
            <w:r>
              <w:rPr>
                <w:rFonts w:ascii="Arial" w:cs="Arial" w:eastAsia="Arial" w:hAnsi="Arial"/>
                <w:sz w:val="14"/>
                <w:szCs w:val="14"/>
                <w:color w:val="0076A8"/>
              </w:rPr>
              <w:t>(12)</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996,142</w:t>
            </w:r>
          </w:p>
        </w:tc>
        <w:tc>
          <w:tcPr>
            <w:tcW w:w="10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7,506</w:t>
            </w:r>
            <w:r>
              <w:rPr>
                <w:rFonts w:ascii="Arial" w:cs="Arial" w:eastAsia="Arial" w:hAnsi="Arial"/>
                <w:sz w:val="14"/>
                <w:szCs w:val="14"/>
                <w:color w:val="0076A8"/>
              </w:rPr>
              <w:t>(9)</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1,230,384</w:t>
            </w:r>
          </w:p>
        </w:tc>
        <w:tc>
          <w:tcPr>
            <w:tcW w:w="10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0" w:type="dxa"/>
            <w:vAlign w:val="bottom"/>
            <w:shd w:val="clear" w:color="auto" w:fill="E5E5E5"/>
          </w:tcPr>
          <w:p>
            <w:pPr>
              <w:spacing w:after="0"/>
              <w:rPr>
                <w:sz w:val="20"/>
                <w:szCs w:val="20"/>
                <w:color w:val="auto"/>
              </w:rPr>
            </w:pPr>
            <w:r>
              <w:rPr>
                <w:rFonts w:ascii="Arial" w:cs="Arial" w:eastAsia="Arial" w:hAnsi="Arial"/>
                <w:sz w:val="14"/>
                <w:szCs w:val="14"/>
                <w:color w:val="auto"/>
              </w:rPr>
              <w:t>Karilee A. Durham</w:t>
            </w:r>
          </w:p>
        </w:tc>
        <w:tc>
          <w:tcPr>
            <w:tcW w:w="1080" w:type="dxa"/>
            <w:vAlign w:val="bottom"/>
            <w:shd w:val="clear" w:color="auto" w:fill="E5E5E5"/>
          </w:tcPr>
          <w:p>
            <w:pPr>
              <w:spacing w:after="0"/>
              <w:rPr>
                <w:sz w:val="16"/>
                <w:szCs w:val="16"/>
                <w:color w:val="auto"/>
              </w:rPr>
            </w:pPr>
          </w:p>
        </w:tc>
        <w:tc>
          <w:tcPr>
            <w:tcW w:w="1140" w:type="dxa"/>
            <w:vAlign w:val="bottom"/>
            <w:shd w:val="clear" w:color="auto" w:fill="E5E5E5"/>
          </w:tcPr>
          <w:p>
            <w:pPr>
              <w:spacing w:after="0"/>
              <w:rPr>
                <w:sz w:val="16"/>
                <w:szCs w:val="16"/>
                <w:color w:val="auto"/>
              </w:rPr>
            </w:pPr>
          </w:p>
        </w:tc>
        <w:tc>
          <w:tcPr>
            <w:tcW w:w="820" w:type="dxa"/>
            <w:vAlign w:val="bottom"/>
            <w:shd w:val="clear" w:color="auto" w:fill="E5E5E5"/>
          </w:tcPr>
          <w:p>
            <w:pPr>
              <w:spacing w:after="0"/>
              <w:rPr>
                <w:sz w:val="16"/>
                <w:szCs w:val="16"/>
                <w:color w:val="auto"/>
              </w:rPr>
            </w:pPr>
          </w:p>
        </w:tc>
        <w:tc>
          <w:tcPr>
            <w:tcW w:w="1020" w:type="dxa"/>
            <w:vAlign w:val="bottom"/>
            <w:shd w:val="clear" w:color="auto" w:fill="E5E5E5"/>
          </w:tcPr>
          <w:p>
            <w:pPr>
              <w:spacing w:after="0"/>
              <w:rPr>
                <w:sz w:val="16"/>
                <w:szCs w:val="16"/>
                <w:color w:val="auto"/>
              </w:rPr>
            </w:pPr>
          </w:p>
        </w:tc>
        <w:tc>
          <w:tcPr>
            <w:tcW w:w="1000" w:type="dxa"/>
            <w:vAlign w:val="bottom"/>
            <w:shd w:val="clear" w:color="auto" w:fill="E5E5E5"/>
          </w:tcPr>
          <w:p>
            <w:pPr>
              <w:jc w:val="right"/>
              <w:ind w:right="148"/>
              <w:spacing w:after="0"/>
              <w:rPr>
                <w:sz w:val="20"/>
                <w:szCs w:val="20"/>
                <w:color w:val="auto"/>
              </w:rPr>
            </w:pPr>
            <w:r>
              <w:rPr>
                <w:rFonts w:ascii="Arial" w:cs="Arial" w:eastAsia="Arial" w:hAnsi="Arial"/>
                <w:sz w:val="14"/>
                <w:szCs w:val="14"/>
                <w:color w:val="auto"/>
              </w:rPr>
              <w:t>2,960</w:t>
            </w:r>
            <w:r>
              <w:rPr>
                <w:rFonts w:ascii="Arial" w:cs="Arial" w:eastAsia="Arial" w:hAnsi="Arial"/>
                <w:sz w:val="14"/>
                <w:szCs w:val="14"/>
                <w:color w:val="0076A8"/>
              </w:rPr>
              <w:t>(2)</w:t>
            </w:r>
          </w:p>
        </w:tc>
        <w:tc>
          <w:tcPr>
            <w:tcW w:w="1100" w:type="dxa"/>
            <w:vAlign w:val="bottom"/>
            <w:shd w:val="clear" w:color="auto" w:fill="E5E5E5"/>
          </w:tcPr>
          <w:p>
            <w:pPr>
              <w:jc w:val="right"/>
              <w:ind w:right="88"/>
              <w:spacing w:after="0"/>
              <w:rPr>
                <w:sz w:val="20"/>
                <w:szCs w:val="20"/>
                <w:color w:val="auto"/>
              </w:rPr>
            </w:pPr>
            <w:r>
              <w:rPr>
                <w:rFonts w:ascii="Arial" w:cs="Arial" w:eastAsia="Arial" w:hAnsi="Arial"/>
                <w:sz w:val="14"/>
                <w:szCs w:val="14"/>
                <w:color w:val="auto"/>
              </w:rPr>
              <w:t>485,203</w:t>
            </w:r>
          </w:p>
        </w:tc>
        <w:tc>
          <w:tcPr>
            <w:tcW w:w="1080" w:type="dxa"/>
            <w:vAlign w:val="bottom"/>
            <w:shd w:val="clear" w:color="auto" w:fill="E5E5E5"/>
          </w:tcPr>
          <w:p>
            <w:pPr>
              <w:jc w:val="right"/>
              <w:ind w:right="128"/>
              <w:spacing w:after="0"/>
              <w:rPr>
                <w:sz w:val="20"/>
                <w:szCs w:val="20"/>
                <w:color w:val="auto"/>
              </w:rPr>
            </w:pPr>
            <w:r>
              <w:rPr>
                <w:rFonts w:ascii="Arial" w:cs="Arial" w:eastAsia="Arial" w:hAnsi="Arial"/>
                <w:sz w:val="14"/>
                <w:szCs w:val="14"/>
                <w:color w:val="auto"/>
              </w:rPr>
              <w:t>16,410</w:t>
            </w:r>
            <w:r>
              <w:rPr>
                <w:rFonts w:ascii="Arial" w:cs="Arial" w:eastAsia="Arial" w:hAnsi="Arial"/>
                <w:sz w:val="14"/>
                <w:szCs w:val="14"/>
                <w:color w:val="0076A8"/>
              </w:rPr>
              <w:t>(10)</w:t>
            </w:r>
          </w:p>
        </w:tc>
        <w:tc>
          <w:tcPr>
            <w:tcW w:w="96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2,689,927</w:t>
            </w:r>
          </w:p>
        </w:tc>
        <w:tc>
          <w:tcPr>
            <w:tcW w:w="0" w:type="dxa"/>
            <w:vAlign w:val="bottom"/>
          </w:tcPr>
          <w:p>
            <w:pPr>
              <w:spacing w:after="0"/>
              <w:rPr>
                <w:sz w:val="1"/>
                <w:szCs w:val="1"/>
                <w:color w:val="auto"/>
              </w:rPr>
            </w:pPr>
          </w:p>
        </w:tc>
      </w:tr>
      <w:tr>
        <w:trPr>
          <w:trHeight w:val="191"/>
        </w:trPr>
        <w:tc>
          <w:tcPr>
            <w:tcW w:w="1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5,468</w:t>
            </w:r>
            <w:r>
              <w:rPr>
                <w:rFonts w:ascii="Arial" w:cs="Arial" w:eastAsia="Arial" w:hAnsi="Arial"/>
                <w:sz w:val="14"/>
                <w:szCs w:val="14"/>
                <w:color w:val="0076A8"/>
              </w:rPr>
              <w:t>(3)</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896,315</w:t>
            </w: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1,980</w:t>
            </w:r>
            <w:r>
              <w:rPr>
                <w:rFonts w:ascii="Arial" w:cs="Arial" w:eastAsia="Arial" w:hAnsi="Arial"/>
                <w:sz w:val="14"/>
                <w:szCs w:val="14"/>
                <w:color w:val="0076A8"/>
              </w:rPr>
              <w:t>(11)</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324,562</w:t>
            </w: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7,924</w:t>
            </w:r>
            <w:r>
              <w:rPr>
                <w:rFonts w:ascii="Arial" w:cs="Arial" w:eastAsia="Arial" w:hAnsi="Arial"/>
                <w:sz w:val="14"/>
                <w:szCs w:val="14"/>
                <w:color w:val="0076A8"/>
              </w:rPr>
              <w:t>(5)</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1,298,902</w:t>
            </w:r>
          </w:p>
        </w:tc>
        <w:tc>
          <w:tcPr>
            <w:tcW w:w="10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4,426</w:t>
            </w:r>
            <w:r>
              <w:rPr>
                <w:rFonts w:ascii="Arial" w:cs="Arial" w:eastAsia="Arial" w:hAnsi="Arial"/>
                <w:sz w:val="14"/>
                <w:szCs w:val="14"/>
                <w:color w:val="0076A8"/>
              </w:rPr>
              <w:t>(13)</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725,510</w:t>
            </w:r>
          </w:p>
        </w:tc>
        <w:tc>
          <w:tcPr>
            <w:tcW w:w="10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2,662</w:t>
            </w:r>
            <w:r>
              <w:rPr>
                <w:rFonts w:ascii="Arial" w:cs="Arial" w:eastAsia="Arial" w:hAnsi="Arial"/>
                <w:sz w:val="14"/>
                <w:szCs w:val="14"/>
                <w:color w:val="0076A8"/>
              </w:rPr>
              <w:t>(7)</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436,355</w:t>
            </w:r>
          </w:p>
        </w:tc>
        <w:tc>
          <w:tcPr>
            <w:tcW w:w="10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5,469</w:t>
            </w:r>
            <w:r>
              <w:rPr>
                <w:rFonts w:ascii="Arial" w:cs="Arial" w:eastAsia="Arial" w:hAnsi="Arial"/>
                <w:sz w:val="14"/>
                <w:szCs w:val="14"/>
                <w:color w:val="0076A8"/>
              </w:rPr>
              <w:t>(8)</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896,478</w:t>
            </w:r>
          </w:p>
        </w:tc>
        <w:tc>
          <w:tcPr>
            <w:tcW w:w="10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4,051</w:t>
            </w:r>
            <w:r>
              <w:rPr>
                <w:rFonts w:ascii="Arial" w:cs="Arial" w:eastAsia="Arial" w:hAnsi="Arial"/>
                <w:sz w:val="14"/>
                <w:szCs w:val="14"/>
                <w:color w:val="0076A8"/>
              </w:rPr>
              <w:t>(12)</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664,040</w:t>
            </w:r>
          </w:p>
        </w:tc>
        <w:tc>
          <w:tcPr>
            <w:tcW w:w="10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5,282</w:t>
            </w:r>
            <w:r>
              <w:rPr>
                <w:rFonts w:ascii="Arial" w:cs="Arial" w:eastAsia="Arial" w:hAnsi="Arial"/>
                <w:sz w:val="14"/>
                <w:szCs w:val="14"/>
                <w:color w:val="0076A8"/>
              </w:rPr>
              <w:t>(9)</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865,825</w:t>
            </w:r>
          </w:p>
        </w:tc>
        <w:tc>
          <w:tcPr>
            <w:tcW w:w="10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200" w:type="dxa"/>
            <w:vAlign w:val="bottom"/>
            <w:tcBorders>
              <w:bottom w:val="single" w:sz="8" w:color="CCCCCC"/>
            </w:tcBorders>
          </w:tcPr>
          <w:p>
            <w:pPr>
              <w:spacing w:after="0"/>
              <w:rPr>
                <w:sz w:val="2"/>
                <w:szCs w:val="2"/>
                <w:color w:val="auto"/>
              </w:rPr>
            </w:pPr>
          </w:p>
        </w:tc>
        <w:tc>
          <w:tcPr>
            <w:tcW w:w="1080" w:type="dxa"/>
            <w:vAlign w:val="bottom"/>
            <w:tcBorders>
              <w:bottom w:val="single" w:sz="8" w:color="CCCCCC"/>
            </w:tcBorders>
          </w:tcPr>
          <w:p>
            <w:pPr>
              <w:spacing w:after="0"/>
              <w:rPr>
                <w:sz w:val="2"/>
                <w:szCs w:val="2"/>
                <w:color w:val="auto"/>
              </w:rPr>
            </w:pPr>
          </w:p>
        </w:tc>
        <w:tc>
          <w:tcPr>
            <w:tcW w:w="1140" w:type="dxa"/>
            <w:vAlign w:val="bottom"/>
            <w:tcBorders>
              <w:bottom w:val="single" w:sz="8" w:color="CCCCCC"/>
            </w:tcBorders>
          </w:tcPr>
          <w:p>
            <w:pPr>
              <w:spacing w:after="0"/>
              <w:rPr>
                <w:sz w:val="2"/>
                <w:szCs w:val="2"/>
                <w:color w:val="auto"/>
              </w:rPr>
            </w:pPr>
          </w:p>
        </w:tc>
        <w:tc>
          <w:tcPr>
            <w:tcW w:w="820" w:type="dxa"/>
            <w:vAlign w:val="bottom"/>
            <w:tcBorders>
              <w:bottom w:val="single" w:sz="8" w:color="CCCCCC"/>
            </w:tcBorders>
          </w:tcPr>
          <w:p>
            <w:pPr>
              <w:spacing w:after="0"/>
              <w:rPr>
                <w:sz w:val="2"/>
                <w:szCs w:val="2"/>
                <w:color w:val="auto"/>
              </w:rPr>
            </w:pPr>
          </w:p>
        </w:tc>
        <w:tc>
          <w:tcPr>
            <w:tcW w:w="1020" w:type="dxa"/>
            <w:vAlign w:val="bottom"/>
            <w:tcBorders>
              <w:bottom w:val="single" w:sz="8" w:color="CCCCCC"/>
            </w:tcBorders>
          </w:tcPr>
          <w:p>
            <w:pPr>
              <w:spacing w:after="0"/>
              <w:rPr>
                <w:sz w:val="2"/>
                <w:szCs w:val="2"/>
                <w:color w:val="auto"/>
              </w:rPr>
            </w:pPr>
          </w:p>
        </w:tc>
        <w:tc>
          <w:tcPr>
            <w:tcW w:w="1000" w:type="dxa"/>
            <w:vAlign w:val="bottom"/>
            <w:tcBorders>
              <w:bottom w:val="single" w:sz="8" w:color="CCCCCC"/>
            </w:tcBorders>
          </w:tcPr>
          <w:p>
            <w:pPr>
              <w:spacing w:after="0"/>
              <w:rPr>
                <w:sz w:val="2"/>
                <w:szCs w:val="2"/>
                <w:color w:val="auto"/>
              </w:rPr>
            </w:pPr>
          </w:p>
        </w:tc>
        <w:tc>
          <w:tcPr>
            <w:tcW w:w="1100" w:type="dxa"/>
            <w:vAlign w:val="bottom"/>
            <w:tcBorders>
              <w:bottom w:val="single" w:sz="8" w:color="CCCCCC"/>
            </w:tcBorders>
          </w:tcPr>
          <w:p>
            <w:pPr>
              <w:spacing w:after="0"/>
              <w:rPr>
                <w:sz w:val="2"/>
                <w:szCs w:val="2"/>
                <w:color w:val="auto"/>
              </w:rPr>
            </w:pPr>
          </w:p>
        </w:tc>
        <w:tc>
          <w:tcPr>
            <w:tcW w:w="1080" w:type="dxa"/>
            <w:vAlign w:val="bottom"/>
            <w:tcBorders>
              <w:bottom w:val="single" w:sz="8" w:color="CCCCCC"/>
            </w:tcBorders>
          </w:tcPr>
          <w:p>
            <w:pPr>
              <w:spacing w:after="0"/>
              <w:rPr>
                <w:sz w:val="2"/>
                <w:szCs w:val="2"/>
                <w:color w:val="auto"/>
              </w:rPr>
            </w:pPr>
          </w:p>
        </w:tc>
        <w:tc>
          <w:tcPr>
            <w:tcW w:w="960" w:type="dxa"/>
            <w:vAlign w:val="bottom"/>
            <w:tcBorders>
              <w:bottom w:val="single" w:sz="8" w:color="CCCCCC"/>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31" w:lineRule="exact"/>
        <w:rPr>
          <w:sz w:val="20"/>
          <w:szCs w:val="20"/>
          <w:color w:val="auto"/>
        </w:rPr>
      </w:pPr>
    </w:p>
    <w:p>
      <w:pPr>
        <w:ind w:left="660"/>
        <w:spacing w:after="0"/>
        <w:tabs>
          <w:tab w:leader="none" w:pos="4817" w:val="left"/>
        </w:tabs>
        <w:rPr>
          <w:sz w:val="20"/>
          <w:szCs w:val="20"/>
          <w:color w:val="auto"/>
        </w:rPr>
      </w:pPr>
      <w:r>
        <w:rPr>
          <w:rFonts w:ascii="Arial" w:cs="Arial" w:eastAsia="Arial" w:hAnsi="Arial"/>
          <w:sz w:val="16"/>
          <w:szCs w:val="16"/>
          <w:color w:val="auto"/>
        </w:rPr>
        <w:t>46</w:t>
      </w:r>
      <w:r>
        <w:rPr>
          <w:sz w:val="20"/>
          <w:szCs w:val="20"/>
          <w:color w:val="auto"/>
        </w:rPr>
        <w:tab/>
      </w:r>
      <w:r>
        <w:rPr>
          <w:sz w:val="1"/>
          <w:szCs w:val="1"/>
          <w:color w:val="auto"/>
        </w:rPr>
        <w:drawing>
          <wp:inline distT="0" distB="0" distL="0" distR="0">
            <wp:extent cx="779780" cy="257175"/>
            <wp:effectExtent l="0" t="0" r="0" b="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116205</wp:posOffset>
            </wp:positionV>
            <wp:extent cx="6831965"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132" w:right="1259" w:bottom="1440" w:gutter="0" w:footer="0" w:header="0"/>
        </w:sectPr>
      </w:pPr>
    </w:p>
    <w:bookmarkStart w:id="51" w:name="page52"/>
    <w:bookmarkEnd w:id="5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389" w:lineRule="exact"/>
        <w:rPr>
          <w:sz w:val="20"/>
          <w:szCs w:val="20"/>
          <w:color w:val="auto"/>
        </w:rPr>
      </w:pPr>
    </w:p>
    <w:p>
      <w:pPr>
        <w:ind w:left="1080" w:right="1060" w:hanging="354"/>
        <w:spacing w:after="0" w:line="260" w:lineRule="auto"/>
        <w:tabs>
          <w:tab w:leader="none" w:pos="1080" w:val="left"/>
        </w:tabs>
        <w:numPr>
          <w:ilvl w:val="0"/>
          <w:numId w:val="55"/>
        </w:numPr>
        <w:rPr>
          <w:rFonts w:ascii="Arial" w:cs="Arial" w:eastAsia="Arial" w:hAnsi="Arial"/>
          <w:sz w:val="16"/>
          <w:szCs w:val="16"/>
          <w:i w:val="1"/>
          <w:iCs w:val="1"/>
          <w:color w:val="auto"/>
        </w:rPr>
      </w:pPr>
      <w:r>
        <w:rPr>
          <w:rFonts w:ascii="Arial" w:cs="Arial" w:eastAsia="Arial" w:hAnsi="Arial"/>
          <w:sz w:val="16"/>
          <w:szCs w:val="16"/>
          <w:i w:val="1"/>
          <w:iCs w:val="1"/>
          <w:color w:val="auto"/>
        </w:rPr>
        <w:t>Reflects a price of $163.92 per share, which was the closing sale price of the Company’s common stock on the Nasdaq Global Select Market on October 1, 2021.</w:t>
      </w:r>
    </w:p>
    <w:p>
      <w:pPr>
        <w:ind w:left="1080" w:right="720" w:hanging="354"/>
        <w:spacing w:after="0" w:line="254" w:lineRule="auto"/>
        <w:tabs>
          <w:tab w:leader="none" w:pos="1080" w:val="left"/>
        </w:tabs>
        <w:numPr>
          <w:ilvl w:val="0"/>
          <w:numId w:val="55"/>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shares issuable under the fiscal year 2019 PSAs (“FY19 PSAs”) with respect to the TSR percentile ranking performance metric. The shares earned under this portion of the FY19 PSAs, which was subject to a three-year performance period, were issued on November 6, 2021.</w:t>
      </w:r>
    </w:p>
    <w:p>
      <w:pPr>
        <w:spacing w:after="0" w:line="1" w:lineRule="exact"/>
        <w:rPr>
          <w:rFonts w:ascii="Arial" w:cs="Arial" w:eastAsia="Arial" w:hAnsi="Arial"/>
          <w:sz w:val="16"/>
          <w:szCs w:val="16"/>
          <w:i w:val="1"/>
          <w:iCs w:val="1"/>
          <w:color w:val="auto"/>
        </w:rPr>
      </w:pPr>
    </w:p>
    <w:p>
      <w:pPr>
        <w:ind w:left="1080" w:right="1000" w:hanging="354"/>
        <w:spacing w:after="0" w:line="253" w:lineRule="auto"/>
        <w:tabs>
          <w:tab w:leader="none" w:pos="1080" w:val="left"/>
        </w:tabs>
        <w:numPr>
          <w:ilvl w:val="0"/>
          <w:numId w:val="55"/>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shares issuable under the fiscal year 2020 PSAs (the “FY20 PSAs”) with respect to two performance metrics measured over a one-year performance period consisting of the Company’s fiscal year 2020. Fifty percent (50%) of the shares earned under the FY20 PSAs with respect to such metrics were issued on November 5, 2020, and the remaining fifty percent (50%) of the shares earned with respect to such metrics were issued on November 5, 2021.</w:t>
      </w:r>
    </w:p>
    <w:p>
      <w:pPr>
        <w:spacing w:after="0" w:line="1" w:lineRule="exact"/>
        <w:rPr>
          <w:rFonts w:ascii="Arial" w:cs="Arial" w:eastAsia="Arial" w:hAnsi="Arial"/>
          <w:sz w:val="16"/>
          <w:szCs w:val="16"/>
          <w:i w:val="1"/>
          <w:iCs w:val="1"/>
          <w:color w:val="auto"/>
        </w:rPr>
      </w:pPr>
    </w:p>
    <w:p>
      <w:pPr>
        <w:ind w:left="1080" w:hanging="354"/>
        <w:spacing w:after="0"/>
        <w:tabs>
          <w:tab w:leader="none" w:pos="1080" w:val="left"/>
        </w:tabs>
        <w:numPr>
          <w:ilvl w:val="0"/>
          <w:numId w:val="55"/>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shares issuable under the one-time, non-recurring stock-based award granted to Mr. Griffin on November 5,</w:t>
      </w:r>
    </w:p>
    <w:p>
      <w:pPr>
        <w:spacing w:after="0" w:line="12" w:lineRule="exact"/>
        <w:rPr>
          <w:rFonts w:ascii="Arial" w:cs="Arial" w:eastAsia="Arial" w:hAnsi="Arial"/>
          <w:sz w:val="16"/>
          <w:szCs w:val="16"/>
          <w:i w:val="1"/>
          <w:iCs w:val="1"/>
          <w:color w:val="auto"/>
        </w:rPr>
      </w:pPr>
    </w:p>
    <w:p>
      <w:pPr>
        <w:ind w:left="1080" w:right="720"/>
        <w:spacing w:after="0" w:line="217" w:lineRule="auto"/>
        <w:rPr>
          <w:rFonts w:ascii="Arial" w:cs="Arial" w:eastAsia="Arial" w:hAnsi="Arial"/>
          <w:sz w:val="16"/>
          <w:szCs w:val="16"/>
          <w:i w:val="1"/>
          <w:iCs w:val="1"/>
          <w:color w:val="auto"/>
        </w:rPr>
      </w:pPr>
      <w:r>
        <w:rPr>
          <w:rFonts w:ascii="Arial" w:cs="Arial" w:eastAsia="Arial" w:hAnsi="Arial"/>
          <w:sz w:val="16"/>
          <w:szCs w:val="16"/>
          <w:i w:val="1"/>
          <w:iCs w:val="1"/>
          <w:color w:val="auto"/>
        </w:rPr>
        <w:t>2019 (as described above under “Components of Compensation — Long-Term Stock-Based Compensation”), with respect to a non-GAAP EBITDA margin metric measured over the Company’s fiscal year 2020 and fiscal year 2021. During fiscal year 2020, the Company achieved a non-GAAP EBITDA margin of 43%, which put the Company in the 87.5</w:t>
      </w:r>
      <w:r>
        <w:rPr>
          <w:rFonts w:ascii="Arial" w:cs="Arial" w:eastAsia="Arial" w:hAnsi="Arial"/>
          <w:sz w:val="25"/>
          <w:szCs w:val="25"/>
          <w:i w:val="1"/>
          <w:iCs w:val="1"/>
          <w:color w:val="auto"/>
          <w:vertAlign w:val="superscript"/>
        </w:rPr>
        <w:t>th</w:t>
      </w:r>
      <w:r>
        <w:rPr>
          <w:rFonts w:ascii="Arial" w:cs="Arial" w:eastAsia="Arial" w:hAnsi="Arial"/>
          <w:sz w:val="16"/>
          <w:szCs w:val="16"/>
          <w:i w:val="1"/>
          <w:iCs w:val="1"/>
          <w:color w:val="auto"/>
        </w:rPr>
        <w:t xml:space="preserve"> percentile of the peer group, resulting in achievement with respect to such metric of 200% of the target level of shares with respect to fiscal year 2020. During fiscal year 2021, the Company achieved a non-GAAP EBITDA margin of 45%, which put the Company in the 68.75</w:t>
      </w:r>
      <w:r>
        <w:rPr>
          <w:rFonts w:ascii="Arial" w:cs="Arial" w:eastAsia="Arial" w:hAnsi="Arial"/>
          <w:sz w:val="25"/>
          <w:szCs w:val="25"/>
          <w:i w:val="1"/>
          <w:iCs w:val="1"/>
          <w:color w:val="auto"/>
          <w:vertAlign w:val="superscript"/>
        </w:rPr>
        <w:t>th</w:t>
      </w:r>
      <w:r>
        <w:rPr>
          <w:rFonts w:ascii="Arial" w:cs="Arial" w:eastAsia="Arial" w:hAnsi="Arial"/>
          <w:sz w:val="16"/>
          <w:szCs w:val="16"/>
          <w:i w:val="1"/>
          <w:iCs w:val="1"/>
          <w:color w:val="auto"/>
        </w:rPr>
        <w:t xml:space="preserve"> percentile of the peer group, resulting in achievement with respect to such metric of 175% of the target level of shares with respect to fiscal year 2021. The shares earned under this award were issued on November 5, 2021.</w:t>
      </w:r>
    </w:p>
    <w:p>
      <w:pPr>
        <w:spacing w:after="0" w:line="3" w:lineRule="exact"/>
        <w:rPr>
          <w:rFonts w:ascii="Arial" w:cs="Arial" w:eastAsia="Arial" w:hAnsi="Arial"/>
          <w:sz w:val="16"/>
          <w:szCs w:val="16"/>
          <w:i w:val="1"/>
          <w:iCs w:val="1"/>
          <w:color w:val="auto"/>
        </w:rPr>
      </w:pPr>
    </w:p>
    <w:p>
      <w:pPr>
        <w:ind w:left="1080" w:right="660" w:hanging="354"/>
        <w:spacing w:after="0" w:line="250" w:lineRule="auto"/>
        <w:tabs>
          <w:tab w:leader="none" w:pos="1080" w:val="left"/>
        </w:tabs>
        <w:numPr>
          <w:ilvl w:val="0"/>
          <w:numId w:val="55"/>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shares issuable under the FY21 PSAs (awarded on November 11, 2020, as described above under “Components of Compensation — Long-Term Stock-Based Compensation”) with respect to two performance metrics measured over a one-year performance period consisting of the Company’s fiscal year 2021, assuming achievement at the “maximum” level of performance. Fifty percent (50%) of the shares earned under the FY21 PSAs with respect to such metrics were issued on November 11, 2021, and the remaining fifty percent (50%) of the shares earned with respect to such metrics will be issued on November 11, 2022, provided that the executive meets the continued employment condition.</w:t>
      </w:r>
    </w:p>
    <w:p>
      <w:pPr>
        <w:spacing w:after="0" w:line="2" w:lineRule="exact"/>
        <w:rPr>
          <w:rFonts w:ascii="Arial" w:cs="Arial" w:eastAsia="Arial" w:hAnsi="Arial"/>
          <w:sz w:val="16"/>
          <w:szCs w:val="16"/>
          <w:i w:val="1"/>
          <w:iCs w:val="1"/>
          <w:color w:val="auto"/>
        </w:rPr>
      </w:pPr>
    </w:p>
    <w:p>
      <w:pPr>
        <w:ind w:left="1080" w:right="780" w:hanging="354"/>
        <w:spacing w:after="0" w:line="255" w:lineRule="auto"/>
        <w:tabs>
          <w:tab w:leader="none" w:pos="1080" w:val="left"/>
        </w:tabs>
        <w:numPr>
          <w:ilvl w:val="0"/>
          <w:numId w:val="55"/>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shares issuable under an RSU award granted on November 7, 2017, under the Company’s 2015 Long-Term Incentive Plan. The RSU award vested at a rate of twenty-five percent (25%) per year on each anniversary of the grant date until they became fully vested on November 7, 2021.</w:t>
      </w:r>
    </w:p>
    <w:p>
      <w:pPr>
        <w:spacing w:after="0" w:line="2" w:lineRule="exact"/>
        <w:rPr>
          <w:rFonts w:ascii="Arial" w:cs="Arial" w:eastAsia="Arial" w:hAnsi="Arial"/>
          <w:sz w:val="16"/>
          <w:szCs w:val="16"/>
          <w:i w:val="1"/>
          <w:iCs w:val="1"/>
          <w:color w:val="auto"/>
        </w:rPr>
      </w:pPr>
    </w:p>
    <w:p>
      <w:pPr>
        <w:ind w:left="1080" w:right="880" w:hanging="354"/>
        <w:spacing w:after="0" w:line="252" w:lineRule="auto"/>
        <w:tabs>
          <w:tab w:leader="none" w:pos="1080" w:val="left"/>
        </w:tabs>
        <w:numPr>
          <w:ilvl w:val="0"/>
          <w:numId w:val="55"/>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shares issuable under an RSU award granted on November 6, 2018, under the Company’s 2015 Long-Term Incentive Plan. The RSU award vests at a rate of twenty-five percent (25%) per year on each anniversary of the grant date through November 6, 2022.</w:t>
      </w:r>
    </w:p>
    <w:p>
      <w:pPr>
        <w:ind w:left="1080" w:right="880" w:hanging="354"/>
        <w:spacing w:after="0" w:line="254" w:lineRule="auto"/>
        <w:tabs>
          <w:tab w:leader="none" w:pos="1080" w:val="left"/>
        </w:tabs>
        <w:numPr>
          <w:ilvl w:val="0"/>
          <w:numId w:val="55"/>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shares issuable under an RSU award granted on November 5, 2019, under the Company’s 2015 Long-Term Incentive Plan. The RSU award vests at a rate of twenty-five percent (25%) per year on each anniversary of the grant date through November 5, 2023.</w:t>
      </w:r>
    </w:p>
    <w:p>
      <w:pPr>
        <w:spacing w:after="0" w:line="1" w:lineRule="exact"/>
        <w:rPr>
          <w:rFonts w:ascii="Arial" w:cs="Arial" w:eastAsia="Arial" w:hAnsi="Arial"/>
          <w:sz w:val="16"/>
          <w:szCs w:val="16"/>
          <w:i w:val="1"/>
          <w:iCs w:val="1"/>
          <w:color w:val="auto"/>
        </w:rPr>
      </w:pPr>
    </w:p>
    <w:p>
      <w:pPr>
        <w:jc w:val="both"/>
        <w:ind w:left="1080" w:right="880" w:hanging="354"/>
        <w:spacing w:after="0" w:line="255" w:lineRule="auto"/>
        <w:tabs>
          <w:tab w:leader="none" w:pos="1080" w:val="left"/>
        </w:tabs>
        <w:numPr>
          <w:ilvl w:val="0"/>
          <w:numId w:val="55"/>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shares issuable under an RSU award granted on November 11, 2020, under the Company’s 2015 Long-Term Incentive Plan. The RSU award vests at a rate of twenty-five percent (25%) per year on each anniversary of the grant date through November 11, 2024.</w:t>
      </w:r>
    </w:p>
    <w:p>
      <w:pPr>
        <w:spacing w:after="0" w:line="2" w:lineRule="exact"/>
        <w:rPr>
          <w:rFonts w:ascii="Arial" w:cs="Arial" w:eastAsia="Arial" w:hAnsi="Arial"/>
          <w:sz w:val="16"/>
          <w:szCs w:val="16"/>
          <w:i w:val="1"/>
          <w:iCs w:val="1"/>
          <w:color w:val="auto"/>
        </w:rPr>
      </w:pPr>
    </w:p>
    <w:p>
      <w:pPr>
        <w:ind w:left="1080" w:right="740" w:hanging="354"/>
        <w:spacing w:after="0" w:line="250" w:lineRule="auto"/>
        <w:tabs>
          <w:tab w:leader="none" w:pos="1080" w:val="left"/>
        </w:tabs>
        <w:numPr>
          <w:ilvl w:val="0"/>
          <w:numId w:val="55"/>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shares issuable under the FY20 PSAs with respect to the TSR percentile ranking performance metric, assuming achievement at the “maximum” level of performance. This portion of the FY21 PSAs, which is subject to a three-year performance period, will be issued on November 5, 2022, to the extent earned and provided that the executive meets the continued employment condition.</w:t>
      </w:r>
    </w:p>
    <w:p>
      <w:pPr>
        <w:spacing w:after="0" w:line="2" w:lineRule="exact"/>
        <w:rPr>
          <w:rFonts w:ascii="Arial" w:cs="Arial" w:eastAsia="Arial" w:hAnsi="Arial"/>
          <w:sz w:val="16"/>
          <w:szCs w:val="16"/>
          <w:i w:val="1"/>
          <w:iCs w:val="1"/>
          <w:color w:val="auto"/>
        </w:rPr>
      </w:pPr>
    </w:p>
    <w:p>
      <w:pPr>
        <w:ind w:left="1080" w:right="720" w:hanging="354"/>
        <w:spacing w:after="0" w:line="251" w:lineRule="auto"/>
        <w:tabs>
          <w:tab w:leader="none" w:pos="1080" w:val="left"/>
        </w:tabs>
        <w:numPr>
          <w:ilvl w:val="0"/>
          <w:numId w:val="55"/>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shares issuable under the FY21 PSAs (awarded on November 11, 2020, as described above under “Components of Compensation — Long-Term Stock-Based Compensation”) with respect to the TSR percentile ranking performance metric, assuming achievement at the “threshold” level of performance. This portion of the FY21 PSAs, which is subject to a three-year performance period, will be issued on November 11, 2023, to the extent earned and provided that the executive meets the continued employment condition.</w:t>
      </w:r>
    </w:p>
    <w:p>
      <w:pPr>
        <w:spacing w:after="0" w:line="1" w:lineRule="exact"/>
        <w:rPr>
          <w:rFonts w:ascii="Arial" w:cs="Arial" w:eastAsia="Arial" w:hAnsi="Arial"/>
          <w:sz w:val="16"/>
          <w:szCs w:val="16"/>
          <w:i w:val="1"/>
          <w:iCs w:val="1"/>
          <w:color w:val="auto"/>
        </w:rPr>
      </w:pPr>
    </w:p>
    <w:p>
      <w:pPr>
        <w:ind w:left="1080" w:right="960" w:hanging="354"/>
        <w:spacing w:after="0" w:line="255" w:lineRule="auto"/>
        <w:tabs>
          <w:tab w:leader="none" w:pos="1080" w:val="left"/>
        </w:tabs>
        <w:numPr>
          <w:ilvl w:val="0"/>
          <w:numId w:val="55"/>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shares issuable under an RSU award granted on November 5, 2019, under the Company’s 2015 Long-Term Incentive Plan. The RSU award vested at a rate of fifty percent (50%) per year on each anniversary of the grant date until they became fully vested on November 5, 2021.</w:t>
      </w:r>
    </w:p>
    <w:p>
      <w:pPr>
        <w:spacing w:after="0" w:line="2" w:lineRule="exact"/>
        <w:rPr>
          <w:rFonts w:ascii="Arial" w:cs="Arial" w:eastAsia="Arial" w:hAnsi="Arial"/>
          <w:sz w:val="16"/>
          <w:szCs w:val="16"/>
          <w:i w:val="1"/>
          <w:iCs w:val="1"/>
          <w:color w:val="auto"/>
        </w:rPr>
      </w:pPr>
    </w:p>
    <w:p>
      <w:pPr>
        <w:ind w:left="1080" w:right="760" w:hanging="354"/>
        <w:spacing w:after="0" w:line="258" w:lineRule="auto"/>
        <w:tabs>
          <w:tab w:leader="none" w:pos="1080" w:val="left"/>
        </w:tabs>
        <w:numPr>
          <w:ilvl w:val="0"/>
          <w:numId w:val="55"/>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shares issuable under an RSU award granted on April 9, 2018, under the Company’s 2015 Long-Term Incentive Plan. The RSU award vests at a rate of twenty-five percent (25%) per year on each anniversary of the grant date through April 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3080385</wp:posOffset>
            </wp:positionH>
            <wp:positionV relativeFrom="paragraph">
              <wp:posOffset>1041400</wp:posOffset>
            </wp:positionV>
            <wp:extent cx="779780" cy="25717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7978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860" w:type="dxa"/>
            <w:vAlign w:val="bottom"/>
          </w:tcPr>
          <w:p>
            <w:pPr>
              <w:ind w:left="660"/>
              <w:spacing w:after="0"/>
              <w:rPr>
                <w:sz w:val="20"/>
                <w:szCs w:val="20"/>
                <w:color w:val="auto"/>
              </w:rPr>
            </w:pPr>
            <w:r>
              <w:rPr>
                <w:rFonts w:ascii="Arial" w:cs="Arial" w:eastAsia="Arial" w:hAnsi="Arial"/>
                <w:sz w:val="16"/>
                <w:szCs w:val="16"/>
                <w:color w:val="auto"/>
              </w:rPr>
              <w:t>Proxy Statement</w:t>
            </w:r>
          </w:p>
        </w:tc>
        <w:tc>
          <w:tcPr>
            <w:tcW w:w="4860" w:type="dxa"/>
            <w:vAlign w:val="bottom"/>
          </w:tcPr>
          <w:p>
            <w:pPr>
              <w:jc w:val="right"/>
              <w:ind w:right="579"/>
              <w:spacing w:after="0"/>
              <w:rPr>
                <w:sz w:val="20"/>
                <w:szCs w:val="20"/>
                <w:color w:val="auto"/>
              </w:rPr>
            </w:pPr>
            <w:r>
              <w:rPr>
                <w:rFonts w:ascii="Arial" w:cs="Arial" w:eastAsia="Arial" w:hAnsi="Arial"/>
                <w:sz w:val="16"/>
                <w:szCs w:val="16"/>
                <w:color w:val="auto"/>
              </w:rPr>
              <w:t>47</w:t>
            </w:r>
          </w:p>
        </w:tc>
      </w:tr>
      <w:tr>
        <w:trPr>
          <w:trHeight w:val="310"/>
        </w:trPr>
        <w:tc>
          <w:tcPr>
            <w:tcW w:w="5860" w:type="dxa"/>
            <w:vAlign w:val="bottom"/>
            <w:tcBorders>
              <w:bottom w:val="single" w:sz="8" w:color="9A9A9A"/>
            </w:tcBorders>
          </w:tcPr>
          <w:p>
            <w:pPr>
              <w:spacing w:after="0"/>
              <w:rPr>
                <w:sz w:val="24"/>
                <w:szCs w:val="24"/>
                <w:color w:val="auto"/>
              </w:rPr>
            </w:pPr>
          </w:p>
        </w:tc>
        <w:tc>
          <w:tcPr>
            <w:tcW w:w="4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52" w:name="page53"/>
    <w:bookmarkEnd w:id="5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Arial" w:cs="Arial" w:eastAsia="Arial" w:hAnsi="Arial"/>
          <w:sz w:val="23"/>
          <w:szCs w:val="23"/>
          <w:b w:val="1"/>
          <w:bCs w:val="1"/>
          <w:i w:val="1"/>
          <w:iCs w:val="1"/>
          <w:color w:val="auto"/>
        </w:rPr>
        <w:t>Option Exercises and Stock Vested Table</w:t>
      </w:r>
    </w:p>
    <w:p>
      <w:pPr>
        <w:spacing w:after="0" w:line="161" w:lineRule="exact"/>
        <w:rPr>
          <w:sz w:val="20"/>
          <w:szCs w:val="20"/>
          <w:color w:val="auto"/>
        </w:rPr>
      </w:pPr>
    </w:p>
    <w:p>
      <w:pPr>
        <w:ind w:left="660" w:right="260"/>
        <w:spacing w:after="0" w:line="261" w:lineRule="auto"/>
        <w:rPr>
          <w:sz w:val="20"/>
          <w:szCs w:val="20"/>
          <w:color w:val="auto"/>
        </w:rPr>
      </w:pPr>
      <w:r>
        <w:rPr>
          <w:rFonts w:ascii="Arial" w:cs="Arial" w:eastAsia="Arial" w:hAnsi="Arial"/>
          <w:sz w:val="20"/>
          <w:szCs w:val="20"/>
          <w:color w:val="191919"/>
        </w:rPr>
        <w:t>The following table summarizes the Named Executive Officers’ option exercises and stock award vesting during fiscal year 2021.</w:t>
      </w:r>
    </w:p>
    <w:p>
      <w:pPr>
        <w:spacing w:after="0" w:line="246" w:lineRule="exact"/>
        <w:rPr>
          <w:sz w:val="20"/>
          <w:szCs w:val="20"/>
          <w:color w:val="auto"/>
        </w:rPr>
      </w:pPr>
    </w:p>
    <w:tbl>
      <w:tblPr>
        <w:tblLayout w:type="fixed"/>
        <w:tblInd w:w="660" w:type="dxa"/>
        <w:tblCellMar>
          <w:top w:w="0" w:type="dxa"/>
          <w:left w:w="0" w:type="dxa"/>
          <w:bottom w:w="0" w:type="dxa"/>
          <w:right w:w="0" w:type="dxa"/>
        </w:tblCellMar>
      </w:tblPr>
      <w:tr>
        <w:trPr>
          <w:trHeight w:val="257"/>
        </w:trPr>
        <w:tc>
          <w:tcPr>
            <w:tcW w:w="3500" w:type="dxa"/>
            <w:vAlign w:val="bottom"/>
            <w:shd w:val="clear" w:color="auto" w:fill="0076A8"/>
          </w:tcPr>
          <w:p>
            <w:pPr>
              <w:spacing w:after="0"/>
              <w:rPr>
                <w:sz w:val="22"/>
                <w:szCs w:val="22"/>
                <w:color w:val="auto"/>
              </w:rPr>
            </w:pPr>
          </w:p>
        </w:tc>
        <w:tc>
          <w:tcPr>
            <w:tcW w:w="3020" w:type="dxa"/>
            <w:vAlign w:val="bottom"/>
            <w:gridSpan w:val="2"/>
            <w:shd w:val="clear" w:color="auto" w:fill="0076A8"/>
          </w:tcPr>
          <w:p>
            <w:pPr>
              <w:jc w:val="right"/>
              <w:ind w:right="815"/>
              <w:spacing w:after="0"/>
              <w:rPr>
                <w:sz w:val="20"/>
                <w:szCs w:val="20"/>
                <w:color w:val="auto"/>
              </w:rPr>
            </w:pPr>
            <w:r>
              <w:rPr>
                <w:rFonts w:ascii="Arial" w:cs="Arial" w:eastAsia="Arial" w:hAnsi="Arial"/>
                <w:sz w:val="18"/>
                <w:szCs w:val="18"/>
                <w:color w:val="FFFFFF"/>
              </w:rPr>
              <w:t>Option Awards</w:t>
            </w:r>
          </w:p>
        </w:tc>
        <w:tc>
          <w:tcPr>
            <w:tcW w:w="2880" w:type="dxa"/>
            <w:vAlign w:val="bottom"/>
            <w:gridSpan w:val="2"/>
            <w:shd w:val="clear" w:color="auto" w:fill="0076A8"/>
          </w:tcPr>
          <w:p>
            <w:pPr>
              <w:ind w:left="1020"/>
              <w:spacing w:after="0"/>
              <w:rPr>
                <w:sz w:val="20"/>
                <w:szCs w:val="20"/>
                <w:color w:val="auto"/>
              </w:rPr>
            </w:pPr>
            <w:r>
              <w:rPr>
                <w:rFonts w:ascii="Arial" w:cs="Arial" w:eastAsia="Arial" w:hAnsi="Arial"/>
                <w:sz w:val="18"/>
                <w:szCs w:val="18"/>
                <w:color w:val="FFFFFF"/>
              </w:rPr>
              <w:t>Stock Awards</w:t>
            </w:r>
          </w:p>
        </w:tc>
      </w:tr>
      <w:tr>
        <w:trPr>
          <w:trHeight w:val="34"/>
        </w:trPr>
        <w:tc>
          <w:tcPr>
            <w:tcW w:w="3500" w:type="dxa"/>
            <w:vAlign w:val="bottom"/>
            <w:shd w:val="clear" w:color="auto" w:fill="0076A8"/>
          </w:tcPr>
          <w:p>
            <w:pPr>
              <w:spacing w:after="0"/>
              <w:rPr>
                <w:sz w:val="2"/>
                <w:szCs w:val="2"/>
                <w:color w:val="auto"/>
              </w:rPr>
            </w:pPr>
          </w:p>
        </w:tc>
        <w:tc>
          <w:tcPr>
            <w:tcW w:w="1520" w:type="dxa"/>
            <w:vAlign w:val="bottom"/>
            <w:shd w:val="clear" w:color="auto" w:fill="0076A8"/>
          </w:tcPr>
          <w:p>
            <w:pPr>
              <w:spacing w:after="0"/>
              <w:rPr>
                <w:sz w:val="2"/>
                <w:szCs w:val="2"/>
                <w:color w:val="auto"/>
              </w:rPr>
            </w:pPr>
          </w:p>
        </w:tc>
        <w:tc>
          <w:tcPr>
            <w:tcW w:w="1500" w:type="dxa"/>
            <w:vAlign w:val="bottom"/>
            <w:shd w:val="clear" w:color="auto" w:fill="0076A8"/>
          </w:tcPr>
          <w:p>
            <w:pPr>
              <w:spacing w:after="0"/>
              <w:rPr>
                <w:sz w:val="2"/>
                <w:szCs w:val="2"/>
                <w:color w:val="auto"/>
              </w:rPr>
            </w:pPr>
          </w:p>
        </w:tc>
        <w:tc>
          <w:tcPr>
            <w:tcW w:w="1540" w:type="dxa"/>
            <w:vAlign w:val="bottom"/>
            <w:shd w:val="clear" w:color="auto" w:fill="0076A8"/>
          </w:tcPr>
          <w:p>
            <w:pPr>
              <w:spacing w:after="0"/>
              <w:rPr>
                <w:sz w:val="2"/>
                <w:szCs w:val="2"/>
                <w:color w:val="auto"/>
              </w:rPr>
            </w:pPr>
          </w:p>
        </w:tc>
        <w:tc>
          <w:tcPr>
            <w:tcW w:w="1340" w:type="dxa"/>
            <w:vAlign w:val="bottom"/>
            <w:shd w:val="clear" w:color="auto" w:fill="0076A8"/>
          </w:tcPr>
          <w:p>
            <w:pPr>
              <w:spacing w:after="0"/>
              <w:rPr>
                <w:sz w:val="2"/>
                <w:szCs w:val="2"/>
                <w:color w:val="auto"/>
              </w:rPr>
            </w:pPr>
          </w:p>
        </w:tc>
      </w:tr>
      <w:tr>
        <w:trPr>
          <w:trHeight w:val="249"/>
        </w:trPr>
        <w:tc>
          <w:tcPr>
            <w:tcW w:w="3500" w:type="dxa"/>
            <w:vAlign w:val="bottom"/>
            <w:shd w:val="clear" w:color="auto" w:fill="0076A8"/>
          </w:tcPr>
          <w:p>
            <w:pPr>
              <w:spacing w:after="0"/>
              <w:rPr>
                <w:sz w:val="21"/>
                <w:szCs w:val="21"/>
                <w:color w:val="auto"/>
              </w:rPr>
            </w:pPr>
          </w:p>
        </w:tc>
        <w:tc>
          <w:tcPr>
            <w:tcW w:w="1520" w:type="dxa"/>
            <w:vAlign w:val="bottom"/>
            <w:shd w:val="clear" w:color="auto" w:fill="0076A8"/>
          </w:tcPr>
          <w:p>
            <w:pPr>
              <w:jc w:val="center"/>
              <w:spacing w:after="0"/>
              <w:rPr>
                <w:sz w:val="20"/>
                <w:szCs w:val="20"/>
                <w:color w:val="auto"/>
              </w:rPr>
            </w:pPr>
            <w:r>
              <w:rPr>
                <w:rFonts w:ascii="Arial" w:cs="Arial" w:eastAsia="Arial" w:hAnsi="Arial"/>
                <w:sz w:val="18"/>
                <w:szCs w:val="18"/>
                <w:color w:val="FFFFFF"/>
                <w:w w:val="99"/>
              </w:rPr>
              <w:t>Number of</w:t>
            </w:r>
          </w:p>
        </w:tc>
        <w:tc>
          <w:tcPr>
            <w:tcW w:w="1500" w:type="dxa"/>
            <w:vAlign w:val="bottom"/>
            <w:shd w:val="clear" w:color="auto" w:fill="0076A8"/>
          </w:tcPr>
          <w:p>
            <w:pPr>
              <w:jc w:val="center"/>
              <w:spacing w:after="0"/>
              <w:rPr>
                <w:sz w:val="20"/>
                <w:szCs w:val="20"/>
                <w:color w:val="auto"/>
              </w:rPr>
            </w:pPr>
            <w:r>
              <w:rPr>
                <w:rFonts w:ascii="Arial" w:cs="Arial" w:eastAsia="Arial" w:hAnsi="Arial"/>
                <w:sz w:val="18"/>
                <w:szCs w:val="18"/>
                <w:color w:val="FFFFFF"/>
                <w:w w:val="99"/>
              </w:rPr>
              <w:t>Value</w:t>
            </w:r>
          </w:p>
        </w:tc>
        <w:tc>
          <w:tcPr>
            <w:tcW w:w="1540" w:type="dxa"/>
            <w:vAlign w:val="bottom"/>
            <w:shd w:val="clear" w:color="auto" w:fill="0076A8"/>
          </w:tcPr>
          <w:p>
            <w:pPr>
              <w:jc w:val="center"/>
              <w:spacing w:after="0"/>
              <w:rPr>
                <w:sz w:val="20"/>
                <w:szCs w:val="20"/>
                <w:color w:val="auto"/>
              </w:rPr>
            </w:pPr>
            <w:r>
              <w:rPr>
                <w:rFonts w:ascii="Arial" w:cs="Arial" w:eastAsia="Arial" w:hAnsi="Arial"/>
                <w:sz w:val="18"/>
                <w:szCs w:val="18"/>
                <w:color w:val="FFFFFF"/>
                <w:w w:val="99"/>
              </w:rPr>
              <w:t>Number of</w:t>
            </w:r>
          </w:p>
        </w:tc>
        <w:tc>
          <w:tcPr>
            <w:tcW w:w="1340" w:type="dxa"/>
            <w:vAlign w:val="bottom"/>
            <w:shd w:val="clear" w:color="auto" w:fill="0076A8"/>
          </w:tcPr>
          <w:p>
            <w:pPr>
              <w:jc w:val="center"/>
              <w:ind w:left="135"/>
              <w:spacing w:after="0"/>
              <w:rPr>
                <w:sz w:val="20"/>
                <w:szCs w:val="20"/>
                <w:color w:val="auto"/>
              </w:rPr>
            </w:pPr>
            <w:r>
              <w:rPr>
                <w:rFonts w:ascii="Arial" w:cs="Arial" w:eastAsia="Arial" w:hAnsi="Arial"/>
                <w:sz w:val="18"/>
                <w:szCs w:val="18"/>
                <w:color w:val="FFFFFF"/>
                <w:w w:val="95"/>
              </w:rPr>
              <w:t>Value</w:t>
            </w:r>
          </w:p>
        </w:tc>
      </w:tr>
      <w:tr>
        <w:trPr>
          <w:trHeight w:val="189"/>
        </w:trPr>
        <w:tc>
          <w:tcPr>
            <w:tcW w:w="3500" w:type="dxa"/>
            <w:vAlign w:val="bottom"/>
            <w:shd w:val="clear" w:color="auto" w:fill="0076A8"/>
          </w:tcPr>
          <w:p>
            <w:pPr>
              <w:spacing w:after="0"/>
              <w:rPr>
                <w:sz w:val="16"/>
                <w:szCs w:val="16"/>
                <w:color w:val="auto"/>
              </w:rPr>
            </w:pPr>
          </w:p>
        </w:tc>
        <w:tc>
          <w:tcPr>
            <w:tcW w:w="1520" w:type="dxa"/>
            <w:vAlign w:val="bottom"/>
            <w:shd w:val="clear" w:color="auto" w:fill="0076A8"/>
          </w:tcPr>
          <w:p>
            <w:pPr>
              <w:jc w:val="center"/>
              <w:spacing w:after="0" w:line="189" w:lineRule="exact"/>
              <w:rPr>
                <w:sz w:val="20"/>
                <w:szCs w:val="20"/>
                <w:color w:val="auto"/>
              </w:rPr>
            </w:pPr>
            <w:r>
              <w:rPr>
                <w:rFonts w:ascii="Arial" w:cs="Arial" w:eastAsia="Arial" w:hAnsi="Arial"/>
                <w:sz w:val="18"/>
                <w:szCs w:val="18"/>
                <w:color w:val="FFFFFF"/>
                <w:w w:val="98"/>
              </w:rPr>
              <w:t>Shares</w:t>
            </w:r>
          </w:p>
        </w:tc>
        <w:tc>
          <w:tcPr>
            <w:tcW w:w="1500" w:type="dxa"/>
            <w:vAlign w:val="bottom"/>
            <w:shd w:val="clear" w:color="auto" w:fill="0076A8"/>
          </w:tcPr>
          <w:p>
            <w:pPr>
              <w:jc w:val="right"/>
              <w:ind w:right="195"/>
              <w:spacing w:after="0" w:line="189" w:lineRule="exact"/>
              <w:rPr>
                <w:sz w:val="20"/>
                <w:szCs w:val="20"/>
                <w:color w:val="auto"/>
              </w:rPr>
            </w:pPr>
            <w:r>
              <w:rPr>
                <w:rFonts w:ascii="Arial" w:cs="Arial" w:eastAsia="Arial" w:hAnsi="Arial"/>
                <w:sz w:val="18"/>
                <w:szCs w:val="18"/>
                <w:color w:val="FFFFFF"/>
              </w:rPr>
              <w:t>Realized on</w:t>
            </w:r>
          </w:p>
        </w:tc>
        <w:tc>
          <w:tcPr>
            <w:tcW w:w="1540" w:type="dxa"/>
            <w:vAlign w:val="bottom"/>
            <w:shd w:val="clear" w:color="auto" w:fill="0076A8"/>
          </w:tcPr>
          <w:p>
            <w:pPr>
              <w:jc w:val="center"/>
              <w:spacing w:after="0" w:line="189" w:lineRule="exact"/>
              <w:rPr>
                <w:sz w:val="20"/>
                <w:szCs w:val="20"/>
                <w:color w:val="auto"/>
              </w:rPr>
            </w:pPr>
            <w:r>
              <w:rPr>
                <w:rFonts w:ascii="Arial" w:cs="Arial" w:eastAsia="Arial" w:hAnsi="Arial"/>
                <w:sz w:val="18"/>
                <w:szCs w:val="18"/>
                <w:color w:val="FFFFFF"/>
              </w:rPr>
              <w:t>Shares</w:t>
            </w:r>
          </w:p>
        </w:tc>
        <w:tc>
          <w:tcPr>
            <w:tcW w:w="1340" w:type="dxa"/>
            <w:vAlign w:val="bottom"/>
            <w:shd w:val="clear" w:color="auto" w:fill="0076A8"/>
          </w:tcPr>
          <w:p>
            <w:pPr>
              <w:ind w:left="280"/>
              <w:spacing w:after="0" w:line="189" w:lineRule="exact"/>
              <w:rPr>
                <w:sz w:val="20"/>
                <w:szCs w:val="20"/>
                <w:color w:val="auto"/>
              </w:rPr>
            </w:pPr>
            <w:r>
              <w:rPr>
                <w:rFonts w:ascii="Arial" w:cs="Arial" w:eastAsia="Arial" w:hAnsi="Arial"/>
                <w:sz w:val="18"/>
                <w:szCs w:val="18"/>
                <w:color w:val="FFFFFF"/>
              </w:rPr>
              <w:t>Realized on</w:t>
            </w:r>
          </w:p>
        </w:tc>
      </w:tr>
      <w:tr>
        <w:trPr>
          <w:trHeight w:val="189"/>
        </w:trPr>
        <w:tc>
          <w:tcPr>
            <w:tcW w:w="3500" w:type="dxa"/>
            <w:vAlign w:val="bottom"/>
            <w:shd w:val="clear" w:color="auto" w:fill="0076A8"/>
          </w:tcPr>
          <w:p>
            <w:pPr>
              <w:spacing w:after="0"/>
              <w:rPr>
                <w:sz w:val="16"/>
                <w:szCs w:val="16"/>
                <w:color w:val="auto"/>
              </w:rPr>
            </w:pPr>
          </w:p>
        </w:tc>
        <w:tc>
          <w:tcPr>
            <w:tcW w:w="1520" w:type="dxa"/>
            <w:vAlign w:val="bottom"/>
            <w:shd w:val="clear" w:color="auto" w:fill="0076A8"/>
          </w:tcPr>
          <w:p>
            <w:pPr>
              <w:jc w:val="center"/>
              <w:spacing w:after="0" w:line="189" w:lineRule="exact"/>
              <w:rPr>
                <w:sz w:val="20"/>
                <w:szCs w:val="20"/>
                <w:color w:val="auto"/>
              </w:rPr>
            </w:pPr>
            <w:r>
              <w:rPr>
                <w:rFonts w:ascii="Arial" w:cs="Arial" w:eastAsia="Arial" w:hAnsi="Arial"/>
                <w:sz w:val="18"/>
                <w:szCs w:val="18"/>
                <w:color w:val="FFFFFF"/>
                <w:w w:val="99"/>
              </w:rPr>
              <w:t>Acquired on</w:t>
            </w:r>
          </w:p>
        </w:tc>
        <w:tc>
          <w:tcPr>
            <w:tcW w:w="1500" w:type="dxa"/>
            <w:vAlign w:val="bottom"/>
            <w:shd w:val="clear" w:color="auto" w:fill="0076A8"/>
          </w:tcPr>
          <w:p>
            <w:pPr>
              <w:jc w:val="center"/>
              <w:spacing w:after="0" w:line="189" w:lineRule="exact"/>
              <w:rPr>
                <w:sz w:val="20"/>
                <w:szCs w:val="20"/>
                <w:color w:val="auto"/>
              </w:rPr>
            </w:pPr>
            <w:r>
              <w:rPr>
                <w:rFonts w:ascii="Arial" w:cs="Arial" w:eastAsia="Arial" w:hAnsi="Arial"/>
                <w:sz w:val="18"/>
                <w:szCs w:val="18"/>
                <w:color w:val="FFFFFF"/>
              </w:rPr>
              <w:t>Exercise</w:t>
            </w:r>
          </w:p>
        </w:tc>
        <w:tc>
          <w:tcPr>
            <w:tcW w:w="1540" w:type="dxa"/>
            <w:vAlign w:val="bottom"/>
            <w:shd w:val="clear" w:color="auto" w:fill="0076A8"/>
          </w:tcPr>
          <w:p>
            <w:pPr>
              <w:jc w:val="center"/>
              <w:spacing w:after="0" w:line="189" w:lineRule="exact"/>
              <w:rPr>
                <w:sz w:val="20"/>
                <w:szCs w:val="20"/>
                <w:color w:val="auto"/>
              </w:rPr>
            </w:pPr>
            <w:r>
              <w:rPr>
                <w:rFonts w:ascii="Arial" w:cs="Arial" w:eastAsia="Arial" w:hAnsi="Arial"/>
                <w:sz w:val="18"/>
                <w:szCs w:val="18"/>
                <w:color w:val="FFFFFF"/>
                <w:w w:val="99"/>
              </w:rPr>
              <w:t>Acquired on</w:t>
            </w:r>
          </w:p>
        </w:tc>
        <w:tc>
          <w:tcPr>
            <w:tcW w:w="1340" w:type="dxa"/>
            <w:vAlign w:val="bottom"/>
            <w:shd w:val="clear" w:color="auto" w:fill="0076A8"/>
          </w:tcPr>
          <w:p>
            <w:pPr>
              <w:jc w:val="center"/>
              <w:ind w:left="135"/>
              <w:spacing w:after="0" w:line="189" w:lineRule="exact"/>
              <w:rPr>
                <w:sz w:val="20"/>
                <w:szCs w:val="20"/>
                <w:color w:val="auto"/>
              </w:rPr>
            </w:pPr>
            <w:r>
              <w:rPr>
                <w:rFonts w:ascii="Arial" w:cs="Arial" w:eastAsia="Arial" w:hAnsi="Arial"/>
                <w:sz w:val="18"/>
                <w:szCs w:val="18"/>
                <w:color w:val="FFFFFF"/>
                <w:w w:val="99"/>
              </w:rPr>
              <w:t>Vesting</w:t>
            </w:r>
          </w:p>
        </w:tc>
      </w:tr>
      <w:tr>
        <w:trPr>
          <w:trHeight w:val="230"/>
        </w:trPr>
        <w:tc>
          <w:tcPr>
            <w:tcW w:w="3500" w:type="dxa"/>
            <w:vAlign w:val="bottom"/>
            <w:shd w:val="clear" w:color="auto" w:fill="0076A8"/>
          </w:tcPr>
          <w:p>
            <w:pPr>
              <w:ind w:left="40"/>
              <w:spacing w:after="0"/>
              <w:rPr>
                <w:sz w:val="20"/>
                <w:szCs w:val="20"/>
                <w:color w:val="auto"/>
              </w:rPr>
            </w:pPr>
            <w:r>
              <w:rPr>
                <w:rFonts w:ascii="Arial" w:cs="Arial" w:eastAsia="Arial" w:hAnsi="Arial"/>
                <w:sz w:val="18"/>
                <w:szCs w:val="18"/>
                <w:color w:val="FFFFFF"/>
              </w:rPr>
              <w:t>Name</w:t>
            </w:r>
          </w:p>
        </w:tc>
        <w:tc>
          <w:tcPr>
            <w:tcW w:w="1520" w:type="dxa"/>
            <w:vAlign w:val="bottom"/>
            <w:shd w:val="clear" w:color="auto" w:fill="0076A8"/>
          </w:tcPr>
          <w:p>
            <w:pPr>
              <w:jc w:val="right"/>
              <w:ind w:right="195"/>
              <w:spacing w:after="0"/>
              <w:rPr>
                <w:sz w:val="20"/>
                <w:szCs w:val="20"/>
                <w:color w:val="auto"/>
              </w:rPr>
            </w:pPr>
            <w:r>
              <w:rPr>
                <w:rFonts w:ascii="Arial" w:cs="Arial" w:eastAsia="Arial" w:hAnsi="Arial"/>
                <w:sz w:val="18"/>
                <w:szCs w:val="18"/>
                <w:color w:val="FFFFFF"/>
              </w:rPr>
              <w:t>Exercise (#)</w:t>
            </w:r>
          </w:p>
        </w:tc>
        <w:tc>
          <w:tcPr>
            <w:tcW w:w="1500" w:type="dxa"/>
            <w:vAlign w:val="bottom"/>
            <w:shd w:val="clear" w:color="auto" w:fill="0076A8"/>
          </w:tcPr>
          <w:p>
            <w:pPr>
              <w:jc w:val="center"/>
              <w:spacing w:after="0"/>
              <w:rPr>
                <w:sz w:val="20"/>
                <w:szCs w:val="20"/>
                <w:color w:val="auto"/>
              </w:rPr>
            </w:pPr>
            <w:r>
              <w:rPr>
                <w:rFonts w:ascii="Arial" w:cs="Arial" w:eastAsia="Arial" w:hAnsi="Arial"/>
                <w:sz w:val="18"/>
                <w:szCs w:val="18"/>
                <w:color w:val="FFFFFF"/>
                <w:w w:val="99"/>
              </w:rPr>
              <w:t>($)(1)</w:t>
            </w:r>
          </w:p>
        </w:tc>
        <w:tc>
          <w:tcPr>
            <w:tcW w:w="1540" w:type="dxa"/>
            <w:vAlign w:val="bottom"/>
            <w:shd w:val="clear" w:color="auto" w:fill="0076A8"/>
          </w:tcPr>
          <w:p>
            <w:pPr>
              <w:jc w:val="center"/>
              <w:spacing w:after="0"/>
              <w:rPr>
                <w:sz w:val="20"/>
                <w:szCs w:val="20"/>
                <w:color w:val="auto"/>
              </w:rPr>
            </w:pPr>
            <w:r>
              <w:rPr>
                <w:rFonts w:ascii="Arial" w:cs="Arial" w:eastAsia="Arial" w:hAnsi="Arial"/>
                <w:sz w:val="18"/>
                <w:szCs w:val="18"/>
                <w:color w:val="FFFFFF"/>
                <w:w w:val="98"/>
              </w:rPr>
              <w:t>Vesting (#)</w:t>
            </w:r>
          </w:p>
        </w:tc>
        <w:tc>
          <w:tcPr>
            <w:tcW w:w="1340" w:type="dxa"/>
            <w:vAlign w:val="bottom"/>
            <w:shd w:val="clear" w:color="auto" w:fill="0076A8"/>
          </w:tcPr>
          <w:p>
            <w:pPr>
              <w:jc w:val="center"/>
              <w:ind w:left="135"/>
              <w:spacing w:after="0"/>
              <w:rPr>
                <w:sz w:val="20"/>
                <w:szCs w:val="20"/>
                <w:color w:val="auto"/>
              </w:rPr>
            </w:pPr>
            <w:r>
              <w:rPr>
                <w:rFonts w:ascii="Arial" w:cs="Arial" w:eastAsia="Arial" w:hAnsi="Arial"/>
                <w:sz w:val="18"/>
                <w:szCs w:val="18"/>
                <w:color w:val="FFFFFF"/>
                <w:w w:val="99"/>
              </w:rPr>
              <w:t>($)(2)</w:t>
            </w:r>
          </w:p>
        </w:tc>
      </w:tr>
      <w:tr>
        <w:trPr>
          <w:trHeight w:val="270"/>
        </w:trPr>
        <w:tc>
          <w:tcPr>
            <w:tcW w:w="3500" w:type="dxa"/>
            <w:vAlign w:val="bottom"/>
            <w:shd w:val="clear" w:color="auto" w:fill="E5E5E5"/>
          </w:tcPr>
          <w:p>
            <w:pPr>
              <w:ind w:left="40"/>
              <w:spacing w:after="0"/>
              <w:rPr>
                <w:sz w:val="20"/>
                <w:szCs w:val="20"/>
                <w:color w:val="auto"/>
              </w:rPr>
            </w:pPr>
            <w:r>
              <w:rPr>
                <w:rFonts w:ascii="Arial" w:cs="Arial" w:eastAsia="Arial" w:hAnsi="Arial"/>
                <w:sz w:val="16"/>
                <w:szCs w:val="16"/>
                <w:color w:val="auto"/>
              </w:rPr>
              <w:t>Liam K. Griffin</w:t>
            </w:r>
          </w:p>
        </w:tc>
        <w:tc>
          <w:tcPr>
            <w:tcW w:w="1520" w:type="dxa"/>
            <w:vAlign w:val="bottom"/>
            <w:shd w:val="clear" w:color="auto" w:fill="E5E5E5"/>
          </w:tcPr>
          <w:p>
            <w:pPr>
              <w:jc w:val="right"/>
              <w:ind w:right="415"/>
              <w:spacing w:after="0"/>
              <w:rPr>
                <w:sz w:val="20"/>
                <w:szCs w:val="20"/>
                <w:color w:val="auto"/>
              </w:rPr>
            </w:pPr>
            <w:r>
              <w:rPr>
                <w:rFonts w:ascii="Arial" w:cs="Arial" w:eastAsia="Arial" w:hAnsi="Arial"/>
                <w:sz w:val="16"/>
                <w:szCs w:val="16"/>
                <w:color w:val="auto"/>
              </w:rPr>
              <w:t>—</w:t>
            </w:r>
          </w:p>
        </w:tc>
        <w:tc>
          <w:tcPr>
            <w:tcW w:w="1500" w:type="dxa"/>
            <w:vAlign w:val="bottom"/>
            <w:shd w:val="clear" w:color="auto" w:fill="E5E5E5"/>
          </w:tcPr>
          <w:p>
            <w:pPr>
              <w:jc w:val="right"/>
              <w:ind w:right="275"/>
              <w:spacing w:after="0"/>
              <w:rPr>
                <w:sz w:val="20"/>
                <w:szCs w:val="20"/>
                <w:color w:val="auto"/>
              </w:rPr>
            </w:pPr>
            <w:r>
              <w:rPr>
                <w:rFonts w:ascii="Arial" w:cs="Arial" w:eastAsia="Arial" w:hAnsi="Arial"/>
                <w:sz w:val="16"/>
                <w:szCs w:val="16"/>
                <w:color w:val="auto"/>
              </w:rPr>
              <w:t>—</w:t>
            </w:r>
          </w:p>
        </w:tc>
        <w:tc>
          <w:tcPr>
            <w:tcW w:w="1540" w:type="dxa"/>
            <w:vAlign w:val="bottom"/>
            <w:shd w:val="clear" w:color="auto" w:fill="E5E5E5"/>
          </w:tcPr>
          <w:p>
            <w:pPr>
              <w:jc w:val="center"/>
              <w:spacing w:after="0"/>
              <w:rPr>
                <w:sz w:val="20"/>
                <w:szCs w:val="20"/>
                <w:color w:val="auto"/>
              </w:rPr>
            </w:pPr>
            <w:r>
              <w:rPr>
                <w:rFonts w:ascii="Arial" w:cs="Arial" w:eastAsia="Arial" w:hAnsi="Arial"/>
                <w:sz w:val="16"/>
                <w:szCs w:val="16"/>
                <w:color w:val="auto"/>
                <w:w w:val="98"/>
              </w:rPr>
              <w:t>62,677</w:t>
            </w:r>
          </w:p>
        </w:tc>
        <w:tc>
          <w:tcPr>
            <w:tcW w:w="1340" w:type="dxa"/>
            <w:vAlign w:val="bottom"/>
            <w:shd w:val="clear" w:color="auto" w:fill="E5E5E5"/>
          </w:tcPr>
          <w:p>
            <w:pPr>
              <w:jc w:val="center"/>
              <w:ind w:left="175"/>
              <w:spacing w:after="0"/>
              <w:rPr>
                <w:sz w:val="20"/>
                <w:szCs w:val="20"/>
                <w:color w:val="auto"/>
              </w:rPr>
            </w:pPr>
            <w:r>
              <w:rPr>
                <w:rFonts w:ascii="Arial" w:cs="Arial" w:eastAsia="Arial" w:hAnsi="Arial"/>
                <w:sz w:val="16"/>
                <w:szCs w:val="16"/>
                <w:color w:val="auto"/>
              </w:rPr>
              <w:t>9,271,879</w:t>
            </w:r>
          </w:p>
        </w:tc>
      </w:tr>
      <w:tr>
        <w:trPr>
          <w:trHeight w:val="267"/>
        </w:trPr>
        <w:tc>
          <w:tcPr>
            <w:tcW w:w="3500" w:type="dxa"/>
            <w:vAlign w:val="bottom"/>
          </w:tcPr>
          <w:p>
            <w:pPr>
              <w:ind w:left="40"/>
              <w:spacing w:after="0"/>
              <w:rPr>
                <w:sz w:val="20"/>
                <w:szCs w:val="20"/>
                <w:color w:val="auto"/>
              </w:rPr>
            </w:pPr>
            <w:r>
              <w:rPr>
                <w:rFonts w:ascii="Arial" w:cs="Arial" w:eastAsia="Arial" w:hAnsi="Arial"/>
                <w:sz w:val="16"/>
                <w:szCs w:val="16"/>
                <w:color w:val="auto"/>
              </w:rPr>
              <w:t>Kris Sennesael</w:t>
            </w:r>
          </w:p>
        </w:tc>
        <w:tc>
          <w:tcPr>
            <w:tcW w:w="1520" w:type="dxa"/>
            <w:vAlign w:val="bottom"/>
          </w:tcPr>
          <w:p>
            <w:pPr>
              <w:jc w:val="right"/>
              <w:ind w:right="415"/>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275"/>
              <w:spacing w:after="0"/>
              <w:rPr>
                <w:sz w:val="20"/>
                <w:szCs w:val="20"/>
                <w:color w:val="auto"/>
              </w:rPr>
            </w:pPr>
            <w:r>
              <w:rPr>
                <w:rFonts w:ascii="Arial" w:cs="Arial" w:eastAsia="Arial" w:hAnsi="Arial"/>
                <w:sz w:val="16"/>
                <w:szCs w:val="16"/>
                <w:color w:val="auto"/>
              </w:rPr>
              <w:t>—</w:t>
            </w:r>
          </w:p>
        </w:tc>
        <w:tc>
          <w:tcPr>
            <w:tcW w:w="1540" w:type="dxa"/>
            <w:vAlign w:val="bottom"/>
          </w:tcPr>
          <w:p>
            <w:pPr>
              <w:jc w:val="center"/>
              <w:spacing w:after="0"/>
              <w:rPr>
                <w:sz w:val="20"/>
                <w:szCs w:val="20"/>
                <w:color w:val="auto"/>
              </w:rPr>
            </w:pPr>
            <w:r>
              <w:rPr>
                <w:rFonts w:ascii="Arial" w:cs="Arial" w:eastAsia="Arial" w:hAnsi="Arial"/>
                <w:sz w:val="16"/>
                <w:szCs w:val="16"/>
                <w:color w:val="auto"/>
                <w:w w:val="98"/>
              </w:rPr>
              <w:t>28,055</w:t>
            </w:r>
          </w:p>
        </w:tc>
        <w:tc>
          <w:tcPr>
            <w:tcW w:w="1340" w:type="dxa"/>
            <w:vAlign w:val="bottom"/>
          </w:tcPr>
          <w:p>
            <w:pPr>
              <w:jc w:val="center"/>
              <w:ind w:left="175"/>
              <w:spacing w:after="0"/>
              <w:rPr>
                <w:sz w:val="20"/>
                <w:szCs w:val="20"/>
                <w:color w:val="auto"/>
              </w:rPr>
            </w:pPr>
            <w:r>
              <w:rPr>
                <w:rFonts w:ascii="Arial" w:cs="Arial" w:eastAsia="Arial" w:hAnsi="Arial"/>
                <w:sz w:val="16"/>
                <w:szCs w:val="16"/>
                <w:color w:val="auto"/>
              </w:rPr>
              <w:t>4,161,448</w:t>
            </w:r>
          </w:p>
        </w:tc>
      </w:tr>
      <w:tr>
        <w:trPr>
          <w:trHeight w:val="273"/>
        </w:trPr>
        <w:tc>
          <w:tcPr>
            <w:tcW w:w="3500" w:type="dxa"/>
            <w:vAlign w:val="bottom"/>
            <w:shd w:val="clear" w:color="auto" w:fill="E5E5E5"/>
          </w:tcPr>
          <w:p>
            <w:pPr>
              <w:ind w:left="40"/>
              <w:spacing w:after="0"/>
              <w:rPr>
                <w:sz w:val="20"/>
                <w:szCs w:val="20"/>
                <w:color w:val="auto"/>
              </w:rPr>
            </w:pPr>
            <w:r>
              <w:rPr>
                <w:rFonts w:ascii="Arial" w:cs="Arial" w:eastAsia="Arial" w:hAnsi="Arial"/>
                <w:sz w:val="16"/>
                <w:szCs w:val="16"/>
                <w:color w:val="auto"/>
              </w:rPr>
              <w:t>Carlos S. Bori</w:t>
            </w:r>
          </w:p>
        </w:tc>
        <w:tc>
          <w:tcPr>
            <w:tcW w:w="1520" w:type="dxa"/>
            <w:vAlign w:val="bottom"/>
            <w:shd w:val="clear" w:color="auto" w:fill="E5E5E5"/>
          </w:tcPr>
          <w:p>
            <w:pPr>
              <w:jc w:val="right"/>
              <w:ind w:right="415"/>
              <w:spacing w:after="0"/>
              <w:rPr>
                <w:sz w:val="20"/>
                <w:szCs w:val="20"/>
                <w:color w:val="auto"/>
              </w:rPr>
            </w:pPr>
            <w:r>
              <w:rPr>
                <w:rFonts w:ascii="Arial" w:cs="Arial" w:eastAsia="Arial" w:hAnsi="Arial"/>
                <w:sz w:val="16"/>
                <w:szCs w:val="16"/>
                <w:color w:val="auto"/>
              </w:rPr>
              <w:t>15,938</w:t>
            </w:r>
          </w:p>
        </w:tc>
        <w:tc>
          <w:tcPr>
            <w:tcW w:w="1500" w:type="dxa"/>
            <w:vAlign w:val="bottom"/>
            <w:shd w:val="clear" w:color="auto" w:fill="E5E5E5"/>
          </w:tcPr>
          <w:p>
            <w:pPr>
              <w:jc w:val="right"/>
              <w:ind w:right="275"/>
              <w:spacing w:after="0"/>
              <w:rPr>
                <w:sz w:val="20"/>
                <w:szCs w:val="20"/>
                <w:color w:val="auto"/>
              </w:rPr>
            </w:pPr>
            <w:r>
              <w:rPr>
                <w:rFonts w:ascii="Arial" w:cs="Arial" w:eastAsia="Arial" w:hAnsi="Arial"/>
                <w:sz w:val="16"/>
                <w:szCs w:val="16"/>
                <w:color w:val="auto"/>
              </w:rPr>
              <w:t>1,700,702</w:t>
            </w:r>
          </w:p>
        </w:tc>
        <w:tc>
          <w:tcPr>
            <w:tcW w:w="1540" w:type="dxa"/>
            <w:vAlign w:val="bottom"/>
            <w:shd w:val="clear" w:color="auto" w:fill="E5E5E5"/>
          </w:tcPr>
          <w:p>
            <w:pPr>
              <w:jc w:val="center"/>
              <w:spacing w:after="0"/>
              <w:rPr>
                <w:sz w:val="20"/>
                <w:szCs w:val="20"/>
                <w:color w:val="auto"/>
              </w:rPr>
            </w:pPr>
            <w:r>
              <w:rPr>
                <w:rFonts w:ascii="Arial" w:cs="Arial" w:eastAsia="Arial" w:hAnsi="Arial"/>
                <w:sz w:val="16"/>
                <w:szCs w:val="16"/>
                <w:color w:val="auto"/>
                <w:w w:val="98"/>
              </w:rPr>
              <w:t>24,864</w:t>
            </w:r>
          </w:p>
        </w:tc>
        <w:tc>
          <w:tcPr>
            <w:tcW w:w="1340" w:type="dxa"/>
            <w:vAlign w:val="bottom"/>
            <w:shd w:val="clear" w:color="auto" w:fill="E5E5E5"/>
          </w:tcPr>
          <w:p>
            <w:pPr>
              <w:jc w:val="center"/>
              <w:ind w:left="175"/>
              <w:spacing w:after="0"/>
              <w:rPr>
                <w:sz w:val="20"/>
                <w:szCs w:val="20"/>
                <w:color w:val="auto"/>
              </w:rPr>
            </w:pPr>
            <w:r>
              <w:rPr>
                <w:rFonts w:ascii="Arial" w:cs="Arial" w:eastAsia="Arial" w:hAnsi="Arial"/>
                <w:sz w:val="16"/>
                <w:szCs w:val="16"/>
                <w:color w:val="auto"/>
              </w:rPr>
              <w:t>3,686,040</w:t>
            </w:r>
          </w:p>
        </w:tc>
      </w:tr>
      <w:tr>
        <w:trPr>
          <w:trHeight w:val="267"/>
        </w:trPr>
        <w:tc>
          <w:tcPr>
            <w:tcW w:w="3500" w:type="dxa"/>
            <w:vAlign w:val="bottom"/>
          </w:tcPr>
          <w:p>
            <w:pPr>
              <w:ind w:left="40"/>
              <w:spacing w:after="0"/>
              <w:rPr>
                <w:sz w:val="20"/>
                <w:szCs w:val="20"/>
                <w:color w:val="auto"/>
              </w:rPr>
            </w:pPr>
            <w:r>
              <w:rPr>
                <w:rFonts w:ascii="Arial" w:cs="Arial" w:eastAsia="Arial" w:hAnsi="Arial"/>
                <w:sz w:val="16"/>
                <w:szCs w:val="16"/>
                <w:color w:val="auto"/>
              </w:rPr>
              <w:t>Robert J. Terry</w:t>
            </w:r>
          </w:p>
        </w:tc>
        <w:tc>
          <w:tcPr>
            <w:tcW w:w="1520" w:type="dxa"/>
            <w:vAlign w:val="bottom"/>
          </w:tcPr>
          <w:p>
            <w:pPr>
              <w:jc w:val="right"/>
              <w:ind w:right="415"/>
              <w:spacing w:after="0"/>
              <w:rPr>
                <w:sz w:val="20"/>
                <w:szCs w:val="20"/>
                <w:color w:val="auto"/>
              </w:rPr>
            </w:pPr>
            <w:r>
              <w:rPr>
                <w:rFonts w:ascii="Arial" w:cs="Arial" w:eastAsia="Arial" w:hAnsi="Arial"/>
                <w:sz w:val="16"/>
                <w:szCs w:val="16"/>
                <w:color w:val="auto"/>
              </w:rPr>
              <w:t>1,750</w:t>
            </w:r>
          </w:p>
        </w:tc>
        <w:tc>
          <w:tcPr>
            <w:tcW w:w="1500" w:type="dxa"/>
            <w:vAlign w:val="bottom"/>
          </w:tcPr>
          <w:p>
            <w:pPr>
              <w:jc w:val="right"/>
              <w:ind w:right="275"/>
              <w:spacing w:after="0"/>
              <w:rPr>
                <w:sz w:val="20"/>
                <w:szCs w:val="20"/>
                <w:color w:val="auto"/>
              </w:rPr>
            </w:pPr>
            <w:r>
              <w:rPr>
                <w:rFonts w:ascii="Arial" w:cs="Arial" w:eastAsia="Arial" w:hAnsi="Arial"/>
                <w:sz w:val="16"/>
                <w:szCs w:val="16"/>
                <w:color w:val="auto"/>
              </w:rPr>
              <w:t>128,203</w:t>
            </w:r>
          </w:p>
        </w:tc>
        <w:tc>
          <w:tcPr>
            <w:tcW w:w="1540" w:type="dxa"/>
            <w:vAlign w:val="bottom"/>
          </w:tcPr>
          <w:p>
            <w:pPr>
              <w:jc w:val="center"/>
              <w:spacing w:after="0"/>
              <w:rPr>
                <w:sz w:val="20"/>
                <w:szCs w:val="20"/>
                <w:color w:val="auto"/>
              </w:rPr>
            </w:pPr>
            <w:r>
              <w:rPr>
                <w:rFonts w:ascii="Arial" w:cs="Arial" w:eastAsia="Arial" w:hAnsi="Arial"/>
                <w:sz w:val="16"/>
                <w:szCs w:val="16"/>
                <w:color w:val="auto"/>
                <w:w w:val="98"/>
              </w:rPr>
              <w:t>20,678</w:t>
            </w:r>
          </w:p>
        </w:tc>
        <w:tc>
          <w:tcPr>
            <w:tcW w:w="1340" w:type="dxa"/>
            <w:vAlign w:val="bottom"/>
          </w:tcPr>
          <w:p>
            <w:pPr>
              <w:jc w:val="center"/>
              <w:ind w:left="175"/>
              <w:spacing w:after="0"/>
              <w:rPr>
                <w:sz w:val="20"/>
                <w:szCs w:val="20"/>
                <w:color w:val="auto"/>
              </w:rPr>
            </w:pPr>
            <w:r>
              <w:rPr>
                <w:rFonts w:ascii="Arial" w:cs="Arial" w:eastAsia="Arial" w:hAnsi="Arial"/>
                <w:sz w:val="16"/>
                <w:szCs w:val="16"/>
                <w:color w:val="auto"/>
              </w:rPr>
              <w:t>3,064,656</w:t>
            </w:r>
          </w:p>
        </w:tc>
      </w:tr>
      <w:tr>
        <w:trPr>
          <w:trHeight w:val="259"/>
        </w:trPr>
        <w:tc>
          <w:tcPr>
            <w:tcW w:w="3500" w:type="dxa"/>
            <w:vAlign w:val="bottom"/>
            <w:shd w:val="clear" w:color="auto" w:fill="E5E5E5"/>
          </w:tcPr>
          <w:p>
            <w:pPr>
              <w:ind w:left="40"/>
              <w:spacing w:after="0"/>
              <w:rPr>
                <w:sz w:val="20"/>
                <w:szCs w:val="20"/>
                <w:color w:val="auto"/>
              </w:rPr>
            </w:pPr>
            <w:r>
              <w:rPr>
                <w:rFonts w:ascii="Arial" w:cs="Arial" w:eastAsia="Arial" w:hAnsi="Arial"/>
                <w:sz w:val="16"/>
                <w:szCs w:val="16"/>
                <w:color w:val="auto"/>
              </w:rPr>
              <w:t>Karilee A. Durham</w:t>
            </w:r>
          </w:p>
        </w:tc>
        <w:tc>
          <w:tcPr>
            <w:tcW w:w="1520" w:type="dxa"/>
            <w:vAlign w:val="bottom"/>
            <w:shd w:val="clear" w:color="auto" w:fill="E5E5E5"/>
          </w:tcPr>
          <w:p>
            <w:pPr>
              <w:jc w:val="right"/>
              <w:ind w:right="415"/>
              <w:spacing w:after="0"/>
              <w:rPr>
                <w:sz w:val="20"/>
                <w:szCs w:val="20"/>
                <w:color w:val="auto"/>
              </w:rPr>
            </w:pPr>
            <w:r>
              <w:rPr>
                <w:rFonts w:ascii="Arial" w:cs="Arial" w:eastAsia="Arial" w:hAnsi="Arial"/>
                <w:sz w:val="16"/>
                <w:szCs w:val="16"/>
                <w:color w:val="auto"/>
              </w:rPr>
              <w:t>—</w:t>
            </w:r>
          </w:p>
        </w:tc>
        <w:tc>
          <w:tcPr>
            <w:tcW w:w="1500" w:type="dxa"/>
            <w:vAlign w:val="bottom"/>
            <w:shd w:val="clear" w:color="auto" w:fill="E5E5E5"/>
          </w:tcPr>
          <w:p>
            <w:pPr>
              <w:jc w:val="right"/>
              <w:ind w:right="275"/>
              <w:spacing w:after="0"/>
              <w:rPr>
                <w:sz w:val="20"/>
                <w:szCs w:val="20"/>
                <w:color w:val="auto"/>
              </w:rPr>
            </w:pPr>
            <w:r>
              <w:rPr>
                <w:rFonts w:ascii="Arial" w:cs="Arial" w:eastAsia="Arial" w:hAnsi="Arial"/>
                <w:sz w:val="16"/>
                <w:szCs w:val="16"/>
                <w:color w:val="auto"/>
              </w:rPr>
              <w:t>—</w:t>
            </w:r>
          </w:p>
        </w:tc>
        <w:tc>
          <w:tcPr>
            <w:tcW w:w="1540" w:type="dxa"/>
            <w:vAlign w:val="bottom"/>
            <w:shd w:val="clear" w:color="auto" w:fill="E5E5E5"/>
          </w:tcPr>
          <w:p>
            <w:pPr>
              <w:jc w:val="center"/>
              <w:spacing w:after="0"/>
              <w:rPr>
                <w:sz w:val="20"/>
                <w:szCs w:val="20"/>
                <w:color w:val="auto"/>
              </w:rPr>
            </w:pPr>
            <w:r>
              <w:rPr>
                <w:rFonts w:ascii="Arial" w:cs="Arial" w:eastAsia="Arial" w:hAnsi="Arial"/>
                <w:sz w:val="16"/>
                <w:szCs w:val="16"/>
                <w:color w:val="auto"/>
                <w:w w:val="98"/>
              </w:rPr>
              <w:t>17,105</w:t>
            </w:r>
          </w:p>
        </w:tc>
        <w:tc>
          <w:tcPr>
            <w:tcW w:w="1340" w:type="dxa"/>
            <w:vAlign w:val="bottom"/>
            <w:shd w:val="clear" w:color="auto" w:fill="E5E5E5"/>
          </w:tcPr>
          <w:p>
            <w:pPr>
              <w:jc w:val="center"/>
              <w:ind w:left="175"/>
              <w:spacing w:after="0"/>
              <w:rPr>
                <w:sz w:val="20"/>
                <w:szCs w:val="20"/>
                <w:color w:val="auto"/>
              </w:rPr>
            </w:pPr>
            <w:r>
              <w:rPr>
                <w:rFonts w:ascii="Arial" w:cs="Arial" w:eastAsia="Arial" w:hAnsi="Arial"/>
                <w:sz w:val="16"/>
                <w:szCs w:val="16"/>
                <w:color w:val="auto"/>
              </w:rPr>
              <w:t>2,722,837</w:t>
            </w:r>
          </w:p>
        </w:tc>
      </w:tr>
    </w:tbl>
    <w:p>
      <w:pPr>
        <w:spacing w:after="0" w:line="107" w:lineRule="exact"/>
        <w:rPr>
          <w:sz w:val="20"/>
          <w:szCs w:val="20"/>
          <w:color w:val="auto"/>
        </w:rPr>
      </w:pPr>
    </w:p>
    <w:p>
      <w:pPr>
        <w:ind w:left="1080" w:hanging="354"/>
        <w:spacing w:after="0" w:line="260" w:lineRule="auto"/>
        <w:tabs>
          <w:tab w:leader="none" w:pos="1080" w:val="left"/>
        </w:tabs>
        <w:numPr>
          <w:ilvl w:val="0"/>
          <w:numId w:val="56"/>
        </w:numPr>
        <w:rPr>
          <w:rFonts w:ascii="Arial" w:cs="Arial" w:eastAsia="Arial" w:hAnsi="Arial"/>
          <w:sz w:val="16"/>
          <w:szCs w:val="16"/>
          <w:i w:val="1"/>
          <w:iCs w:val="1"/>
          <w:color w:val="auto"/>
        </w:rPr>
      </w:pPr>
      <w:r>
        <w:rPr>
          <w:rFonts w:ascii="Arial" w:cs="Arial" w:eastAsia="Arial" w:hAnsi="Arial"/>
          <w:sz w:val="16"/>
          <w:szCs w:val="16"/>
          <w:i w:val="1"/>
          <w:iCs w:val="1"/>
          <w:color w:val="auto"/>
        </w:rPr>
        <w:t>The value realized on exercise is based on the amount by which the market price of a share of the Company’s common stock at the time of exercise exceeded the applicable exercise price per share of the exercised option.</w:t>
      </w:r>
    </w:p>
    <w:p>
      <w:pPr>
        <w:jc w:val="both"/>
        <w:ind w:left="1080" w:right="460" w:hanging="354"/>
        <w:spacing w:after="0" w:line="258" w:lineRule="auto"/>
        <w:tabs>
          <w:tab w:leader="none" w:pos="1080" w:val="left"/>
        </w:tabs>
        <w:numPr>
          <w:ilvl w:val="0"/>
          <w:numId w:val="56"/>
        </w:numPr>
        <w:rPr>
          <w:rFonts w:ascii="Arial" w:cs="Arial" w:eastAsia="Arial" w:hAnsi="Arial"/>
          <w:sz w:val="16"/>
          <w:szCs w:val="16"/>
          <w:i w:val="1"/>
          <w:iCs w:val="1"/>
          <w:color w:val="auto"/>
        </w:rPr>
      </w:pPr>
      <w:r>
        <w:rPr>
          <w:rFonts w:ascii="Arial" w:cs="Arial" w:eastAsia="Arial" w:hAnsi="Arial"/>
          <w:sz w:val="16"/>
          <w:szCs w:val="16"/>
          <w:i w:val="1"/>
          <w:iCs w:val="1"/>
          <w:color w:val="auto"/>
        </w:rPr>
        <w:t>The value realized upon vesting is determined by multiplying (a) the number of shares underlying the stock awards that vested, by (b) the closing price of the Company’s common stock on the Nasdaq Global Select Market on the applicable vesting date.</w:t>
      </w:r>
    </w:p>
    <w:p>
      <w:pPr>
        <w:sectPr>
          <w:pgSz w:w="11900" w:h="16838" w:orient="portrait"/>
          <w:cols w:equalWidth="0" w:num="1">
            <w:col w:w="10060"/>
          </w:cols>
          <w:pgMar w:left="580" w:top="132" w:right="1259" w:bottom="1440" w:gutter="0" w:footer="0" w:header="0"/>
        </w:sectPr>
      </w:pPr>
    </w:p>
    <w:p>
      <w:pPr>
        <w:spacing w:after="0" w:line="50" w:lineRule="exact"/>
        <w:rPr>
          <w:sz w:val="20"/>
          <w:szCs w:val="20"/>
          <w:color w:val="auto"/>
        </w:rPr>
      </w:pPr>
    </w:p>
    <w:p>
      <w:pPr>
        <w:ind w:left="660" w:right="260"/>
        <w:spacing w:after="0" w:line="273" w:lineRule="auto"/>
        <w:rPr>
          <w:sz w:val="20"/>
          <w:szCs w:val="20"/>
          <w:color w:val="auto"/>
        </w:rPr>
      </w:pPr>
      <w:r>
        <w:rPr>
          <w:rFonts w:ascii="Arial" w:cs="Arial" w:eastAsia="Arial" w:hAnsi="Arial"/>
          <w:sz w:val="23"/>
          <w:szCs w:val="23"/>
          <w:b w:val="1"/>
          <w:bCs w:val="1"/>
          <w:i w:val="1"/>
          <w:iCs w:val="1"/>
          <w:color w:val="auto"/>
        </w:rPr>
        <w:t>Potential Payments Upon Termination or Change in Control</w:t>
      </w:r>
    </w:p>
    <w:p>
      <w:pPr>
        <w:spacing w:after="0" w:line="28"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0076A8"/>
        </w:rPr>
        <w:t>Mr. Griffin</w:t>
      </w:r>
    </w:p>
    <w:p>
      <w:pPr>
        <w:spacing w:after="0" w:line="163" w:lineRule="exact"/>
        <w:rPr>
          <w:sz w:val="20"/>
          <w:szCs w:val="20"/>
          <w:color w:val="auto"/>
        </w:rPr>
      </w:pPr>
    </w:p>
    <w:p>
      <w:pPr>
        <w:ind w:left="660"/>
        <w:spacing w:after="0" w:line="253" w:lineRule="auto"/>
        <w:rPr>
          <w:sz w:val="20"/>
          <w:szCs w:val="20"/>
          <w:color w:val="auto"/>
        </w:rPr>
      </w:pPr>
      <w:r>
        <w:rPr>
          <w:rFonts w:ascii="Arial" w:cs="Arial" w:eastAsia="Arial" w:hAnsi="Arial"/>
          <w:sz w:val="20"/>
          <w:szCs w:val="20"/>
          <w:color w:val="191919"/>
        </w:rPr>
        <w:t>On May 11, 2016, in connection with the appointment of Mr. Griffin as Chief Executive Officer, the Company entered into an amended and restated Change in Control / Severance Agreement with Mr. Griffin (the “Griffin Agreement”). The Griffin Agreement sets out severance benefits that become payable if, while employed by the Company, other than following a change in control, Mr. Griffin either (i) is terminated without cause, or (ii) terminates his employment for good reason. The severance benefits provided to Mr. Griffin under either of these circumstances would consist of: (i) a lump-sum payment equal to two (2) times the sum of (A) his then-current annual base salary immediately prior to such termination and (B) the Bonus Amount (as defined below); (ii) full acceleration of the vesting of all of Mr. Griffin’s outstanding stock options, which stock options would become exercisable for a period of two (2) years after the termination date (but not beyond the expiration of their respective maximum terms), full acceleration of the vesting of all outstanding restricted stock awards, and the right to receive the number of performance shares under outstanding PSAs that are earned but unissued and that he would</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ind w:left="3" w:right="120"/>
        <w:spacing w:after="0" w:line="266" w:lineRule="auto"/>
        <w:rPr>
          <w:sz w:val="20"/>
          <w:szCs w:val="20"/>
          <w:color w:val="auto"/>
        </w:rPr>
      </w:pPr>
      <w:r>
        <w:rPr>
          <w:rFonts w:ascii="Arial" w:cs="Arial" w:eastAsia="Arial" w:hAnsi="Arial"/>
          <w:sz w:val="19"/>
          <w:szCs w:val="19"/>
          <w:color w:val="191919"/>
        </w:rPr>
        <w:t>have earned had he remained employed through the end of the applicable performance period; and</w:t>
      </w:r>
    </w:p>
    <w:p>
      <w:pPr>
        <w:spacing w:after="0" w:line="2" w:lineRule="exact"/>
        <w:rPr>
          <w:sz w:val="20"/>
          <w:szCs w:val="20"/>
          <w:color w:val="auto"/>
        </w:rPr>
      </w:pPr>
    </w:p>
    <w:p>
      <w:pPr>
        <w:ind w:left="3" w:right="20" w:hanging="3"/>
        <w:spacing w:after="0" w:line="268" w:lineRule="auto"/>
        <w:tabs>
          <w:tab w:leader="none" w:pos="321" w:val="left"/>
        </w:tabs>
        <w:numPr>
          <w:ilvl w:val="0"/>
          <w:numId w:val="57"/>
        </w:numPr>
        <w:rPr>
          <w:rFonts w:ascii="Arial" w:cs="Arial" w:eastAsia="Arial" w:hAnsi="Arial"/>
          <w:sz w:val="19"/>
          <w:szCs w:val="19"/>
          <w:color w:val="191919"/>
        </w:rPr>
      </w:pPr>
      <w:r>
        <w:rPr>
          <w:rFonts w:ascii="Arial" w:cs="Arial" w:eastAsia="Arial" w:hAnsi="Arial"/>
          <w:sz w:val="19"/>
          <w:szCs w:val="19"/>
          <w:color w:val="191919"/>
        </w:rPr>
        <w:t>provided he is eligible for and timely elects to continue receiving group medical coverage, certain COBRA continuation for him and his eligible dependents (“COBRA continuation”) for up to fifteen (15) months after the termination date. The Bonus Amount is an amount equal to the greater of (x) the average of the short-term cash incentive awards received for the three (3) years prior to the year in which the termination occurs, and (y) the target annual short-term cash incentive award for the year in which the termination occurs.</w:t>
      </w:r>
    </w:p>
    <w:p>
      <w:pPr>
        <w:spacing w:after="0" w:line="205" w:lineRule="exact"/>
        <w:rPr>
          <w:sz w:val="20"/>
          <w:szCs w:val="20"/>
          <w:color w:val="auto"/>
        </w:rPr>
      </w:pPr>
    </w:p>
    <w:p>
      <w:pPr>
        <w:ind w:left="3" w:right="80"/>
        <w:spacing w:after="0" w:line="266" w:lineRule="auto"/>
        <w:rPr>
          <w:sz w:val="20"/>
          <w:szCs w:val="20"/>
          <w:color w:val="auto"/>
        </w:rPr>
      </w:pPr>
      <w:r>
        <w:rPr>
          <w:rFonts w:ascii="Arial" w:cs="Arial" w:eastAsia="Arial" w:hAnsi="Arial"/>
          <w:sz w:val="19"/>
          <w:szCs w:val="19"/>
          <w:color w:val="191919"/>
        </w:rPr>
        <w:t>The Griffin Agreement also sets out severance benefits that become payable if, within the period of time commencing three (3) months prior to and ending two (2) years following a change in control, Mr. Griffin’s employment is either (i) terminated by the Company without cause, or (ii) terminated by him for good reason (a “Qualifying Termination”). The severance benefits provided to Mr. Griffin in such circumstances would consist of the following:</w:t>
      </w:r>
    </w:p>
    <w:p>
      <w:pPr>
        <w:spacing w:after="0" w:line="8" w:lineRule="exact"/>
        <w:rPr>
          <w:sz w:val="20"/>
          <w:szCs w:val="20"/>
          <w:color w:val="auto"/>
        </w:rPr>
      </w:pPr>
    </w:p>
    <w:p>
      <w:pPr>
        <w:jc w:val="both"/>
        <w:ind w:left="3" w:right="120" w:hanging="3"/>
        <w:spacing w:after="0" w:line="281" w:lineRule="auto"/>
        <w:tabs>
          <w:tab w:leader="none" w:pos="234" w:val="left"/>
        </w:tabs>
        <w:numPr>
          <w:ilvl w:val="0"/>
          <w:numId w:val="58"/>
        </w:numPr>
        <w:rPr>
          <w:rFonts w:ascii="Arial" w:cs="Arial" w:eastAsia="Arial" w:hAnsi="Arial"/>
          <w:sz w:val="19"/>
          <w:szCs w:val="19"/>
          <w:color w:val="191919"/>
        </w:rPr>
      </w:pPr>
      <w:r>
        <w:rPr>
          <w:rFonts w:ascii="Arial" w:cs="Arial" w:eastAsia="Arial" w:hAnsi="Arial"/>
          <w:sz w:val="19"/>
          <w:szCs w:val="19"/>
          <w:color w:val="191919"/>
        </w:rPr>
        <w:t>a lump-sum payment equal to two and one-half (2</w:t>
      </w:r>
      <w:r>
        <w:rPr>
          <w:rFonts w:ascii="Arial" w:cs="Arial" w:eastAsia="Arial" w:hAnsi="Arial"/>
          <w:sz w:val="12"/>
          <w:szCs w:val="12"/>
          <w:color w:val="191919"/>
        </w:rPr>
        <w:t>1</w:t>
      </w:r>
      <w:r>
        <w:rPr>
          <w:rFonts w:ascii="Arial" w:cs="Arial" w:eastAsia="Arial" w:hAnsi="Arial"/>
          <w:sz w:val="19"/>
          <w:szCs w:val="19"/>
          <w:color w:val="191919"/>
        </w:rPr>
        <w:t>⁄</w:t>
      </w:r>
      <w:r>
        <w:rPr>
          <w:rFonts w:ascii="Arial" w:cs="Arial" w:eastAsia="Arial" w:hAnsi="Arial"/>
          <w:sz w:val="12"/>
          <w:szCs w:val="12"/>
          <w:color w:val="191919"/>
        </w:rPr>
        <w:t>2</w:t>
      </w:r>
      <w:r>
        <w:rPr>
          <w:rFonts w:ascii="Arial" w:cs="Arial" w:eastAsia="Arial" w:hAnsi="Arial"/>
          <w:sz w:val="19"/>
          <w:szCs w:val="19"/>
          <w:color w:val="191919"/>
        </w:rPr>
        <w:t>) times the sum of (A) his annual base salary</w:t>
      </w:r>
    </w:p>
    <w:p>
      <w:pPr>
        <w:spacing w:after="0" w:line="1" w:lineRule="exact"/>
        <w:rPr>
          <w:rFonts w:ascii="Arial" w:cs="Arial" w:eastAsia="Arial" w:hAnsi="Arial"/>
          <w:sz w:val="19"/>
          <w:szCs w:val="19"/>
          <w:color w:val="191919"/>
        </w:rPr>
      </w:pPr>
    </w:p>
    <w:p>
      <w:pPr>
        <w:ind w:left="3"/>
        <w:spacing w:after="0"/>
        <w:rPr>
          <w:rFonts w:ascii="Arial" w:cs="Arial" w:eastAsia="Arial" w:hAnsi="Arial"/>
          <w:sz w:val="19"/>
          <w:szCs w:val="19"/>
          <w:color w:val="191919"/>
        </w:rPr>
      </w:pPr>
      <w:r>
        <w:rPr>
          <w:rFonts w:ascii="Arial" w:cs="Arial" w:eastAsia="Arial" w:hAnsi="Arial"/>
          <w:sz w:val="20"/>
          <w:szCs w:val="20"/>
          <w:color w:val="191919"/>
        </w:rPr>
        <w:t>immediately prior to the change in control, and</w:t>
      </w:r>
    </w:p>
    <w:p>
      <w:pPr>
        <w:spacing w:after="0" w:line="13" w:lineRule="exact"/>
        <w:rPr>
          <w:rFonts w:ascii="Arial" w:cs="Arial" w:eastAsia="Arial" w:hAnsi="Arial"/>
          <w:sz w:val="19"/>
          <w:szCs w:val="19"/>
          <w:color w:val="191919"/>
        </w:rPr>
      </w:pPr>
    </w:p>
    <w:p>
      <w:pPr>
        <w:ind w:left="3"/>
        <w:spacing w:after="0"/>
        <w:rPr>
          <w:rFonts w:ascii="Arial" w:cs="Arial" w:eastAsia="Arial" w:hAnsi="Arial"/>
          <w:sz w:val="19"/>
          <w:szCs w:val="19"/>
          <w:color w:val="191919"/>
        </w:rPr>
      </w:pPr>
      <w:r>
        <w:rPr>
          <w:rFonts w:ascii="Arial" w:cs="Arial" w:eastAsia="Arial" w:hAnsi="Arial"/>
          <w:sz w:val="20"/>
          <w:szCs w:val="20"/>
          <w:color w:val="191919"/>
        </w:rPr>
        <w:t>(B) the CIC Bonus Amount (as defined below);</w:t>
      </w:r>
    </w:p>
    <w:p>
      <w:pPr>
        <w:spacing w:after="0" w:line="13" w:lineRule="exact"/>
        <w:rPr>
          <w:rFonts w:ascii="Arial" w:cs="Arial" w:eastAsia="Arial" w:hAnsi="Arial"/>
          <w:sz w:val="19"/>
          <w:szCs w:val="19"/>
          <w:color w:val="191919"/>
        </w:rPr>
      </w:pPr>
    </w:p>
    <w:p>
      <w:pPr>
        <w:ind w:left="3" w:hanging="3"/>
        <w:spacing w:after="0" w:line="261" w:lineRule="auto"/>
        <w:tabs>
          <w:tab w:leader="none" w:pos="278" w:val="left"/>
        </w:tabs>
        <w:numPr>
          <w:ilvl w:val="0"/>
          <w:numId w:val="58"/>
        </w:numPr>
        <w:rPr>
          <w:rFonts w:ascii="Arial" w:cs="Arial" w:eastAsia="Arial" w:hAnsi="Arial"/>
          <w:sz w:val="20"/>
          <w:szCs w:val="20"/>
          <w:color w:val="191919"/>
        </w:rPr>
      </w:pPr>
      <w:r>
        <w:rPr>
          <w:rFonts w:ascii="Arial" w:cs="Arial" w:eastAsia="Arial" w:hAnsi="Arial"/>
          <w:sz w:val="20"/>
          <w:szCs w:val="20"/>
          <w:color w:val="191919"/>
        </w:rPr>
        <w:t>all of Mr. Griffin’s then-outstanding stock options would</w:t>
      </w:r>
    </w:p>
    <w:p>
      <w:pPr>
        <w:spacing w:after="0" w:line="441" w:lineRule="exact"/>
        <w:rPr>
          <w:sz w:val="20"/>
          <w:szCs w:val="20"/>
          <w:color w:val="auto"/>
        </w:rPr>
      </w:pPr>
    </w:p>
    <w:p>
      <w:pPr>
        <w:sectPr>
          <w:pgSz w:w="11900" w:h="16838" w:orient="portrait"/>
          <w:cols w:equalWidth="0" w:num="2">
            <w:col w:w="5140" w:space="437"/>
            <w:col w:w="4483"/>
          </w:cols>
          <w:pgMar w:left="580" w:top="132" w:right="1259" w:bottom="1440" w:gutter="0" w:footer="0" w:header="0"/>
          <w:type w:val="continuous"/>
        </w:sectPr>
      </w:pPr>
    </w:p>
    <w:p>
      <w:pPr>
        <w:spacing w:after="0" w:line="135" w:lineRule="exact"/>
        <w:rPr>
          <w:sz w:val="20"/>
          <w:szCs w:val="20"/>
          <w:color w:val="auto"/>
        </w:rPr>
      </w:pPr>
    </w:p>
    <w:p>
      <w:pPr>
        <w:ind w:left="660"/>
        <w:spacing w:after="0"/>
        <w:tabs>
          <w:tab w:leader="none" w:pos="4817" w:val="left"/>
        </w:tabs>
        <w:rPr>
          <w:sz w:val="20"/>
          <w:szCs w:val="20"/>
          <w:color w:val="auto"/>
        </w:rPr>
      </w:pPr>
      <w:r>
        <w:rPr>
          <w:rFonts w:ascii="Arial" w:cs="Arial" w:eastAsia="Arial" w:hAnsi="Arial"/>
          <w:sz w:val="16"/>
          <w:szCs w:val="16"/>
          <w:color w:val="auto"/>
        </w:rPr>
        <w:t>48</w:t>
      </w:r>
      <w:r>
        <w:rPr>
          <w:sz w:val="20"/>
          <w:szCs w:val="20"/>
          <w:color w:val="auto"/>
        </w:rPr>
        <w:tab/>
      </w:r>
      <w:r>
        <w:rPr>
          <w:sz w:val="1"/>
          <w:szCs w:val="1"/>
          <w:color w:val="auto"/>
        </w:rPr>
        <w:drawing>
          <wp:inline distT="0" distB="0" distL="0" distR="0">
            <wp:extent cx="779780" cy="257175"/>
            <wp:effectExtent l="0" t="0" r="0" b="0"/>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116205</wp:posOffset>
            </wp:positionV>
            <wp:extent cx="683196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132" w:right="1259" w:bottom="1440" w:gutter="0" w:footer="0" w:header="0"/>
          <w:type w:val="continuous"/>
        </w:sectPr>
      </w:pPr>
    </w:p>
    <w:bookmarkStart w:id="53" w:name="page54"/>
    <w:bookmarkEnd w:id="5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78" w:lineRule="exact"/>
        <w:rPr>
          <w:sz w:val="20"/>
          <w:szCs w:val="20"/>
          <w:color w:val="auto"/>
        </w:rPr>
      </w:pPr>
    </w:p>
    <w:p>
      <w:pPr>
        <w:ind w:left="660" w:right="100"/>
        <w:spacing w:after="0" w:line="252" w:lineRule="auto"/>
        <w:rPr>
          <w:sz w:val="20"/>
          <w:szCs w:val="20"/>
          <w:color w:val="auto"/>
        </w:rPr>
      </w:pPr>
      <w:r>
        <w:rPr>
          <w:rFonts w:ascii="Arial" w:cs="Arial" w:eastAsia="Arial" w:hAnsi="Arial"/>
          <w:sz w:val="19"/>
          <w:szCs w:val="19"/>
          <w:color w:val="191919"/>
        </w:rPr>
        <w:t>become exercisable for a period of thirty (30) months after the termination date (but not beyond the expiration of their respective maximum terms); and (iii) COBRA continuation for up to eighteen</w:t>
      </w:r>
    </w:p>
    <w:p>
      <w:pPr>
        <w:ind w:left="660" w:right="40" w:hanging="6"/>
        <w:spacing w:after="0"/>
        <w:tabs>
          <w:tab w:leader="none" w:pos="1067" w:val="left"/>
        </w:tabs>
        <w:numPr>
          <w:ilvl w:val="0"/>
          <w:numId w:val="59"/>
        </w:numPr>
        <w:rPr>
          <w:rFonts w:ascii="Arial" w:cs="Arial" w:eastAsia="Arial" w:hAnsi="Arial"/>
          <w:sz w:val="20"/>
          <w:szCs w:val="20"/>
          <w:color w:val="191919"/>
        </w:rPr>
      </w:pPr>
      <w:r>
        <w:rPr>
          <w:rFonts w:ascii="Arial" w:cs="Arial" w:eastAsia="Arial" w:hAnsi="Arial"/>
          <w:sz w:val="20"/>
          <w:szCs w:val="20"/>
          <w:color w:val="191919"/>
        </w:rPr>
        <w:t>months after the termination date. The CIC Bonus Amount is an amount equal to the greater of (x) the average of the annual short-term cash incentive awards received for the three (3) years prior to the year in which the change of control occurs and (y) the target annual short-term cash incentive award for the year in which the change of control occurs.</w:t>
      </w:r>
    </w:p>
    <w:p>
      <w:pPr>
        <w:spacing w:after="0" w:line="212" w:lineRule="exact"/>
        <w:rPr>
          <w:sz w:val="20"/>
          <w:szCs w:val="20"/>
          <w:color w:val="auto"/>
        </w:rPr>
      </w:pPr>
    </w:p>
    <w:p>
      <w:pPr>
        <w:ind w:left="660"/>
        <w:spacing w:after="0" w:line="252" w:lineRule="auto"/>
        <w:rPr>
          <w:sz w:val="20"/>
          <w:szCs w:val="20"/>
          <w:color w:val="auto"/>
        </w:rPr>
      </w:pPr>
      <w:r>
        <w:rPr>
          <w:rFonts w:ascii="Arial" w:cs="Arial" w:eastAsia="Arial" w:hAnsi="Arial"/>
          <w:sz w:val="19"/>
          <w:szCs w:val="19"/>
          <w:color w:val="191919"/>
        </w:rPr>
        <w:t>The Griffin Agreement also provides that in the event of a Qualifying Termination, Mr. Griffin is entitled to full acceleration of the vesting of all of his outstanding equity awards (including stock options, restricted stock awards, RSU awards, and all earned but unissued performance-based equity awards). At the time of a change in control, all such outstanding equity awards would continue to be subject to the same time-based vesting schedule to which the awards were subject prior to the change in control (including performance-based equity awards that are deemed earned at the time of the change in control as described below). For performance-based equity awards where the change in control occurs prior to the end of the performance period, such awards would be deemed earned as to the greater of (i) the target level of shares for such awards, or (ii) the number of shares that would have been earned pursuant to the terms of such awards based upon performance up through and including the day prior to the date of the change in control. In the event that the successor or surviving company does not agree to assume, or to substitute for, such outstanding equity awards on substantially similar terms with substantially equivalent economic benefits as exist for such award immediately prior to the change in control, then such awards would accelerate in full as of the change in control.</w:t>
      </w:r>
    </w:p>
    <w:p>
      <w:pPr>
        <w:spacing w:after="0" w:line="200" w:lineRule="exact"/>
        <w:rPr>
          <w:sz w:val="20"/>
          <w:szCs w:val="20"/>
          <w:color w:val="auto"/>
        </w:rPr>
      </w:pPr>
    </w:p>
    <w:p>
      <w:pPr>
        <w:spacing w:after="0" w:line="248" w:lineRule="exact"/>
        <w:rPr>
          <w:sz w:val="20"/>
          <w:szCs w:val="20"/>
          <w:color w:val="auto"/>
        </w:rPr>
      </w:pPr>
    </w:p>
    <w:p>
      <w:pPr>
        <w:ind w:left="660" w:right="40"/>
        <w:spacing w:after="0"/>
        <w:rPr>
          <w:sz w:val="20"/>
          <w:szCs w:val="20"/>
          <w:color w:val="auto"/>
        </w:rPr>
      </w:pPr>
      <w:r>
        <w:rPr>
          <w:rFonts w:ascii="Arial" w:cs="Arial" w:eastAsia="Arial" w:hAnsi="Arial"/>
          <w:sz w:val="20"/>
          <w:szCs w:val="20"/>
          <w:color w:val="191919"/>
        </w:rPr>
        <w:t>In the event of Mr. Griffin’s death or permanent disability (within the meaning of Section 22(e)(3) of the IRC), the Griffin Agreement provides for full acceleration of the vesting of all then-outstanding equity awards subject to time-based vesting (including stock options, restricted stock awards, RSU awards, and all performance-based equity</w:t>
      </w:r>
    </w:p>
    <w:p>
      <w:pPr>
        <w:spacing w:after="0" w:line="200" w:lineRule="exact"/>
        <w:rPr>
          <w:sz w:val="20"/>
          <w:szCs w:val="20"/>
          <w:color w:val="auto"/>
        </w:rPr>
      </w:pPr>
    </w:p>
    <w:p>
      <w:pPr>
        <w:spacing w:after="0" w:line="2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spacing w:after="0" w:line="239" w:lineRule="auto"/>
        <w:rPr>
          <w:sz w:val="20"/>
          <w:szCs w:val="20"/>
          <w:color w:val="auto"/>
        </w:rPr>
      </w:pPr>
      <w:r>
        <w:rPr>
          <w:rFonts w:ascii="Arial" w:cs="Arial" w:eastAsia="Arial" w:hAnsi="Arial"/>
          <w:sz w:val="20"/>
          <w:szCs w:val="20"/>
          <w:color w:val="191919"/>
        </w:rPr>
        <w:t>awards where the performance period has ended and the shares are earned but unissued). The Griffin Agreement also provides that if Mr. Griffin’s death or permanent disability occurs prior to the end of the performance period of a performance-based equity award, each such award would be deemed earned as to the greater of (i) the target level of shares for such award, or (ii) the number of shares that would have been earned pursuant to the terms of such award had he remained employed through the end of the performance period, and such earned shares would become vested and issuable to him after the performance period ends. In addition, all outstanding stock options would be exercisable for a period of twelve (12) months following the termination of employment (but not beyond the expiration of their respective maximum terms).</w:t>
      </w:r>
    </w:p>
    <w:p>
      <w:pPr>
        <w:spacing w:after="0" w:line="225" w:lineRule="exact"/>
        <w:rPr>
          <w:sz w:val="20"/>
          <w:szCs w:val="20"/>
          <w:color w:val="auto"/>
        </w:rPr>
      </w:pPr>
    </w:p>
    <w:p>
      <w:pPr>
        <w:ind w:right="20"/>
        <w:spacing w:after="0"/>
        <w:rPr>
          <w:sz w:val="20"/>
          <w:szCs w:val="20"/>
          <w:color w:val="auto"/>
        </w:rPr>
      </w:pPr>
      <w:r>
        <w:rPr>
          <w:rFonts w:ascii="Arial" w:cs="Arial" w:eastAsia="Arial" w:hAnsi="Arial"/>
          <w:sz w:val="20"/>
          <w:szCs w:val="20"/>
          <w:color w:val="191919"/>
        </w:rPr>
        <w:t>The Griffin Agreement is intended to be exempt from or compliant with Section 409A of the IRC and has an initial two (2) year term from May 11, 2016, and thereafter renews automatically on an annual basis for up to five (5) additional years unless either the Company or Mr. Griffin timely provides a notice of non-renewal to the other prior to the end of the then-current term. The payments due to Mr. Griffin under the Griffin Agreement are subject to potential reduction in the event that such payments would otherwise become subject to excise tax incurred under Section 4999 of the IRC, if such reduction would result in his retaining a larger amount, on an after-tax basis, than if he had received all of the payments due.</w:t>
      </w:r>
    </w:p>
    <w:p>
      <w:pPr>
        <w:spacing w:after="0" w:line="209" w:lineRule="exact"/>
        <w:rPr>
          <w:sz w:val="20"/>
          <w:szCs w:val="20"/>
          <w:color w:val="auto"/>
        </w:rPr>
      </w:pPr>
    </w:p>
    <w:p>
      <w:pPr>
        <w:ind w:right="80"/>
        <w:spacing w:after="0"/>
        <w:rPr>
          <w:sz w:val="20"/>
          <w:szCs w:val="20"/>
          <w:color w:val="auto"/>
        </w:rPr>
      </w:pPr>
      <w:r>
        <w:rPr>
          <w:rFonts w:ascii="Arial" w:cs="Arial" w:eastAsia="Arial" w:hAnsi="Arial"/>
          <w:sz w:val="20"/>
          <w:szCs w:val="20"/>
          <w:color w:val="191919"/>
        </w:rPr>
        <w:t>Additionally, the Griffin Agreement requires that Mr. Griffin sign a release of claims in favor of the Company before he is eligible to receive any benefits under the Griffin Agreement and contains a non-solicitation provision applicable to Mr. Griffin while he is employed by the Company and for twelve (12) months following the termination of his employment.</w:t>
      </w:r>
    </w:p>
    <w:p>
      <w:pPr>
        <w:spacing w:after="0" w:line="212" w:lineRule="exact"/>
        <w:rPr>
          <w:sz w:val="20"/>
          <w:szCs w:val="20"/>
          <w:color w:val="auto"/>
        </w:rPr>
      </w:pPr>
    </w:p>
    <w:p>
      <w:pPr>
        <w:ind w:right="80"/>
        <w:spacing w:after="0" w:line="252" w:lineRule="auto"/>
        <w:rPr>
          <w:sz w:val="20"/>
          <w:szCs w:val="20"/>
          <w:color w:val="auto"/>
        </w:rPr>
      </w:pPr>
      <w:r>
        <w:rPr>
          <w:rFonts w:ascii="Arial" w:cs="Arial" w:eastAsia="Arial" w:hAnsi="Arial"/>
          <w:sz w:val="19"/>
          <w:szCs w:val="19"/>
          <w:color w:val="191919"/>
        </w:rPr>
        <w:t>The terms “change in control,” “cause,” and “good reason” are each defined in the Griffin Agreement. Change in control means, in summary: (i) the acquisition by a person or a group of 40% or more of the outstanding stock of the Company;</w:t>
      </w:r>
    </w:p>
    <w:p>
      <w:pPr>
        <w:spacing w:after="0"/>
        <w:rPr>
          <w:sz w:val="20"/>
          <w:szCs w:val="20"/>
          <w:color w:val="auto"/>
        </w:rPr>
      </w:pPr>
      <w:r>
        <w:rPr>
          <w:rFonts w:ascii="Arial" w:cs="Arial" w:eastAsia="Arial" w:hAnsi="Arial"/>
          <w:sz w:val="20"/>
          <w:szCs w:val="20"/>
          <w:color w:val="191919"/>
        </w:rPr>
        <w:t>(ii) a change, without approval by the Board, of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-462280</wp:posOffset>
            </wp:positionH>
            <wp:positionV relativeFrom="paragraph">
              <wp:posOffset>250825</wp:posOffset>
            </wp:positionV>
            <wp:extent cx="779780" cy="25717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79780" cy="25717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-3552190</wp:posOffset>
            </wp:positionH>
            <wp:positionV relativeFrom="paragraph">
              <wp:posOffset>177800</wp:posOffset>
            </wp:positionV>
            <wp:extent cx="6831965"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2">
            <w:col w:w="5140" w:space="440"/>
            <w:col w:w="4480"/>
          </w:cols>
          <w:pgMar w:left="580" w:top="132" w:right="1259" w:bottom="1440" w:gutter="0" w:footer="0" w:header="0"/>
        </w:sectPr>
      </w:pPr>
    </w:p>
    <w:bookmarkStart w:id="54" w:name="page55"/>
    <w:bookmarkEnd w:id="5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78" w:lineRule="exact"/>
        <w:rPr>
          <w:sz w:val="20"/>
          <w:szCs w:val="20"/>
          <w:color w:val="auto"/>
        </w:rPr>
      </w:pPr>
    </w:p>
    <w:p>
      <w:pPr>
        <w:ind w:left="660" w:right="20"/>
        <w:spacing w:after="0" w:line="252" w:lineRule="auto"/>
        <w:rPr>
          <w:sz w:val="20"/>
          <w:szCs w:val="20"/>
          <w:color w:val="auto"/>
        </w:rPr>
      </w:pPr>
      <w:r>
        <w:rPr>
          <w:rFonts w:ascii="Arial" w:cs="Arial" w:eastAsia="Arial" w:hAnsi="Arial"/>
          <w:sz w:val="19"/>
          <w:szCs w:val="19"/>
          <w:color w:val="191919"/>
        </w:rPr>
        <w:t>majority of the Board of the Company; (iii) the acquisition of the Company by means of a reorganization, merger, consolidation, or asset sale; or (iv) stockholder approval of a liquidation or dissolution of the Company. Cause means, in summary: (i) deliberate dishonesty that is significantly detrimental to the best interests of the Company; (ii) conduct constituting an act of moral turpitude; (iii) willful disloyalty or insubordination; or</w:t>
      </w:r>
    </w:p>
    <w:p>
      <w:pPr>
        <w:spacing w:after="0" w:line="1" w:lineRule="exact"/>
        <w:rPr>
          <w:sz w:val="20"/>
          <w:szCs w:val="20"/>
          <w:color w:val="auto"/>
        </w:rPr>
      </w:pPr>
    </w:p>
    <w:p>
      <w:pPr>
        <w:ind w:left="660" w:right="40" w:hanging="6"/>
        <w:spacing w:after="0"/>
        <w:tabs>
          <w:tab w:leader="none" w:pos="990" w:val="left"/>
        </w:tabs>
        <w:numPr>
          <w:ilvl w:val="0"/>
          <w:numId w:val="60"/>
        </w:numPr>
        <w:rPr>
          <w:rFonts w:ascii="Arial" w:cs="Arial" w:eastAsia="Arial" w:hAnsi="Arial"/>
          <w:sz w:val="20"/>
          <w:szCs w:val="20"/>
          <w:color w:val="191919"/>
        </w:rPr>
      </w:pPr>
      <w:r>
        <w:rPr>
          <w:rFonts w:ascii="Arial" w:cs="Arial" w:eastAsia="Arial" w:hAnsi="Arial"/>
          <w:sz w:val="20"/>
          <w:szCs w:val="20"/>
          <w:color w:val="191919"/>
        </w:rPr>
        <w:t>incompetent performance or substantial or continuing inattention to or neglect of duties. Good reason means, in summary: (i) a material diminution in his base compensation, authority, duties, responsibilities, or budget over which he retains authority; (ii) a requirement that Mr. Griffin report to a corporate officer or employee instead of reporting directly to the Board; (iii) a material change in his office location; or (iv) any action or inaction constituting a material breach by the Company of the terms of the agreement.</w:t>
      </w:r>
    </w:p>
    <w:p>
      <w:pPr>
        <w:spacing w:after="0" w:line="186" w:lineRule="exact"/>
        <w:rPr>
          <w:sz w:val="20"/>
          <w:szCs w:val="20"/>
          <w:color w:val="auto"/>
        </w:rPr>
      </w:pPr>
    </w:p>
    <w:p>
      <w:pPr>
        <w:ind w:left="660" w:right="800"/>
        <w:spacing w:after="0" w:line="257" w:lineRule="auto"/>
        <w:rPr>
          <w:sz w:val="20"/>
          <w:szCs w:val="20"/>
          <w:color w:val="auto"/>
        </w:rPr>
      </w:pPr>
      <w:r>
        <w:rPr>
          <w:rFonts w:ascii="Arial" w:cs="Arial" w:eastAsia="Arial" w:hAnsi="Arial"/>
          <w:sz w:val="22"/>
          <w:szCs w:val="22"/>
          <w:i w:val="1"/>
          <w:iCs w:val="1"/>
          <w:color w:val="0076A8"/>
        </w:rPr>
        <w:t>Mr. Sennesael, Mr. Bori, Mr. Terry, and Ms. Durham</w:t>
      </w:r>
    </w:p>
    <w:p>
      <w:pPr>
        <w:spacing w:after="0" w:line="118" w:lineRule="exact"/>
        <w:rPr>
          <w:sz w:val="20"/>
          <w:szCs w:val="20"/>
          <w:color w:val="auto"/>
        </w:rPr>
      </w:pPr>
    </w:p>
    <w:p>
      <w:pPr>
        <w:ind w:left="660" w:right="380"/>
        <w:spacing w:after="0" w:line="253" w:lineRule="auto"/>
        <w:rPr>
          <w:sz w:val="20"/>
          <w:szCs w:val="20"/>
          <w:color w:val="auto"/>
        </w:rPr>
      </w:pPr>
      <w:r>
        <w:rPr>
          <w:rFonts w:ascii="Arial" w:cs="Arial" w:eastAsia="Arial" w:hAnsi="Arial"/>
          <w:sz w:val="20"/>
          <w:szCs w:val="20"/>
          <w:color w:val="191919"/>
        </w:rPr>
        <w:t>The Company entered into Change in Control / Severance Agreements with each of</w:t>
      </w:r>
    </w:p>
    <w:p>
      <w:pPr>
        <w:spacing w:after="0" w:line="1" w:lineRule="exact"/>
        <w:rPr>
          <w:sz w:val="20"/>
          <w:szCs w:val="20"/>
          <w:color w:val="auto"/>
        </w:rPr>
      </w:pPr>
    </w:p>
    <w:p>
      <w:pPr>
        <w:ind w:left="660"/>
        <w:spacing w:after="0" w:line="255" w:lineRule="auto"/>
        <w:rPr>
          <w:sz w:val="20"/>
          <w:szCs w:val="20"/>
          <w:color w:val="auto"/>
        </w:rPr>
      </w:pPr>
      <w:r>
        <w:rPr>
          <w:rFonts w:ascii="Arial" w:cs="Arial" w:eastAsia="Arial" w:hAnsi="Arial"/>
          <w:sz w:val="20"/>
          <w:szCs w:val="20"/>
          <w:color w:val="191919"/>
        </w:rPr>
        <w:t>Mr. Sennesael, Mr. Bori, Mr. Terry, and Ms. Durham on August 29, 2016, November 9, 2016, November 10, 2016, and April 13, 2018, respectively. Each such Change in Control / Severance Agreement is referred to herein as a “CIC Agreement.”</w:t>
      </w:r>
    </w:p>
    <w:p>
      <w:pPr>
        <w:spacing w:after="0" w:line="208" w:lineRule="exact"/>
        <w:rPr>
          <w:sz w:val="20"/>
          <w:szCs w:val="20"/>
          <w:color w:val="auto"/>
        </w:rPr>
      </w:pPr>
    </w:p>
    <w:p>
      <w:pPr>
        <w:ind w:left="660" w:right="160"/>
        <w:spacing w:after="0" w:line="266" w:lineRule="auto"/>
        <w:rPr>
          <w:sz w:val="20"/>
          <w:szCs w:val="20"/>
          <w:color w:val="auto"/>
        </w:rPr>
      </w:pPr>
      <w:r>
        <w:rPr>
          <w:rFonts w:ascii="Arial" w:cs="Arial" w:eastAsia="Arial" w:hAnsi="Arial"/>
          <w:sz w:val="19"/>
          <w:szCs w:val="19"/>
          <w:color w:val="191919"/>
        </w:rPr>
        <w:t>Each CIC Agreement sets out severance benefits that become payable if, within the period of time commencing three (3) months prior to and ending twelve (12) months following a change in control, the executive officer’s employment is either</w:t>
      </w:r>
    </w:p>
    <w:p>
      <w:pPr>
        <w:spacing w:after="0" w:line="4" w:lineRule="exact"/>
        <w:rPr>
          <w:sz w:val="20"/>
          <w:szCs w:val="20"/>
          <w:color w:val="auto"/>
        </w:rPr>
      </w:pPr>
    </w:p>
    <w:p>
      <w:pPr>
        <w:ind w:left="880" w:hanging="226"/>
        <w:spacing w:after="0"/>
        <w:tabs>
          <w:tab w:leader="none" w:pos="880" w:val="left"/>
        </w:tabs>
        <w:numPr>
          <w:ilvl w:val="0"/>
          <w:numId w:val="61"/>
        </w:numPr>
        <w:rPr>
          <w:rFonts w:ascii="Arial" w:cs="Arial" w:eastAsia="Arial" w:hAnsi="Arial"/>
          <w:sz w:val="20"/>
          <w:szCs w:val="20"/>
          <w:color w:val="191919"/>
        </w:rPr>
      </w:pPr>
      <w:r>
        <w:rPr>
          <w:rFonts w:ascii="Arial" w:cs="Arial" w:eastAsia="Arial" w:hAnsi="Arial"/>
          <w:sz w:val="20"/>
          <w:szCs w:val="20"/>
          <w:color w:val="191919"/>
        </w:rPr>
        <w:t>terminated by the Company without cause, or</w:t>
      </w:r>
    </w:p>
    <w:p>
      <w:pPr>
        <w:spacing w:after="0" w:line="13" w:lineRule="exact"/>
        <w:rPr>
          <w:rFonts w:ascii="Arial" w:cs="Arial" w:eastAsia="Arial" w:hAnsi="Arial"/>
          <w:sz w:val="20"/>
          <w:szCs w:val="20"/>
          <w:color w:val="191919"/>
        </w:rPr>
      </w:pPr>
    </w:p>
    <w:p>
      <w:pPr>
        <w:ind w:left="660" w:hanging="6"/>
        <w:spacing w:after="0" w:line="248" w:lineRule="auto"/>
        <w:tabs>
          <w:tab w:leader="none" w:pos="935" w:val="left"/>
        </w:tabs>
        <w:numPr>
          <w:ilvl w:val="0"/>
          <w:numId w:val="61"/>
        </w:numPr>
        <w:rPr>
          <w:rFonts w:ascii="Arial" w:cs="Arial" w:eastAsia="Arial" w:hAnsi="Arial"/>
          <w:sz w:val="20"/>
          <w:szCs w:val="20"/>
          <w:color w:val="191919"/>
        </w:rPr>
      </w:pPr>
      <w:r>
        <w:rPr>
          <w:rFonts w:ascii="Arial" w:cs="Arial" w:eastAsia="Arial" w:hAnsi="Arial"/>
          <w:sz w:val="20"/>
          <w:szCs w:val="20"/>
          <w:color w:val="191919"/>
        </w:rPr>
        <w:t>terminated by the executive for good reason (for each such executive, a “Qualifying Termination”). The severance benefits provided to the executive in such circumstances would consist of the following: (i) a lump sum payment equal to one and one-half (1</w:t>
      </w:r>
      <w:r>
        <w:rPr>
          <w:rFonts w:ascii="Arial" w:cs="Arial" w:eastAsia="Arial" w:hAnsi="Arial"/>
          <w:sz w:val="27"/>
          <w:szCs w:val="27"/>
          <w:color w:val="191919"/>
          <w:vertAlign w:val="superscript"/>
        </w:rPr>
        <w:t>1</w:t>
      </w:r>
      <w:r>
        <w:rPr>
          <w:rFonts w:ascii="Arial" w:cs="Arial" w:eastAsia="Arial" w:hAnsi="Arial"/>
          <w:sz w:val="20"/>
          <w:szCs w:val="20"/>
          <w:color w:val="191919"/>
        </w:rPr>
        <w:t>⁄</w:t>
      </w:r>
      <w:r>
        <w:rPr>
          <w:rFonts w:ascii="Arial" w:cs="Arial" w:eastAsia="Arial" w:hAnsi="Arial"/>
          <w:sz w:val="13"/>
          <w:szCs w:val="13"/>
          <w:color w:val="191919"/>
        </w:rPr>
        <w:t>2</w:t>
      </w:r>
      <w:r>
        <w:rPr>
          <w:rFonts w:ascii="Arial" w:cs="Arial" w:eastAsia="Arial" w:hAnsi="Arial"/>
          <w:sz w:val="20"/>
          <w:szCs w:val="20"/>
          <w:color w:val="191919"/>
        </w:rPr>
        <w:t>) times the sum of (A) his or her annual base salary immediately prior to the change in control, and (B) the CIC Bonus Amount; (ii) all of the executive’s then-outstanding stock options would remain exercisable for a period of eighteen (18) months after the termination date (but not beyond the</w:t>
      </w:r>
    </w:p>
    <w:p>
      <w:pPr>
        <w:spacing w:after="0" w:line="200" w:lineRule="exact"/>
        <w:rPr>
          <w:sz w:val="20"/>
          <w:szCs w:val="20"/>
          <w:color w:val="auto"/>
        </w:rPr>
      </w:pPr>
    </w:p>
    <w:p>
      <w:pPr>
        <w:spacing w:after="0" w:line="27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
        <w:spacing w:after="0"/>
        <w:rPr>
          <w:sz w:val="20"/>
          <w:szCs w:val="20"/>
          <w:color w:val="auto"/>
        </w:rPr>
      </w:pPr>
      <w:r>
        <w:rPr>
          <w:rFonts w:ascii="Arial" w:cs="Arial" w:eastAsia="Arial" w:hAnsi="Arial"/>
          <w:sz w:val="19"/>
          <w:szCs w:val="19"/>
          <w:color w:val="191919"/>
        </w:rPr>
        <w:t>expiration of their respective maximum terms); and</w:t>
      </w:r>
    </w:p>
    <w:p>
      <w:pPr>
        <w:spacing w:after="0" w:line="11" w:lineRule="exact"/>
        <w:rPr>
          <w:sz w:val="20"/>
          <w:szCs w:val="20"/>
          <w:color w:val="auto"/>
        </w:rPr>
      </w:pPr>
    </w:p>
    <w:p>
      <w:pPr>
        <w:ind w:left="3" w:right="340" w:hanging="3"/>
        <w:spacing w:after="0" w:line="246" w:lineRule="auto"/>
        <w:tabs>
          <w:tab w:leader="none" w:pos="321" w:val="left"/>
        </w:tabs>
        <w:numPr>
          <w:ilvl w:val="0"/>
          <w:numId w:val="62"/>
        </w:numPr>
        <w:rPr>
          <w:rFonts w:ascii="Arial" w:cs="Arial" w:eastAsia="Arial" w:hAnsi="Arial"/>
          <w:sz w:val="20"/>
          <w:szCs w:val="20"/>
          <w:color w:val="191919"/>
        </w:rPr>
      </w:pPr>
      <w:r>
        <w:rPr>
          <w:rFonts w:ascii="Arial" w:cs="Arial" w:eastAsia="Arial" w:hAnsi="Arial"/>
          <w:sz w:val="20"/>
          <w:szCs w:val="20"/>
          <w:color w:val="191919"/>
        </w:rPr>
        <w:t>COBRA continuation for up to eighteen (18) months after the termination date.</w:t>
      </w:r>
    </w:p>
    <w:p>
      <w:pPr>
        <w:spacing w:after="0" w:line="204" w:lineRule="exact"/>
        <w:rPr>
          <w:sz w:val="20"/>
          <w:szCs w:val="20"/>
          <w:color w:val="auto"/>
        </w:rPr>
      </w:pPr>
    </w:p>
    <w:p>
      <w:pPr>
        <w:ind w:left="3"/>
        <w:spacing w:after="0" w:line="252" w:lineRule="auto"/>
        <w:rPr>
          <w:sz w:val="20"/>
          <w:szCs w:val="20"/>
          <w:color w:val="auto"/>
        </w:rPr>
      </w:pPr>
      <w:r>
        <w:rPr>
          <w:rFonts w:ascii="Arial" w:cs="Arial" w:eastAsia="Arial" w:hAnsi="Arial"/>
          <w:sz w:val="19"/>
          <w:szCs w:val="19"/>
          <w:color w:val="191919"/>
        </w:rPr>
        <w:t>Each CIC Agreement also provides that in the event of a Qualifying Termination, the executive is entitled to full acceleration of the vesting of all of his or her outstanding equity awards (including stock options, restricted stock awards, RSU awards, and all earned but unissued performance-based equity awards). At the time of a change in control, all such outstanding equity awards would continue to be subject to the same time-based vesting schedule to which the awards were subject prior to the change in control (including performance-based equity awards that are deemed earned at the time of the change in control as described below). For performance-based equity awards where the change in control occurs prior to the end of the performance period, such awards would be deemed earned as to the greater of</w:t>
      </w:r>
    </w:p>
    <w:p>
      <w:pPr>
        <w:spacing w:after="0" w:line="230" w:lineRule="exact"/>
        <w:rPr>
          <w:sz w:val="20"/>
          <w:szCs w:val="20"/>
          <w:color w:val="auto"/>
        </w:rPr>
      </w:pPr>
    </w:p>
    <w:p>
      <w:pPr>
        <w:ind w:left="223" w:hanging="223"/>
        <w:spacing w:after="0"/>
        <w:tabs>
          <w:tab w:leader="none" w:pos="223" w:val="left"/>
        </w:tabs>
        <w:numPr>
          <w:ilvl w:val="0"/>
          <w:numId w:val="63"/>
        </w:numPr>
        <w:rPr>
          <w:rFonts w:ascii="Arial" w:cs="Arial" w:eastAsia="Arial" w:hAnsi="Arial"/>
          <w:sz w:val="20"/>
          <w:szCs w:val="20"/>
          <w:color w:val="191919"/>
        </w:rPr>
      </w:pPr>
      <w:r>
        <w:rPr>
          <w:rFonts w:ascii="Arial" w:cs="Arial" w:eastAsia="Arial" w:hAnsi="Arial"/>
          <w:sz w:val="20"/>
          <w:szCs w:val="20"/>
          <w:color w:val="191919"/>
        </w:rPr>
        <w:t>the target level of shares for such awards, or</w:t>
      </w:r>
    </w:p>
    <w:p>
      <w:pPr>
        <w:ind w:left="3" w:hanging="3"/>
        <w:spacing w:after="0"/>
        <w:tabs>
          <w:tab w:leader="none" w:pos="278" w:val="left"/>
        </w:tabs>
        <w:numPr>
          <w:ilvl w:val="0"/>
          <w:numId w:val="63"/>
        </w:numPr>
        <w:rPr>
          <w:rFonts w:ascii="Arial" w:cs="Arial" w:eastAsia="Arial" w:hAnsi="Arial"/>
          <w:sz w:val="20"/>
          <w:szCs w:val="20"/>
          <w:color w:val="191919"/>
        </w:rPr>
      </w:pPr>
      <w:r>
        <w:rPr>
          <w:rFonts w:ascii="Arial" w:cs="Arial" w:eastAsia="Arial" w:hAnsi="Arial"/>
          <w:sz w:val="20"/>
          <w:szCs w:val="20"/>
          <w:color w:val="191919"/>
        </w:rPr>
        <w:t>the number of shares that would have been earned pursuant to the terms of such awards based upon performance up through and including the day prior to the date of the change in control. In the event that the successor or surviving company does not agree to assume, or to substitute for, such outstanding equity awards on substantially similar terms with substantially equivalent economic benefits as exist for such award immediately prior to the change in control, then such awards would accelerate in full as of the change in control.</w:t>
      </w:r>
    </w:p>
    <w:p>
      <w:pPr>
        <w:spacing w:after="0" w:line="210" w:lineRule="exact"/>
        <w:rPr>
          <w:sz w:val="20"/>
          <w:szCs w:val="20"/>
          <w:color w:val="auto"/>
        </w:rPr>
      </w:pPr>
    </w:p>
    <w:p>
      <w:pPr>
        <w:ind w:left="3"/>
        <w:spacing w:after="0" w:line="252" w:lineRule="auto"/>
        <w:rPr>
          <w:sz w:val="20"/>
          <w:szCs w:val="20"/>
          <w:color w:val="auto"/>
        </w:rPr>
      </w:pPr>
      <w:r>
        <w:rPr>
          <w:rFonts w:ascii="Arial" w:cs="Arial" w:eastAsia="Arial" w:hAnsi="Arial"/>
          <w:sz w:val="19"/>
          <w:szCs w:val="19"/>
          <w:color w:val="191919"/>
        </w:rPr>
        <w:t>Each CIC Agreement also sets out severance benefits outside a change in control that become payable if the executive’s employment is terminated by the Company without cause. The severance benefits provided to the executive under such circumstance would consist of the following:</w:t>
      </w:r>
    </w:p>
    <w:p>
      <w:pPr>
        <w:spacing w:after="0" w:line="1" w:lineRule="exact"/>
        <w:rPr>
          <w:sz w:val="20"/>
          <w:szCs w:val="20"/>
          <w:color w:val="auto"/>
        </w:rPr>
      </w:pPr>
    </w:p>
    <w:p>
      <w:pPr>
        <w:ind w:left="3" w:right="20" w:hanging="3"/>
        <w:spacing w:after="0" w:line="252" w:lineRule="auto"/>
        <w:tabs>
          <w:tab w:leader="none" w:pos="234" w:val="left"/>
        </w:tabs>
        <w:numPr>
          <w:ilvl w:val="0"/>
          <w:numId w:val="64"/>
        </w:numPr>
        <w:rPr>
          <w:rFonts w:ascii="Arial" w:cs="Arial" w:eastAsia="Arial" w:hAnsi="Arial"/>
          <w:sz w:val="19"/>
          <w:szCs w:val="19"/>
          <w:color w:val="191919"/>
        </w:rPr>
      </w:pPr>
      <w:r>
        <w:rPr>
          <w:rFonts w:ascii="Arial" w:cs="Arial" w:eastAsia="Arial" w:hAnsi="Arial"/>
          <w:sz w:val="19"/>
          <w:szCs w:val="19"/>
          <w:color w:val="191919"/>
        </w:rPr>
        <w:t>biweekly compensation continuation payments for a period of twelve (12) months, with each such compensation continuation payment being equal to the aggregate payment amount divided by twenty-six (26), where the aggregate payment is equal to the sum of (x) his or her annual base salary, and</w:t>
      </w:r>
    </w:p>
    <w:p>
      <w:pPr>
        <w:ind w:left="283" w:hanging="283"/>
        <w:spacing w:after="0"/>
        <w:tabs>
          <w:tab w:leader="none" w:pos="283" w:val="left"/>
        </w:tabs>
        <w:numPr>
          <w:ilvl w:val="0"/>
          <w:numId w:val="65"/>
        </w:numPr>
        <w:rPr>
          <w:rFonts w:ascii="Arial" w:cs="Arial" w:eastAsia="Arial" w:hAnsi="Arial"/>
          <w:sz w:val="20"/>
          <w:szCs w:val="20"/>
          <w:color w:val="191919"/>
        </w:rPr>
      </w:pPr>
      <w:r>
        <w:rPr>
          <w:rFonts w:ascii="Arial" w:cs="Arial" w:eastAsia="Arial" w:hAnsi="Arial"/>
          <w:sz w:val="20"/>
          <w:szCs w:val="20"/>
          <w:color w:val="191919"/>
        </w:rPr>
        <w:t>any short-term cash incentive award then due;</w:t>
      </w:r>
    </w:p>
    <w:p>
      <w:pPr>
        <w:ind w:left="3" w:right="60" w:hanging="3"/>
        <w:spacing w:after="0" w:line="243" w:lineRule="auto"/>
        <w:tabs>
          <w:tab w:leader="none" w:pos="278" w:val="left"/>
        </w:tabs>
        <w:numPr>
          <w:ilvl w:val="0"/>
          <w:numId w:val="66"/>
        </w:numPr>
        <w:rPr>
          <w:rFonts w:ascii="Arial" w:cs="Arial" w:eastAsia="Arial" w:hAnsi="Arial"/>
          <w:sz w:val="20"/>
          <w:szCs w:val="20"/>
          <w:color w:val="191919"/>
        </w:rPr>
      </w:pPr>
      <w:r>
        <w:rPr>
          <w:rFonts w:ascii="Arial" w:cs="Arial" w:eastAsia="Arial" w:hAnsi="Arial"/>
          <w:sz w:val="20"/>
          <w:szCs w:val="20"/>
          <w:color w:val="191919"/>
        </w:rPr>
        <w:t>all then-vested outstanding stock options would remain exercisable for a period of twelve (12) months 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-469265</wp:posOffset>
            </wp:positionH>
            <wp:positionV relativeFrom="paragraph">
              <wp:posOffset>424815</wp:posOffset>
            </wp:positionV>
            <wp:extent cx="779780" cy="25717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7978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3283"/>
        <w:spacing w:after="0"/>
        <w:rPr>
          <w:sz w:val="20"/>
          <w:szCs w:val="20"/>
          <w:color w:val="auto"/>
        </w:rPr>
      </w:pP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-3550920</wp:posOffset>
            </wp:positionH>
            <wp:positionV relativeFrom="paragraph">
              <wp:posOffset>177800</wp:posOffset>
            </wp:positionV>
            <wp:extent cx="683196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2">
            <w:col w:w="5140" w:space="437"/>
            <w:col w:w="4483"/>
          </w:cols>
          <w:pgMar w:left="580" w:top="132" w:right="1259" w:bottom="1440" w:gutter="0" w:footer="0" w:header="0"/>
        </w:sectPr>
      </w:pPr>
    </w:p>
    <w:bookmarkStart w:id="55" w:name="page56"/>
    <w:bookmarkEnd w:id="5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78" w:lineRule="exact"/>
        <w:rPr>
          <w:sz w:val="20"/>
          <w:szCs w:val="20"/>
          <w:color w:val="auto"/>
        </w:rPr>
      </w:pPr>
    </w:p>
    <w:p>
      <w:pPr>
        <w:ind w:left="660" w:right="40"/>
        <w:spacing w:after="0" w:line="252" w:lineRule="auto"/>
        <w:rPr>
          <w:sz w:val="20"/>
          <w:szCs w:val="20"/>
          <w:color w:val="auto"/>
        </w:rPr>
      </w:pPr>
      <w:r>
        <w:rPr>
          <w:rFonts w:ascii="Arial" w:cs="Arial" w:eastAsia="Arial" w:hAnsi="Arial"/>
          <w:sz w:val="19"/>
          <w:szCs w:val="19"/>
          <w:color w:val="191919"/>
        </w:rPr>
        <w:t>the termination date (but not beyond the expiration of their respective maximum terms); and</w:t>
      </w:r>
    </w:p>
    <w:p>
      <w:pPr>
        <w:ind w:left="660" w:right="60" w:hanging="6"/>
        <w:spacing w:after="0" w:line="246" w:lineRule="auto"/>
        <w:tabs>
          <w:tab w:leader="none" w:pos="979" w:val="left"/>
        </w:tabs>
        <w:numPr>
          <w:ilvl w:val="0"/>
          <w:numId w:val="67"/>
        </w:numPr>
        <w:rPr>
          <w:rFonts w:ascii="Arial" w:cs="Arial" w:eastAsia="Arial" w:hAnsi="Arial"/>
          <w:sz w:val="20"/>
          <w:szCs w:val="20"/>
          <w:color w:val="191919"/>
        </w:rPr>
      </w:pPr>
      <w:r>
        <w:rPr>
          <w:rFonts w:ascii="Arial" w:cs="Arial" w:eastAsia="Arial" w:hAnsi="Arial"/>
          <w:sz w:val="20"/>
          <w:szCs w:val="20"/>
          <w:color w:val="191919"/>
        </w:rPr>
        <w:t>COBRA continuation coverage for up to twelve (12) months after the termination date.</w:t>
      </w:r>
    </w:p>
    <w:p>
      <w:pPr>
        <w:spacing w:after="0" w:line="204" w:lineRule="exact"/>
        <w:rPr>
          <w:sz w:val="20"/>
          <w:szCs w:val="20"/>
          <w:color w:val="auto"/>
        </w:rPr>
      </w:pPr>
    </w:p>
    <w:p>
      <w:pPr>
        <w:ind w:left="660" w:right="20"/>
        <w:spacing w:after="0" w:line="252" w:lineRule="auto"/>
        <w:rPr>
          <w:sz w:val="20"/>
          <w:szCs w:val="20"/>
          <w:color w:val="auto"/>
        </w:rPr>
      </w:pPr>
      <w:r>
        <w:rPr>
          <w:rFonts w:ascii="Arial" w:cs="Arial" w:eastAsia="Arial" w:hAnsi="Arial"/>
          <w:sz w:val="19"/>
          <w:szCs w:val="19"/>
          <w:color w:val="191919"/>
        </w:rPr>
        <w:t>In the event of the executive’s death or permanent disability (within the meaning of Section 22(e)(3) of the IRC), each CIC Agreement provides for full acceleration of the vesting of all then-outstanding equity awards subject to time-based vesting (including stock options, restricted stock awards, RSU awards, and all performance-based equity awards where the performance period has ended and the shares are earned but unissued). Each CIC Agreement also provides that for a performance-based equity award where the executive’s death or permanent disability occurs prior to the end of the performance period, such award would be deemed earned as to the greater of (i) the target level of shares for such award, or</w:t>
      </w:r>
    </w:p>
    <w:p>
      <w:pPr>
        <w:spacing w:after="0" w:line="1" w:lineRule="exact"/>
        <w:rPr>
          <w:sz w:val="20"/>
          <w:szCs w:val="20"/>
          <w:color w:val="auto"/>
        </w:rPr>
      </w:pPr>
    </w:p>
    <w:p>
      <w:pPr>
        <w:ind w:left="660" w:right="60" w:hanging="6"/>
        <w:spacing w:after="0"/>
        <w:tabs>
          <w:tab w:leader="none" w:pos="935" w:val="left"/>
        </w:tabs>
        <w:numPr>
          <w:ilvl w:val="0"/>
          <w:numId w:val="68"/>
        </w:numPr>
        <w:rPr>
          <w:rFonts w:ascii="Arial" w:cs="Arial" w:eastAsia="Arial" w:hAnsi="Arial"/>
          <w:sz w:val="20"/>
          <w:szCs w:val="20"/>
          <w:color w:val="191919"/>
        </w:rPr>
      </w:pPr>
      <w:r>
        <w:rPr>
          <w:rFonts w:ascii="Arial" w:cs="Arial" w:eastAsia="Arial" w:hAnsi="Arial"/>
          <w:sz w:val="20"/>
          <w:szCs w:val="20"/>
          <w:color w:val="191919"/>
        </w:rPr>
        <w:t>the number of shares that would have been earned pursuant to the terms of such award had the executive remained employed through the end of the performance period, and such earned shares would become vested and issuable to the executive after the performance period ends. In addition, all outstanding stock options would remain exercisable for a period of twelve (12) months following the termination of employment (but not beyond the expiration of their respective maximum terms).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20"/>
          <w:szCs w:val="20"/>
          <w:color w:val="191919"/>
        </w:rPr>
        <w:t>Each CIC Agreement is intended to be exempt from or compliant with Section 409A of the IRC and has an initial two (2) year term, and thereafter renews automatically on an annual basis for up to five (5) additional years unless either the Company or the executive timely provides a notice of non-renewal to the other prior to the end of the then-current term. The payments due to each executive under his or her CIC Agreement are subject to potential reduction in the event that such payments would otherwise become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 w:right="660"/>
        <w:spacing w:after="0" w:line="255" w:lineRule="auto"/>
        <w:rPr>
          <w:sz w:val="20"/>
          <w:szCs w:val="20"/>
          <w:color w:val="auto"/>
        </w:rPr>
      </w:pPr>
      <w:r>
        <w:rPr>
          <w:rFonts w:ascii="Arial" w:cs="Arial" w:eastAsia="Arial" w:hAnsi="Arial"/>
          <w:sz w:val="20"/>
          <w:szCs w:val="20"/>
          <w:color w:val="191919"/>
        </w:rPr>
        <w:t>subject to excise tax incurred under Section 4999 of the IRC, if such reduction would result in the executive retaining a larger amount, on an after-tax basis, than if he or she had received all of the payments due.</w:t>
      </w:r>
    </w:p>
    <w:p>
      <w:pPr>
        <w:spacing w:after="0" w:line="209" w:lineRule="exact"/>
        <w:rPr>
          <w:sz w:val="20"/>
          <w:szCs w:val="20"/>
          <w:color w:val="auto"/>
        </w:rPr>
      </w:pPr>
    </w:p>
    <w:p>
      <w:pPr>
        <w:ind w:left="3" w:right="700"/>
        <w:spacing w:after="0" w:line="254" w:lineRule="auto"/>
        <w:rPr>
          <w:sz w:val="20"/>
          <w:szCs w:val="20"/>
          <w:color w:val="auto"/>
        </w:rPr>
      </w:pPr>
      <w:r>
        <w:rPr>
          <w:rFonts w:ascii="Arial" w:cs="Arial" w:eastAsia="Arial" w:hAnsi="Arial"/>
          <w:sz w:val="20"/>
          <w:szCs w:val="20"/>
          <w:color w:val="191919"/>
        </w:rPr>
        <w:t>Additionally, each CIC Agreement requires that the executive sign a release of claims in favor of the Company before he or she is eligible to receive any benefits under the agreement. Each CIC Agreement also contains non-solicitation provisions applicable to the executive while he or she is employed by the Company and for a period of twelve (12) months following the termination of his or her employment.</w:t>
      </w:r>
    </w:p>
    <w:p>
      <w:pPr>
        <w:spacing w:after="0" w:line="212" w:lineRule="exact"/>
        <w:rPr>
          <w:sz w:val="20"/>
          <w:szCs w:val="20"/>
          <w:color w:val="auto"/>
        </w:rPr>
      </w:pPr>
    </w:p>
    <w:p>
      <w:pPr>
        <w:ind w:left="3" w:right="680"/>
        <w:spacing w:after="0" w:line="266" w:lineRule="auto"/>
        <w:rPr>
          <w:sz w:val="20"/>
          <w:szCs w:val="20"/>
          <w:color w:val="auto"/>
        </w:rPr>
      </w:pPr>
      <w:r>
        <w:rPr>
          <w:rFonts w:ascii="Arial" w:cs="Arial" w:eastAsia="Arial" w:hAnsi="Arial"/>
          <w:sz w:val="19"/>
          <w:szCs w:val="19"/>
          <w:color w:val="191919"/>
        </w:rPr>
        <w:t>The terms “change in control,” “cause,” and “good reason” are each defined in the CIC Agreements. Change in control means, in summary: (i) the acquisition by a person or a group of 40% or more of the outstanding stock of the Company; (ii) a change, without approval by the Board, of a majority of the Board of the Company; (iii) the acquisition of the Company by means of a reorganization, merger, consolidation, or asset sale; or (iv) stockholder approval of a liquidation or dissolution of the Company. Cause means, in summary: (i) deliberate dishonesty that is significantly detrimental to the best interests of the Company; (ii) conduct constituting an act of moral turpitude; (iii) willful disloyalty or insubordination; or</w:t>
      </w:r>
    </w:p>
    <w:p>
      <w:pPr>
        <w:spacing w:after="0" w:line="13" w:lineRule="exact"/>
        <w:rPr>
          <w:sz w:val="20"/>
          <w:szCs w:val="20"/>
          <w:color w:val="auto"/>
        </w:rPr>
      </w:pPr>
    </w:p>
    <w:p>
      <w:pPr>
        <w:ind w:left="3" w:right="740" w:hanging="3"/>
        <w:spacing w:after="0" w:line="254" w:lineRule="auto"/>
        <w:tabs>
          <w:tab w:leader="none" w:pos="332" w:val="left"/>
        </w:tabs>
        <w:numPr>
          <w:ilvl w:val="0"/>
          <w:numId w:val="69"/>
        </w:numPr>
        <w:rPr>
          <w:rFonts w:ascii="Arial" w:cs="Arial" w:eastAsia="Arial" w:hAnsi="Arial"/>
          <w:sz w:val="20"/>
          <w:szCs w:val="20"/>
          <w:color w:val="191919"/>
        </w:rPr>
      </w:pPr>
      <w:r>
        <w:rPr>
          <w:rFonts w:ascii="Arial" w:cs="Arial" w:eastAsia="Arial" w:hAnsi="Arial"/>
          <w:sz w:val="20"/>
          <w:szCs w:val="20"/>
          <w:color w:val="191919"/>
        </w:rPr>
        <w:t>incompetent performance or substantial or continuing inattention to or neglect of duties. Good reason means, in summary: (i) a material diminution in the executive’s base compensation, authority, duties, or responsibilities; (ii) a material diminution in the authority, duties, or responsibilities of the executive’s supervisor; (iii) a material change in the executive’s office location; or (iv) any action or inaction constituting a material breach by the Company of the terms of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-460375</wp:posOffset>
            </wp:positionH>
            <wp:positionV relativeFrom="paragraph">
              <wp:posOffset>685165</wp:posOffset>
            </wp:positionV>
            <wp:extent cx="779780" cy="25717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79780" cy="2571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20" w:space="457"/>
            <w:col w:w="5143"/>
          </w:cols>
          <w:pgMar w:left="580" w:top="132" w:right="5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860" w:type="dxa"/>
            <w:vAlign w:val="bottom"/>
          </w:tcPr>
          <w:p>
            <w:pPr>
              <w:ind w:left="660"/>
              <w:spacing w:after="0"/>
              <w:rPr>
                <w:sz w:val="20"/>
                <w:szCs w:val="20"/>
                <w:color w:val="auto"/>
              </w:rPr>
            </w:pPr>
            <w:r>
              <w:rPr>
                <w:rFonts w:ascii="Arial" w:cs="Arial" w:eastAsia="Arial" w:hAnsi="Arial"/>
                <w:sz w:val="16"/>
                <w:szCs w:val="16"/>
                <w:color w:val="auto"/>
              </w:rPr>
              <w:t>Proxy Statement</w:t>
            </w:r>
          </w:p>
        </w:tc>
        <w:tc>
          <w:tcPr>
            <w:tcW w:w="4860" w:type="dxa"/>
            <w:vAlign w:val="bottom"/>
          </w:tcPr>
          <w:p>
            <w:pPr>
              <w:jc w:val="right"/>
              <w:ind w:right="579"/>
              <w:spacing w:after="0"/>
              <w:rPr>
                <w:sz w:val="20"/>
                <w:szCs w:val="20"/>
                <w:color w:val="auto"/>
              </w:rPr>
            </w:pPr>
            <w:r>
              <w:rPr>
                <w:rFonts w:ascii="Arial" w:cs="Arial" w:eastAsia="Arial" w:hAnsi="Arial"/>
                <w:sz w:val="16"/>
                <w:szCs w:val="16"/>
                <w:color w:val="auto"/>
              </w:rPr>
              <w:t>51</w:t>
            </w:r>
          </w:p>
        </w:tc>
      </w:tr>
      <w:tr>
        <w:trPr>
          <w:trHeight w:val="297"/>
        </w:trPr>
        <w:tc>
          <w:tcPr>
            <w:tcW w:w="5860" w:type="dxa"/>
            <w:vAlign w:val="bottom"/>
            <w:tcBorders>
              <w:bottom w:val="single" w:sz="8" w:color="9A9A9A"/>
            </w:tcBorders>
          </w:tcPr>
          <w:p>
            <w:pPr>
              <w:spacing w:after="0"/>
              <w:rPr>
                <w:sz w:val="24"/>
                <w:szCs w:val="24"/>
                <w:color w:val="auto"/>
              </w:rPr>
            </w:pPr>
          </w:p>
        </w:tc>
        <w:tc>
          <w:tcPr>
            <w:tcW w:w="4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type w:val="continuous"/>
        </w:sectPr>
      </w:pPr>
    </w:p>
    <w:bookmarkStart w:id="56" w:name="page57"/>
    <w:bookmarkEnd w:id="5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399" w:lineRule="exact"/>
        <w:rPr>
          <w:sz w:val="20"/>
          <w:szCs w:val="20"/>
          <w:color w:val="auto"/>
        </w:rPr>
      </w:pPr>
    </w:p>
    <w:p>
      <w:pPr>
        <w:ind w:left="660" w:right="320"/>
        <w:spacing w:after="0" w:line="246" w:lineRule="auto"/>
        <w:rPr>
          <w:sz w:val="20"/>
          <w:szCs w:val="20"/>
          <w:color w:val="auto"/>
        </w:rPr>
      </w:pPr>
      <w:r>
        <w:rPr>
          <w:rFonts w:ascii="Arial" w:cs="Arial" w:eastAsia="Arial" w:hAnsi="Arial"/>
          <w:sz w:val="20"/>
          <w:szCs w:val="20"/>
          <w:color w:val="191919"/>
        </w:rPr>
        <w:t>The following table summarizes the payments and benefits that would be made to the Named Executive Officers as of October 1, 2021, in the following circumstances as of such date:</w:t>
      </w:r>
    </w:p>
    <w:p>
      <w:pPr>
        <w:spacing w:after="0" w:line="204" w:lineRule="exact"/>
        <w:rPr>
          <w:sz w:val="20"/>
          <w:szCs w:val="20"/>
          <w:color w:val="auto"/>
        </w:rPr>
      </w:pPr>
    </w:p>
    <w:p>
      <w:pPr>
        <w:ind w:left="840" w:hanging="186"/>
        <w:spacing w:after="0"/>
        <w:tabs>
          <w:tab w:leader="none" w:pos="840" w:val="left"/>
        </w:tabs>
        <w:numPr>
          <w:ilvl w:val="0"/>
          <w:numId w:val="70"/>
        </w:numPr>
        <w:rPr>
          <w:rFonts w:ascii="Arial" w:cs="Arial" w:eastAsia="Arial" w:hAnsi="Arial"/>
          <w:sz w:val="20"/>
          <w:szCs w:val="20"/>
          <w:color w:val="auto"/>
        </w:rPr>
      </w:pPr>
      <w:r>
        <w:rPr>
          <w:rFonts w:ascii="Arial" w:cs="Arial" w:eastAsia="Arial" w:hAnsi="Arial"/>
          <w:sz w:val="20"/>
          <w:szCs w:val="20"/>
          <w:color w:val="auto"/>
        </w:rPr>
        <w:t>termination without cause outside of a change in control;</w:t>
      </w:r>
    </w:p>
    <w:p>
      <w:pPr>
        <w:spacing w:after="0" w:line="13" w:lineRule="exact"/>
        <w:rPr>
          <w:rFonts w:ascii="Arial" w:cs="Arial" w:eastAsia="Arial" w:hAnsi="Arial"/>
          <w:sz w:val="20"/>
          <w:szCs w:val="20"/>
          <w:color w:val="auto"/>
        </w:rPr>
      </w:pPr>
    </w:p>
    <w:p>
      <w:pPr>
        <w:ind w:left="840" w:hanging="186"/>
        <w:spacing w:after="0"/>
        <w:tabs>
          <w:tab w:leader="none" w:pos="840" w:val="left"/>
        </w:tabs>
        <w:numPr>
          <w:ilvl w:val="0"/>
          <w:numId w:val="70"/>
        </w:numPr>
        <w:rPr>
          <w:rFonts w:ascii="Arial" w:cs="Arial" w:eastAsia="Arial" w:hAnsi="Arial"/>
          <w:sz w:val="20"/>
          <w:szCs w:val="20"/>
          <w:color w:val="auto"/>
        </w:rPr>
      </w:pPr>
      <w:r>
        <w:rPr>
          <w:rFonts w:ascii="Arial" w:cs="Arial" w:eastAsia="Arial" w:hAnsi="Arial"/>
          <w:sz w:val="20"/>
          <w:szCs w:val="20"/>
          <w:color w:val="auto"/>
        </w:rPr>
        <w:t>termination without cause or for good reason in connection with a change in control; and</w:t>
      </w:r>
    </w:p>
    <w:p>
      <w:pPr>
        <w:spacing w:after="0" w:line="13" w:lineRule="exact"/>
        <w:rPr>
          <w:rFonts w:ascii="Arial" w:cs="Arial" w:eastAsia="Arial" w:hAnsi="Arial"/>
          <w:sz w:val="20"/>
          <w:szCs w:val="20"/>
          <w:color w:val="auto"/>
        </w:rPr>
      </w:pPr>
    </w:p>
    <w:p>
      <w:pPr>
        <w:ind w:left="840" w:hanging="186"/>
        <w:spacing w:after="0"/>
        <w:tabs>
          <w:tab w:leader="none" w:pos="840" w:val="left"/>
        </w:tabs>
        <w:numPr>
          <w:ilvl w:val="0"/>
          <w:numId w:val="70"/>
        </w:numPr>
        <w:rPr>
          <w:rFonts w:ascii="Arial" w:cs="Arial" w:eastAsia="Arial" w:hAnsi="Arial"/>
          <w:sz w:val="20"/>
          <w:szCs w:val="20"/>
          <w:color w:val="auto"/>
        </w:rPr>
      </w:pPr>
      <w:r>
        <w:rPr>
          <w:rFonts w:ascii="Arial" w:cs="Arial" w:eastAsia="Arial" w:hAnsi="Arial"/>
          <w:sz w:val="20"/>
          <w:szCs w:val="20"/>
          <w:color w:val="auto"/>
        </w:rPr>
        <w:t>in the event of a termination of employment because of death or disability.</w:t>
      </w:r>
    </w:p>
    <w:p>
      <w:pPr>
        <w:spacing w:after="0" w:line="216" w:lineRule="exact"/>
        <w:rPr>
          <w:sz w:val="20"/>
          <w:szCs w:val="20"/>
          <w:color w:val="auto"/>
        </w:rPr>
      </w:pPr>
    </w:p>
    <w:p>
      <w:pPr>
        <w:jc w:val="both"/>
        <w:ind w:left="660" w:right="140"/>
        <w:spacing w:after="0" w:line="243" w:lineRule="auto"/>
        <w:rPr>
          <w:sz w:val="20"/>
          <w:szCs w:val="20"/>
          <w:color w:val="auto"/>
        </w:rPr>
      </w:pPr>
      <w:r>
        <w:rPr>
          <w:rFonts w:ascii="Arial" w:cs="Arial" w:eastAsia="Arial" w:hAnsi="Arial"/>
          <w:sz w:val="20"/>
          <w:szCs w:val="20"/>
          <w:color w:val="191919"/>
        </w:rPr>
        <w:t>The accelerated equity values in the table reflect a price of $163.92 per share, which was the closing sale price of the Company’s common stock on the Nasdaq Global Select Market on October 1, 2021. The table does not reflect any equity awards made after October 1, 2021.</w:t>
      </w:r>
    </w:p>
    <w:p>
      <w:pPr>
        <w:spacing w:after="0" w:line="250" w:lineRule="exact"/>
        <w:rPr>
          <w:sz w:val="20"/>
          <w:szCs w:val="20"/>
          <w:color w:val="auto"/>
        </w:rPr>
      </w:pPr>
    </w:p>
    <w:tbl>
      <w:tblPr>
        <w:tblLayout w:type="fixed"/>
        <w:tblInd w:w="660" w:type="dxa"/>
        <w:tblCellMar>
          <w:top w:w="0" w:type="dxa"/>
          <w:left w:w="0" w:type="dxa"/>
          <w:bottom w:w="0" w:type="dxa"/>
          <w:right w:w="0" w:type="dxa"/>
        </w:tblCellMar>
      </w:tblPr>
      <w:tr>
        <w:trPr>
          <w:trHeight w:val="218"/>
        </w:trPr>
        <w:tc>
          <w:tcPr>
            <w:tcW w:w="1640" w:type="dxa"/>
            <w:vAlign w:val="bottom"/>
            <w:shd w:val="clear" w:color="auto" w:fill="0076A8"/>
          </w:tcPr>
          <w:p>
            <w:pPr>
              <w:spacing w:after="0"/>
              <w:rPr>
                <w:sz w:val="18"/>
                <w:szCs w:val="18"/>
                <w:color w:val="auto"/>
              </w:rPr>
            </w:pPr>
          </w:p>
        </w:tc>
        <w:tc>
          <w:tcPr>
            <w:tcW w:w="1800" w:type="dxa"/>
            <w:vAlign w:val="bottom"/>
            <w:shd w:val="clear" w:color="auto" w:fill="0076A8"/>
          </w:tcPr>
          <w:p>
            <w:pPr>
              <w:spacing w:after="0"/>
              <w:rPr>
                <w:sz w:val="18"/>
                <w:szCs w:val="18"/>
                <w:color w:val="auto"/>
              </w:rPr>
            </w:pPr>
          </w:p>
        </w:tc>
        <w:tc>
          <w:tcPr>
            <w:tcW w:w="2000" w:type="dxa"/>
            <w:vAlign w:val="bottom"/>
            <w:shd w:val="clear" w:color="auto" w:fill="0076A8"/>
          </w:tcPr>
          <w:p>
            <w:pPr>
              <w:spacing w:after="0"/>
              <w:rPr>
                <w:sz w:val="18"/>
                <w:szCs w:val="18"/>
                <w:color w:val="auto"/>
              </w:rPr>
            </w:pPr>
          </w:p>
        </w:tc>
        <w:tc>
          <w:tcPr>
            <w:tcW w:w="2160" w:type="dxa"/>
            <w:vAlign w:val="bottom"/>
            <w:shd w:val="clear" w:color="auto" w:fill="0076A8"/>
          </w:tcPr>
          <w:p>
            <w:pPr>
              <w:jc w:val="center"/>
              <w:spacing w:after="0"/>
              <w:rPr>
                <w:sz w:val="20"/>
                <w:szCs w:val="20"/>
                <w:color w:val="auto"/>
              </w:rPr>
            </w:pPr>
            <w:r>
              <w:rPr>
                <w:rFonts w:ascii="Arial" w:cs="Arial" w:eastAsia="Arial" w:hAnsi="Arial"/>
                <w:sz w:val="16"/>
                <w:szCs w:val="16"/>
                <w:color w:val="FFFFFF"/>
              </w:rPr>
              <w:t>Termination w/o Cause</w:t>
            </w:r>
          </w:p>
        </w:tc>
        <w:tc>
          <w:tcPr>
            <w:tcW w:w="1800" w:type="dxa"/>
            <w:vAlign w:val="bottom"/>
            <w:shd w:val="clear" w:color="auto" w:fill="0076A8"/>
          </w:tcPr>
          <w:p>
            <w:pPr>
              <w:spacing w:after="0"/>
              <w:rPr>
                <w:sz w:val="18"/>
                <w:szCs w:val="18"/>
                <w:color w:val="auto"/>
              </w:rPr>
            </w:pPr>
          </w:p>
        </w:tc>
      </w:tr>
      <w:tr>
        <w:trPr>
          <w:trHeight w:val="162"/>
        </w:trPr>
        <w:tc>
          <w:tcPr>
            <w:tcW w:w="1640" w:type="dxa"/>
            <w:vAlign w:val="bottom"/>
            <w:shd w:val="clear" w:color="auto" w:fill="0076A8"/>
          </w:tcPr>
          <w:p>
            <w:pPr>
              <w:spacing w:after="0"/>
              <w:rPr>
                <w:sz w:val="14"/>
                <w:szCs w:val="14"/>
                <w:color w:val="auto"/>
              </w:rPr>
            </w:pPr>
          </w:p>
        </w:tc>
        <w:tc>
          <w:tcPr>
            <w:tcW w:w="1800" w:type="dxa"/>
            <w:vAlign w:val="bottom"/>
            <w:shd w:val="clear" w:color="auto" w:fill="0076A8"/>
          </w:tcPr>
          <w:p>
            <w:pPr>
              <w:spacing w:after="0"/>
              <w:rPr>
                <w:sz w:val="14"/>
                <w:szCs w:val="14"/>
                <w:color w:val="auto"/>
              </w:rPr>
            </w:pPr>
          </w:p>
        </w:tc>
        <w:tc>
          <w:tcPr>
            <w:tcW w:w="2000" w:type="dxa"/>
            <w:vAlign w:val="bottom"/>
            <w:shd w:val="clear" w:color="auto" w:fill="0076A8"/>
          </w:tcPr>
          <w:p>
            <w:pPr>
              <w:jc w:val="center"/>
              <w:spacing w:after="0" w:line="162" w:lineRule="exact"/>
              <w:rPr>
                <w:sz w:val="20"/>
                <w:szCs w:val="20"/>
                <w:color w:val="auto"/>
              </w:rPr>
            </w:pPr>
            <w:r>
              <w:rPr>
                <w:rFonts w:ascii="Arial" w:cs="Arial" w:eastAsia="Arial" w:hAnsi="Arial"/>
                <w:sz w:val="16"/>
                <w:szCs w:val="16"/>
                <w:color w:val="FFFFFF"/>
              </w:rPr>
              <w:t>Termination w/o Cause</w:t>
            </w:r>
          </w:p>
        </w:tc>
        <w:tc>
          <w:tcPr>
            <w:tcW w:w="2160" w:type="dxa"/>
            <w:vAlign w:val="bottom"/>
            <w:shd w:val="clear" w:color="auto" w:fill="0076A8"/>
          </w:tcPr>
          <w:p>
            <w:pPr>
              <w:jc w:val="center"/>
              <w:ind w:right="19"/>
              <w:spacing w:after="0" w:line="162" w:lineRule="exact"/>
              <w:rPr>
                <w:sz w:val="20"/>
                <w:szCs w:val="20"/>
                <w:color w:val="auto"/>
              </w:rPr>
            </w:pPr>
            <w:r>
              <w:rPr>
                <w:rFonts w:ascii="Arial" w:cs="Arial" w:eastAsia="Arial" w:hAnsi="Arial"/>
                <w:sz w:val="16"/>
                <w:szCs w:val="16"/>
                <w:color w:val="FFFFFF"/>
              </w:rPr>
              <w:t>or for Good Reason,</w:t>
            </w:r>
          </w:p>
        </w:tc>
        <w:tc>
          <w:tcPr>
            <w:tcW w:w="1800" w:type="dxa"/>
            <w:vAlign w:val="bottom"/>
            <w:shd w:val="clear" w:color="auto" w:fill="0076A8"/>
          </w:tcPr>
          <w:p>
            <w:pPr>
              <w:spacing w:after="0"/>
              <w:rPr>
                <w:sz w:val="14"/>
                <w:szCs w:val="14"/>
                <w:color w:val="auto"/>
              </w:rPr>
            </w:pPr>
          </w:p>
        </w:tc>
      </w:tr>
      <w:tr>
        <w:trPr>
          <w:trHeight w:val="162"/>
        </w:trPr>
        <w:tc>
          <w:tcPr>
            <w:tcW w:w="1640" w:type="dxa"/>
            <w:vAlign w:val="bottom"/>
            <w:shd w:val="clear" w:color="auto" w:fill="0076A8"/>
          </w:tcPr>
          <w:p>
            <w:pPr>
              <w:spacing w:after="0"/>
              <w:rPr>
                <w:sz w:val="14"/>
                <w:szCs w:val="14"/>
                <w:color w:val="auto"/>
              </w:rPr>
            </w:pPr>
          </w:p>
        </w:tc>
        <w:tc>
          <w:tcPr>
            <w:tcW w:w="1800" w:type="dxa"/>
            <w:vAlign w:val="bottom"/>
            <w:shd w:val="clear" w:color="auto" w:fill="0076A8"/>
          </w:tcPr>
          <w:p>
            <w:pPr>
              <w:spacing w:after="0"/>
              <w:rPr>
                <w:sz w:val="14"/>
                <w:szCs w:val="14"/>
                <w:color w:val="auto"/>
              </w:rPr>
            </w:pPr>
          </w:p>
        </w:tc>
        <w:tc>
          <w:tcPr>
            <w:tcW w:w="2000" w:type="dxa"/>
            <w:vAlign w:val="bottom"/>
            <w:shd w:val="clear" w:color="auto" w:fill="0076A8"/>
          </w:tcPr>
          <w:p>
            <w:pPr>
              <w:jc w:val="center"/>
              <w:ind w:right="19"/>
              <w:spacing w:after="0" w:line="162" w:lineRule="exact"/>
              <w:rPr>
                <w:sz w:val="20"/>
                <w:szCs w:val="20"/>
                <w:color w:val="auto"/>
              </w:rPr>
            </w:pPr>
            <w:r>
              <w:rPr>
                <w:rFonts w:ascii="Arial" w:cs="Arial" w:eastAsia="Arial" w:hAnsi="Arial"/>
                <w:sz w:val="16"/>
                <w:szCs w:val="16"/>
                <w:color w:val="FFFFFF"/>
              </w:rPr>
              <w:t>Outside Change in</w:t>
            </w:r>
          </w:p>
        </w:tc>
        <w:tc>
          <w:tcPr>
            <w:tcW w:w="2160" w:type="dxa"/>
            <w:vAlign w:val="bottom"/>
            <w:shd w:val="clear" w:color="auto" w:fill="0076A8"/>
          </w:tcPr>
          <w:p>
            <w:pPr>
              <w:jc w:val="center"/>
              <w:spacing w:after="0" w:line="162" w:lineRule="exact"/>
              <w:rPr>
                <w:sz w:val="20"/>
                <w:szCs w:val="20"/>
                <w:color w:val="auto"/>
              </w:rPr>
            </w:pPr>
            <w:r>
              <w:rPr>
                <w:rFonts w:ascii="Arial" w:cs="Arial" w:eastAsia="Arial" w:hAnsi="Arial"/>
                <w:sz w:val="16"/>
                <w:szCs w:val="16"/>
                <w:color w:val="FFFFFF"/>
              </w:rPr>
              <w:t>After</w:t>
            </w:r>
          </w:p>
        </w:tc>
        <w:tc>
          <w:tcPr>
            <w:tcW w:w="1800" w:type="dxa"/>
            <w:vAlign w:val="bottom"/>
            <w:shd w:val="clear" w:color="auto" w:fill="0076A8"/>
          </w:tcPr>
          <w:p>
            <w:pPr>
              <w:jc w:val="right"/>
              <w:ind w:right="319"/>
              <w:spacing w:after="0" w:line="162" w:lineRule="exact"/>
              <w:rPr>
                <w:sz w:val="20"/>
                <w:szCs w:val="20"/>
                <w:color w:val="auto"/>
              </w:rPr>
            </w:pPr>
            <w:r>
              <w:rPr>
                <w:rFonts w:ascii="Arial" w:cs="Arial" w:eastAsia="Arial" w:hAnsi="Arial"/>
                <w:sz w:val="16"/>
                <w:szCs w:val="16"/>
                <w:color w:val="FFFFFF"/>
              </w:rPr>
              <w:t>Death/Disability</w:t>
            </w:r>
          </w:p>
        </w:tc>
      </w:tr>
      <w:tr>
        <w:trPr>
          <w:trHeight w:val="201"/>
        </w:trPr>
        <w:tc>
          <w:tcPr>
            <w:tcW w:w="1640" w:type="dxa"/>
            <w:vAlign w:val="bottom"/>
            <w:shd w:val="clear" w:color="auto" w:fill="0076A8"/>
          </w:tcPr>
          <w:p>
            <w:pPr>
              <w:ind w:left="40"/>
              <w:spacing w:after="0"/>
              <w:rPr>
                <w:sz w:val="20"/>
                <w:szCs w:val="20"/>
                <w:color w:val="auto"/>
              </w:rPr>
            </w:pPr>
            <w:r>
              <w:rPr>
                <w:rFonts w:ascii="Arial" w:cs="Arial" w:eastAsia="Arial" w:hAnsi="Arial"/>
                <w:sz w:val="16"/>
                <w:szCs w:val="16"/>
                <w:color w:val="FFFFFF"/>
              </w:rPr>
              <w:t>Name</w:t>
            </w:r>
          </w:p>
        </w:tc>
        <w:tc>
          <w:tcPr>
            <w:tcW w:w="1800" w:type="dxa"/>
            <w:vAlign w:val="bottom"/>
            <w:shd w:val="clear" w:color="auto" w:fill="0076A8"/>
          </w:tcPr>
          <w:p>
            <w:pPr>
              <w:ind w:left="600"/>
              <w:spacing w:after="0"/>
              <w:rPr>
                <w:sz w:val="20"/>
                <w:szCs w:val="20"/>
                <w:color w:val="auto"/>
              </w:rPr>
            </w:pPr>
            <w:r>
              <w:rPr>
                <w:rFonts w:ascii="Arial" w:cs="Arial" w:eastAsia="Arial" w:hAnsi="Arial"/>
                <w:sz w:val="16"/>
                <w:szCs w:val="16"/>
                <w:color w:val="FFFFFF"/>
              </w:rPr>
              <w:t>Benefit</w:t>
            </w:r>
          </w:p>
        </w:tc>
        <w:tc>
          <w:tcPr>
            <w:tcW w:w="2000" w:type="dxa"/>
            <w:vAlign w:val="bottom"/>
            <w:shd w:val="clear" w:color="auto" w:fill="0076A8"/>
          </w:tcPr>
          <w:p>
            <w:pPr>
              <w:jc w:val="center"/>
              <w:spacing w:after="0"/>
              <w:rPr>
                <w:sz w:val="20"/>
                <w:szCs w:val="20"/>
                <w:color w:val="auto"/>
              </w:rPr>
            </w:pPr>
            <w:r>
              <w:rPr>
                <w:rFonts w:ascii="Arial" w:cs="Arial" w:eastAsia="Arial" w:hAnsi="Arial"/>
                <w:sz w:val="16"/>
                <w:szCs w:val="16"/>
                <w:color w:val="FFFFFF"/>
              </w:rPr>
              <w:t>Control ($)(1)</w:t>
            </w:r>
          </w:p>
        </w:tc>
        <w:tc>
          <w:tcPr>
            <w:tcW w:w="2160" w:type="dxa"/>
            <w:vAlign w:val="bottom"/>
            <w:shd w:val="clear" w:color="auto" w:fill="0076A8"/>
          </w:tcPr>
          <w:p>
            <w:pPr>
              <w:jc w:val="center"/>
              <w:spacing w:after="0"/>
              <w:rPr>
                <w:sz w:val="20"/>
                <w:szCs w:val="20"/>
                <w:color w:val="auto"/>
              </w:rPr>
            </w:pPr>
            <w:r>
              <w:rPr>
                <w:rFonts w:ascii="Arial" w:cs="Arial" w:eastAsia="Arial" w:hAnsi="Arial"/>
                <w:sz w:val="16"/>
                <w:szCs w:val="16"/>
                <w:color w:val="FFFFFF"/>
              </w:rPr>
              <w:t>Change in Control ($)</w:t>
            </w:r>
          </w:p>
        </w:tc>
        <w:tc>
          <w:tcPr>
            <w:tcW w:w="1800" w:type="dxa"/>
            <w:vAlign w:val="bottom"/>
            <w:shd w:val="clear" w:color="auto" w:fill="0076A8"/>
          </w:tcPr>
          <w:p>
            <w:pPr>
              <w:jc w:val="right"/>
              <w:ind w:right="759"/>
              <w:spacing w:after="0"/>
              <w:rPr>
                <w:sz w:val="20"/>
                <w:szCs w:val="20"/>
                <w:color w:val="auto"/>
              </w:rPr>
            </w:pPr>
            <w:r>
              <w:rPr>
                <w:rFonts w:ascii="Arial" w:cs="Arial" w:eastAsia="Arial" w:hAnsi="Arial"/>
                <w:sz w:val="16"/>
                <w:szCs w:val="16"/>
                <w:color w:val="FFFFFF"/>
              </w:rPr>
              <w:t>($)</w:t>
            </w:r>
          </w:p>
        </w:tc>
      </w:tr>
      <w:tr>
        <w:trPr>
          <w:trHeight w:val="177"/>
        </w:trPr>
        <w:tc>
          <w:tcPr>
            <w:tcW w:w="1640" w:type="dxa"/>
            <w:vAlign w:val="bottom"/>
            <w:shd w:val="clear" w:color="auto" w:fill="E5E5E5"/>
          </w:tcPr>
          <w:p>
            <w:pPr>
              <w:ind w:left="40"/>
              <w:spacing w:after="0" w:line="178" w:lineRule="exact"/>
              <w:rPr>
                <w:sz w:val="20"/>
                <w:szCs w:val="20"/>
                <w:color w:val="auto"/>
              </w:rPr>
            </w:pPr>
            <w:r>
              <w:rPr>
                <w:rFonts w:ascii="Arial" w:cs="Arial" w:eastAsia="Arial" w:hAnsi="Arial"/>
                <w:sz w:val="16"/>
                <w:szCs w:val="16"/>
                <w:color w:val="auto"/>
              </w:rPr>
              <w:t>Liam K. Griffin</w:t>
            </w:r>
            <w:r>
              <w:rPr>
                <w:rFonts w:ascii="Arial" w:cs="Arial" w:eastAsia="Arial" w:hAnsi="Arial"/>
                <w:sz w:val="16"/>
                <w:szCs w:val="16"/>
                <w:color w:val="0076A8"/>
              </w:rPr>
              <w:t>(2)</w:t>
            </w:r>
          </w:p>
        </w:tc>
        <w:tc>
          <w:tcPr>
            <w:tcW w:w="1800" w:type="dxa"/>
            <w:vAlign w:val="bottom"/>
            <w:shd w:val="clear" w:color="auto" w:fill="E5E5E5"/>
          </w:tcPr>
          <w:p>
            <w:pPr>
              <w:ind w:left="20"/>
              <w:spacing w:after="0" w:line="178" w:lineRule="exact"/>
              <w:rPr>
                <w:sz w:val="20"/>
                <w:szCs w:val="20"/>
                <w:color w:val="auto"/>
              </w:rPr>
            </w:pPr>
            <w:r>
              <w:rPr>
                <w:rFonts w:ascii="Arial" w:cs="Arial" w:eastAsia="Arial" w:hAnsi="Arial"/>
                <w:sz w:val="16"/>
                <w:szCs w:val="16"/>
                <w:color w:val="auto"/>
              </w:rPr>
              <w:t>Salary and Short-Term</w:t>
            </w:r>
          </w:p>
        </w:tc>
        <w:tc>
          <w:tcPr>
            <w:tcW w:w="2000" w:type="dxa"/>
            <w:vAlign w:val="bottom"/>
            <w:shd w:val="clear" w:color="auto" w:fill="E5E5E5"/>
          </w:tcPr>
          <w:p>
            <w:pPr>
              <w:jc w:val="right"/>
              <w:ind w:right="439"/>
              <w:spacing w:after="0" w:line="178" w:lineRule="exact"/>
              <w:rPr>
                <w:sz w:val="20"/>
                <w:szCs w:val="20"/>
                <w:color w:val="auto"/>
              </w:rPr>
            </w:pPr>
            <w:r>
              <w:rPr>
                <w:rFonts w:ascii="Arial" w:cs="Arial" w:eastAsia="Arial" w:hAnsi="Arial"/>
                <w:sz w:val="16"/>
                <w:szCs w:val="16"/>
                <w:color w:val="auto"/>
              </w:rPr>
              <w:t>5,875,814</w:t>
            </w:r>
            <w:r>
              <w:rPr>
                <w:rFonts w:ascii="Arial" w:cs="Arial" w:eastAsia="Arial" w:hAnsi="Arial"/>
                <w:sz w:val="16"/>
                <w:szCs w:val="16"/>
                <w:color w:val="0076A8"/>
              </w:rPr>
              <w:t>(3)</w:t>
            </w:r>
          </w:p>
        </w:tc>
        <w:tc>
          <w:tcPr>
            <w:tcW w:w="2160" w:type="dxa"/>
            <w:vAlign w:val="bottom"/>
            <w:shd w:val="clear" w:color="auto" w:fill="E5E5E5"/>
          </w:tcPr>
          <w:p>
            <w:pPr>
              <w:jc w:val="right"/>
              <w:ind w:right="519"/>
              <w:spacing w:after="0" w:line="178" w:lineRule="exact"/>
              <w:rPr>
                <w:sz w:val="20"/>
                <w:szCs w:val="20"/>
                <w:color w:val="auto"/>
              </w:rPr>
            </w:pPr>
            <w:r>
              <w:rPr>
                <w:rFonts w:ascii="Arial" w:cs="Arial" w:eastAsia="Arial" w:hAnsi="Arial"/>
                <w:sz w:val="16"/>
                <w:szCs w:val="16"/>
                <w:color w:val="auto"/>
              </w:rPr>
              <w:t>7,344,767</w:t>
            </w:r>
            <w:r>
              <w:rPr>
                <w:rFonts w:ascii="Arial" w:cs="Arial" w:eastAsia="Arial" w:hAnsi="Arial"/>
                <w:sz w:val="16"/>
                <w:szCs w:val="16"/>
                <w:color w:val="0076A8"/>
              </w:rPr>
              <w:t>(4)</w:t>
            </w:r>
          </w:p>
        </w:tc>
        <w:tc>
          <w:tcPr>
            <w:tcW w:w="1800" w:type="dxa"/>
            <w:vAlign w:val="bottom"/>
            <w:shd w:val="clear" w:color="auto" w:fill="E5E5E5"/>
          </w:tcPr>
          <w:p>
            <w:pPr>
              <w:jc w:val="right"/>
              <w:ind w:right="439"/>
              <w:spacing w:after="0" w:line="178" w:lineRule="exact"/>
              <w:rPr>
                <w:sz w:val="20"/>
                <w:szCs w:val="20"/>
                <w:color w:val="auto"/>
              </w:rPr>
            </w:pPr>
            <w:r>
              <w:rPr>
                <w:rFonts w:ascii="Arial" w:cs="Arial" w:eastAsia="Arial" w:hAnsi="Arial"/>
                <w:sz w:val="16"/>
                <w:szCs w:val="16"/>
                <w:color w:val="auto"/>
              </w:rPr>
              <w:t>—</w:t>
            </w:r>
          </w:p>
        </w:tc>
      </w:tr>
      <w:tr>
        <w:trPr>
          <w:trHeight w:val="195"/>
        </w:trPr>
        <w:tc>
          <w:tcPr>
            <w:tcW w:w="1640" w:type="dxa"/>
            <w:vAlign w:val="bottom"/>
            <w:shd w:val="clear" w:color="auto" w:fill="E5E5E5"/>
          </w:tcPr>
          <w:p>
            <w:pPr>
              <w:spacing w:after="0"/>
              <w:rPr>
                <w:sz w:val="16"/>
                <w:szCs w:val="16"/>
                <w:color w:val="auto"/>
              </w:rPr>
            </w:pPr>
          </w:p>
        </w:tc>
        <w:tc>
          <w:tcPr>
            <w:tcW w:w="1800" w:type="dxa"/>
            <w:vAlign w:val="bottom"/>
            <w:shd w:val="clear" w:color="auto" w:fill="E5E5E5"/>
          </w:tcPr>
          <w:p>
            <w:pPr>
              <w:ind w:left="20"/>
              <w:spacing w:after="0"/>
              <w:rPr>
                <w:sz w:val="20"/>
                <w:szCs w:val="20"/>
                <w:color w:val="auto"/>
              </w:rPr>
            </w:pPr>
            <w:r>
              <w:rPr>
                <w:rFonts w:ascii="Arial" w:cs="Arial" w:eastAsia="Arial" w:hAnsi="Arial"/>
                <w:sz w:val="16"/>
                <w:szCs w:val="16"/>
                <w:color w:val="auto"/>
              </w:rPr>
              <w:t>Incentive</w:t>
            </w:r>
          </w:p>
        </w:tc>
        <w:tc>
          <w:tcPr>
            <w:tcW w:w="2000" w:type="dxa"/>
            <w:vAlign w:val="bottom"/>
            <w:shd w:val="clear" w:color="auto" w:fill="E5E5E5"/>
          </w:tcPr>
          <w:p>
            <w:pPr>
              <w:spacing w:after="0"/>
              <w:rPr>
                <w:sz w:val="16"/>
                <w:szCs w:val="16"/>
                <w:color w:val="auto"/>
              </w:rPr>
            </w:pPr>
          </w:p>
        </w:tc>
        <w:tc>
          <w:tcPr>
            <w:tcW w:w="2160" w:type="dxa"/>
            <w:vAlign w:val="bottom"/>
            <w:shd w:val="clear" w:color="auto" w:fill="E5E5E5"/>
          </w:tcPr>
          <w:p>
            <w:pPr>
              <w:spacing w:after="0"/>
              <w:rPr>
                <w:sz w:val="16"/>
                <w:szCs w:val="16"/>
                <w:color w:val="auto"/>
              </w:rPr>
            </w:pPr>
          </w:p>
        </w:tc>
        <w:tc>
          <w:tcPr>
            <w:tcW w:w="1800" w:type="dxa"/>
            <w:vAlign w:val="bottom"/>
            <w:shd w:val="clear" w:color="auto" w:fill="E5E5E5"/>
          </w:tcPr>
          <w:p>
            <w:pPr>
              <w:spacing w:after="0"/>
              <w:rPr>
                <w:sz w:val="16"/>
                <w:szCs w:val="16"/>
                <w:color w:val="auto"/>
              </w:rPr>
            </w:pPr>
          </w:p>
        </w:tc>
      </w:tr>
      <w:tr>
        <w:trPr>
          <w:trHeight w:val="216"/>
        </w:trPr>
        <w:tc>
          <w:tcPr>
            <w:tcW w:w="1640" w:type="dxa"/>
            <w:vAlign w:val="bottom"/>
            <w:shd w:val="clear" w:color="auto" w:fill="E5E5E5"/>
          </w:tcPr>
          <w:p>
            <w:pPr>
              <w:spacing w:after="0"/>
              <w:rPr>
                <w:sz w:val="18"/>
                <w:szCs w:val="18"/>
                <w:color w:val="auto"/>
              </w:rPr>
            </w:pPr>
          </w:p>
        </w:tc>
        <w:tc>
          <w:tcPr>
            <w:tcW w:w="1800" w:type="dxa"/>
            <w:vAlign w:val="bottom"/>
            <w:shd w:val="clear" w:color="auto" w:fill="E5E5E5"/>
          </w:tcPr>
          <w:p>
            <w:pPr>
              <w:ind w:left="20"/>
              <w:spacing w:after="0"/>
              <w:rPr>
                <w:sz w:val="20"/>
                <w:szCs w:val="20"/>
                <w:color w:val="auto"/>
              </w:rPr>
            </w:pPr>
            <w:r>
              <w:rPr>
                <w:rFonts w:ascii="Arial" w:cs="Arial" w:eastAsia="Arial" w:hAnsi="Arial"/>
                <w:sz w:val="16"/>
                <w:szCs w:val="16"/>
                <w:color w:val="auto"/>
              </w:rPr>
              <w:t>Accelerated RSUs</w:t>
            </w:r>
          </w:p>
        </w:tc>
        <w:tc>
          <w:tcPr>
            <w:tcW w:w="2000" w:type="dxa"/>
            <w:vAlign w:val="bottom"/>
            <w:shd w:val="clear" w:color="auto" w:fill="E5E5E5"/>
          </w:tcPr>
          <w:p>
            <w:pPr>
              <w:jc w:val="right"/>
              <w:ind w:right="639"/>
              <w:spacing w:after="0"/>
              <w:rPr>
                <w:sz w:val="20"/>
                <w:szCs w:val="20"/>
                <w:color w:val="auto"/>
              </w:rPr>
            </w:pPr>
            <w:r>
              <w:rPr>
                <w:rFonts w:ascii="Arial" w:cs="Arial" w:eastAsia="Arial" w:hAnsi="Arial"/>
                <w:sz w:val="16"/>
                <w:szCs w:val="16"/>
                <w:color w:val="auto"/>
              </w:rPr>
              <w:t>14,976,387</w:t>
            </w:r>
          </w:p>
        </w:tc>
        <w:tc>
          <w:tcPr>
            <w:tcW w:w="2160" w:type="dxa"/>
            <w:vAlign w:val="bottom"/>
            <w:shd w:val="clear" w:color="auto" w:fill="E5E5E5"/>
          </w:tcPr>
          <w:p>
            <w:pPr>
              <w:jc w:val="right"/>
              <w:ind w:right="719"/>
              <w:spacing w:after="0"/>
              <w:rPr>
                <w:sz w:val="20"/>
                <w:szCs w:val="20"/>
                <w:color w:val="auto"/>
              </w:rPr>
            </w:pPr>
            <w:r>
              <w:rPr>
                <w:rFonts w:ascii="Arial" w:cs="Arial" w:eastAsia="Arial" w:hAnsi="Arial"/>
                <w:sz w:val="16"/>
                <w:szCs w:val="16"/>
                <w:color w:val="auto"/>
              </w:rPr>
              <w:t>14,976,387</w:t>
            </w:r>
          </w:p>
        </w:tc>
        <w:tc>
          <w:tcPr>
            <w:tcW w:w="1800" w:type="dxa"/>
            <w:vAlign w:val="bottom"/>
            <w:shd w:val="clear" w:color="auto" w:fill="E5E5E5"/>
          </w:tcPr>
          <w:p>
            <w:pPr>
              <w:jc w:val="right"/>
              <w:ind w:right="439"/>
              <w:spacing w:after="0"/>
              <w:rPr>
                <w:sz w:val="20"/>
                <w:szCs w:val="20"/>
                <w:color w:val="auto"/>
              </w:rPr>
            </w:pPr>
            <w:r>
              <w:rPr>
                <w:rFonts w:ascii="Arial" w:cs="Arial" w:eastAsia="Arial" w:hAnsi="Arial"/>
                <w:sz w:val="16"/>
                <w:szCs w:val="16"/>
                <w:color w:val="auto"/>
              </w:rPr>
              <w:t>14,976,387</w:t>
            </w:r>
          </w:p>
        </w:tc>
      </w:tr>
      <w:tr>
        <w:trPr>
          <w:trHeight w:val="216"/>
        </w:trPr>
        <w:tc>
          <w:tcPr>
            <w:tcW w:w="1640" w:type="dxa"/>
            <w:vAlign w:val="bottom"/>
            <w:shd w:val="clear" w:color="auto" w:fill="E5E5E5"/>
          </w:tcPr>
          <w:p>
            <w:pPr>
              <w:spacing w:after="0"/>
              <w:rPr>
                <w:sz w:val="18"/>
                <w:szCs w:val="18"/>
                <w:color w:val="auto"/>
              </w:rPr>
            </w:pPr>
          </w:p>
        </w:tc>
        <w:tc>
          <w:tcPr>
            <w:tcW w:w="1800" w:type="dxa"/>
            <w:vAlign w:val="bottom"/>
            <w:shd w:val="clear" w:color="auto" w:fill="E5E5E5"/>
          </w:tcPr>
          <w:p>
            <w:pPr>
              <w:ind w:left="20"/>
              <w:spacing w:after="0"/>
              <w:rPr>
                <w:sz w:val="20"/>
                <w:szCs w:val="20"/>
                <w:color w:val="auto"/>
              </w:rPr>
            </w:pPr>
            <w:r>
              <w:rPr>
                <w:rFonts w:ascii="Arial" w:cs="Arial" w:eastAsia="Arial" w:hAnsi="Arial"/>
                <w:sz w:val="16"/>
                <w:szCs w:val="16"/>
                <w:color w:val="auto"/>
              </w:rPr>
              <w:t>Accelerated PSAs</w:t>
            </w:r>
            <w:r>
              <w:rPr>
                <w:rFonts w:ascii="Arial" w:cs="Arial" w:eastAsia="Arial" w:hAnsi="Arial"/>
                <w:sz w:val="16"/>
                <w:szCs w:val="16"/>
                <w:color w:val="0076A8"/>
              </w:rPr>
              <w:t>(5)</w:t>
            </w:r>
          </w:p>
        </w:tc>
        <w:tc>
          <w:tcPr>
            <w:tcW w:w="2000" w:type="dxa"/>
            <w:vAlign w:val="bottom"/>
            <w:shd w:val="clear" w:color="auto" w:fill="E5E5E5"/>
          </w:tcPr>
          <w:p>
            <w:pPr>
              <w:jc w:val="right"/>
              <w:ind w:right="639"/>
              <w:spacing w:after="0"/>
              <w:rPr>
                <w:sz w:val="20"/>
                <w:szCs w:val="20"/>
                <w:color w:val="auto"/>
              </w:rPr>
            </w:pPr>
            <w:r>
              <w:rPr>
                <w:rFonts w:ascii="Arial" w:cs="Arial" w:eastAsia="Arial" w:hAnsi="Arial"/>
                <w:sz w:val="16"/>
                <w:szCs w:val="16"/>
                <w:color w:val="auto"/>
              </w:rPr>
              <w:t>44,142,836</w:t>
            </w:r>
          </w:p>
        </w:tc>
        <w:tc>
          <w:tcPr>
            <w:tcW w:w="2160" w:type="dxa"/>
            <w:vAlign w:val="bottom"/>
            <w:shd w:val="clear" w:color="auto" w:fill="E5E5E5"/>
          </w:tcPr>
          <w:p>
            <w:pPr>
              <w:jc w:val="right"/>
              <w:ind w:right="719"/>
              <w:spacing w:after="0"/>
              <w:rPr>
                <w:sz w:val="20"/>
                <w:szCs w:val="20"/>
                <w:color w:val="auto"/>
              </w:rPr>
            </w:pPr>
            <w:r>
              <w:rPr>
                <w:rFonts w:ascii="Arial" w:cs="Arial" w:eastAsia="Arial" w:hAnsi="Arial"/>
                <w:sz w:val="16"/>
                <w:szCs w:val="16"/>
                <w:color w:val="auto"/>
              </w:rPr>
              <w:t>44,142,836</w:t>
            </w:r>
          </w:p>
        </w:tc>
        <w:tc>
          <w:tcPr>
            <w:tcW w:w="1800" w:type="dxa"/>
            <w:vAlign w:val="bottom"/>
            <w:shd w:val="clear" w:color="auto" w:fill="E5E5E5"/>
          </w:tcPr>
          <w:p>
            <w:pPr>
              <w:jc w:val="right"/>
              <w:ind w:right="439"/>
              <w:spacing w:after="0"/>
              <w:rPr>
                <w:sz w:val="20"/>
                <w:szCs w:val="20"/>
                <w:color w:val="auto"/>
              </w:rPr>
            </w:pPr>
            <w:r>
              <w:rPr>
                <w:rFonts w:ascii="Arial" w:cs="Arial" w:eastAsia="Arial" w:hAnsi="Arial"/>
                <w:sz w:val="16"/>
                <w:szCs w:val="16"/>
                <w:color w:val="auto"/>
              </w:rPr>
              <w:t>44,142,836</w:t>
            </w:r>
          </w:p>
        </w:tc>
      </w:tr>
      <w:tr>
        <w:trPr>
          <w:trHeight w:val="243"/>
        </w:trPr>
        <w:tc>
          <w:tcPr>
            <w:tcW w:w="1640" w:type="dxa"/>
            <w:vAlign w:val="bottom"/>
            <w:tcBorders>
              <w:bottom w:val="single" w:sz="8" w:color="E5E5E5"/>
            </w:tcBorders>
            <w:shd w:val="clear" w:color="auto" w:fill="E5E5E5"/>
          </w:tcPr>
          <w:p>
            <w:pPr>
              <w:spacing w:after="0"/>
              <w:rPr>
                <w:sz w:val="21"/>
                <w:szCs w:val="21"/>
                <w:color w:val="auto"/>
              </w:rPr>
            </w:pPr>
          </w:p>
        </w:tc>
        <w:tc>
          <w:tcPr>
            <w:tcW w:w="1800" w:type="dxa"/>
            <w:vAlign w:val="bottom"/>
            <w:tcBorders>
              <w:bottom w:val="single" w:sz="8" w:color="BFBFBF"/>
            </w:tcBorders>
            <w:shd w:val="clear" w:color="auto" w:fill="E5E5E5"/>
          </w:tcPr>
          <w:p>
            <w:pPr>
              <w:ind w:left="20"/>
              <w:spacing w:after="0"/>
              <w:rPr>
                <w:sz w:val="20"/>
                <w:szCs w:val="20"/>
                <w:color w:val="auto"/>
              </w:rPr>
            </w:pPr>
            <w:r>
              <w:rPr>
                <w:rFonts w:ascii="Arial" w:cs="Arial" w:eastAsia="Arial" w:hAnsi="Arial"/>
                <w:sz w:val="16"/>
                <w:szCs w:val="16"/>
                <w:color w:val="auto"/>
              </w:rPr>
              <w:t>Medical</w:t>
            </w:r>
          </w:p>
        </w:tc>
        <w:tc>
          <w:tcPr>
            <w:tcW w:w="2000" w:type="dxa"/>
            <w:vAlign w:val="bottom"/>
            <w:tcBorders>
              <w:bottom w:val="single" w:sz="8" w:color="BFBFBF"/>
            </w:tcBorders>
            <w:shd w:val="clear" w:color="auto" w:fill="E5E5E5"/>
          </w:tcPr>
          <w:p>
            <w:pPr>
              <w:jc w:val="right"/>
              <w:ind w:right="639"/>
              <w:spacing w:after="0"/>
              <w:rPr>
                <w:sz w:val="20"/>
                <w:szCs w:val="20"/>
                <w:color w:val="auto"/>
              </w:rPr>
            </w:pPr>
            <w:r>
              <w:rPr>
                <w:rFonts w:ascii="Arial" w:cs="Arial" w:eastAsia="Arial" w:hAnsi="Arial"/>
                <w:sz w:val="16"/>
                <w:szCs w:val="16"/>
                <w:color w:val="auto"/>
              </w:rPr>
              <w:t>27,458</w:t>
            </w:r>
          </w:p>
        </w:tc>
        <w:tc>
          <w:tcPr>
            <w:tcW w:w="2160" w:type="dxa"/>
            <w:vAlign w:val="bottom"/>
            <w:tcBorders>
              <w:bottom w:val="single" w:sz="8" w:color="BFBFBF"/>
            </w:tcBorders>
            <w:shd w:val="clear" w:color="auto" w:fill="E5E5E5"/>
          </w:tcPr>
          <w:p>
            <w:pPr>
              <w:jc w:val="right"/>
              <w:ind w:right="719"/>
              <w:spacing w:after="0"/>
              <w:rPr>
                <w:sz w:val="20"/>
                <w:szCs w:val="20"/>
                <w:color w:val="auto"/>
              </w:rPr>
            </w:pPr>
            <w:r>
              <w:rPr>
                <w:rFonts w:ascii="Arial" w:cs="Arial" w:eastAsia="Arial" w:hAnsi="Arial"/>
                <w:sz w:val="16"/>
                <w:szCs w:val="16"/>
                <w:color w:val="auto"/>
              </w:rPr>
              <w:t>32,950</w:t>
            </w:r>
          </w:p>
        </w:tc>
        <w:tc>
          <w:tcPr>
            <w:tcW w:w="1800" w:type="dxa"/>
            <w:vAlign w:val="bottom"/>
            <w:tcBorders>
              <w:bottom w:val="single" w:sz="8" w:color="BFBFBF"/>
            </w:tcBorders>
            <w:shd w:val="clear" w:color="auto" w:fill="E5E5E5"/>
          </w:tcPr>
          <w:p>
            <w:pPr>
              <w:jc w:val="right"/>
              <w:ind w:right="439"/>
              <w:spacing w:after="0"/>
              <w:rPr>
                <w:sz w:val="20"/>
                <w:szCs w:val="20"/>
                <w:color w:val="auto"/>
              </w:rPr>
            </w:pPr>
            <w:r>
              <w:rPr>
                <w:rFonts w:ascii="Arial" w:cs="Arial" w:eastAsia="Arial" w:hAnsi="Arial"/>
                <w:sz w:val="16"/>
                <w:szCs w:val="16"/>
                <w:color w:val="auto"/>
              </w:rPr>
              <w:t>—</w:t>
            </w:r>
          </w:p>
        </w:tc>
      </w:tr>
      <w:tr>
        <w:trPr>
          <w:trHeight w:val="223"/>
        </w:trPr>
        <w:tc>
          <w:tcPr>
            <w:tcW w:w="1640" w:type="dxa"/>
            <w:vAlign w:val="bottom"/>
            <w:tcBorders>
              <w:bottom w:val="single" w:sz="8" w:color="BFBFBF"/>
            </w:tcBorders>
            <w:shd w:val="clear" w:color="auto" w:fill="E5E5E5"/>
          </w:tcPr>
          <w:p>
            <w:pPr>
              <w:spacing w:after="0"/>
              <w:rPr>
                <w:sz w:val="19"/>
                <w:szCs w:val="19"/>
                <w:color w:val="auto"/>
              </w:rPr>
            </w:pPr>
          </w:p>
        </w:tc>
        <w:tc>
          <w:tcPr>
            <w:tcW w:w="1800" w:type="dxa"/>
            <w:vAlign w:val="bottom"/>
            <w:tcBorders>
              <w:bottom w:val="single" w:sz="8" w:color="BFBFBF"/>
            </w:tcBorders>
            <w:shd w:val="clear" w:color="auto" w:fill="E5E5E5"/>
          </w:tcPr>
          <w:p>
            <w:pPr>
              <w:ind w:left="20"/>
              <w:spacing w:after="0"/>
              <w:rPr>
                <w:sz w:val="20"/>
                <w:szCs w:val="20"/>
                <w:color w:val="auto"/>
              </w:rPr>
            </w:pPr>
            <w:r>
              <w:rPr>
                <w:rFonts w:ascii="Arial" w:cs="Arial" w:eastAsia="Arial" w:hAnsi="Arial"/>
                <w:sz w:val="16"/>
                <w:szCs w:val="16"/>
                <w:color w:val="auto"/>
              </w:rPr>
              <w:t>TOTAL</w:t>
            </w:r>
          </w:p>
        </w:tc>
        <w:tc>
          <w:tcPr>
            <w:tcW w:w="2000" w:type="dxa"/>
            <w:vAlign w:val="bottom"/>
            <w:tcBorders>
              <w:bottom w:val="single" w:sz="8" w:color="BFBFBF"/>
            </w:tcBorders>
            <w:shd w:val="clear" w:color="auto" w:fill="E5E5E5"/>
          </w:tcPr>
          <w:p>
            <w:pPr>
              <w:jc w:val="right"/>
              <w:ind w:right="639"/>
              <w:spacing w:after="0"/>
              <w:rPr>
                <w:sz w:val="20"/>
                <w:szCs w:val="20"/>
                <w:color w:val="auto"/>
              </w:rPr>
            </w:pPr>
            <w:r>
              <w:rPr>
                <w:rFonts w:ascii="Arial" w:cs="Arial" w:eastAsia="Arial" w:hAnsi="Arial"/>
                <w:sz w:val="16"/>
                <w:szCs w:val="16"/>
                <w:color w:val="auto"/>
              </w:rPr>
              <w:t>65,022,495</w:t>
            </w:r>
          </w:p>
        </w:tc>
        <w:tc>
          <w:tcPr>
            <w:tcW w:w="2160" w:type="dxa"/>
            <w:vAlign w:val="bottom"/>
            <w:tcBorders>
              <w:bottom w:val="single" w:sz="8" w:color="BFBFBF"/>
            </w:tcBorders>
            <w:shd w:val="clear" w:color="auto" w:fill="E5E5E5"/>
          </w:tcPr>
          <w:p>
            <w:pPr>
              <w:jc w:val="right"/>
              <w:ind w:right="719"/>
              <w:spacing w:after="0"/>
              <w:rPr>
                <w:sz w:val="20"/>
                <w:szCs w:val="20"/>
                <w:color w:val="auto"/>
              </w:rPr>
            </w:pPr>
            <w:r>
              <w:rPr>
                <w:rFonts w:ascii="Arial" w:cs="Arial" w:eastAsia="Arial" w:hAnsi="Arial"/>
                <w:sz w:val="16"/>
                <w:szCs w:val="16"/>
                <w:color w:val="auto"/>
              </w:rPr>
              <w:t>66,496,940</w:t>
            </w:r>
          </w:p>
        </w:tc>
        <w:tc>
          <w:tcPr>
            <w:tcW w:w="1800" w:type="dxa"/>
            <w:vAlign w:val="bottom"/>
            <w:tcBorders>
              <w:bottom w:val="single" w:sz="8" w:color="BFBFBF"/>
            </w:tcBorders>
            <w:shd w:val="clear" w:color="auto" w:fill="E5E5E5"/>
          </w:tcPr>
          <w:p>
            <w:pPr>
              <w:jc w:val="right"/>
              <w:ind w:right="439"/>
              <w:spacing w:after="0"/>
              <w:rPr>
                <w:sz w:val="20"/>
                <w:szCs w:val="20"/>
                <w:color w:val="auto"/>
              </w:rPr>
            </w:pPr>
            <w:r>
              <w:rPr>
                <w:rFonts w:ascii="Arial" w:cs="Arial" w:eastAsia="Arial" w:hAnsi="Arial"/>
                <w:sz w:val="16"/>
                <w:szCs w:val="16"/>
                <w:color w:val="auto"/>
              </w:rPr>
              <w:t>59,119,223</w:t>
            </w:r>
          </w:p>
        </w:tc>
      </w:tr>
      <w:tr>
        <w:trPr>
          <w:trHeight w:val="177"/>
        </w:trPr>
        <w:tc>
          <w:tcPr>
            <w:tcW w:w="1640" w:type="dxa"/>
            <w:vAlign w:val="bottom"/>
          </w:tcPr>
          <w:p>
            <w:pPr>
              <w:ind w:left="40"/>
              <w:spacing w:after="0" w:line="178" w:lineRule="exact"/>
              <w:rPr>
                <w:sz w:val="20"/>
                <w:szCs w:val="20"/>
                <w:color w:val="auto"/>
              </w:rPr>
            </w:pPr>
            <w:r>
              <w:rPr>
                <w:rFonts w:ascii="Arial" w:cs="Arial" w:eastAsia="Arial" w:hAnsi="Arial"/>
                <w:sz w:val="16"/>
                <w:szCs w:val="16"/>
                <w:color w:val="auto"/>
              </w:rPr>
              <w:t>Kris Sennesael</w:t>
            </w:r>
            <w:r>
              <w:rPr>
                <w:rFonts w:ascii="Arial" w:cs="Arial" w:eastAsia="Arial" w:hAnsi="Arial"/>
                <w:sz w:val="16"/>
                <w:szCs w:val="16"/>
                <w:color w:val="0076A8"/>
              </w:rPr>
              <w:t>(2)</w:t>
            </w:r>
          </w:p>
        </w:tc>
        <w:tc>
          <w:tcPr>
            <w:tcW w:w="1800" w:type="dxa"/>
            <w:vAlign w:val="bottom"/>
          </w:tcPr>
          <w:p>
            <w:pPr>
              <w:ind w:left="20"/>
              <w:spacing w:after="0" w:line="178" w:lineRule="exact"/>
              <w:rPr>
                <w:sz w:val="20"/>
                <w:szCs w:val="20"/>
                <w:color w:val="auto"/>
              </w:rPr>
            </w:pPr>
            <w:r>
              <w:rPr>
                <w:rFonts w:ascii="Arial" w:cs="Arial" w:eastAsia="Arial" w:hAnsi="Arial"/>
                <w:sz w:val="16"/>
                <w:szCs w:val="16"/>
                <w:color w:val="auto"/>
              </w:rPr>
              <w:t>Salary and Short-Term</w:t>
            </w:r>
          </w:p>
        </w:tc>
        <w:tc>
          <w:tcPr>
            <w:tcW w:w="2000" w:type="dxa"/>
            <w:vAlign w:val="bottom"/>
          </w:tcPr>
          <w:p>
            <w:pPr>
              <w:jc w:val="right"/>
              <w:ind w:right="439"/>
              <w:spacing w:after="0" w:line="178" w:lineRule="exact"/>
              <w:rPr>
                <w:sz w:val="20"/>
                <w:szCs w:val="20"/>
                <w:color w:val="auto"/>
              </w:rPr>
            </w:pPr>
            <w:r>
              <w:rPr>
                <w:rFonts w:ascii="Arial" w:cs="Arial" w:eastAsia="Arial" w:hAnsi="Arial"/>
                <w:sz w:val="16"/>
                <w:szCs w:val="16"/>
                <w:color w:val="auto"/>
              </w:rPr>
              <w:t>560,000</w:t>
            </w:r>
            <w:r>
              <w:rPr>
                <w:rFonts w:ascii="Arial" w:cs="Arial" w:eastAsia="Arial" w:hAnsi="Arial"/>
                <w:sz w:val="16"/>
                <w:szCs w:val="16"/>
                <w:color w:val="0076A8"/>
              </w:rPr>
              <w:t>(6)</w:t>
            </w:r>
          </w:p>
        </w:tc>
        <w:tc>
          <w:tcPr>
            <w:tcW w:w="2160" w:type="dxa"/>
            <w:vAlign w:val="bottom"/>
          </w:tcPr>
          <w:p>
            <w:pPr>
              <w:jc w:val="right"/>
              <w:ind w:right="519"/>
              <w:spacing w:after="0" w:line="178" w:lineRule="exact"/>
              <w:rPr>
                <w:sz w:val="20"/>
                <w:szCs w:val="20"/>
                <w:color w:val="auto"/>
              </w:rPr>
            </w:pPr>
            <w:r>
              <w:rPr>
                <w:rFonts w:ascii="Arial" w:cs="Arial" w:eastAsia="Arial" w:hAnsi="Arial"/>
                <w:sz w:val="16"/>
                <w:szCs w:val="16"/>
                <w:color w:val="auto"/>
              </w:rPr>
              <w:t>1,715,904</w:t>
            </w:r>
            <w:r>
              <w:rPr>
                <w:rFonts w:ascii="Arial" w:cs="Arial" w:eastAsia="Arial" w:hAnsi="Arial"/>
                <w:sz w:val="16"/>
                <w:szCs w:val="16"/>
                <w:color w:val="0076A8"/>
              </w:rPr>
              <w:t>(7)</w:t>
            </w:r>
          </w:p>
        </w:tc>
        <w:tc>
          <w:tcPr>
            <w:tcW w:w="1800" w:type="dxa"/>
            <w:vAlign w:val="bottom"/>
          </w:tcPr>
          <w:p>
            <w:pPr>
              <w:jc w:val="right"/>
              <w:ind w:right="439"/>
              <w:spacing w:after="0" w:line="178" w:lineRule="exact"/>
              <w:rPr>
                <w:sz w:val="20"/>
                <w:szCs w:val="20"/>
                <w:color w:val="auto"/>
              </w:rPr>
            </w:pPr>
            <w:r>
              <w:rPr>
                <w:rFonts w:ascii="Arial" w:cs="Arial" w:eastAsia="Arial" w:hAnsi="Arial"/>
                <w:sz w:val="16"/>
                <w:szCs w:val="16"/>
                <w:color w:val="auto"/>
              </w:rPr>
              <w:t>—</w:t>
            </w:r>
          </w:p>
        </w:tc>
      </w:tr>
      <w:tr>
        <w:trPr>
          <w:trHeight w:val="195"/>
        </w:trPr>
        <w:tc>
          <w:tcPr>
            <w:tcW w:w="1640" w:type="dxa"/>
            <w:vAlign w:val="bottom"/>
          </w:tcPr>
          <w:p>
            <w:pPr>
              <w:spacing w:after="0"/>
              <w:rPr>
                <w:sz w:val="16"/>
                <w:szCs w:val="16"/>
                <w:color w:val="auto"/>
              </w:rPr>
            </w:pPr>
          </w:p>
        </w:tc>
        <w:tc>
          <w:tcPr>
            <w:tcW w:w="1800" w:type="dxa"/>
            <w:vAlign w:val="bottom"/>
          </w:tcPr>
          <w:p>
            <w:pPr>
              <w:ind w:left="20"/>
              <w:spacing w:after="0"/>
              <w:rPr>
                <w:sz w:val="20"/>
                <w:szCs w:val="20"/>
                <w:color w:val="auto"/>
              </w:rPr>
            </w:pPr>
            <w:r>
              <w:rPr>
                <w:rFonts w:ascii="Arial" w:cs="Arial" w:eastAsia="Arial" w:hAnsi="Arial"/>
                <w:sz w:val="16"/>
                <w:szCs w:val="16"/>
                <w:color w:val="auto"/>
              </w:rPr>
              <w:t>Incentive</w:t>
            </w:r>
          </w:p>
        </w:tc>
        <w:tc>
          <w:tcPr>
            <w:tcW w:w="20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800" w:type="dxa"/>
            <w:vAlign w:val="bottom"/>
          </w:tcPr>
          <w:p>
            <w:pPr>
              <w:spacing w:after="0"/>
              <w:rPr>
                <w:sz w:val="16"/>
                <w:szCs w:val="16"/>
                <w:color w:val="auto"/>
              </w:rPr>
            </w:pPr>
          </w:p>
        </w:tc>
      </w:tr>
      <w:tr>
        <w:trPr>
          <w:trHeight w:val="230"/>
        </w:trPr>
        <w:tc>
          <w:tcPr>
            <w:tcW w:w="1640" w:type="dxa"/>
            <w:vAlign w:val="bottom"/>
          </w:tcPr>
          <w:p>
            <w:pPr>
              <w:spacing w:after="0"/>
              <w:rPr>
                <w:sz w:val="19"/>
                <w:szCs w:val="19"/>
                <w:color w:val="auto"/>
              </w:rPr>
            </w:pPr>
          </w:p>
        </w:tc>
        <w:tc>
          <w:tcPr>
            <w:tcW w:w="1800" w:type="dxa"/>
            <w:vAlign w:val="bottom"/>
          </w:tcPr>
          <w:p>
            <w:pPr>
              <w:ind w:left="20"/>
              <w:spacing w:after="0"/>
              <w:rPr>
                <w:sz w:val="20"/>
                <w:szCs w:val="20"/>
                <w:color w:val="auto"/>
              </w:rPr>
            </w:pPr>
            <w:r>
              <w:rPr>
                <w:rFonts w:ascii="Arial" w:cs="Arial" w:eastAsia="Arial" w:hAnsi="Arial"/>
                <w:sz w:val="16"/>
                <w:szCs w:val="16"/>
                <w:color w:val="auto"/>
              </w:rPr>
              <w:t>Accelerated RSUs</w:t>
            </w:r>
          </w:p>
        </w:tc>
        <w:tc>
          <w:tcPr>
            <w:tcW w:w="2000" w:type="dxa"/>
            <w:vAlign w:val="bottom"/>
          </w:tcPr>
          <w:p>
            <w:pPr>
              <w:jc w:val="right"/>
              <w:ind w:right="639"/>
              <w:spacing w:after="0"/>
              <w:rPr>
                <w:sz w:val="20"/>
                <w:szCs w:val="20"/>
                <w:color w:val="auto"/>
              </w:rPr>
            </w:pPr>
            <w:r>
              <w:rPr>
                <w:rFonts w:ascii="Arial" w:cs="Arial" w:eastAsia="Arial" w:hAnsi="Arial"/>
                <w:sz w:val="16"/>
                <w:szCs w:val="16"/>
                <w:color w:val="auto"/>
              </w:rPr>
              <w:t>—</w:t>
            </w:r>
          </w:p>
        </w:tc>
        <w:tc>
          <w:tcPr>
            <w:tcW w:w="2160" w:type="dxa"/>
            <w:vAlign w:val="bottom"/>
          </w:tcPr>
          <w:p>
            <w:pPr>
              <w:jc w:val="right"/>
              <w:ind w:right="719"/>
              <w:spacing w:after="0"/>
              <w:rPr>
                <w:sz w:val="20"/>
                <w:szCs w:val="20"/>
                <w:color w:val="auto"/>
              </w:rPr>
            </w:pPr>
            <w:r>
              <w:rPr>
                <w:rFonts w:ascii="Arial" w:cs="Arial" w:eastAsia="Arial" w:hAnsi="Arial"/>
                <w:sz w:val="16"/>
                <w:szCs w:val="16"/>
                <w:color w:val="auto"/>
              </w:rPr>
              <w:t>6,018,978</w:t>
            </w:r>
          </w:p>
        </w:tc>
        <w:tc>
          <w:tcPr>
            <w:tcW w:w="1800" w:type="dxa"/>
            <w:vAlign w:val="bottom"/>
          </w:tcPr>
          <w:p>
            <w:pPr>
              <w:jc w:val="right"/>
              <w:ind w:right="439"/>
              <w:spacing w:after="0"/>
              <w:rPr>
                <w:sz w:val="20"/>
                <w:szCs w:val="20"/>
                <w:color w:val="auto"/>
              </w:rPr>
            </w:pPr>
            <w:r>
              <w:rPr>
                <w:rFonts w:ascii="Arial" w:cs="Arial" w:eastAsia="Arial" w:hAnsi="Arial"/>
                <w:sz w:val="16"/>
                <w:szCs w:val="16"/>
                <w:color w:val="auto"/>
              </w:rPr>
              <w:t>6,018,978</w:t>
            </w:r>
          </w:p>
        </w:tc>
      </w:tr>
      <w:tr>
        <w:trPr>
          <w:trHeight w:val="229"/>
        </w:trPr>
        <w:tc>
          <w:tcPr>
            <w:tcW w:w="1640" w:type="dxa"/>
            <w:vAlign w:val="bottom"/>
          </w:tcPr>
          <w:p>
            <w:pPr>
              <w:spacing w:after="0"/>
              <w:rPr>
                <w:sz w:val="19"/>
                <w:szCs w:val="19"/>
                <w:color w:val="auto"/>
              </w:rPr>
            </w:pPr>
          </w:p>
        </w:tc>
        <w:tc>
          <w:tcPr>
            <w:tcW w:w="1800" w:type="dxa"/>
            <w:vAlign w:val="bottom"/>
          </w:tcPr>
          <w:p>
            <w:pPr>
              <w:ind w:left="20"/>
              <w:spacing w:after="0"/>
              <w:rPr>
                <w:sz w:val="20"/>
                <w:szCs w:val="20"/>
                <w:color w:val="auto"/>
              </w:rPr>
            </w:pPr>
            <w:r>
              <w:rPr>
                <w:rFonts w:ascii="Arial" w:cs="Arial" w:eastAsia="Arial" w:hAnsi="Arial"/>
                <w:sz w:val="16"/>
                <w:szCs w:val="16"/>
                <w:color w:val="auto"/>
              </w:rPr>
              <w:t>Accelerated PSAs</w:t>
            </w:r>
            <w:r>
              <w:rPr>
                <w:rFonts w:ascii="Arial" w:cs="Arial" w:eastAsia="Arial" w:hAnsi="Arial"/>
                <w:sz w:val="16"/>
                <w:szCs w:val="16"/>
                <w:color w:val="0076A8"/>
              </w:rPr>
              <w:t>(5)</w:t>
            </w:r>
          </w:p>
        </w:tc>
        <w:tc>
          <w:tcPr>
            <w:tcW w:w="2000" w:type="dxa"/>
            <w:vAlign w:val="bottom"/>
          </w:tcPr>
          <w:p>
            <w:pPr>
              <w:jc w:val="right"/>
              <w:ind w:right="639"/>
              <w:spacing w:after="0"/>
              <w:rPr>
                <w:sz w:val="20"/>
                <w:szCs w:val="20"/>
                <w:color w:val="auto"/>
              </w:rPr>
            </w:pPr>
            <w:r>
              <w:rPr>
                <w:rFonts w:ascii="Arial" w:cs="Arial" w:eastAsia="Arial" w:hAnsi="Arial"/>
                <w:sz w:val="16"/>
                <w:szCs w:val="16"/>
                <w:color w:val="auto"/>
              </w:rPr>
              <w:t>—</w:t>
            </w:r>
          </w:p>
        </w:tc>
        <w:tc>
          <w:tcPr>
            <w:tcW w:w="2160" w:type="dxa"/>
            <w:vAlign w:val="bottom"/>
          </w:tcPr>
          <w:p>
            <w:pPr>
              <w:jc w:val="right"/>
              <w:ind w:right="719"/>
              <w:spacing w:after="0"/>
              <w:rPr>
                <w:sz w:val="20"/>
                <w:szCs w:val="20"/>
                <w:color w:val="auto"/>
              </w:rPr>
            </w:pPr>
            <w:r>
              <w:rPr>
                <w:rFonts w:ascii="Arial" w:cs="Arial" w:eastAsia="Arial" w:hAnsi="Arial"/>
                <w:sz w:val="16"/>
                <w:szCs w:val="16"/>
                <w:color w:val="auto"/>
              </w:rPr>
              <w:t>8,783,161</w:t>
            </w:r>
          </w:p>
        </w:tc>
        <w:tc>
          <w:tcPr>
            <w:tcW w:w="1800" w:type="dxa"/>
            <w:vAlign w:val="bottom"/>
          </w:tcPr>
          <w:p>
            <w:pPr>
              <w:jc w:val="right"/>
              <w:ind w:right="439"/>
              <w:spacing w:after="0"/>
              <w:rPr>
                <w:sz w:val="20"/>
                <w:szCs w:val="20"/>
                <w:color w:val="auto"/>
              </w:rPr>
            </w:pPr>
            <w:r>
              <w:rPr>
                <w:rFonts w:ascii="Arial" w:cs="Arial" w:eastAsia="Arial" w:hAnsi="Arial"/>
                <w:sz w:val="16"/>
                <w:szCs w:val="16"/>
                <w:color w:val="auto"/>
              </w:rPr>
              <w:t>8,783,161</w:t>
            </w:r>
          </w:p>
        </w:tc>
      </w:tr>
      <w:tr>
        <w:trPr>
          <w:trHeight w:val="243"/>
        </w:trPr>
        <w:tc>
          <w:tcPr>
            <w:tcW w:w="1640" w:type="dxa"/>
            <w:vAlign w:val="bottom"/>
          </w:tcPr>
          <w:p>
            <w:pPr>
              <w:spacing w:after="0"/>
              <w:rPr>
                <w:sz w:val="21"/>
                <w:szCs w:val="21"/>
                <w:color w:val="auto"/>
              </w:rPr>
            </w:pPr>
          </w:p>
        </w:tc>
        <w:tc>
          <w:tcPr>
            <w:tcW w:w="1800" w:type="dxa"/>
            <w:vAlign w:val="bottom"/>
            <w:tcBorders>
              <w:bottom w:val="single" w:sz="8" w:color="BFBFBF"/>
            </w:tcBorders>
          </w:tcPr>
          <w:p>
            <w:pPr>
              <w:ind w:left="20"/>
              <w:spacing w:after="0"/>
              <w:rPr>
                <w:sz w:val="20"/>
                <w:szCs w:val="20"/>
                <w:color w:val="auto"/>
              </w:rPr>
            </w:pPr>
            <w:r>
              <w:rPr>
                <w:rFonts w:ascii="Arial" w:cs="Arial" w:eastAsia="Arial" w:hAnsi="Arial"/>
                <w:sz w:val="16"/>
                <w:szCs w:val="16"/>
                <w:color w:val="auto"/>
              </w:rPr>
              <w:t>Medical</w:t>
            </w:r>
          </w:p>
        </w:tc>
        <w:tc>
          <w:tcPr>
            <w:tcW w:w="2000" w:type="dxa"/>
            <w:vAlign w:val="bottom"/>
            <w:tcBorders>
              <w:bottom w:val="single" w:sz="8" w:color="BFBFBF"/>
            </w:tcBorders>
          </w:tcPr>
          <w:p>
            <w:pPr>
              <w:jc w:val="right"/>
              <w:ind w:right="639"/>
              <w:spacing w:after="0"/>
              <w:rPr>
                <w:sz w:val="20"/>
                <w:szCs w:val="20"/>
                <w:color w:val="auto"/>
              </w:rPr>
            </w:pPr>
            <w:r>
              <w:rPr>
                <w:rFonts w:ascii="Arial" w:cs="Arial" w:eastAsia="Arial" w:hAnsi="Arial"/>
                <w:sz w:val="16"/>
                <w:szCs w:val="16"/>
                <w:color w:val="auto"/>
              </w:rPr>
              <w:t>24,426</w:t>
            </w:r>
          </w:p>
        </w:tc>
        <w:tc>
          <w:tcPr>
            <w:tcW w:w="2160" w:type="dxa"/>
            <w:vAlign w:val="bottom"/>
            <w:tcBorders>
              <w:bottom w:val="single" w:sz="8" w:color="BFBFBF"/>
            </w:tcBorders>
          </w:tcPr>
          <w:p>
            <w:pPr>
              <w:jc w:val="right"/>
              <w:ind w:right="719"/>
              <w:spacing w:after="0"/>
              <w:rPr>
                <w:sz w:val="20"/>
                <w:szCs w:val="20"/>
                <w:color w:val="auto"/>
              </w:rPr>
            </w:pPr>
            <w:r>
              <w:rPr>
                <w:rFonts w:ascii="Arial" w:cs="Arial" w:eastAsia="Arial" w:hAnsi="Arial"/>
                <w:sz w:val="16"/>
                <w:szCs w:val="16"/>
                <w:color w:val="auto"/>
              </w:rPr>
              <w:t>36,639</w:t>
            </w:r>
          </w:p>
        </w:tc>
        <w:tc>
          <w:tcPr>
            <w:tcW w:w="1800" w:type="dxa"/>
            <w:vAlign w:val="bottom"/>
            <w:tcBorders>
              <w:bottom w:val="single" w:sz="8" w:color="BFBFBF"/>
            </w:tcBorders>
          </w:tcPr>
          <w:p>
            <w:pPr>
              <w:jc w:val="right"/>
              <w:ind w:right="439"/>
              <w:spacing w:after="0"/>
              <w:rPr>
                <w:sz w:val="20"/>
                <w:szCs w:val="20"/>
                <w:color w:val="auto"/>
              </w:rPr>
            </w:pPr>
            <w:r>
              <w:rPr>
                <w:rFonts w:ascii="Arial" w:cs="Arial" w:eastAsia="Arial" w:hAnsi="Arial"/>
                <w:sz w:val="16"/>
                <w:szCs w:val="16"/>
                <w:color w:val="auto"/>
              </w:rPr>
              <w:t>—</w:t>
            </w:r>
          </w:p>
        </w:tc>
      </w:tr>
      <w:tr>
        <w:trPr>
          <w:trHeight w:val="223"/>
        </w:trPr>
        <w:tc>
          <w:tcPr>
            <w:tcW w:w="1640" w:type="dxa"/>
            <w:vAlign w:val="bottom"/>
            <w:tcBorders>
              <w:bottom w:val="single" w:sz="8" w:color="BFBFBF"/>
            </w:tcBorders>
          </w:tcPr>
          <w:p>
            <w:pPr>
              <w:spacing w:after="0"/>
              <w:rPr>
                <w:sz w:val="19"/>
                <w:szCs w:val="19"/>
                <w:color w:val="auto"/>
              </w:rPr>
            </w:pPr>
          </w:p>
        </w:tc>
        <w:tc>
          <w:tcPr>
            <w:tcW w:w="1800" w:type="dxa"/>
            <w:vAlign w:val="bottom"/>
            <w:tcBorders>
              <w:bottom w:val="single" w:sz="8" w:color="BFBFBF"/>
            </w:tcBorders>
          </w:tcPr>
          <w:p>
            <w:pPr>
              <w:ind w:left="20"/>
              <w:spacing w:after="0"/>
              <w:rPr>
                <w:sz w:val="20"/>
                <w:szCs w:val="20"/>
                <w:color w:val="auto"/>
              </w:rPr>
            </w:pPr>
            <w:r>
              <w:rPr>
                <w:rFonts w:ascii="Arial" w:cs="Arial" w:eastAsia="Arial" w:hAnsi="Arial"/>
                <w:sz w:val="16"/>
                <w:szCs w:val="16"/>
                <w:color w:val="auto"/>
              </w:rPr>
              <w:t>TOTAL</w:t>
            </w:r>
          </w:p>
        </w:tc>
        <w:tc>
          <w:tcPr>
            <w:tcW w:w="2000" w:type="dxa"/>
            <w:vAlign w:val="bottom"/>
            <w:tcBorders>
              <w:bottom w:val="single" w:sz="8" w:color="BFBFBF"/>
            </w:tcBorders>
          </w:tcPr>
          <w:p>
            <w:pPr>
              <w:jc w:val="right"/>
              <w:ind w:right="639"/>
              <w:spacing w:after="0"/>
              <w:rPr>
                <w:sz w:val="20"/>
                <w:szCs w:val="20"/>
                <w:color w:val="auto"/>
              </w:rPr>
            </w:pPr>
            <w:r>
              <w:rPr>
                <w:rFonts w:ascii="Arial" w:cs="Arial" w:eastAsia="Arial" w:hAnsi="Arial"/>
                <w:sz w:val="16"/>
                <w:szCs w:val="16"/>
                <w:color w:val="auto"/>
              </w:rPr>
              <w:t>584,426</w:t>
            </w:r>
          </w:p>
        </w:tc>
        <w:tc>
          <w:tcPr>
            <w:tcW w:w="2160" w:type="dxa"/>
            <w:vAlign w:val="bottom"/>
            <w:tcBorders>
              <w:bottom w:val="single" w:sz="8" w:color="BFBFBF"/>
            </w:tcBorders>
          </w:tcPr>
          <w:p>
            <w:pPr>
              <w:jc w:val="right"/>
              <w:ind w:right="719"/>
              <w:spacing w:after="0"/>
              <w:rPr>
                <w:sz w:val="20"/>
                <w:szCs w:val="20"/>
                <w:color w:val="auto"/>
              </w:rPr>
            </w:pPr>
            <w:r>
              <w:rPr>
                <w:rFonts w:ascii="Arial" w:cs="Arial" w:eastAsia="Arial" w:hAnsi="Arial"/>
                <w:sz w:val="16"/>
                <w:szCs w:val="16"/>
                <w:color w:val="auto"/>
              </w:rPr>
              <w:t>16,554,682</w:t>
            </w:r>
          </w:p>
        </w:tc>
        <w:tc>
          <w:tcPr>
            <w:tcW w:w="1800" w:type="dxa"/>
            <w:vAlign w:val="bottom"/>
            <w:tcBorders>
              <w:bottom w:val="single" w:sz="8" w:color="BFBFBF"/>
            </w:tcBorders>
          </w:tcPr>
          <w:p>
            <w:pPr>
              <w:jc w:val="right"/>
              <w:ind w:right="439"/>
              <w:spacing w:after="0"/>
              <w:rPr>
                <w:sz w:val="20"/>
                <w:szCs w:val="20"/>
                <w:color w:val="auto"/>
              </w:rPr>
            </w:pPr>
            <w:r>
              <w:rPr>
                <w:rFonts w:ascii="Arial" w:cs="Arial" w:eastAsia="Arial" w:hAnsi="Arial"/>
                <w:sz w:val="16"/>
                <w:szCs w:val="16"/>
                <w:color w:val="auto"/>
              </w:rPr>
              <w:t>14,802,139</w:t>
            </w:r>
          </w:p>
        </w:tc>
      </w:tr>
      <w:tr>
        <w:trPr>
          <w:trHeight w:val="177"/>
        </w:trPr>
        <w:tc>
          <w:tcPr>
            <w:tcW w:w="1640" w:type="dxa"/>
            <w:vAlign w:val="bottom"/>
            <w:shd w:val="clear" w:color="auto" w:fill="E5E5E5"/>
          </w:tcPr>
          <w:p>
            <w:pPr>
              <w:ind w:left="40"/>
              <w:spacing w:after="0" w:line="178" w:lineRule="exact"/>
              <w:rPr>
                <w:sz w:val="20"/>
                <w:szCs w:val="20"/>
                <w:color w:val="auto"/>
              </w:rPr>
            </w:pPr>
            <w:r>
              <w:rPr>
                <w:rFonts w:ascii="Arial" w:cs="Arial" w:eastAsia="Arial" w:hAnsi="Arial"/>
                <w:sz w:val="16"/>
                <w:szCs w:val="16"/>
                <w:color w:val="auto"/>
              </w:rPr>
              <w:t>Carlos S. Bori</w:t>
            </w:r>
            <w:r>
              <w:rPr>
                <w:rFonts w:ascii="Arial" w:cs="Arial" w:eastAsia="Arial" w:hAnsi="Arial"/>
                <w:sz w:val="16"/>
                <w:szCs w:val="16"/>
                <w:color w:val="0076A8"/>
              </w:rPr>
              <w:t>(2)</w:t>
            </w:r>
          </w:p>
        </w:tc>
        <w:tc>
          <w:tcPr>
            <w:tcW w:w="1800" w:type="dxa"/>
            <w:vAlign w:val="bottom"/>
            <w:shd w:val="clear" w:color="auto" w:fill="E5E5E5"/>
          </w:tcPr>
          <w:p>
            <w:pPr>
              <w:ind w:left="20"/>
              <w:spacing w:after="0" w:line="178" w:lineRule="exact"/>
              <w:rPr>
                <w:sz w:val="20"/>
                <w:szCs w:val="20"/>
                <w:color w:val="auto"/>
              </w:rPr>
            </w:pPr>
            <w:r>
              <w:rPr>
                <w:rFonts w:ascii="Arial" w:cs="Arial" w:eastAsia="Arial" w:hAnsi="Arial"/>
                <w:sz w:val="16"/>
                <w:szCs w:val="16"/>
                <w:color w:val="auto"/>
              </w:rPr>
              <w:t>Salary and Short-Term</w:t>
            </w:r>
          </w:p>
        </w:tc>
        <w:tc>
          <w:tcPr>
            <w:tcW w:w="2000" w:type="dxa"/>
            <w:vAlign w:val="bottom"/>
            <w:shd w:val="clear" w:color="auto" w:fill="E5E5E5"/>
          </w:tcPr>
          <w:p>
            <w:pPr>
              <w:jc w:val="right"/>
              <w:ind w:right="439"/>
              <w:spacing w:after="0" w:line="178" w:lineRule="exact"/>
              <w:rPr>
                <w:sz w:val="20"/>
                <w:szCs w:val="20"/>
                <w:color w:val="auto"/>
              </w:rPr>
            </w:pPr>
            <w:r>
              <w:rPr>
                <w:rFonts w:ascii="Arial" w:cs="Arial" w:eastAsia="Arial" w:hAnsi="Arial"/>
                <w:sz w:val="16"/>
                <w:szCs w:val="16"/>
                <w:color w:val="auto"/>
              </w:rPr>
              <w:t>475,000</w:t>
            </w:r>
            <w:r>
              <w:rPr>
                <w:rFonts w:ascii="Arial" w:cs="Arial" w:eastAsia="Arial" w:hAnsi="Arial"/>
                <w:sz w:val="16"/>
                <w:szCs w:val="16"/>
                <w:color w:val="0076A8"/>
              </w:rPr>
              <w:t>(6)</w:t>
            </w:r>
          </w:p>
        </w:tc>
        <w:tc>
          <w:tcPr>
            <w:tcW w:w="2160" w:type="dxa"/>
            <w:vAlign w:val="bottom"/>
            <w:shd w:val="clear" w:color="auto" w:fill="E5E5E5"/>
          </w:tcPr>
          <w:p>
            <w:pPr>
              <w:jc w:val="right"/>
              <w:ind w:right="519"/>
              <w:spacing w:after="0" w:line="178" w:lineRule="exact"/>
              <w:rPr>
                <w:sz w:val="20"/>
                <w:szCs w:val="20"/>
                <w:color w:val="auto"/>
              </w:rPr>
            </w:pPr>
            <w:r>
              <w:rPr>
                <w:rFonts w:ascii="Arial" w:cs="Arial" w:eastAsia="Arial" w:hAnsi="Arial"/>
                <w:sz w:val="16"/>
                <w:szCs w:val="16"/>
                <w:color w:val="auto"/>
              </w:rPr>
              <w:t>1,315,121</w:t>
            </w:r>
            <w:r>
              <w:rPr>
                <w:rFonts w:ascii="Arial" w:cs="Arial" w:eastAsia="Arial" w:hAnsi="Arial"/>
                <w:sz w:val="16"/>
                <w:szCs w:val="16"/>
                <w:color w:val="0076A8"/>
              </w:rPr>
              <w:t>(7)</w:t>
            </w:r>
          </w:p>
        </w:tc>
        <w:tc>
          <w:tcPr>
            <w:tcW w:w="1800" w:type="dxa"/>
            <w:vAlign w:val="bottom"/>
            <w:shd w:val="clear" w:color="auto" w:fill="E5E5E5"/>
          </w:tcPr>
          <w:p>
            <w:pPr>
              <w:jc w:val="right"/>
              <w:ind w:right="439"/>
              <w:spacing w:after="0" w:line="178" w:lineRule="exact"/>
              <w:rPr>
                <w:sz w:val="20"/>
                <w:szCs w:val="20"/>
                <w:color w:val="auto"/>
              </w:rPr>
            </w:pPr>
            <w:r>
              <w:rPr>
                <w:rFonts w:ascii="Arial" w:cs="Arial" w:eastAsia="Arial" w:hAnsi="Arial"/>
                <w:sz w:val="16"/>
                <w:szCs w:val="16"/>
                <w:color w:val="auto"/>
              </w:rPr>
              <w:t>—</w:t>
            </w:r>
          </w:p>
        </w:tc>
      </w:tr>
      <w:tr>
        <w:trPr>
          <w:trHeight w:val="195"/>
        </w:trPr>
        <w:tc>
          <w:tcPr>
            <w:tcW w:w="1640" w:type="dxa"/>
            <w:vAlign w:val="bottom"/>
            <w:shd w:val="clear" w:color="auto" w:fill="E5E5E5"/>
          </w:tcPr>
          <w:p>
            <w:pPr>
              <w:spacing w:after="0"/>
              <w:rPr>
                <w:sz w:val="16"/>
                <w:szCs w:val="16"/>
                <w:color w:val="auto"/>
              </w:rPr>
            </w:pPr>
          </w:p>
        </w:tc>
        <w:tc>
          <w:tcPr>
            <w:tcW w:w="1800" w:type="dxa"/>
            <w:vAlign w:val="bottom"/>
            <w:shd w:val="clear" w:color="auto" w:fill="E5E5E5"/>
          </w:tcPr>
          <w:p>
            <w:pPr>
              <w:ind w:left="20"/>
              <w:spacing w:after="0"/>
              <w:rPr>
                <w:sz w:val="20"/>
                <w:szCs w:val="20"/>
                <w:color w:val="auto"/>
              </w:rPr>
            </w:pPr>
            <w:r>
              <w:rPr>
                <w:rFonts w:ascii="Arial" w:cs="Arial" w:eastAsia="Arial" w:hAnsi="Arial"/>
                <w:sz w:val="16"/>
                <w:szCs w:val="16"/>
                <w:color w:val="auto"/>
              </w:rPr>
              <w:t>Incentive</w:t>
            </w:r>
          </w:p>
        </w:tc>
        <w:tc>
          <w:tcPr>
            <w:tcW w:w="2000" w:type="dxa"/>
            <w:vAlign w:val="bottom"/>
            <w:shd w:val="clear" w:color="auto" w:fill="E5E5E5"/>
          </w:tcPr>
          <w:p>
            <w:pPr>
              <w:spacing w:after="0"/>
              <w:rPr>
                <w:sz w:val="16"/>
                <w:szCs w:val="16"/>
                <w:color w:val="auto"/>
              </w:rPr>
            </w:pPr>
          </w:p>
        </w:tc>
        <w:tc>
          <w:tcPr>
            <w:tcW w:w="2160" w:type="dxa"/>
            <w:vAlign w:val="bottom"/>
            <w:shd w:val="clear" w:color="auto" w:fill="E5E5E5"/>
          </w:tcPr>
          <w:p>
            <w:pPr>
              <w:spacing w:after="0"/>
              <w:rPr>
                <w:sz w:val="16"/>
                <w:szCs w:val="16"/>
                <w:color w:val="auto"/>
              </w:rPr>
            </w:pPr>
          </w:p>
        </w:tc>
        <w:tc>
          <w:tcPr>
            <w:tcW w:w="1800" w:type="dxa"/>
            <w:vAlign w:val="bottom"/>
            <w:shd w:val="clear" w:color="auto" w:fill="E5E5E5"/>
          </w:tcPr>
          <w:p>
            <w:pPr>
              <w:spacing w:after="0"/>
              <w:rPr>
                <w:sz w:val="16"/>
                <w:szCs w:val="16"/>
                <w:color w:val="auto"/>
              </w:rPr>
            </w:pPr>
          </w:p>
        </w:tc>
      </w:tr>
      <w:tr>
        <w:trPr>
          <w:trHeight w:val="230"/>
        </w:trPr>
        <w:tc>
          <w:tcPr>
            <w:tcW w:w="1640" w:type="dxa"/>
            <w:vAlign w:val="bottom"/>
            <w:shd w:val="clear" w:color="auto" w:fill="E5E5E5"/>
          </w:tcPr>
          <w:p>
            <w:pPr>
              <w:spacing w:after="0"/>
              <w:rPr>
                <w:sz w:val="19"/>
                <w:szCs w:val="19"/>
                <w:color w:val="auto"/>
              </w:rPr>
            </w:pPr>
          </w:p>
        </w:tc>
        <w:tc>
          <w:tcPr>
            <w:tcW w:w="1800" w:type="dxa"/>
            <w:vAlign w:val="bottom"/>
            <w:shd w:val="clear" w:color="auto" w:fill="E5E5E5"/>
          </w:tcPr>
          <w:p>
            <w:pPr>
              <w:ind w:left="20"/>
              <w:spacing w:after="0"/>
              <w:rPr>
                <w:sz w:val="20"/>
                <w:szCs w:val="20"/>
                <w:color w:val="auto"/>
              </w:rPr>
            </w:pPr>
            <w:r>
              <w:rPr>
                <w:rFonts w:ascii="Arial" w:cs="Arial" w:eastAsia="Arial" w:hAnsi="Arial"/>
                <w:sz w:val="16"/>
                <w:szCs w:val="16"/>
                <w:color w:val="auto"/>
              </w:rPr>
              <w:t>Accelerated RSUs</w:t>
            </w:r>
          </w:p>
        </w:tc>
        <w:tc>
          <w:tcPr>
            <w:tcW w:w="2000" w:type="dxa"/>
            <w:vAlign w:val="bottom"/>
            <w:shd w:val="clear" w:color="auto" w:fill="E5E5E5"/>
          </w:tcPr>
          <w:p>
            <w:pPr>
              <w:jc w:val="right"/>
              <w:ind w:right="639"/>
              <w:spacing w:after="0"/>
              <w:rPr>
                <w:sz w:val="20"/>
                <w:szCs w:val="20"/>
                <w:color w:val="auto"/>
              </w:rPr>
            </w:pPr>
            <w:r>
              <w:rPr>
                <w:rFonts w:ascii="Arial" w:cs="Arial" w:eastAsia="Arial" w:hAnsi="Arial"/>
                <w:sz w:val="16"/>
                <w:szCs w:val="16"/>
                <w:color w:val="auto"/>
              </w:rPr>
              <w:t>—</w:t>
            </w:r>
          </w:p>
        </w:tc>
        <w:tc>
          <w:tcPr>
            <w:tcW w:w="2160" w:type="dxa"/>
            <w:vAlign w:val="bottom"/>
            <w:shd w:val="clear" w:color="auto" w:fill="E5E5E5"/>
          </w:tcPr>
          <w:p>
            <w:pPr>
              <w:jc w:val="right"/>
              <w:ind w:right="719"/>
              <w:spacing w:after="0"/>
              <w:rPr>
                <w:sz w:val="20"/>
                <w:szCs w:val="20"/>
                <w:color w:val="auto"/>
              </w:rPr>
            </w:pPr>
            <w:r>
              <w:rPr>
                <w:rFonts w:ascii="Arial" w:cs="Arial" w:eastAsia="Arial" w:hAnsi="Arial"/>
                <w:sz w:val="16"/>
                <w:szCs w:val="16"/>
                <w:color w:val="auto"/>
              </w:rPr>
              <w:t>5,336,580</w:t>
            </w:r>
          </w:p>
        </w:tc>
        <w:tc>
          <w:tcPr>
            <w:tcW w:w="1800" w:type="dxa"/>
            <w:vAlign w:val="bottom"/>
            <w:shd w:val="clear" w:color="auto" w:fill="E5E5E5"/>
          </w:tcPr>
          <w:p>
            <w:pPr>
              <w:jc w:val="right"/>
              <w:ind w:right="439"/>
              <w:spacing w:after="0"/>
              <w:rPr>
                <w:sz w:val="20"/>
                <w:szCs w:val="20"/>
                <w:color w:val="auto"/>
              </w:rPr>
            </w:pPr>
            <w:r>
              <w:rPr>
                <w:rFonts w:ascii="Arial" w:cs="Arial" w:eastAsia="Arial" w:hAnsi="Arial"/>
                <w:sz w:val="16"/>
                <w:szCs w:val="16"/>
                <w:color w:val="auto"/>
              </w:rPr>
              <w:t>5,336,580</w:t>
            </w:r>
          </w:p>
        </w:tc>
      </w:tr>
      <w:tr>
        <w:trPr>
          <w:trHeight w:val="230"/>
        </w:trPr>
        <w:tc>
          <w:tcPr>
            <w:tcW w:w="1640" w:type="dxa"/>
            <w:vAlign w:val="bottom"/>
            <w:shd w:val="clear" w:color="auto" w:fill="E5E5E5"/>
          </w:tcPr>
          <w:p>
            <w:pPr>
              <w:spacing w:after="0"/>
              <w:rPr>
                <w:sz w:val="19"/>
                <w:szCs w:val="19"/>
                <w:color w:val="auto"/>
              </w:rPr>
            </w:pPr>
          </w:p>
        </w:tc>
        <w:tc>
          <w:tcPr>
            <w:tcW w:w="1800" w:type="dxa"/>
            <w:vAlign w:val="bottom"/>
            <w:shd w:val="clear" w:color="auto" w:fill="E5E5E5"/>
          </w:tcPr>
          <w:p>
            <w:pPr>
              <w:ind w:left="20"/>
              <w:spacing w:after="0"/>
              <w:rPr>
                <w:sz w:val="20"/>
                <w:szCs w:val="20"/>
                <w:color w:val="auto"/>
              </w:rPr>
            </w:pPr>
            <w:r>
              <w:rPr>
                <w:rFonts w:ascii="Arial" w:cs="Arial" w:eastAsia="Arial" w:hAnsi="Arial"/>
                <w:sz w:val="16"/>
                <w:szCs w:val="16"/>
                <w:color w:val="auto"/>
              </w:rPr>
              <w:t>Accelerated PSAs</w:t>
            </w:r>
            <w:r>
              <w:rPr>
                <w:rFonts w:ascii="Arial" w:cs="Arial" w:eastAsia="Arial" w:hAnsi="Arial"/>
                <w:sz w:val="16"/>
                <w:szCs w:val="16"/>
                <w:color w:val="0076A8"/>
              </w:rPr>
              <w:t>(5)</w:t>
            </w:r>
          </w:p>
        </w:tc>
        <w:tc>
          <w:tcPr>
            <w:tcW w:w="2000" w:type="dxa"/>
            <w:vAlign w:val="bottom"/>
            <w:shd w:val="clear" w:color="auto" w:fill="E5E5E5"/>
          </w:tcPr>
          <w:p>
            <w:pPr>
              <w:jc w:val="right"/>
              <w:ind w:right="639"/>
              <w:spacing w:after="0"/>
              <w:rPr>
                <w:sz w:val="20"/>
                <w:szCs w:val="20"/>
                <w:color w:val="auto"/>
              </w:rPr>
            </w:pPr>
            <w:r>
              <w:rPr>
                <w:rFonts w:ascii="Arial" w:cs="Arial" w:eastAsia="Arial" w:hAnsi="Arial"/>
                <w:sz w:val="16"/>
                <w:szCs w:val="16"/>
                <w:color w:val="auto"/>
              </w:rPr>
              <w:t>—</w:t>
            </w:r>
          </w:p>
        </w:tc>
        <w:tc>
          <w:tcPr>
            <w:tcW w:w="2160" w:type="dxa"/>
            <w:vAlign w:val="bottom"/>
            <w:shd w:val="clear" w:color="auto" w:fill="E5E5E5"/>
          </w:tcPr>
          <w:p>
            <w:pPr>
              <w:jc w:val="right"/>
              <w:ind w:right="719"/>
              <w:spacing w:after="0"/>
              <w:rPr>
                <w:sz w:val="20"/>
                <w:szCs w:val="20"/>
                <w:color w:val="auto"/>
              </w:rPr>
            </w:pPr>
            <w:r>
              <w:rPr>
                <w:rFonts w:ascii="Arial" w:cs="Arial" w:eastAsia="Arial" w:hAnsi="Arial"/>
                <w:sz w:val="16"/>
                <w:szCs w:val="16"/>
                <w:color w:val="auto"/>
              </w:rPr>
              <w:t>7,643,590</w:t>
            </w:r>
          </w:p>
        </w:tc>
        <w:tc>
          <w:tcPr>
            <w:tcW w:w="1800" w:type="dxa"/>
            <w:vAlign w:val="bottom"/>
            <w:shd w:val="clear" w:color="auto" w:fill="E5E5E5"/>
          </w:tcPr>
          <w:p>
            <w:pPr>
              <w:jc w:val="right"/>
              <w:ind w:right="439"/>
              <w:spacing w:after="0"/>
              <w:rPr>
                <w:sz w:val="20"/>
                <w:szCs w:val="20"/>
                <w:color w:val="auto"/>
              </w:rPr>
            </w:pPr>
            <w:r>
              <w:rPr>
                <w:rFonts w:ascii="Arial" w:cs="Arial" w:eastAsia="Arial" w:hAnsi="Arial"/>
                <w:sz w:val="16"/>
                <w:szCs w:val="16"/>
                <w:color w:val="auto"/>
              </w:rPr>
              <w:t>7,643,590</w:t>
            </w:r>
          </w:p>
        </w:tc>
      </w:tr>
      <w:tr>
        <w:trPr>
          <w:trHeight w:val="243"/>
        </w:trPr>
        <w:tc>
          <w:tcPr>
            <w:tcW w:w="1640" w:type="dxa"/>
            <w:vAlign w:val="bottom"/>
            <w:tcBorders>
              <w:bottom w:val="single" w:sz="8" w:color="E5E5E5"/>
            </w:tcBorders>
            <w:shd w:val="clear" w:color="auto" w:fill="E5E5E5"/>
          </w:tcPr>
          <w:p>
            <w:pPr>
              <w:spacing w:after="0"/>
              <w:rPr>
                <w:sz w:val="21"/>
                <w:szCs w:val="21"/>
                <w:color w:val="auto"/>
              </w:rPr>
            </w:pPr>
          </w:p>
        </w:tc>
        <w:tc>
          <w:tcPr>
            <w:tcW w:w="1800" w:type="dxa"/>
            <w:vAlign w:val="bottom"/>
            <w:tcBorders>
              <w:bottom w:val="single" w:sz="8" w:color="BFBFBF"/>
            </w:tcBorders>
            <w:shd w:val="clear" w:color="auto" w:fill="E5E5E5"/>
          </w:tcPr>
          <w:p>
            <w:pPr>
              <w:ind w:left="20"/>
              <w:spacing w:after="0"/>
              <w:rPr>
                <w:sz w:val="20"/>
                <w:szCs w:val="20"/>
                <w:color w:val="auto"/>
              </w:rPr>
            </w:pPr>
            <w:r>
              <w:rPr>
                <w:rFonts w:ascii="Arial" w:cs="Arial" w:eastAsia="Arial" w:hAnsi="Arial"/>
                <w:sz w:val="16"/>
                <w:szCs w:val="16"/>
                <w:color w:val="auto"/>
              </w:rPr>
              <w:t>Medical</w:t>
            </w:r>
          </w:p>
        </w:tc>
        <w:tc>
          <w:tcPr>
            <w:tcW w:w="2000" w:type="dxa"/>
            <w:vAlign w:val="bottom"/>
            <w:tcBorders>
              <w:bottom w:val="single" w:sz="8" w:color="BFBFBF"/>
            </w:tcBorders>
            <w:shd w:val="clear" w:color="auto" w:fill="E5E5E5"/>
          </w:tcPr>
          <w:p>
            <w:pPr>
              <w:jc w:val="right"/>
              <w:ind w:right="639"/>
              <w:spacing w:after="0"/>
              <w:rPr>
                <w:sz w:val="20"/>
                <w:szCs w:val="20"/>
                <w:color w:val="auto"/>
              </w:rPr>
            </w:pPr>
            <w:r>
              <w:rPr>
                <w:rFonts w:ascii="Arial" w:cs="Arial" w:eastAsia="Arial" w:hAnsi="Arial"/>
                <w:sz w:val="16"/>
                <w:szCs w:val="16"/>
                <w:color w:val="auto"/>
              </w:rPr>
              <w:t>24,426</w:t>
            </w:r>
          </w:p>
        </w:tc>
        <w:tc>
          <w:tcPr>
            <w:tcW w:w="2160" w:type="dxa"/>
            <w:vAlign w:val="bottom"/>
            <w:tcBorders>
              <w:bottom w:val="single" w:sz="8" w:color="BFBFBF"/>
            </w:tcBorders>
            <w:shd w:val="clear" w:color="auto" w:fill="E5E5E5"/>
          </w:tcPr>
          <w:p>
            <w:pPr>
              <w:jc w:val="right"/>
              <w:ind w:right="719"/>
              <w:spacing w:after="0"/>
              <w:rPr>
                <w:sz w:val="20"/>
                <w:szCs w:val="20"/>
                <w:color w:val="auto"/>
              </w:rPr>
            </w:pPr>
            <w:r>
              <w:rPr>
                <w:rFonts w:ascii="Arial" w:cs="Arial" w:eastAsia="Arial" w:hAnsi="Arial"/>
                <w:sz w:val="16"/>
                <w:szCs w:val="16"/>
                <w:color w:val="auto"/>
              </w:rPr>
              <w:t>36,639</w:t>
            </w:r>
          </w:p>
        </w:tc>
        <w:tc>
          <w:tcPr>
            <w:tcW w:w="1800" w:type="dxa"/>
            <w:vAlign w:val="bottom"/>
            <w:tcBorders>
              <w:bottom w:val="single" w:sz="8" w:color="BFBFBF"/>
            </w:tcBorders>
            <w:shd w:val="clear" w:color="auto" w:fill="E5E5E5"/>
          </w:tcPr>
          <w:p>
            <w:pPr>
              <w:jc w:val="right"/>
              <w:ind w:right="439"/>
              <w:spacing w:after="0"/>
              <w:rPr>
                <w:sz w:val="20"/>
                <w:szCs w:val="20"/>
                <w:color w:val="auto"/>
              </w:rPr>
            </w:pPr>
            <w:r>
              <w:rPr>
                <w:rFonts w:ascii="Arial" w:cs="Arial" w:eastAsia="Arial" w:hAnsi="Arial"/>
                <w:sz w:val="16"/>
                <w:szCs w:val="16"/>
                <w:color w:val="auto"/>
              </w:rPr>
              <w:t>—</w:t>
            </w:r>
          </w:p>
        </w:tc>
      </w:tr>
      <w:tr>
        <w:trPr>
          <w:trHeight w:val="223"/>
        </w:trPr>
        <w:tc>
          <w:tcPr>
            <w:tcW w:w="1640" w:type="dxa"/>
            <w:vAlign w:val="bottom"/>
            <w:tcBorders>
              <w:bottom w:val="single" w:sz="8" w:color="BFBFBF"/>
            </w:tcBorders>
            <w:shd w:val="clear" w:color="auto" w:fill="E5E5E5"/>
          </w:tcPr>
          <w:p>
            <w:pPr>
              <w:spacing w:after="0"/>
              <w:rPr>
                <w:sz w:val="19"/>
                <w:szCs w:val="19"/>
                <w:color w:val="auto"/>
              </w:rPr>
            </w:pPr>
          </w:p>
        </w:tc>
        <w:tc>
          <w:tcPr>
            <w:tcW w:w="1800" w:type="dxa"/>
            <w:vAlign w:val="bottom"/>
            <w:tcBorders>
              <w:bottom w:val="single" w:sz="8" w:color="BFBFBF"/>
            </w:tcBorders>
            <w:shd w:val="clear" w:color="auto" w:fill="E5E5E5"/>
          </w:tcPr>
          <w:p>
            <w:pPr>
              <w:ind w:left="20"/>
              <w:spacing w:after="0"/>
              <w:rPr>
                <w:sz w:val="20"/>
                <w:szCs w:val="20"/>
                <w:color w:val="auto"/>
              </w:rPr>
            </w:pPr>
            <w:r>
              <w:rPr>
                <w:rFonts w:ascii="Arial" w:cs="Arial" w:eastAsia="Arial" w:hAnsi="Arial"/>
                <w:sz w:val="16"/>
                <w:szCs w:val="16"/>
                <w:color w:val="auto"/>
              </w:rPr>
              <w:t>TOTAL</w:t>
            </w:r>
          </w:p>
        </w:tc>
        <w:tc>
          <w:tcPr>
            <w:tcW w:w="2000" w:type="dxa"/>
            <w:vAlign w:val="bottom"/>
            <w:tcBorders>
              <w:bottom w:val="single" w:sz="8" w:color="BFBFBF"/>
            </w:tcBorders>
            <w:shd w:val="clear" w:color="auto" w:fill="E5E5E5"/>
          </w:tcPr>
          <w:p>
            <w:pPr>
              <w:jc w:val="right"/>
              <w:ind w:right="639"/>
              <w:spacing w:after="0"/>
              <w:rPr>
                <w:sz w:val="20"/>
                <w:szCs w:val="20"/>
                <w:color w:val="auto"/>
              </w:rPr>
            </w:pPr>
            <w:r>
              <w:rPr>
                <w:rFonts w:ascii="Arial" w:cs="Arial" w:eastAsia="Arial" w:hAnsi="Arial"/>
                <w:sz w:val="16"/>
                <w:szCs w:val="16"/>
                <w:color w:val="auto"/>
              </w:rPr>
              <w:t>499,426</w:t>
            </w:r>
          </w:p>
        </w:tc>
        <w:tc>
          <w:tcPr>
            <w:tcW w:w="2160" w:type="dxa"/>
            <w:vAlign w:val="bottom"/>
            <w:tcBorders>
              <w:bottom w:val="single" w:sz="8" w:color="BFBFBF"/>
            </w:tcBorders>
            <w:shd w:val="clear" w:color="auto" w:fill="E5E5E5"/>
          </w:tcPr>
          <w:p>
            <w:pPr>
              <w:jc w:val="right"/>
              <w:ind w:right="719"/>
              <w:spacing w:after="0"/>
              <w:rPr>
                <w:sz w:val="20"/>
                <w:szCs w:val="20"/>
                <w:color w:val="auto"/>
              </w:rPr>
            </w:pPr>
            <w:r>
              <w:rPr>
                <w:rFonts w:ascii="Arial" w:cs="Arial" w:eastAsia="Arial" w:hAnsi="Arial"/>
                <w:sz w:val="16"/>
                <w:szCs w:val="16"/>
                <w:color w:val="auto"/>
              </w:rPr>
              <w:t>14,331,930</w:t>
            </w:r>
          </w:p>
        </w:tc>
        <w:tc>
          <w:tcPr>
            <w:tcW w:w="1800" w:type="dxa"/>
            <w:vAlign w:val="bottom"/>
            <w:tcBorders>
              <w:bottom w:val="single" w:sz="8" w:color="BFBFBF"/>
            </w:tcBorders>
            <w:shd w:val="clear" w:color="auto" w:fill="E5E5E5"/>
          </w:tcPr>
          <w:p>
            <w:pPr>
              <w:jc w:val="right"/>
              <w:ind w:right="439"/>
              <w:spacing w:after="0"/>
              <w:rPr>
                <w:sz w:val="20"/>
                <w:szCs w:val="20"/>
                <w:color w:val="auto"/>
              </w:rPr>
            </w:pPr>
            <w:r>
              <w:rPr>
                <w:rFonts w:ascii="Arial" w:cs="Arial" w:eastAsia="Arial" w:hAnsi="Arial"/>
                <w:sz w:val="16"/>
                <w:szCs w:val="16"/>
                <w:color w:val="auto"/>
              </w:rPr>
              <w:t>12,980,170</w:t>
            </w:r>
          </w:p>
        </w:tc>
      </w:tr>
      <w:tr>
        <w:trPr>
          <w:trHeight w:val="177"/>
        </w:trPr>
        <w:tc>
          <w:tcPr>
            <w:tcW w:w="1640" w:type="dxa"/>
            <w:vAlign w:val="bottom"/>
          </w:tcPr>
          <w:p>
            <w:pPr>
              <w:ind w:left="40"/>
              <w:spacing w:after="0" w:line="178" w:lineRule="exact"/>
              <w:rPr>
                <w:sz w:val="20"/>
                <w:szCs w:val="20"/>
                <w:color w:val="auto"/>
              </w:rPr>
            </w:pPr>
            <w:r>
              <w:rPr>
                <w:rFonts w:ascii="Arial" w:cs="Arial" w:eastAsia="Arial" w:hAnsi="Arial"/>
                <w:sz w:val="16"/>
                <w:szCs w:val="16"/>
                <w:color w:val="auto"/>
              </w:rPr>
              <w:t>Robert J. Terry</w:t>
            </w:r>
            <w:r>
              <w:rPr>
                <w:rFonts w:ascii="Arial" w:cs="Arial" w:eastAsia="Arial" w:hAnsi="Arial"/>
                <w:sz w:val="16"/>
                <w:szCs w:val="16"/>
                <w:color w:val="0076A8"/>
              </w:rPr>
              <w:t>(2)</w:t>
            </w:r>
          </w:p>
        </w:tc>
        <w:tc>
          <w:tcPr>
            <w:tcW w:w="1800" w:type="dxa"/>
            <w:vAlign w:val="bottom"/>
          </w:tcPr>
          <w:p>
            <w:pPr>
              <w:ind w:left="20"/>
              <w:spacing w:after="0" w:line="178" w:lineRule="exact"/>
              <w:rPr>
                <w:sz w:val="20"/>
                <w:szCs w:val="20"/>
                <w:color w:val="auto"/>
              </w:rPr>
            </w:pPr>
            <w:r>
              <w:rPr>
                <w:rFonts w:ascii="Arial" w:cs="Arial" w:eastAsia="Arial" w:hAnsi="Arial"/>
                <w:sz w:val="16"/>
                <w:szCs w:val="16"/>
                <w:color w:val="auto"/>
              </w:rPr>
              <w:t>Salary and Short-Term</w:t>
            </w:r>
          </w:p>
        </w:tc>
        <w:tc>
          <w:tcPr>
            <w:tcW w:w="2000" w:type="dxa"/>
            <w:vAlign w:val="bottom"/>
          </w:tcPr>
          <w:p>
            <w:pPr>
              <w:jc w:val="right"/>
              <w:ind w:right="439"/>
              <w:spacing w:after="0" w:line="178" w:lineRule="exact"/>
              <w:rPr>
                <w:sz w:val="20"/>
                <w:szCs w:val="20"/>
                <w:color w:val="auto"/>
              </w:rPr>
            </w:pPr>
            <w:r>
              <w:rPr>
                <w:rFonts w:ascii="Arial" w:cs="Arial" w:eastAsia="Arial" w:hAnsi="Arial"/>
                <w:sz w:val="16"/>
                <w:szCs w:val="16"/>
                <w:color w:val="auto"/>
              </w:rPr>
              <w:t>492,000</w:t>
            </w:r>
            <w:r>
              <w:rPr>
                <w:rFonts w:ascii="Arial" w:cs="Arial" w:eastAsia="Arial" w:hAnsi="Arial"/>
                <w:sz w:val="16"/>
                <w:szCs w:val="16"/>
                <w:color w:val="0076A8"/>
              </w:rPr>
              <w:t>(6)</w:t>
            </w:r>
          </w:p>
        </w:tc>
        <w:tc>
          <w:tcPr>
            <w:tcW w:w="2160" w:type="dxa"/>
            <w:vAlign w:val="bottom"/>
          </w:tcPr>
          <w:p>
            <w:pPr>
              <w:jc w:val="right"/>
              <w:ind w:right="519"/>
              <w:spacing w:after="0" w:line="178" w:lineRule="exact"/>
              <w:rPr>
                <w:sz w:val="20"/>
                <w:szCs w:val="20"/>
                <w:color w:val="auto"/>
              </w:rPr>
            </w:pPr>
            <w:r>
              <w:rPr>
                <w:rFonts w:ascii="Arial" w:cs="Arial" w:eastAsia="Arial" w:hAnsi="Arial"/>
                <w:sz w:val="16"/>
                <w:szCs w:val="16"/>
                <w:color w:val="auto"/>
              </w:rPr>
              <w:t>1,360,413</w:t>
            </w:r>
            <w:r>
              <w:rPr>
                <w:rFonts w:ascii="Arial" w:cs="Arial" w:eastAsia="Arial" w:hAnsi="Arial"/>
                <w:sz w:val="16"/>
                <w:szCs w:val="16"/>
                <w:color w:val="0076A8"/>
              </w:rPr>
              <w:t>(7)</w:t>
            </w:r>
          </w:p>
        </w:tc>
        <w:tc>
          <w:tcPr>
            <w:tcW w:w="1800" w:type="dxa"/>
            <w:vAlign w:val="bottom"/>
          </w:tcPr>
          <w:p>
            <w:pPr>
              <w:jc w:val="right"/>
              <w:ind w:right="439"/>
              <w:spacing w:after="0" w:line="178" w:lineRule="exact"/>
              <w:rPr>
                <w:sz w:val="20"/>
                <w:szCs w:val="20"/>
                <w:color w:val="auto"/>
              </w:rPr>
            </w:pPr>
            <w:r>
              <w:rPr>
                <w:rFonts w:ascii="Arial" w:cs="Arial" w:eastAsia="Arial" w:hAnsi="Arial"/>
                <w:sz w:val="16"/>
                <w:szCs w:val="16"/>
                <w:color w:val="auto"/>
              </w:rPr>
              <w:t>—</w:t>
            </w:r>
          </w:p>
        </w:tc>
      </w:tr>
      <w:tr>
        <w:trPr>
          <w:trHeight w:val="195"/>
        </w:trPr>
        <w:tc>
          <w:tcPr>
            <w:tcW w:w="1640" w:type="dxa"/>
            <w:vAlign w:val="bottom"/>
          </w:tcPr>
          <w:p>
            <w:pPr>
              <w:spacing w:after="0"/>
              <w:rPr>
                <w:sz w:val="16"/>
                <w:szCs w:val="16"/>
                <w:color w:val="auto"/>
              </w:rPr>
            </w:pPr>
          </w:p>
        </w:tc>
        <w:tc>
          <w:tcPr>
            <w:tcW w:w="1800" w:type="dxa"/>
            <w:vAlign w:val="bottom"/>
          </w:tcPr>
          <w:p>
            <w:pPr>
              <w:ind w:left="20"/>
              <w:spacing w:after="0"/>
              <w:rPr>
                <w:sz w:val="20"/>
                <w:szCs w:val="20"/>
                <w:color w:val="auto"/>
              </w:rPr>
            </w:pPr>
            <w:r>
              <w:rPr>
                <w:rFonts w:ascii="Arial" w:cs="Arial" w:eastAsia="Arial" w:hAnsi="Arial"/>
                <w:sz w:val="16"/>
                <w:szCs w:val="16"/>
                <w:color w:val="auto"/>
              </w:rPr>
              <w:t>Incentive</w:t>
            </w:r>
          </w:p>
        </w:tc>
        <w:tc>
          <w:tcPr>
            <w:tcW w:w="20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800" w:type="dxa"/>
            <w:vAlign w:val="bottom"/>
          </w:tcPr>
          <w:p>
            <w:pPr>
              <w:spacing w:after="0"/>
              <w:rPr>
                <w:sz w:val="16"/>
                <w:szCs w:val="16"/>
                <w:color w:val="auto"/>
              </w:rPr>
            </w:pPr>
          </w:p>
        </w:tc>
      </w:tr>
      <w:tr>
        <w:trPr>
          <w:trHeight w:val="230"/>
        </w:trPr>
        <w:tc>
          <w:tcPr>
            <w:tcW w:w="1640" w:type="dxa"/>
            <w:vAlign w:val="bottom"/>
          </w:tcPr>
          <w:p>
            <w:pPr>
              <w:spacing w:after="0"/>
              <w:rPr>
                <w:sz w:val="19"/>
                <w:szCs w:val="19"/>
                <w:color w:val="auto"/>
              </w:rPr>
            </w:pPr>
          </w:p>
        </w:tc>
        <w:tc>
          <w:tcPr>
            <w:tcW w:w="1800" w:type="dxa"/>
            <w:vAlign w:val="bottom"/>
          </w:tcPr>
          <w:p>
            <w:pPr>
              <w:ind w:left="20"/>
              <w:spacing w:after="0"/>
              <w:rPr>
                <w:sz w:val="20"/>
                <w:szCs w:val="20"/>
                <w:color w:val="auto"/>
              </w:rPr>
            </w:pPr>
            <w:r>
              <w:rPr>
                <w:rFonts w:ascii="Arial" w:cs="Arial" w:eastAsia="Arial" w:hAnsi="Arial"/>
                <w:sz w:val="16"/>
                <w:szCs w:val="16"/>
                <w:color w:val="auto"/>
              </w:rPr>
              <w:t>Accelerated RSUs</w:t>
            </w:r>
          </w:p>
        </w:tc>
        <w:tc>
          <w:tcPr>
            <w:tcW w:w="2000" w:type="dxa"/>
            <w:vAlign w:val="bottom"/>
          </w:tcPr>
          <w:p>
            <w:pPr>
              <w:jc w:val="right"/>
              <w:ind w:right="639"/>
              <w:spacing w:after="0"/>
              <w:rPr>
                <w:sz w:val="20"/>
                <w:szCs w:val="20"/>
                <w:color w:val="auto"/>
              </w:rPr>
            </w:pPr>
            <w:r>
              <w:rPr>
                <w:rFonts w:ascii="Arial" w:cs="Arial" w:eastAsia="Arial" w:hAnsi="Arial"/>
                <w:sz w:val="16"/>
                <w:szCs w:val="16"/>
                <w:color w:val="auto"/>
              </w:rPr>
              <w:t>—</w:t>
            </w:r>
          </w:p>
        </w:tc>
        <w:tc>
          <w:tcPr>
            <w:tcW w:w="2160" w:type="dxa"/>
            <w:vAlign w:val="bottom"/>
          </w:tcPr>
          <w:p>
            <w:pPr>
              <w:jc w:val="right"/>
              <w:ind w:right="719"/>
              <w:spacing w:after="0"/>
              <w:rPr>
                <w:sz w:val="20"/>
                <w:szCs w:val="20"/>
                <w:color w:val="auto"/>
              </w:rPr>
            </w:pPr>
            <w:r>
              <w:rPr>
                <w:rFonts w:ascii="Arial" w:cs="Arial" w:eastAsia="Arial" w:hAnsi="Arial"/>
                <w:sz w:val="16"/>
                <w:szCs w:val="16"/>
                <w:color w:val="auto"/>
              </w:rPr>
              <w:t>4,416,988</w:t>
            </w:r>
          </w:p>
        </w:tc>
        <w:tc>
          <w:tcPr>
            <w:tcW w:w="1800" w:type="dxa"/>
            <w:vAlign w:val="bottom"/>
          </w:tcPr>
          <w:p>
            <w:pPr>
              <w:jc w:val="right"/>
              <w:ind w:right="439"/>
              <w:spacing w:after="0"/>
              <w:rPr>
                <w:sz w:val="20"/>
                <w:szCs w:val="20"/>
                <w:color w:val="auto"/>
              </w:rPr>
            </w:pPr>
            <w:r>
              <w:rPr>
                <w:rFonts w:ascii="Arial" w:cs="Arial" w:eastAsia="Arial" w:hAnsi="Arial"/>
                <w:sz w:val="16"/>
                <w:szCs w:val="16"/>
                <w:color w:val="auto"/>
              </w:rPr>
              <w:t>4,416,988</w:t>
            </w:r>
          </w:p>
        </w:tc>
      </w:tr>
      <w:tr>
        <w:trPr>
          <w:trHeight w:val="230"/>
        </w:trPr>
        <w:tc>
          <w:tcPr>
            <w:tcW w:w="1640" w:type="dxa"/>
            <w:vAlign w:val="bottom"/>
          </w:tcPr>
          <w:p>
            <w:pPr>
              <w:spacing w:after="0"/>
              <w:rPr>
                <w:sz w:val="19"/>
                <w:szCs w:val="19"/>
                <w:color w:val="auto"/>
              </w:rPr>
            </w:pPr>
          </w:p>
        </w:tc>
        <w:tc>
          <w:tcPr>
            <w:tcW w:w="1800" w:type="dxa"/>
            <w:vAlign w:val="bottom"/>
          </w:tcPr>
          <w:p>
            <w:pPr>
              <w:ind w:left="20"/>
              <w:spacing w:after="0"/>
              <w:rPr>
                <w:sz w:val="20"/>
                <w:szCs w:val="20"/>
                <w:color w:val="auto"/>
              </w:rPr>
            </w:pPr>
            <w:r>
              <w:rPr>
                <w:rFonts w:ascii="Arial" w:cs="Arial" w:eastAsia="Arial" w:hAnsi="Arial"/>
                <w:sz w:val="16"/>
                <w:szCs w:val="16"/>
                <w:color w:val="auto"/>
              </w:rPr>
              <w:t>Accelerated PSAs</w:t>
            </w:r>
            <w:r>
              <w:rPr>
                <w:rFonts w:ascii="Arial" w:cs="Arial" w:eastAsia="Arial" w:hAnsi="Arial"/>
                <w:sz w:val="16"/>
                <w:szCs w:val="16"/>
                <w:color w:val="0076A8"/>
              </w:rPr>
              <w:t>(5)</w:t>
            </w:r>
          </w:p>
        </w:tc>
        <w:tc>
          <w:tcPr>
            <w:tcW w:w="2000" w:type="dxa"/>
            <w:vAlign w:val="bottom"/>
          </w:tcPr>
          <w:p>
            <w:pPr>
              <w:jc w:val="right"/>
              <w:ind w:right="639"/>
              <w:spacing w:after="0"/>
              <w:rPr>
                <w:sz w:val="20"/>
                <w:szCs w:val="20"/>
                <w:color w:val="auto"/>
              </w:rPr>
            </w:pPr>
            <w:r>
              <w:rPr>
                <w:rFonts w:ascii="Arial" w:cs="Arial" w:eastAsia="Arial" w:hAnsi="Arial"/>
                <w:sz w:val="16"/>
                <w:szCs w:val="16"/>
                <w:color w:val="auto"/>
              </w:rPr>
              <w:t>—</w:t>
            </w:r>
          </w:p>
        </w:tc>
        <w:tc>
          <w:tcPr>
            <w:tcW w:w="2160" w:type="dxa"/>
            <w:vAlign w:val="bottom"/>
          </w:tcPr>
          <w:p>
            <w:pPr>
              <w:jc w:val="right"/>
              <w:ind w:right="719"/>
              <w:spacing w:after="0"/>
              <w:rPr>
                <w:sz w:val="20"/>
                <w:szCs w:val="20"/>
                <w:color w:val="auto"/>
              </w:rPr>
            </w:pPr>
            <w:r>
              <w:rPr>
                <w:rFonts w:ascii="Arial" w:cs="Arial" w:eastAsia="Arial" w:hAnsi="Arial"/>
                <w:sz w:val="16"/>
                <w:szCs w:val="16"/>
                <w:color w:val="auto"/>
              </w:rPr>
              <w:t>6,729,900</w:t>
            </w:r>
          </w:p>
        </w:tc>
        <w:tc>
          <w:tcPr>
            <w:tcW w:w="1800" w:type="dxa"/>
            <w:vAlign w:val="bottom"/>
          </w:tcPr>
          <w:p>
            <w:pPr>
              <w:jc w:val="right"/>
              <w:ind w:right="439"/>
              <w:spacing w:after="0"/>
              <w:rPr>
                <w:sz w:val="20"/>
                <w:szCs w:val="20"/>
                <w:color w:val="auto"/>
              </w:rPr>
            </w:pPr>
            <w:r>
              <w:rPr>
                <w:rFonts w:ascii="Arial" w:cs="Arial" w:eastAsia="Arial" w:hAnsi="Arial"/>
                <w:sz w:val="16"/>
                <w:szCs w:val="16"/>
                <w:color w:val="auto"/>
              </w:rPr>
              <w:t>6,729,900</w:t>
            </w:r>
          </w:p>
        </w:tc>
      </w:tr>
      <w:tr>
        <w:trPr>
          <w:trHeight w:val="243"/>
        </w:trPr>
        <w:tc>
          <w:tcPr>
            <w:tcW w:w="1640" w:type="dxa"/>
            <w:vAlign w:val="bottom"/>
          </w:tcPr>
          <w:p>
            <w:pPr>
              <w:spacing w:after="0"/>
              <w:rPr>
                <w:sz w:val="21"/>
                <w:szCs w:val="21"/>
                <w:color w:val="auto"/>
              </w:rPr>
            </w:pPr>
          </w:p>
        </w:tc>
        <w:tc>
          <w:tcPr>
            <w:tcW w:w="1800" w:type="dxa"/>
            <w:vAlign w:val="bottom"/>
            <w:tcBorders>
              <w:bottom w:val="single" w:sz="8" w:color="BFBFBF"/>
            </w:tcBorders>
          </w:tcPr>
          <w:p>
            <w:pPr>
              <w:ind w:left="20"/>
              <w:spacing w:after="0"/>
              <w:rPr>
                <w:sz w:val="20"/>
                <w:szCs w:val="20"/>
                <w:color w:val="auto"/>
              </w:rPr>
            </w:pPr>
            <w:r>
              <w:rPr>
                <w:rFonts w:ascii="Arial" w:cs="Arial" w:eastAsia="Arial" w:hAnsi="Arial"/>
                <w:sz w:val="16"/>
                <w:szCs w:val="16"/>
                <w:color w:val="auto"/>
              </w:rPr>
              <w:t>Medical</w:t>
            </w:r>
          </w:p>
        </w:tc>
        <w:tc>
          <w:tcPr>
            <w:tcW w:w="2000" w:type="dxa"/>
            <w:vAlign w:val="bottom"/>
            <w:tcBorders>
              <w:bottom w:val="single" w:sz="8" w:color="BFBFBF"/>
            </w:tcBorders>
          </w:tcPr>
          <w:p>
            <w:pPr>
              <w:jc w:val="right"/>
              <w:ind w:right="639"/>
              <w:spacing w:after="0"/>
              <w:rPr>
                <w:sz w:val="20"/>
                <w:szCs w:val="20"/>
                <w:color w:val="auto"/>
              </w:rPr>
            </w:pPr>
            <w:r>
              <w:rPr>
                <w:rFonts w:ascii="Arial" w:cs="Arial" w:eastAsia="Arial" w:hAnsi="Arial"/>
                <w:sz w:val="16"/>
                <w:szCs w:val="16"/>
                <w:color w:val="auto"/>
              </w:rPr>
              <w:t>24,426</w:t>
            </w:r>
          </w:p>
        </w:tc>
        <w:tc>
          <w:tcPr>
            <w:tcW w:w="2160" w:type="dxa"/>
            <w:vAlign w:val="bottom"/>
            <w:tcBorders>
              <w:bottom w:val="single" w:sz="8" w:color="BFBFBF"/>
            </w:tcBorders>
          </w:tcPr>
          <w:p>
            <w:pPr>
              <w:jc w:val="right"/>
              <w:ind w:right="719"/>
              <w:spacing w:after="0"/>
              <w:rPr>
                <w:sz w:val="20"/>
                <w:szCs w:val="20"/>
                <w:color w:val="auto"/>
              </w:rPr>
            </w:pPr>
            <w:r>
              <w:rPr>
                <w:rFonts w:ascii="Arial" w:cs="Arial" w:eastAsia="Arial" w:hAnsi="Arial"/>
                <w:sz w:val="16"/>
                <w:szCs w:val="16"/>
                <w:color w:val="auto"/>
              </w:rPr>
              <w:t>36,639</w:t>
            </w:r>
          </w:p>
        </w:tc>
        <w:tc>
          <w:tcPr>
            <w:tcW w:w="1800" w:type="dxa"/>
            <w:vAlign w:val="bottom"/>
            <w:tcBorders>
              <w:bottom w:val="single" w:sz="8" w:color="BFBFBF"/>
            </w:tcBorders>
          </w:tcPr>
          <w:p>
            <w:pPr>
              <w:jc w:val="right"/>
              <w:ind w:right="439"/>
              <w:spacing w:after="0"/>
              <w:rPr>
                <w:sz w:val="20"/>
                <w:szCs w:val="20"/>
                <w:color w:val="auto"/>
              </w:rPr>
            </w:pPr>
            <w:r>
              <w:rPr>
                <w:rFonts w:ascii="Arial" w:cs="Arial" w:eastAsia="Arial" w:hAnsi="Arial"/>
                <w:sz w:val="16"/>
                <w:szCs w:val="16"/>
                <w:color w:val="auto"/>
              </w:rPr>
              <w:t>—</w:t>
            </w:r>
          </w:p>
        </w:tc>
      </w:tr>
      <w:tr>
        <w:trPr>
          <w:trHeight w:val="223"/>
        </w:trPr>
        <w:tc>
          <w:tcPr>
            <w:tcW w:w="1640" w:type="dxa"/>
            <w:vAlign w:val="bottom"/>
            <w:tcBorders>
              <w:bottom w:val="single" w:sz="8" w:color="BFBFBF"/>
            </w:tcBorders>
          </w:tcPr>
          <w:p>
            <w:pPr>
              <w:spacing w:after="0"/>
              <w:rPr>
                <w:sz w:val="19"/>
                <w:szCs w:val="19"/>
                <w:color w:val="auto"/>
              </w:rPr>
            </w:pPr>
          </w:p>
        </w:tc>
        <w:tc>
          <w:tcPr>
            <w:tcW w:w="1800" w:type="dxa"/>
            <w:vAlign w:val="bottom"/>
            <w:tcBorders>
              <w:bottom w:val="single" w:sz="8" w:color="BFBFBF"/>
            </w:tcBorders>
          </w:tcPr>
          <w:p>
            <w:pPr>
              <w:ind w:left="20"/>
              <w:spacing w:after="0"/>
              <w:rPr>
                <w:sz w:val="20"/>
                <w:szCs w:val="20"/>
                <w:color w:val="auto"/>
              </w:rPr>
            </w:pPr>
            <w:r>
              <w:rPr>
                <w:rFonts w:ascii="Arial" w:cs="Arial" w:eastAsia="Arial" w:hAnsi="Arial"/>
                <w:sz w:val="16"/>
                <w:szCs w:val="16"/>
                <w:color w:val="auto"/>
              </w:rPr>
              <w:t>TOTAL</w:t>
            </w:r>
          </w:p>
        </w:tc>
        <w:tc>
          <w:tcPr>
            <w:tcW w:w="2000" w:type="dxa"/>
            <w:vAlign w:val="bottom"/>
            <w:tcBorders>
              <w:bottom w:val="single" w:sz="8" w:color="BFBFBF"/>
            </w:tcBorders>
          </w:tcPr>
          <w:p>
            <w:pPr>
              <w:jc w:val="right"/>
              <w:ind w:right="639"/>
              <w:spacing w:after="0"/>
              <w:rPr>
                <w:sz w:val="20"/>
                <w:szCs w:val="20"/>
                <w:color w:val="auto"/>
              </w:rPr>
            </w:pPr>
            <w:r>
              <w:rPr>
                <w:rFonts w:ascii="Arial" w:cs="Arial" w:eastAsia="Arial" w:hAnsi="Arial"/>
                <w:sz w:val="16"/>
                <w:szCs w:val="16"/>
                <w:color w:val="auto"/>
              </w:rPr>
              <w:t>516,426</w:t>
            </w:r>
          </w:p>
        </w:tc>
        <w:tc>
          <w:tcPr>
            <w:tcW w:w="2160" w:type="dxa"/>
            <w:vAlign w:val="bottom"/>
            <w:tcBorders>
              <w:bottom w:val="single" w:sz="8" w:color="BFBFBF"/>
            </w:tcBorders>
          </w:tcPr>
          <w:p>
            <w:pPr>
              <w:jc w:val="right"/>
              <w:ind w:right="719"/>
              <w:spacing w:after="0"/>
              <w:rPr>
                <w:sz w:val="20"/>
                <w:szCs w:val="20"/>
                <w:color w:val="auto"/>
              </w:rPr>
            </w:pPr>
            <w:r>
              <w:rPr>
                <w:rFonts w:ascii="Arial" w:cs="Arial" w:eastAsia="Arial" w:hAnsi="Arial"/>
                <w:sz w:val="16"/>
                <w:szCs w:val="16"/>
                <w:color w:val="auto"/>
              </w:rPr>
              <w:t>12,543,940</w:t>
            </w:r>
          </w:p>
        </w:tc>
        <w:tc>
          <w:tcPr>
            <w:tcW w:w="1800" w:type="dxa"/>
            <w:vAlign w:val="bottom"/>
            <w:tcBorders>
              <w:bottom w:val="single" w:sz="8" w:color="BFBFBF"/>
            </w:tcBorders>
          </w:tcPr>
          <w:p>
            <w:pPr>
              <w:jc w:val="right"/>
              <w:ind w:right="439"/>
              <w:spacing w:after="0"/>
              <w:rPr>
                <w:sz w:val="20"/>
                <w:szCs w:val="20"/>
                <w:color w:val="auto"/>
              </w:rPr>
            </w:pPr>
            <w:r>
              <w:rPr>
                <w:rFonts w:ascii="Arial" w:cs="Arial" w:eastAsia="Arial" w:hAnsi="Arial"/>
                <w:sz w:val="16"/>
                <w:szCs w:val="16"/>
                <w:color w:val="auto"/>
              </w:rPr>
              <w:t>11,146,888</w:t>
            </w:r>
          </w:p>
        </w:tc>
      </w:tr>
      <w:tr>
        <w:trPr>
          <w:trHeight w:val="177"/>
        </w:trPr>
        <w:tc>
          <w:tcPr>
            <w:tcW w:w="1640" w:type="dxa"/>
            <w:vAlign w:val="bottom"/>
            <w:shd w:val="clear" w:color="auto" w:fill="E5E5E5"/>
          </w:tcPr>
          <w:p>
            <w:pPr>
              <w:ind w:left="40"/>
              <w:spacing w:after="0" w:line="178" w:lineRule="exact"/>
              <w:rPr>
                <w:sz w:val="20"/>
                <w:szCs w:val="20"/>
                <w:color w:val="auto"/>
              </w:rPr>
            </w:pPr>
            <w:r>
              <w:rPr>
                <w:rFonts w:ascii="Arial" w:cs="Arial" w:eastAsia="Arial" w:hAnsi="Arial"/>
                <w:sz w:val="16"/>
                <w:szCs w:val="16"/>
                <w:color w:val="auto"/>
              </w:rPr>
              <w:t>Karilee A. Durham</w:t>
            </w:r>
            <w:r>
              <w:rPr>
                <w:rFonts w:ascii="Arial" w:cs="Arial" w:eastAsia="Arial" w:hAnsi="Arial"/>
                <w:sz w:val="16"/>
                <w:szCs w:val="16"/>
                <w:color w:val="0076A8"/>
              </w:rPr>
              <w:t>(2)</w:t>
            </w:r>
          </w:p>
        </w:tc>
        <w:tc>
          <w:tcPr>
            <w:tcW w:w="1800" w:type="dxa"/>
            <w:vAlign w:val="bottom"/>
            <w:shd w:val="clear" w:color="auto" w:fill="E5E5E5"/>
          </w:tcPr>
          <w:p>
            <w:pPr>
              <w:ind w:left="20"/>
              <w:spacing w:after="0" w:line="178" w:lineRule="exact"/>
              <w:rPr>
                <w:sz w:val="20"/>
                <w:szCs w:val="20"/>
                <w:color w:val="auto"/>
              </w:rPr>
            </w:pPr>
            <w:r>
              <w:rPr>
                <w:rFonts w:ascii="Arial" w:cs="Arial" w:eastAsia="Arial" w:hAnsi="Arial"/>
                <w:sz w:val="16"/>
                <w:szCs w:val="16"/>
                <w:color w:val="auto"/>
              </w:rPr>
              <w:t>Salary and Short-Term</w:t>
            </w:r>
          </w:p>
        </w:tc>
        <w:tc>
          <w:tcPr>
            <w:tcW w:w="2000" w:type="dxa"/>
            <w:vAlign w:val="bottom"/>
            <w:shd w:val="clear" w:color="auto" w:fill="E5E5E5"/>
          </w:tcPr>
          <w:p>
            <w:pPr>
              <w:jc w:val="right"/>
              <w:ind w:right="439"/>
              <w:spacing w:after="0" w:line="178" w:lineRule="exact"/>
              <w:rPr>
                <w:sz w:val="20"/>
                <w:szCs w:val="20"/>
                <w:color w:val="auto"/>
              </w:rPr>
            </w:pPr>
            <w:r>
              <w:rPr>
                <w:rFonts w:ascii="Arial" w:cs="Arial" w:eastAsia="Arial" w:hAnsi="Arial"/>
                <w:sz w:val="16"/>
                <w:szCs w:val="16"/>
                <w:color w:val="auto"/>
              </w:rPr>
              <w:t>450,000</w:t>
            </w:r>
            <w:r>
              <w:rPr>
                <w:rFonts w:ascii="Arial" w:cs="Arial" w:eastAsia="Arial" w:hAnsi="Arial"/>
                <w:sz w:val="16"/>
                <w:szCs w:val="16"/>
                <w:color w:val="0076A8"/>
              </w:rPr>
              <w:t>(6)</w:t>
            </w:r>
          </w:p>
        </w:tc>
        <w:tc>
          <w:tcPr>
            <w:tcW w:w="2160" w:type="dxa"/>
            <w:vAlign w:val="bottom"/>
            <w:shd w:val="clear" w:color="auto" w:fill="E5E5E5"/>
          </w:tcPr>
          <w:p>
            <w:pPr>
              <w:jc w:val="right"/>
              <w:ind w:right="519"/>
              <w:spacing w:after="0" w:line="178" w:lineRule="exact"/>
              <w:rPr>
                <w:sz w:val="20"/>
                <w:szCs w:val="20"/>
                <w:color w:val="auto"/>
              </w:rPr>
            </w:pPr>
            <w:r>
              <w:rPr>
                <w:rFonts w:ascii="Arial" w:cs="Arial" w:eastAsia="Arial" w:hAnsi="Arial"/>
                <w:sz w:val="16"/>
                <w:szCs w:val="16"/>
                <w:color w:val="auto"/>
              </w:rPr>
              <w:t>1,264,453</w:t>
            </w:r>
            <w:r>
              <w:rPr>
                <w:rFonts w:ascii="Arial" w:cs="Arial" w:eastAsia="Arial" w:hAnsi="Arial"/>
                <w:sz w:val="16"/>
                <w:szCs w:val="16"/>
                <w:color w:val="0076A8"/>
              </w:rPr>
              <w:t>(7)</w:t>
            </w:r>
          </w:p>
        </w:tc>
        <w:tc>
          <w:tcPr>
            <w:tcW w:w="1800" w:type="dxa"/>
            <w:vAlign w:val="bottom"/>
            <w:shd w:val="clear" w:color="auto" w:fill="E5E5E5"/>
          </w:tcPr>
          <w:p>
            <w:pPr>
              <w:jc w:val="right"/>
              <w:ind w:right="439"/>
              <w:spacing w:after="0" w:line="178" w:lineRule="exact"/>
              <w:rPr>
                <w:sz w:val="20"/>
                <w:szCs w:val="20"/>
                <w:color w:val="auto"/>
              </w:rPr>
            </w:pPr>
            <w:r>
              <w:rPr>
                <w:rFonts w:ascii="Arial" w:cs="Arial" w:eastAsia="Arial" w:hAnsi="Arial"/>
                <w:sz w:val="16"/>
                <w:szCs w:val="16"/>
                <w:color w:val="auto"/>
              </w:rPr>
              <w:t>—</w:t>
            </w:r>
          </w:p>
        </w:tc>
      </w:tr>
      <w:tr>
        <w:trPr>
          <w:trHeight w:val="195"/>
        </w:trPr>
        <w:tc>
          <w:tcPr>
            <w:tcW w:w="1640" w:type="dxa"/>
            <w:vAlign w:val="bottom"/>
            <w:shd w:val="clear" w:color="auto" w:fill="E5E5E5"/>
          </w:tcPr>
          <w:p>
            <w:pPr>
              <w:spacing w:after="0"/>
              <w:rPr>
                <w:sz w:val="16"/>
                <w:szCs w:val="16"/>
                <w:color w:val="auto"/>
              </w:rPr>
            </w:pPr>
          </w:p>
        </w:tc>
        <w:tc>
          <w:tcPr>
            <w:tcW w:w="1800" w:type="dxa"/>
            <w:vAlign w:val="bottom"/>
            <w:shd w:val="clear" w:color="auto" w:fill="E5E5E5"/>
          </w:tcPr>
          <w:p>
            <w:pPr>
              <w:ind w:left="20"/>
              <w:spacing w:after="0"/>
              <w:rPr>
                <w:sz w:val="20"/>
                <w:szCs w:val="20"/>
                <w:color w:val="auto"/>
              </w:rPr>
            </w:pPr>
            <w:r>
              <w:rPr>
                <w:rFonts w:ascii="Arial" w:cs="Arial" w:eastAsia="Arial" w:hAnsi="Arial"/>
                <w:sz w:val="16"/>
                <w:szCs w:val="16"/>
                <w:color w:val="auto"/>
              </w:rPr>
              <w:t>Incentive</w:t>
            </w:r>
          </w:p>
        </w:tc>
        <w:tc>
          <w:tcPr>
            <w:tcW w:w="2000" w:type="dxa"/>
            <w:vAlign w:val="bottom"/>
            <w:shd w:val="clear" w:color="auto" w:fill="E5E5E5"/>
          </w:tcPr>
          <w:p>
            <w:pPr>
              <w:spacing w:after="0"/>
              <w:rPr>
                <w:sz w:val="16"/>
                <w:szCs w:val="16"/>
                <w:color w:val="auto"/>
              </w:rPr>
            </w:pPr>
          </w:p>
        </w:tc>
        <w:tc>
          <w:tcPr>
            <w:tcW w:w="2160" w:type="dxa"/>
            <w:vAlign w:val="bottom"/>
            <w:shd w:val="clear" w:color="auto" w:fill="E5E5E5"/>
          </w:tcPr>
          <w:p>
            <w:pPr>
              <w:spacing w:after="0"/>
              <w:rPr>
                <w:sz w:val="16"/>
                <w:szCs w:val="16"/>
                <w:color w:val="auto"/>
              </w:rPr>
            </w:pPr>
          </w:p>
        </w:tc>
        <w:tc>
          <w:tcPr>
            <w:tcW w:w="1800" w:type="dxa"/>
            <w:vAlign w:val="bottom"/>
            <w:shd w:val="clear" w:color="auto" w:fill="E5E5E5"/>
          </w:tcPr>
          <w:p>
            <w:pPr>
              <w:spacing w:after="0"/>
              <w:rPr>
                <w:sz w:val="16"/>
                <w:szCs w:val="16"/>
                <w:color w:val="auto"/>
              </w:rPr>
            </w:pPr>
          </w:p>
        </w:tc>
      </w:tr>
      <w:tr>
        <w:trPr>
          <w:trHeight w:val="230"/>
        </w:trPr>
        <w:tc>
          <w:tcPr>
            <w:tcW w:w="1640" w:type="dxa"/>
            <w:vAlign w:val="bottom"/>
            <w:shd w:val="clear" w:color="auto" w:fill="E5E5E5"/>
          </w:tcPr>
          <w:p>
            <w:pPr>
              <w:spacing w:after="0"/>
              <w:rPr>
                <w:sz w:val="19"/>
                <w:szCs w:val="19"/>
                <w:color w:val="auto"/>
              </w:rPr>
            </w:pPr>
          </w:p>
        </w:tc>
        <w:tc>
          <w:tcPr>
            <w:tcW w:w="1800" w:type="dxa"/>
            <w:vAlign w:val="bottom"/>
            <w:shd w:val="clear" w:color="auto" w:fill="E5E5E5"/>
          </w:tcPr>
          <w:p>
            <w:pPr>
              <w:ind w:left="20"/>
              <w:spacing w:after="0"/>
              <w:rPr>
                <w:sz w:val="20"/>
                <w:szCs w:val="20"/>
                <w:color w:val="auto"/>
              </w:rPr>
            </w:pPr>
            <w:r>
              <w:rPr>
                <w:rFonts w:ascii="Arial" w:cs="Arial" w:eastAsia="Arial" w:hAnsi="Arial"/>
                <w:sz w:val="16"/>
                <w:szCs w:val="16"/>
                <w:color w:val="auto"/>
              </w:rPr>
              <w:t>Accelerated RSUs</w:t>
            </w:r>
          </w:p>
        </w:tc>
        <w:tc>
          <w:tcPr>
            <w:tcW w:w="2000" w:type="dxa"/>
            <w:vAlign w:val="bottom"/>
            <w:shd w:val="clear" w:color="auto" w:fill="E5E5E5"/>
          </w:tcPr>
          <w:p>
            <w:pPr>
              <w:jc w:val="right"/>
              <w:ind w:right="639"/>
              <w:spacing w:after="0"/>
              <w:rPr>
                <w:sz w:val="20"/>
                <w:szCs w:val="20"/>
                <w:color w:val="auto"/>
              </w:rPr>
            </w:pPr>
            <w:r>
              <w:rPr>
                <w:rFonts w:ascii="Arial" w:cs="Arial" w:eastAsia="Arial" w:hAnsi="Arial"/>
                <w:sz w:val="16"/>
                <w:szCs w:val="16"/>
                <w:color w:val="auto"/>
              </w:rPr>
              <w:t>—</w:t>
            </w:r>
          </w:p>
        </w:tc>
        <w:tc>
          <w:tcPr>
            <w:tcW w:w="2160" w:type="dxa"/>
            <w:vAlign w:val="bottom"/>
            <w:shd w:val="clear" w:color="auto" w:fill="E5E5E5"/>
          </w:tcPr>
          <w:p>
            <w:pPr>
              <w:jc w:val="right"/>
              <w:ind w:right="719"/>
              <w:spacing w:after="0"/>
              <w:rPr>
                <w:sz w:val="20"/>
                <w:szCs w:val="20"/>
                <w:color w:val="auto"/>
              </w:rPr>
            </w:pPr>
            <w:r>
              <w:rPr>
                <w:rFonts w:ascii="Arial" w:cs="Arial" w:eastAsia="Arial" w:hAnsi="Arial"/>
                <w:sz w:val="16"/>
                <w:szCs w:val="16"/>
                <w:color w:val="auto"/>
              </w:rPr>
              <w:t>3,588,209</w:t>
            </w:r>
          </w:p>
        </w:tc>
        <w:tc>
          <w:tcPr>
            <w:tcW w:w="1800" w:type="dxa"/>
            <w:vAlign w:val="bottom"/>
            <w:shd w:val="clear" w:color="auto" w:fill="E5E5E5"/>
          </w:tcPr>
          <w:p>
            <w:pPr>
              <w:jc w:val="right"/>
              <w:ind w:right="439"/>
              <w:spacing w:after="0"/>
              <w:rPr>
                <w:sz w:val="20"/>
                <w:szCs w:val="20"/>
                <w:color w:val="auto"/>
              </w:rPr>
            </w:pPr>
            <w:r>
              <w:rPr>
                <w:rFonts w:ascii="Arial" w:cs="Arial" w:eastAsia="Arial" w:hAnsi="Arial"/>
                <w:sz w:val="16"/>
                <w:szCs w:val="16"/>
                <w:color w:val="auto"/>
              </w:rPr>
              <w:t>3,588,209</w:t>
            </w:r>
          </w:p>
        </w:tc>
      </w:tr>
      <w:tr>
        <w:trPr>
          <w:trHeight w:val="229"/>
        </w:trPr>
        <w:tc>
          <w:tcPr>
            <w:tcW w:w="1640" w:type="dxa"/>
            <w:vAlign w:val="bottom"/>
            <w:shd w:val="clear" w:color="auto" w:fill="E5E5E5"/>
          </w:tcPr>
          <w:p>
            <w:pPr>
              <w:spacing w:after="0"/>
              <w:rPr>
                <w:sz w:val="19"/>
                <w:szCs w:val="19"/>
                <w:color w:val="auto"/>
              </w:rPr>
            </w:pPr>
          </w:p>
        </w:tc>
        <w:tc>
          <w:tcPr>
            <w:tcW w:w="1800" w:type="dxa"/>
            <w:vAlign w:val="bottom"/>
            <w:shd w:val="clear" w:color="auto" w:fill="E5E5E5"/>
          </w:tcPr>
          <w:p>
            <w:pPr>
              <w:ind w:left="20"/>
              <w:spacing w:after="0"/>
              <w:rPr>
                <w:sz w:val="20"/>
                <w:szCs w:val="20"/>
                <w:color w:val="auto"/>
              </w:rPr>
            </w:pPr>
            <w:r>
              <w:rPr>
                <w:rFonts w:ascii="Arial" w:cs="Arial" w:eastAsia="Arial" w:hAnsi="Arial"/>
                <w:sz w:val="16"/>
                <w:szCs w:val="16"/>
                <w:color w:val="auto"/>
              </w:rPr>
              <w:t>Accelerated PSAs</w:t>
            </w:r>
            <w:r>
              <w:rPr>
                <w:rFonts w:ascii="Arial" w:cs="Arial" w:eastAsia="Arial" w:hAnsi="Arial"/>
                <w:sz w:val="16"/>
                <w:szCs w:val="16"/>
                <w:color w:val="0076A8"/>
              </w:rPr>
              <w:t>(5)</w:t>
            </w:r>
          </w:p>
        </w:tc>
        <w:tc>
          <w:tcPr>
            <w:tcW w:w="2000" w:type="dxa"/>
            <w:vAlign w:val="bottom"/>
            <w:shd w:val="clear" w:color="auto" w:fill="E5E5E5"/>
          </w:tcPr>
          <w:p>
            <w:pPr>
              <w:jc w:val="right"/>
              <w:ind w:right="639"/>
              <w:spacing w:after="0"/>
              <w:rPr>
                <w:sz w:val="20"/>
                <w:szCs w:val="20"/>
                <w:color w:val="auto"/>
              </w:rPr>
            </w:pPr>
            <w:r>
              <w:rPr>
                <w:rFonts w:ascii="Arial" w:cs="Arial" w:eastAsia="Arial" w:hAnsi="Arial"/>
                <w:sz w:val="16"/>
                <w:szCs w:val="16"/>
                <w:color w:val="auto"/>
              </w:rPr>
              <w:t>—</w:t>
            </w:r>
          </w:p>
        </w:tc>
        <w:tc>
          <w:tcPr>
            <w:tcW w:w="2160" w:type="dxa"/>
            <w:vAlign w:val="bottom"/>
            <w:shd w:val="clear" w:color="auto" w:fill="E5E5E5"/>
          </w:tcPr>
          <w:p>
            <w:pPr>
              <w:jc w:val="right"/>
              <w:ind w:right="719"/>
              <w:spacing w:after="0"/>
              <w:rPr>
                <w:sz w:val="20"/>
                <w:szCs w:val="20"/>
                <w:color w:val="auto"/>
              </w:rPr>
            </w:pPr>
            <w:r>
              <w:rPr>
                <w:rFonts w:ascii="Arial" w:cs="Arial" w:eastAsia="Arial" w:hAnsi="Arial"/>
                <w:sz w:val="16"/>
                <w:szCs w:val="16"/>
                <w:color w:val="auto"/>
              </w:rPr>
              <w:t>4,644,673</w:t>
            </w:r>
          </w:p>
        </w:tc>
        <w:tc>
          <w:tcPr>
            <w:tcW w:w="1800" w:type="dxa"/>
            <w:vAlign w:val="bottom"/>
            <w:shd w:val="clear" w:color="auto" w:fill="E5E5E5"/>
          </w:tcPr>
          <w:p>
            <w:pPr>
              <w:jc w:val="right"/>
              <w:ind w:right="439"/>
              <w:spacing w:after="0"/>
              <w:rPr>
                <w:sz w:val="20"/>
                <w:szCs w:val="20"/>
                <w:color w:val="auto"/>
              </w:rPr>
            </w:pPr>
            <w:r>
              <w:rPr>
                <w:rFonts w:ascii="Arial" w:cs="Arial" w:eastAsia="Arial" w:hAnsi="Arial"/>
                <w:sz w:val="16"/>
                <w:szCs w:val="16"/>
                <w:color w:val="auto"/>
              </w:rPr>
              <w:t>4,644,673</w:t>
            </w:r>
          </w:p>
        </w:tc>
      </w:tr>
      <w:tr>
        <w:trPr>
          <w:trHeight w:val="243"/>
        </w:trPr>
        <w:tc>
          <w:tcPr>
            <w:tcW w:w="1640" w:type="dxa"/>
            <w:vAlign w:val="bottom"/>
            <w:tcBorders>
              <w:bottom w:val="single" w:sz="8" w:color="E5E5E5"/>
            </w:tcBorders>
            <w:shd w:val="clear" w:color="auto" w:fill="E5E5E5"/>
          </w:tcPr>
          <w:p>
            <w:pPr>
              <w:spacing w:after="0"/>
              <w:rPr>
                <w:sz w:val="21"/>
                <w:szCs w:val="21"/>
                <w:color w:val="auto"/>
              </w:rPr>
            </w:pPr>
          </w:p>
        </w:tc>
        <w:tc>
          <w:tcPr>
            <w:tcW w:w="1800" w:type="dxa"/>
            <w:vAlign w:val="bottom"/>
            <w:tcBorders>
              <w:bottom w:val="single" w:sz="8" w:color="BFBFBF"/>
            </w:tcBorders>
            <w:shd w:val="clear" w:color="auto" w:fill="E5E5E5"/>
          </w:tcPr>
          <w:p>
            <w:pPr>
              <w:ind w:left="20"/>
              <w:spacing w:after="0"/>
              <w:rPr>
                <w:sz w:val="20"/>
                <w:szCs w:val="20"/>
                <w:color w:val="auto"/>
              </w:rPr>
            </w:pPr>
            <w:r>
              <w:rPr>
                <w:rFonts w:ascii="Arial" w:cs="Arial" w:eastAsia="Arial" w:hAnsi="Arial"/>
                <w:sz w:val="16"/>
                <w:szCs w:val="16"/>
                <w:color w:val="auto"/>
              </w:rPr>
              <w:t>Medical</w:t>
            </w:r>
          </w:p>
        </w:tc>
        <w:tc>
          <w:tcPr>
            <w:tcW w:w="2000" w:type="dxa"/>
            <w:vAlign w:val="bottom"/>
            <w:tcBorders>
              <w:bottom w:val="single" w:sz="8" w:color="BFBFBF"/>
            </w:tcBorders>
            <w:shd w:val="clear" w:color="auto" w:fill="E5E5E5"/>
          </w:tcPr>
          <w:p>
            <w:pPr>
              <w:jc w:val="right"/>
              <w:ind w:right="639"/>
              <w:spacing w:after="0"/>
              <w:rPr>
                <w:sz w:val="20"/>
                <w:szCs w:val="20"/>
                <w:color w:val="auto"/>
              </w:rPr>
            </w:pPr>
            <w:r>
              <w:rPr>
                <w:rFonts w:ascii="Arial" w:cs="Arial" w:eastAsia="Arial" w:hAnsi="Arial"/>
                <w:sz w:val="16"/>
                <w:szCs w:val="16"/>
                <w:color w:val="auto"/>
              </w:rPr>
              <w:t>24,426</w:t>
            </w:r>
          </w:p>
        </w:tc>
        <w:tc>
          <w:tcPr>
            <w:tcW w:w="2160" w:type="dxa"/>
            <w:vAlign w:val="bottom"/>
            <w:tcBorders>
              <w:bottom w:val="single" w:sz="8" w:color="BFBFBF"/>
            </w:tcBorders>
            <w:shd w:val="clear" w:color="auto" w:fill="E5E5E5"/>
          </w:tcPr>
          <w:p>
            <w:pPr>
              <w:jc w:val="right"/>
              <w:ind w:right="719"/>
              <w:spacing w:after="0"/>
              <w:rPr>
                <w:sz w:val="20"/>
                <w:szCs w:val="20"/>
                <w:color w:val="auto"/>
              </w:rPr>
            </w:pPr>
            <w:r>
              <w:rPr>
                <w:rFonts w:ascii="Arial" w:cs="Arial" w:eastAsia="Arial" w:hAnsi="Arial"/>
                <w:sz w:val="16"/>
                <w:szCs w:val="16"/>
                <w:color w:val="auto"/>
              </w:rPr>
              <w:t>36,639</w:t>
            </w:r>
          </w:p>
        </w:tc>
        <w:tc>
          <w:tcPr>
            <w:tcW w:w="1800" w:type="dxa"/>
            <w:vAlign w:val="bottom"/>
            <w:tcBorders>
              <w:bottom w:val="single" w:sz="8" w:color="BFBFBF"/>
            </w:tcBorders>
            <w:shd w:val="clear" w:color="auto" w:fill="E5E5E5"/>
          </w:tcPr>
          <w:p>
            <w:pPr>
              <w:jc w:val="right"/>
              <w:ind w:right="439"/>
              <w:spacing w:after="0"/>
              <w:rPr>
                <w:sz w:val="20"/>
                <w:szCs w:val="20"/>
                <w:color w:val="auto"/>
              </w:rPr>
            </w:pPr>
            <w:r>
              <w:rPr>
                <w:rFonts w:ascii="Arial" w:cs="Arial" w:eastAsia="Arial" w:hAnsi="Arial"/>
                <w:sz w:val="16"/>
                <w:szCs w:val="16"/>
                <w:color w:val="auto"/>
              </w:rPr>
              <w:t>—</w:t>
            </w:r>
          </w:p>
        </w:tc>
      </w:tr>
      <w:tr>
        <w:trPr>
          <w:trHeight w:val="223"/>
        </w:trPr>
        <w:tc>
          <w:tcPr>
            <w:tcW w:w="1640" w:type="dxa"/>
            <w:vAlign w:val="bottom"/>
            <w:tcBorders>
              <w:bottom w:val="single" w:sz="8" w:color="BFBFBF"/>
            </w:tcBorders>
            <w:shd w:val="clear" w:color="auto" w:fill="E5E5E5"/>
          </w:tcPr>
          <w:p>
            <w:pPr>
              <w:spacing w:after="0"/>
              <w:rPr>
                <w:sz w:val="19"/>
                <w:szCs w:val="19"/>
                <w:color w:val="auto"/>
              </w:rPr>
            </w:pPr>
          </w:p>
        </w:tc>
        <w:tc>
          <w:tcPr>
            <w:tcW w:w="1800" w:type="dxa"/>
            <w:vAlign w:val="bottom"/>
            <w:tcBorders>
              <w:bottom w:val="single" w:sz="8" w:color="BFBFBF"/>
            </w:tcBorders>
            <w:shd w:val="clear" w:color="auto" w:fill="E5E5E5"/>
          </w:tcPr>
          <w:p>
            <w:pPr>
              <w:ind w:left="20"/>
              <w:spacing w:after="0"/>
              <w:rPr>
                <w:sz w:val="20"/>
                <w:szCs w:val="20"/>
                <w:color w:val="auto"/>
              </w:rPr>
            </w:pPr>
            <w:r>
              <w:rPr>
                <w:rFonts w:ascii="Arial" w:cs="Arial" w:eastAsia="Arial" w:hAnsi="Arial"/>
                <w:sz w:val="16"/>
                <w:szCs w:val="16"/>
                <w:color w:val="auto"/>
              </w:rPr>
              <w:t>TOTAL</w:t>
            </w:r>
          </w:p>
        </w:tc>
        <w:tc>
          <w:tcPr>
            <w:tcW w:w="2000" w:type="dxa"/>
            <w:vAlign w:val="bottom"/>
            <w:tcBorders>
              <w:bottom w:val="single" w:sz="8" w:color="BFBFBF"/>
            </w:tcBorders>
            <w:shd w:val="clear" w:color="auto" w:fill="E5E5E5"/>
          </w:tcPr>
          <w:p>
            <w:pPr>
              <w:jc w:val="right"/>
              <w:ind w:right="639"/>
              <w:spacing w:after="0"/>
              <w:rPr>
                <w:sz w:val="20"/>
                <w:szCs w:val="20"/>
                <w:color w:val="auto"/>
              </w:rPr>
            </w:pPr>
            <w:r>
              <w:rPr>
                <w:rFonts w:ascii="Arial" w:cs="Arial" w:eastAsia="Arial" w:hAnsi="Arial"/>
                <w:sz w:val="16"/>
                <w:szCs w:val="16"/>
                <w:color w:val="auto"/>
              </w:rPr>
              <w:t>474,426</w:t>
            </w:r>
          </w:p>
        </w:tc>
        <w:tc>
          <w:tcPr>
            <w:tcW w:w="2160" w:type="dxa"/>
            <w:vAlign w:val="bottom"/>
            <w:tcBorders>
              <w:bottom w:val="single" w:sz="8" w:color="BFBFBF"/>
            </w:tcBorders>
            <w:shd w:val="clear" w:color="auto" w:fill="E5E5E5"/>
          </w:tcPr>
          <w:p>
            <w:pPr>
              <w:jc w:val="right"/>
              <w:ind w:right="719"/>
              <w:spacing w:after="0"/>
              <w:rPr>
                <w:sz w:val="20"/>
                <w:szCs w:val="20"/>
                <w:color w:val="auto"/>
              </w:rPr>
            </w:pPr>
            <w:r>
              <w:rPr>
                <w:rFonts w:ascii="Arial" w:cs="Arial" w:eastAsia="Arial" w:hAnsi="Arial"/>
                <w:sz w:val="16"/>
                <w:szCs w:val="16"/>
                <w:color w:val="auto"/>
              </w:rPr>
              <w:t>9,533,974</w:t>
            </w:r>
          </w:p>
        </w:tc>
        <w:tc>
          <w:tcPr>
            <w:tcW w:w="1800" w:type="dxa"/>
            <w:vAlign w:val="bottom"/>
            <w:tcBorders>
              <w:bottom w:val="single" w:sz="8" w:color="BFBFBF"/>
            </w:tcBorders>
            <w:shd w:val="clear" w:color="auto" w:fill="E5E5E5"/>
          </w:tcPr>
          <w:p>
            <w:pPr>
              <w:jc w:val="right"/>
              <w:ind w:right="439"/>
              <w:spacing w:after="0"/>
              <w:rPr>
                <w:sz w:val="20"/>
                <w:szCs w:val="20"/>
                <w:color w:val="auto"/>
              </w:rPr>
            </w:pPr>
            <w:r>
              <w:rPr>
                <w:rFonts w:ascii="Arial" w:cs="Arial" w:eastAsia="Arial" w:hAnsi="Arial"/>
                <w:sz w:val="16"/>
                <w:szCs w:val="16"/>
                <w:color w:val="auto"/>
              </w:rPr>
              <w:t>8,232,882</w:t>
            </w:r>
          </w:p>
        </w:tc>
      </w:tr>
    </w:tbl>
    <w:p>
      <w:pPr>
        <w:spacing w:after="0" w:line="134" w:lineRule="exact"/>
        <w:rPr>
          <w:sz w:val="20"/>
          <w:szCs w:val="20"/>
          <w:color w:val="auto"/>
        </w:rPr>
      </w:pPr>
    </w:p>
    <w:p>
      <w:pPr>
        <w:ind w:left="1080" w:hanging="354"/>
        <w:spacing w:after="0"/>
        <w:tabs>
          <w:tab w:leader="none" w:pos="1080" w:val="left"/>
        </w:tabs>
        <w:numPr>
          <w:ilvl w:val="0"/>
          <w:numId w:val="71"/>
        </w:numPr>
        <w:rPr>
          <w:rFonts w:ascii="Arial" w:cs="Arial" w:eastAsia="Arial" w:hAnsi="Arial"/>
          <w:sz w:val="16"/>
          <w:szCs w:val="16"/>
          <w:i w:val="1"/>
          <w:iCs w:val="1"/>
          <w:color w:val="auto"/>
        </w:rPr>
      </w:pPr>
      <w:r>
        <w:rPr>
          <w:rFonts w:ascii="Arial" w:cs="Arial" w:eastAsia="Arial" w:hAnsi="Arial"/>
          <w:sz w:val="16"/>
          <w:szCs w:val="16"/>
          <w:i w:val="1"/>
          <w:iCs w:val="1"/>
          <w:color w:val="auto"/>
        </w:rPr>
        <w:t>For Mr. Griffin, includes amounts payable pursuant to a termination for good reason outside of a change in control.</w:t>
      </w:r>
    </w:p>
    <w:p>
      <w:pPr>
        <w:spacing w:after="0" w:line="26" w:lineRule="exact"/>
        <w:rPr>
          <w:rFonts w:ascii="Arial" w:cs="Arial" w:eastAsia="Arial" w:hAnsi="Arial"/>
          <w:sz w:val="16"/>
          <w:szCs w:val="16"/>
          <w:i w:val="1"/>
          <w:iCs w:val="1"/>
          <w:color w:val="auto"/>
        </w:rPr>
      </w:pPr>
    </w:p>
    <w:p>
      <w:pPr>
        <w:ind w:left="1080" w:hanging="354"/>
        <w:spacing w:after="0"/>
        <w:tabs>
          <w:tab w:leader="none" w:pos="1080" w:val="left"/>
        </w:tabs>
        <w:numPr>
          <w:ilvl w:val="0"/>
          <w:numId w:val="71"/>
        </w:numPr>
        <w:rPr>
          <w:rFonts w:ascii="Arial" w:cs="Arial" w:eastAsia="Arial" w:hAnsi="Arial"/>
          <w:sz w:val="16"/>
          <w:szCs w:val="16"/>
          <w:i w:val="1"/>
          <w:iCs w:val="1"/>
          <w:color w:val="auto"/>
        </w:rPr>
      </w:pPr>
      <w:r>
        <w:rPr>
          <w:rFonts w:ascii="Arial" w:cs="Arial" w:eastAsia="Arial" w:hAnsi="Arial"/>
          <w:sz w:val="16"/>
          <w:szCs w:val="16"/>
          <w:i w:val="1"/>
          <w:iCs w:val="1"/>
          <w:color w:val="auto"/>
        </w:rPr>
        <w:t>Excludes the value of accrued vacation/paid time off required by law to be paid upon termination.</w:t>
      </w:r>
    </w:p>
    <w:p>
      <w:pPr>
        <w:spacing w:after="0" w:line="23" w:lineRule="exact"/>
        <w:rPr>
          <w:rFonts w:ascii="Arial" w:cs="Arial" w:eastAsia="Arial" w:hAnsi="Arial"/>
          <w:sz w:val="16"/>
          <w:szCs w:val="16"/>
          <w:i w:val="1"/>
          <w:iCs w:val="1"/>
          <w:color w:val="auto"/>
        </w:rPr>
      </w:pPr>
    </w:p>
    <w:p>
      <w:pPr>
        <w:ind w:left="1080" w:hanging="354"/>
        <w:spacing w:after="0"/>
        <w:tabs>
          <w:tab w:leader="none" w:pos="1080" w:val="left"/>
        </w:tabs>
        <w:numPr>
          <w:ilvl w:val="0"/>
          <w:numId w:val="71"/>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an amount equal to two (2) times the sum of (A) Mr. Griffin’s annual base salary as of October 1, 2021, and</w:t>
      </w:r>
    </w:p>
    <w:p>
      <w:pPr>
        <w:spacing w:after="0" w:line="21" w:lineRule="exact"/>
        <w:rPr>
          <w:rFonts w:ascii="Arial" w:cs="Arial" w:eastAsia="Arial" w:hAnsi="Arial"/>
          <w:sz w:val="16"/>
          <w:szCs w:val="16"/>
          <w:i w:val="1"/>
          <w:iCs w:val="1"/>
          <w:color w:val="auto"/>
        </w:rPr>
      </w:pPr>
    </w:p>
    <w:p>
      <w:pPr>
        <w:ind w:left="1080"/>
        <w:spacing w:after="0"/>
        <w:rPr>
          <w:rFonts w:ascii="Arial" w:cs="Arial" w:eastAsia="Arial" w:hAnsi="Arial"/>
          <w:sz w:val="16"/>
          <w:szCs w:val="16"/>
          <w:i w:val="1"/>
          <w:iCs w:val="1"/>
          <w:color w:val="auto"/>
        </w:rPr>
      </w:pPr>
      <w:r>
        <w:rPr>
          <w:rFonts w:ascii="Arial" w:cs="Arial" w:eastAsia="Arial" w:hAnsi="Arial"/>
          <w:sz w:val="16"/>
          <w:szCs w:val="16"/>
          <w:i w:val="1"/>
          <w:iCs w:val="1"/>
          <w:color w:val="auto"/>
        </w:rPr>
        <w:t>(B) an Incentive Plan payment, which is equal to the three (3) year average of the actual incentive payments made to</w:t>
      </w:r>
    </w:p>
    <w:p>
      <w:pPr>
        <w:spacing w:after="0" w:line="5" w:lineRule="exact"/>
        <w:rPr>
          <w:sz w:val="20"/>
          <w:szCs w:val="20"/>
          <w:color w:val="auto"/>
        </w:rPr>
      </w:pPr>
    </w:p>
    <w:p>
      <w:pPr>
        <w:ind w:left="1080" w:right="300"/>
        <w:spacing w:after="0" w:line="250" w:lineRule="auto"/>
        <w:rPr>
          <w:sz w:val="20"/>
          <w:szCs w:val="20"/>
          <w:color w:val="auto"/>
        </w:rPr>
      </w:pPr>
      <w:r>
        <w:rPr>
          <w:rFonts w:ascii="Arial" w:cs="Arial" w:eastAsia="Arial" w:hAnsi="Arial"/>
          <w:sz w:val="16"/>
          <w:szCs w:val="16"/>
          <w:i w:val="1"/>
          <w:iCs w:val="1"/>
          <w:color w:val="auto"/>
        </w:rPr>
        <w:t>Mr. Griffin for fiscal years 2018, 2019, and 2020, since such average is greater than the “target” short-term cash incentive award for fiscal year 2021.</w:t>
      </w:r>
    </w:p>
    <w:p>
      <w:pPr>
        <w:ind w:left="1080" w:right="20" w:hanging="354"/>
        <w:spacing w:after="0" w:line="233" w:lineRule="auto"/>
        <w:tabs>
          <w:tab w:leader="none" w:pos="1080" w:val="left"/>
        </w:tabs>
        <w:numPr>
          <w:ilvl w:val="0"/>
          <w:numId w:val="72"/>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an amount equal to two and one-half (2</w:t>
      </w:r>
      <w:r>
        <w:rPr>
          <w:rFonts w:ascii="Arial" w:cs="Arial" w:eastAsia="Arial" w:hAnsi="Arial"/>
          <w:sz w:val="22"/>
          <w:szCs w:val="22"/>
          <w:i w:val="1"/>
          <w:iCs w:val="1"/>
          <w:color w:val="auto"/>
          <w:vertAlign w:val="superscript"/>
        </w:rPr>
        <w:t>1</w:t>
      </w:r>
      <w:r>
        <w:rPr>
          <w:rFonts w:ascii="Arial" w:cs="Arial" w:eastAsia="Arial" w:hAnsi="Arial"/>
          <w:sz w:val="16"/>
          <w:szCs w:val="16"/>
          <w:i w:val="1"/>
          <w:iCs w:val="1"/>
          <w:color w:val="auto"/>
        </w:rPr>
        <w:t>⁄</w:t>
      </w:r>
      <w:r>
        <w:rPr>
          <w:rFonts w:ascii="Arial" w:cs="Arial" w:eastAsia="Arial" w:hAnsi="Arial"/>
          <w:sz w:val="11"/>
          <w:szCs w:val="11"/>
          <w:i w:val="1"/>
          <w:iCs w:val="1"/>
          <w:color w:val="auto"/>
        </w:rPr>
        <w:t>2</w:t>
      </w:r>
      <w:r>
        <w:rPr>
          <w:rFonts w:ascii="Arial" w:cs="Arial" w:eastAsia="Arial" w:hAnsi="Arial"/>
          <w:sz w:val="16"/>
          <w:szCs w:val="16"/>
          <w:i w:val="1"/>
          <w:iCs w:val="1"/>
          <w:color w:val="auto"/>
        </w:rPr>
        <w:t>) times the sum of (A) Mr. Griffin’s annual base salary as of October 1, 2021, and (B) an Incentive Plan payment, which is equal to the three (3) year average of the actual incentive payments made to Mr. Griffin for fiscal years 2018, 2019, and 2020, since such average is greater than the “target” short-term cash incentive award for fiscal year 2021.</w:t>
      </w:r>
    </w:p>
    <w:p>
      <w:pPr>
        <w:spacing w:after="0" w:line="325" w:lineRule="exact"/>
        <w:rPr>
          <w:sz w:val="20"/>
          <w:szCs w:val="20"/>
          <w:color w:val="auto"/>
        </w:rPr>
      </w:pPr>
    </w:p>
    <w:p>
      <w:pPr>
        <w:ind w:left="660"/>
        <w:spacing w:after="0"/>
        <w:tabs>
          <w:tab w:leader="none" w:pos="4817" w:val="left"/>
        </w:tabs>
        <w:rPr>
          <w:sz w:val="20"/>
          <w:szCs w:val="20"/>
          <w:color w:val="auto"/>
        </w:rPr>
      </w:pPr>
      <w:r>
        <w:rPr>
          <w:rFonts w:ascii="Arial" w:cs="Arial" w:eastAsia="Arial" w:hAnsi="Arial"/>
          <w:sz w:val="16"/>
          <w:szCs w:val="16"/>
          <w:color w:val="auto"/>
        </w:rPr>
        <w:t>52</w:t>
      </w:r>
      <w:r>
        <w:rPr>
          <w:sz w:val="20"/>
          <w:szCs w:val="20"/>
          <w:color w:val="auto"/>
        </w:rPr>
        <w:tab/>
      </w:r>
      <w:r>
        <w:rPr>
          <w:sz w:val="1"/>
          <w:szCs w:val="1"/>
          <w:color w:val="auto"/>
        </w:rPr>
        <w:drawing>
          <wp:inline distT="0" distB="0" distL="0" distR="0">
            <wp:extent cx="779780" cy="257175"/>
            <wp:effectExtent l="0" t="0" r="0" b="0"/>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116205</wp:posOffset>
            </wp:positionV>
            <wp:extent cx="683196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132" w:right="1259" w:bottom="1440" w:gutter="0" w:footer="0" w:header="0"/>
        </w:sectPr>
      </w:pPr>
    </w:p>
    <w:bookmarkStart w:id="57" w:name="page58"/>
    <w:bookmarkEnd w:id="5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389" w:lineRule="exact"/>
        <w:rPr>
          <w:sz w:val="20"/>
          <w:szCs w:val="20"/>
          <w:color w:val="auto"/>
        </w:rPr>
      </w:pPr>
    </w:p>
    <w:p>
      <w:pPr>
        <w:ind w:left="1080" w:right="700" w:hanging="354"/>
        <w:spacing w:after="0" w:line="249" w:lineRule="auto"/>
        <w:tabs>
          <w:tab w:leader="none" w:pos="1080" w:val="left"/>
        </w:tabs>
        <w:numPr>
          <w:ilvl w:val="0"/>
          <w:numId w:val="73"/>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the value of PSAs that were unvested and outstanding as of October 1, 2021, in accordance with Item 402(j) of Regulation S-K, using the following assumptions: (a) achievement at the “target” level of performance for the FY19 PSAs (3-year TSR percentile ranking metric) scheduled to vest on November 6, 2021, based on the Company’s actual TSR relative to peers for fiscal years 2019-2021 falling below the “target” level of performance; (b) achievement at 200% of the “target” level of performance for the FY20 PSAs (emerging revenue growth and design wins metrics) scheduled to vest on November 6, 2021, based on the Company’s actual achievement at the “maximum” level of performance with respect to both performance metrics measured over a one-year performance period consisting of the Company’s fiscal year 2020; (c) achievement at</w:t>
      </w:r>
    </w:p>
    <w:p>
      <w:pPr>
        <w:spacing w:after="0" w:line="2" w:lineRule="exact"/>
        <w:rPr>
          <w:rFonts w:ascii="Arial" w:cs="Arial" w:eastAsia="Arial" w:hAnsi="Arial"/>
          <w:sz w:val="16"/>
          <w:szCs w:val="16"/>
          <w:i w:val="1"/>
          <w:iCs w:val="1"/>
          <w:color w:val="auto"/>
        </w:rPr>
      </w:pPr>
    </w:p>
    <w:p>
      <w:pPr>
        <w:ind w:left="1080" w:right="700"/>
        <w:spacing w:after="0" w:line="190" w:lineRule="exact"/>
        <w:rPr>
          <w:rFonts w:ascii="Arial" w:cs="Arial" w:eastAsia="Arial" w:hAnsi="Arial"/>
          <w:sz w:val="16"/>
          <w:szCs w:val="16"/>
          <w:i w:val="1"/>
          <w:iCs w:val="1"/>
          <w:color w:val="auto"/>
        </w:rPr>
      </w:pPr>
      <w:r>
        <w:rPr>
          <w:rFonts w:ascii="Arial" w:cs="Arial" w:eastAsia="Arial" w:hAnsi="Arial"/>
          <w:sz w:val="16"/>
          <w:szCs w:val="16"/>
          <w:i w:val="1"/>
          <w:iCs w:val="1"/>
          <w:color w:val="auto"/>
        </w:rPr>
        <w:t>127.78% of the “target” level of performance for the FY20 PSAs (3-year TSR percentile ranking metric) scheduled to vest on November 5, 2022, based on the Company’s TSR relative to peers for fiscal years 2020 and 2021; (d) achievement at 200% of the “target” level of performance for the FY21 PSAs (emerging revenue growth and design wins metrics)) scheduled to vest on November 11, 2021, and November 11, 2022, based on the Company’s actual achievement at the “maximum” level of performance with respect to both performance metrics measured over a one-year performance period consisting of the Company’s fiscal year 2021; (e) achievement at the “target” level of performance for the FY21 PSAs (3-year TSR percentile ranking metric) scheduled to vest on November 11, 2023, based on the Company’s TSR relative to peers for fiscal year 2021 falling below the “target” level of performance; and (f) achievement at 187.5% of the “target” level of performance for the one</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time, non-recurring stock-based award granted to Mr. Griffin scheduled to vest on November 5, 2021, based on the Company’s actual achievement at the “maximum” level of performance with respect to fiscal year 2020 and at 175% of the “target” level of performance with respect to fiscal year 2021.</w:t>
      </w:r>
    </w:p>
    <w:p>
      <w:pPr>
        <w:spacing w:after="0" w:line="1" w:lineRule="exact"/>
        <w:rPr>
          <w:rFonts w:ascii="Arial" w:cs="Arial" w:eastAsia="Arial" w:hAnsi="Arial"/>
          <w:sz w:val="16"/>
          <w:szCs w:val="16"/>
          <w:i w:val="1"/>
          <w:iCs w:val="1"/>
          <w:color w:val="auto"/>
        </w:rPr>
      </w:pPr>
    </w:p>
    <w:p>
      <w:pPr>
        <w:ind w:left="1080" w:hanging="354"/>
        <w:spacing w:after="0"/>
        <w:tabs>
          <w:tab w:leader="none" w:pos="1080" w:val="left"/>
        </w:tabs>
        <w:numPr>
          <w:ilvl w:val="0"/>
          <w:numId w:val="73"/>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an amount equal to the Named Executive Officer’s annual base salary as of October 1, 2021.</w:t>
      </w:r>
    </w:p>
    <w:p>
      <w:pPr>
        <w:spacing w:after="0" w:line="18" w:lineRule="exact"/>
        <w:rPr>
          <w:rFonts w:ascii="Arial" w:cs="Arial" w:eastAsia="Arial" w:hAnsi="Arial"/>
          <w:sz w:val="16"/>
          <w:szCs w:val="16"/>
          <w:i w:val="1"/>
          <w:iCs w:val="1"/>
          <w:color w:val="auto"/>
        </w:rPr>
      </w:pPr>
    </w:p>
    <w:p>
      <w:pPr>
        <w:ind w:left="1080" w:right="900" w:hanging="354"/>
        <w:spacing w:after="0" w:line="237" w:lineRule="auto"/>
        <w:tabs>
          <w:tab w:leader="none" w:pos="1080" w:val="left"/>
        </w:tabs>
        <w:numPr>
          <w:ilvl w:val="0"/>
          <w:numId w:val="73"/>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an amount equal to one and one-half (1</w:t>
      </w:r>
      <w:r>
        <w:rPr>
          <w:rFonts w:ascii="Arial" w:cs="Arial" w:eastAsia="Arial" w:hAnsi="Arial"/>
          <w:sz w:val="22"/>
          <w:szCs w:val="22"/>
          <w:i w:val="1"/>
          <w:iCs w:val="1"/>
          <w:color w:val="auto"/>
          <w:vertAlign w:val="superscript"/>
        </w:rPr>
        <w:t>1</w:t>
      </w:r>
      <w:r>
        <w:rPr>
          <w:rFonts w:ascii="Arial" w:cs="Arial" w:eastAsia="Arial" w:hAnsi="Arial"/>
          <w:sz w:val="16"/>
          <w:szCs w:val="16"/>
          <w:i w:val="1"/>
          <w:iCs w:val="1"/>
          <w:color w:val="auto"/>
        </w:rPr>
        <w:t>⁄</w:t>
      </w:r>
      <w:r>
        <w:rPr>
          <w:rFonts w:ascii="Arial" w:cs="Arial" w:eastAsia="Arial" w:hAnsi="Arial"/>
          <w:sz w:val="11"/>
          <w:szCs w:val="11"/>
          <w:i w:val="1"/>
          <w:iCs w:val="1"/>
          <w:color w:val="auto"/>
        </w:rPr>
        <w:t>2</w:t>
      </w:r>
      <w:r>
        <w:rPr>
          <w:rFonts w:ascii="Arial" w:cs="Arial" w:eastAsia="Arial" w:hAnsi="Arial"/>
          <w:sz w:val="16"/>
          <w:szCs w:val="16"/>
          <w:i w:val="1"/>
          <w:iCs w:val="1"/>
          <w:color w:val="auto"/>
        </w:rPr>
        <w:t>) times the sum of (A) the Named Executive Officer’s annual base salary as of October 1, 2021, and (B) an Incentive Plan payment, which is equal to the three (3) year average of the actual incentive payments made to the Named Executive Officer for fiscal years 2018, 2019, and 2020, since such average is greater than the Named Executive Officer’s “target” short-term cash incentive award for fiscal year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3080385</wp:posOffset>
            </wp:positionH>
            <wp:positionV relativeFrom="paragraph">
              <wp:posOffset>4556760</wp:posOffset>
            </wp:positionV>
            <wp:extent cx="779780" cy="25717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7978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860" w:type="dxa"/>
            <w:vAlign w:val="bottom"/>
          </w:tcPr>
          <w:p>
            <w:pPr>
              <w:ind w:left="660"/>
              <w:spacing w:after="0"/>
              <w:rPr>
                <w:sz w:val="20"/>
                <w:szCs w:val="20"/>
                <w:color w:val="auto"/>
              </w:rPr>
            </w:pPr>
            <w:r>
              <w:rPr>
                <w:rFonts w:ascii="Arial" w:cs="Arial" w:eastAsia="Arial" w:hAnsi="Arial"/>
                <w:sz w:val="16"/>
                <w:szCs w:val="16"/>
                <w:color w:val="auto"/>
              </w:rPr>
              <w:t>Proxy Statement</w:t>
            </w:r>
          </w:p>
        </w:tc>
        <w:tc>
          <w:tcPr>
            <w:tcW w:w="4860" w:type="dxa"/>
            <w:vAlign w:val="bottom"/>
          </w:tcPr>
          <w:p>
            <w:pPr>
              <w:jc w:val="right"/>
              <w:ind w:right="579"/>
              <w:spacing w:after="0"/>
              <w:rPr>
                <w:sz w:val="20"/>
                <w:szCs w:val="20"/>
                <w:color w:val="auto"/>
              </w:rPr>
            </w:pPr>
            <w:r>
              <w:rPr>
                <w:rFonts w:ascii="Arial" w:cs="Arial" w:eastAsia="Arial" w:hAnsi="Arial"/>
                <w:sz w:val="16"/>
                <w:szCs w:val="16"/>
                <w:color w:val="auto"/>
              </w:rPr>
              <w:t>53</w:t>
            </w:r>
          </w:p>
        </w:tc>
      </w:tr>
      <w:tr>
        <w:trPr>
          <w:trHeight w:val="310"/>
        </w:trPr>
        <w:tc>
          <w:tcPr>
            <w:tcW w:w="5860" w:type="dxa"/>
            <w:vAlign w:val="bottom"/>
            <w:tcBorders>
              <w:bottom w:val="single" w:sz="8" w:color="9A9A9A"/>
            </w:tcBorders>
          </w:tcPr>
          <w:p>
            <w:pPr>
              <w:spacing w:after="0"/>
              <w:rPr>
                <w:sz w:val="24"/>
                <w:szCs w:val="24"/>
                <w:color w:val="auto"/>
              </w:rPr>
            </w:pPr>
          </w:p>
        </w:tc>
        <w:tc>
          <w:tcPr>
            <w:tcW w:w="4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58" w:name="page59"/>
    <w:bookmarkEnd w:id="5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71" w:lineRule="exact"/>
        <w:rPr>
          <w:sz w:val="20"/>
          <w:szCs w:val="20"/>
          <w:color w:val="auto"/>
        </w:rPr>
      </w:pPr>
    </w:p>
    <w:p>
      <w:pPr>
        <w:ind w:left="660"/>
        <w:spacing w:after="0"/>
        <w:rPr>
          <w:sz w:val="20"/>
          <w:szCs w:val="20"/>
          <w:color w:val="auto"/>
        </w:rPr>
      </w:pPr>
      <w:r>
        <w:rPr>
          <w:rFonts w:ascii="Arial" w:cs="Arial" w:eastAsia="Arial" w:hAnsi="Arial"/>
          <w:sz w:val="23"/>
          <w:szCs w:val="23"/>
          <w:b w:val="1"/>
          <w:bCs w:val="1"/>
          <w:i w:val="1"/>
          <w:iCs w:val="1"/>
          <w:color w:val="auto"/>
        </w:rPr>
        <w:t>CEO Pay Ratio</w:t>
      </w:r>
    </w:p>
    <w:p>
      <w:pPr>
        <w:spacing w:after="0" w:line="161" w:lineRule="exact"/>
        <w:rPr>
          <w:sz w:val="20"/>
          <w:szCs w:val="20"/>
          <w:color w:val="auto"/>
        </w:rPr>
      </w:pPr>
    </w:p>
    <w:p>
      <w:pPr>
        <w:ind w:left="660" w:right="160"/>
        <w:spacing w:after="0" w:line="272" w:lineRule="auto"/>
        <w:rPr>
          <w:sz w:val="20"/>
          <w:szCs w:val="20"/>
          <w:color w:val="auto"/>
        </w:rPr>
      </w:pPr>
      <w:r>
        <w:rPr>
          <w:rFonts w:ascii="Arial" w:cs="Arial" w:eastAsia="Arial" w:hAnsi="Arial"/>
          <w:sz w:val="19"/>
          <w:szCs w:val="19"/>
          <w:color w:val="191919"/>
        </w:rPr>
        <w:t>Following is an estimate, prepared under applicable SEC rules, of the ratio of the annual total compensation of our Chief Executive Officer to the median of the annual total compensation of our other employees. For fiscal year 2021:</w:t>
      </w:r>
    </w:p>
    <w:p>
      <w:pPr>
        <w:spacing w:after="0" w:line="206" w:lineRule="exact"/>
        <w:rPr>
          <w:sz w:val="20"/>
          <w:szCs w:val="20"/>
          <w:color w:val="auto"/>
        </w:rPr>
      </w:pPr>
    </w:p>
    <w:p>
      <w:pPr>
        <w:ind w:left="840" w:right="520" w:hanging="186"/>
        <w:spacing w:after="0" w:line="260" w:lineRule="auto"/>
        <w:tabs>
          <w:tab w:leader="none" w:pos="840" w:val="left"/>
        </w:tabs>
        <w:numPr>
          <w:ilvl w:val="0"/>
          <w:numId w:val="74"/>
        </w:numPr>
        <w:rPr>
          <w:rFonts w:ascii="Arial" w:cs="Arial" w:eastAsia="Arial" w:hAnsi="Arial"/>
          <w:sz w:val="20"/>
          <w:szCs w:val="20"/>
          <w:color w:val="auto"/>
        </w:rPr>
      </w:pPr>
      <w:r>
        <w:rPr>
          <w:rFonts w:ascii="Arial" w:cs="Arial" w:eastAsia="Arial" w:hAnsi="Arial"/>
          <w:sz w:val="20"/>
          <w:szCs w:val="20"/>
          <w:color w:val="auto"/>
        </w:rPr>
        <w:t>The annual total compensation of our Chief Executive Officer was $16,150,421.</w:t>
      </w:r>
    </w:p>
    <w:p>
      <w:pPr>
        <w:spacing w:after="0" w:line="1" w:lineRule="exact"/>
        <w:rPr>
          <w:rFonts w:ascii="Arial" w:cs="Arial" w:eastAsia="Arial" w:hAnsi="Arial"/>
          <w:sz w:val="20"/>
          <w:szCs w:val="20"/>
          <w:color w:val="auto"/>
        </w:rPr>
      </w:pPr>
    </w:p>
    <w:p>
      <w:pPr>
        <w:ind w:left="840" w:right="340" w:hanging="186"/>
        <w:spacing w:after="0" w:line="274" w:lineRule="auto"/>
        <w:tabs>
          <w:tab w:leader="none" w:pos="840" w:val="left"/>
        </w:tabs>
        <w:numPr>
          <w:ilvl w:val="0"/>
          <w:numId w:val="74"/>
        </w:numPr>
        <w:rPr>
          <w:rFonts w:ascii="Arial" w:cs="Arial" w:eastAsia="Arial" w:hAnsi="Arial"/>
          <w:sz w:val="19"/>
          <w:szCs w:val="19"/>
          <w:color w:val="auto"/>
        </w:rPr>
      </w:pPr>
      <w:r>
        <w:rPr>
          <w:rFonts w:ascii="Arial" w:cs="Arial" w:eastAsia="Arial" w:hAnsi="Arial"/>
          <w:sz w:val="19"/>
          <w:szCs w:val="19"/>
          <w:color w:val="auto"/>
        </w:rPr>
        <w:t>The annual total compensation of our median compensated employee was $17,409.</w:t>
      </w:r>
    </w:p>
    <w:p>
      <w:pPr>
        <w:ind w:left="840" w:right="80" w:hanging="186"/>
        <w:spacing w:after="0" w:line="256" w:lineRule="auto"/>
        <w:tabs>
          <w:tab w:leader="none" w:pos="840" w:val="left"/>
        </w:tabs>
        <w:numPr>
          <w:ilvl w:val="0"/>
          <w:numId w:val="74"/>
        </w:numPr>
        <w:rPr>
          <w:rFonts w:ascii="Arial" w:cs="Arial" w:eastAsia="Arial" w:hAnsi="Arial"/>
          <w:sz w:val="20"/>
          <w:szCs w:val="20"/>
          <w:color w:val="auto"/>
        </w:rPr>
      </w:pPr>
      <w:r>
        <w:rPr>
          <w:rFonts w:ascii="Arial" w:cs="Arial" w:eastAsia="Arial" w:hAnsi="Arial"/>
          <w:sz w:val="20"/>
          <w:szCs w:val="20"/>
          <w:color w:val="auto"/>
        </w:rPr>
        <w:t>Based on the foregoing, we estimate that our Chief Executive Officer’s total annual compensation was approximately 928 times that of our median employee.</w:t>
      </w:r>
    </w:p>
    <w:p>
      <w:pPr>
        <w:spacing w:after="0" w:line="207" w:lineRule="exact"/>
        <w:rPr>
          <w:sz w:val="20"/>
          <w:szCs w:val="20"/>
          <w:color w:val="auto"/>
        </w:rPr>
      </w:pPr>
    </w:p>
    <w:p>
      <w:pPr>
        <w:ind w:left="660" w:right="160"/>
        <w:spacing w:after="0" w:line="277" w:lineRule="auto"/>
        <w:rPr>
          <w:sz w:val="20"/>
          <w:szCs w:val="20"/>
          <w:color w:val="auto"/>
        </w:rPr>
      </w:pPr>
      <w:r>
        <w:rPr>
          <w:rFonts w:ascii="Arial" w:cs="Arial" w:eastAsia="Arial" w:hAnsi="Arial"/>
          <w:sz w:val="19"/>
          <w:szCs w:val="19"/>
          <w:color w:val="191919"/>
        </w:rPr>
        <w:t>To determine the median of the annual total compensation of our employees, we applied the following methodology and material assumptions:</w:t>
      </w:r>
    </w:p>
    <w:p>
      <w:pPr>
        <w:spacing w:after="0" w:line="202" w:lineRule="exact"/>
        <w:rPr>
          <w:sz w:val="20"/>
          <w:szCs w:val="20"/>
          <w:color w:val="auto"/>
        </w:rPr>
      </w:pPr>
    </w:p>
    <w:p>
      <w:pPr>
        <w:ind w:left="840" w:hanging="186"/>
        <w:spacing w:after="0" w:line="253" w:lineRule="auto"/>
        <w:tabs>
          <w:tab w:leader="none" w:pos="840" w:val="left"/>
        </w:tabs>
        <w:numPr>
          <w:ilvl w:val="0"/>
          <w:numId w:val="75"/>
        </w:numPr>
        <w:rPr>
          <w:rFonts w:ascii="Arial" w:cs="Arial" w:eastAsia="Arial" w:hAnsi="Arial"/>
          <w:sz w:val="20"/>
          <w:szCs w:val="20"/>
          <w:color w:val="auto"/>
        </w:rPr>
      </w:pPr>
      <w:r>
        <w:rPr>
          <w:rFonts w:ascii="Arial" w:cs="Arial" w:eastAsia="Arial" w:hAnsi="Arial"/>
          <w:sz w:val="20"/>
          <w:szCs w:val="20"/>
          <w:color w:val="auto"/>
        </w:rPr>
        <w:t>We did not use the de minimis exception to exclude any non-U.S. employees. We have a globally diverse workforce with total headcount of approximately 11,000 as of October 1, 2021, of which approximately 77% are located outside the United States, primarily in locations employing large direct labor forces such as Mexico and Singapore where wages are significantly lower than in the United States. As permitted under SEC rules, we excluded from our headcount approximately 340 employees who became employees of the Company during fiscal year 2021 due to our acquisition of Silicon Labs’ Infrastructure and Automotive business. The median employee within our employee population was identified, consistent with</w:t>
      </w:r>
    </w:p>
    <w:p>
      <w:pPr>
        <w:spacing w:after="0" w:line="9" w:lineRule="exact"/>
        <w:rPr>
          <w:rFonts w:ascii="Arial" w:cs="Arial" w:eastAsia="Arial" w:hAnsi="Arial"/>
          <w:sz w:val="20"/>
          <w:szCs w:val="20"/>
          <w:color w:val="auto"/>
        </w:rPr>
      </w:pPr>
    </w:p>
    <w:p>
      <w:pPr>
        <w:jc w:val="both"/>
        <w:ind w:left="840" w:right="200"/>
        <w:spacing w:after="0" w:line="257" w:lineRule="auto"/>
        <w:rPr>
          <w:rFonts w:ascii="Arial" w:cs="Arial" w:eastAsia="Arial" w:hAnsi="Arial"/>
          <w:sz w:val="20"/>
          <w:szCs w:val="20"/>
          <w:color w:val="auto"/>
        </w:rPr>
      </w:pPr>
      <w:r>
        <w:rPr>
          <w:rFonts w:ascii="Arial" w:cs="Arial" w:eastAsia="Arial" w:hAnsi="Arial"/>
          <w:sz w:val="20"/>
          <w:szCs w:val="20"/>
          <w:color w:val="auto"/>
        </w:rPr>
        <w:t>prior years, as of the last day of our fiscal year, or October 1, 2021, and is a full-time employee in our Mexicali, Mexico facility.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83" w:hanging="183"/>
        <w:spacing w:after="0" w:line="253" w:lineRule="auto"/>
        <w:tabs>
          <w:tab w:leader="none" w:pos="183" w:val="left"/>
        </w:tabs>
        <w:numPr>
          <w:ilvl w:val="0"/>
          <w:numId w:val="76"/>
        </w:numPr>
        <w:rPr>
          <w:rFonts w:ascii="Arial" w:cs="Arial" w:eastAsia="Arial" w:hAnsi="Arial"/>
          <w:sz w:val="20"/>
          <w:szCs w:val="20"/>
          <w:color w:val="auto"/>
        </w:rPr>
      </w:pPr>
      <w:r>
        <w:rPr>
          <w:rFonts w:ascii="Arial" w:cs="Arial" w:eastAsia="Arial" w:hAnsi="Arial"/>
          <w:sz w:val="20"/>
          <w:szCs w:val="20"/>
          <w:color w:val="auto"/>
        </w:rPr>
        <w:t>To identify the median employee, we used a consistently applied compensation measure that included total taxable earnings paid to our employees in the most recently completed taxable year in their respective jurisdictions. This included base salary, overtime pay, shift premiums, recognition bonuses, annual cash incentive awards, and long-term stock-based incentive awards. We annualized the compensation of permanent, full-time, and part-time employees who were hired after the beginning of the most recently completed taxable year in their respective jurisdictions.</w:t>
      </w:r>
    </w:p>
    <w:p>
      <w:pPr>
        <w:spacing w:after="0" w:line="7" w:lineRule="exact"/>
        <w:rPr>
          <w:rFonts w:ascii="Arial" w:cs="Arial" w:eastAsia="Arial" w:hAnsi="Arial"/>
          <w:sz w:val="20"/>
          <w:szCs w:val="20"/>
          <w:color w:val="auto"/>
        </w:rPr>
      </w:pPr>
    </w:p>
    <w:p>
      <w:pPr>
        <w:ind w:left="183" w:right="60" w:hanging="183"/>
        <w:spacing w:after="0" w:line="263" w:lineRule="auto"/>
        <w:tabs>
          <w:tab w:leader="none" w:pos="183" w:val="left"/>
        </w:tabs>
        <w:numPr>
          <w:ilvl w:val="0"/>
          <w:numId w:val="76"/>
        </w:numPr>
        <w:rPr>
          <w:rFonts w:ascii="Arial" w:cs="Arial" w:eastAsia="Arial" w:hAnsi="Arial"/>
          <w:sz w:val="19"/>
          <w:szCs w:val="19"/>
          <w:color w:val="auto"/>
        </w:rPr>
      </w:pPr>
      <w:r>
        <w:rPr>
          <w:rFonts w:ascii="Arial" w:cs="Arial" w:eastAsia="Arial" w:hAnsi="Arial"/>
          <w:sz w:val="19"/>
          <w:szCs w:val="19"/>
          <w:color w:val="auto"/>
        </w:rPr>
        <w:t>Using this consistently applied compensation measure, we identified an employee at the median and calculated such employee’s total compensation for fiscal year 2021 in accordance with Item 402(c)(2)(x) of Regulation S-K.</w:t>
      </w:r>
    </w:p>
    <w:p>
      <w:pPr>
        <w:spacing w:after="0" w:line="4" w:lineRule="exact"/>
        <w:rPr>
          <w:rFonts w:ascii="Arial" w:cs="Arial" w:eastAsia="Arial" w:hAnsi="Arial"/>
          <w:sz w:val="19"/>
          <w:szCs w:val="19"/>
          <w:color w:val="auto"/>
        </w:rPr>
      </w:pPr>
    </w:p>
    <w:p>
      <w:pPr>
        <w:ind w:left="183" w:right="120" w:hanging="183"/>
        <w:spacing w:after="0" w:line="253" w:lineRule="auto"/>
        <w:tabs>
          <w:tab w:leader="none" w:pos="183" w:val="left"/>
        </w:tabs>
        <w:numPr>
          <w:ilvl w:val="0"/>
          <w:numId w:val="76"/>
        </w:numPr>
        <w:rPr>
          <w:rFonts w:ascii="Arial" w:cs="Arial" w:eastAsia="Arial" w:hAnsi="Arial"/>
          <w:sz w:val="20"/>
          <w:szCs w:val="20"/>
          <w:color w:val="auto"/>
        </w:rPr>
      </w:pPr>
      <w:r>
        <w:rPr>
          <w:rFonts w:ascii="Arial" w:cs="Arial" w:eastAsia="Arial" w:hAnsi="Arial"/>
          <w:sz w:val="20"/>
          <w:szCs w:val="20"/>
          <w:color w:val="auto"/>
        </w:rPr>
        <w:t>We did not use any cost-of-living adjustments in identifying the median employee.</w:t>
      </w:r>
    </w:p>
    <w:p>
      <w:pPr>
        <w:spacing w:after="0" w:line="1" w:lineRule="exact"/>
        <w:rPr>
          <w:rFonts w:ascii="Arial" w:cs="Arial" w:eastAsia="Arial" w:hAnsi="Arial"/>
          <w:sz w:val="20"/>
          <w:szCs w:val="20"/>
          <w:color w:val="auto"/>
        </w:rPr>
      </w:pPr>
    </w:p>
    <w:p>
      <w:pPr>
        <w:ind w:left="183" w:right="240" w:hanging="183"/>
        <w:spacing w:after="0" w:line="256" w:lineRule="auto"/>
        <w:tabs>
          <w:tab w:leader="none" w:pos="183" w:val="left"/>
        </w:tabs>
        <w:numPr>
          <w:ilvl w:val="0"/>
          <w:numId w:val="76"/>
        </w:numPr>
        <w:rPr>
          <w:rFonts w:ascii="Arial" w:cs="Arial" w:eastAsia="Arial" w:hAnsi="Arial"/>
          <w:sz w:val="20"/>
          <w:szCs w:val="20"/>
          <w:color w:val="auto"/>
        </w:rPr>
      </w:pPr>
      <w:r>
        <w:rPr>
          <w:rFonts w:ascii="Arial" w:cs="Arial" w:eastAsia="Arial" w:hAnsi="Arial"/>
          <w:sz w:val="20"/>
          <w:szCs w:val="20"/>
          <w:color w:val="auto"/>
        </w:rPr>
        <w:t>The annual total compensation of our Chief Executive Officer is the amount reported in the “Total” column of our Summary Compensation Table for fiscal year 2021.</w:t>
      </w:r>
    </w:p>
    <w:p>
      <w:pPr>
        <w:spacing w:after="0" w:line="193" w:lineRule="exact"/>
        <w:rPr>
          <w:sz w:val="20"/>
          <w:szCs w:val="20"/>
          <w:color w:val="auto"/>
        </w:rPr>
      </w:pPr>
    </w:p>
    <w:p>
      <w:pPr>
        <w:ind w:left="3"/>
        <w:spacing w:after="0" w:line="253" w:lineRule="auto"/>
        <w:rPr>
          <w:sz w:val="20"/>
          <w:szCs w:val="20"/>
          <w:color w:val="auto"/>
        </w:rPr>
      </w:pPr>
      <w:r>
        <w:rPr>
          <w:rFonts w:ascii="Arial" w:cs="Arial" w:eastAsia="Arial" w:hAnsi="Arial"/>
          <w:sz w:val="19"/>
          <w:szCs w:val="19"/>
          <w:color w:val="191919"/>
        </w:rPr>
        <w:t>We believe our pay ratio presented above is a reasonable estimate calculated in a manner consistent with Item 402(u) of Regulation S-K. The SEC rules for identifying the median compensated employee and calculating the pay ratio based on that employee’s annual total compensation allow companies to adopt a variety of methodologies, to apply certain exclusions, and to make reasonable estimates and assumptions. As a result, the pay ratio reported by other companies may not be comparable to the pay ratio reported above, as other companies may have different employment and compensation practices and may utilize different methodologies, exclusions, estimates, and assumptions in calculating their own pay ratios.</w:t>
      </w:r>
    </w:p>
    <w:p>
      <w:pPr>
        <w:spacing w:after="0" w:line="332" w:lineRule="exact"/>
        <w:rPr>
          <w:sz w:val="20"/>
          <w:szCs w:val="20"/>
          <w:color w:val="auto"/>
        </w:rPr>
      </w:pPr>
    </w:p>
    <w:p>
      <w:pPr>
        <w:sectPr>
          <w:pgSz w:w="11900" w:h="16838" w:orient="portrait"/>
          <w:cols w:equalWidth="0" w:num="2">
            <w:col w:w="5140" w:space="437"/>
            <w:col w:w="4483"/>
          </w:cols>
          <w:pgMar w:left="580" w:top="132"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spacing w:after="0"/>
        <w:tabs>
          <w:tab w:leader="none" w:pos="4817" w:val="left"/>
        </w:tabs>
        <w:rPr>
          <w:sz w:val="20"/>
          <w:szCs w:val="20"/>
          <w:color w:val="auto"/>
        </w:rPr>
      </w:pPr>
      <w:r>
        <w:rPr>
          <w:rFonts w:ascii="Arial" w:cs="Arial" w:eastAsia="Arial" w:hAnsi="Arial"/>
          <w:sz w:val="16"/>
          <w:szCs w:val="16"/>
          <w:color w:val="auto"/>
        </w:rPr>
        <w:t>54</w:t>
      </w:r>
      <w:r>
        <w:rPr>
          <w:sz w:val="20"/>
          <w:szCs w:val="20"/>
          <w:color w:val="auto"/>
        </w:rPr>
        <w:tab/>
      </w:r>
      <w:r>
        <w:rPr>
          <w:sz w:val="1"/>
          <w:szCs w:val="1"/>
          <w:color w:val="auto"/>
        </w:rPr>
        <w:drawing>
          <wp:inline distT="0" distB="0" distL="0" distR="0">
            <wp:extent cx="779780" cy="257175"/>
            <wp:effectExtent l="0" t="0" r="0" b="0"/>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132" w:right="1259" w:bottom="1440" w:gutter="0" w:footer="0" w:header="0"/>
          <w:type w:val="continuous"/>
        </w:sectPr>
      </w:pPr>
    </w:p>
    <w:bookmarkStart w:id="59" w:name="page60"/>
    <w:bookmarkEnd w:id="5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363" w:lineRule="exact"/>
        <w:rPr>
          <w:sz w:val="20"/>
          <w:szCs w:val="20"/>
          <w:color w:val="auto"/>
        </w:rPr>
      </w:pPr>
    </w:p>
    <w:p>
      <w:pPr>
        <w:jc w:val="right"/>
        <w:ind w:right="6880"/>
        <w:spacing w:after="0"/>
        <w:rPr>
          <w:sz w:val="20"/>
          <w:szCs w:val="20"/>
          <w:color w:val="auto"/>
        </w:rPr>
      </w:pPr>
      <w:r>
        <w:rPr>
          <w:rFonts w:ascii="Arial" w:cs="Arial" w:eastAsia="Arial" w:hAnsi="Arial"/>
          <w:sz w:val="29"/>
          <w:szCs w:val="29"/>
          <w:b w:val="1"/>
          <w:bCs w:val="1"/>
          <w:color w:val="auto"/>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79375</wp:posOffset>
            </wp:positionV>
            <wp:extent cx="597471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974715" cy="825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p>
      <w:pPr>
        <w:spacing w:after="0" w:line="243" w:lineRule="exact"/>
        <w:rPr>
          <w:sz w:val="20"/>
          <w:szCs w:val="20"/>
          <w:color w:val="auto"/>
        </w:rPr>
      </w:pPr>
    </w:p>
    <w:p>
      <w:pPr>
        <w:ind w:left="660"/>
        <w:spacing w:after="0" w:line="254" w:lineRule="auto"/>
        <w:rPr>
          <w:sz w:val="20"/>
          <w:szCs w:val="20"/>
          <w:color w:val="auto"/>
        </w:rPr>
      </w:pPr>
      <w:r>
        <w:rPr>
          <w:rFonts w:ascii="Arial" w:cs="Arial" w:eastAsia="Arial" w:hAnsi="Arial"/>
          <w:sz w:val="20"/>
          <w:szCs w:val="20"/>
          <w:color w:val="191919"/>
        </w:rPr>
        <w:t>The Board sets the compensation for the Company’s non-employee directors, after receiving the recommendations of the Compensation Committee. In formulating its recommendations, the Compensation Committee seeks and receives input from Aon/Radford related to the amounts, terms, and conditions of director cash compensation and stock-based compensation awards, with the goal of establishing non-employee director compensation that is similar to, and competitive with, the compensation of non-employee directors at peer companies in the semiconductor industry.</w:t>
      </w:r>
    </w:p>
    <w:p>
      <w:pPr>
        <w:spacing w:after="0" w:line="258" w:lineRule="exact"/>
        <w:rPr>
          <w:sz w:val="20"/>
          <w:szCs w:val="20"/>
          <w:color w:val="auto"/>
        </w:rPr>
      </w:pPr>
    </w:p>
    <w:p>
      <w:pPr>
        <w:ind w:left="660"/>
        <w:spacing w:after="0"/>
        <w:rPr>
          <w:sz w:val="20"/>
          <w:szCs w:val="20"/>
          <w:color w:val="auto"/>
        </w:rPr>
      </w:pPr>
      <w:r>
        <w:rPr>
          <w:rFonts w:ascii="Arial" w:cs="Arial" w:eastAsia="Arial" w:hAnsi="Arial"/>
          <w:sz w:val="23"/>
          <w:szCs w:val="23"/>
          <w:b w:val="1"/>
          <w:bCs w:val="1"/>
          <w:i w:val="1"/>
          <w:iCs w:val="1"/>
          <w:color w:val="auto"/>
        </w:rPr>
        <w:t>Cash Compensation</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0"/>
          <w:szCs w:val="20"/>
          <w:color w:val="191919"/>
        </w:rPr>
        <w:t>Non-employee directors are paid, in quarterly</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20"/>
          <w:szCs w:val="20"/>
          <w:color w:val="191919"/>
        </w:rPr>
        <w:t>installments, an annual retainer of $80,000 (which</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20"/>
          <w:szCs w:val="20"/>
          <w:color w:val="191919"/>
        </w:rPr>
        <w:t>increased from $75,000 as of February 2022).</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20"/>
          <w:szCs w:val="20"/>
          <w:color w:val="191919"/>
        </w:rPr>
        <w:t>Additional annual retainers for Chairman, Lead</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20"/>
          <w:szCs w:val="20"/>
          <w:color w:val="191919"/>
        </w:rPr>
        <w:t>Independent Director, and/or committee service</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20"/>
          <w:szCs w:val="20"/>
          <w:color w:val="191919"/>
        </w:rPr>
        <w:t>(paid in quarterly installments) are as follows: any</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20"/>
          <w:szCs w:val="20"/>
          <w:color w:val="191919"/>
        </w:rPr>
        <w:t>non-employee Chairman of the Board ($130,000);</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20"/>
          <w:szCs w:val="20"/>
          <w:color w:val="191919"/>
        </w:rPr>
        <w:t>the Lead Independent Director, if one has been</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20"/>
          <w:szCs w:val="20"/>
          <w:color w:val="191919"/>
        </w:rPr>
        <w:t>appointed ($50,000); the Chairman of the Audit</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20"/>
          <w:szCs w:val="20"/>
          <w:color w:val="191919"/>
        </w:rPr>
        <w:t>Committee ($30,000); the Chairman of the</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19"/>
          <w:szCs w:val="19"/>
          <w:color w:val="191919"/>
        </w:rPr>
        <w:t>Compensation Committee ($20,000); the Chairman</w:t>
      </w:r>
    </w:p>
    <w:p>
      <w:pPr>
        <w:spacing w:after="0" w:line="25" w:lineRule="exact"/>
        <w:rPr>
          <w:sz w:val="20"/>
          <w:szCs w:val="20"/>
          <w:color w:val="auto"/>
        </w:rPr>
      </w:pPr>
    </w:p>
    <w:p>
      <w:pPr>
        <w:ind w:left="660"/>
        <w:spacing w:after="0"/>
        <w:rPr>
          <w:sz w:val="20"/>
          <w:szCs w:val="20"/>
          <w:color w:val="auto"/>
        </w:rPr>
      </w:pPr>
      <w:r>
        <w:rPr>
          <w:rFonts w:ascii="Arial" w:cs="Arial" w:eastAsia="Arial" w:hAnsi="Arial"/>
          <w:sz w:val="20"/>
          <w:szCs w:val="20"/>
          <w:color w:val="191919"/>
        </w:rPr>
        <w:t>of the Nominating and Governance Committee</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20"/>
          <w:szCs w:val="20"/>
          <w:color w:val="191919"/>
        </w:rPr>
        <w:t>($15,000); non-chair member of Audit Committee</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20"/>
          <w:szCs w:val="20"/>
          <w:color w:val="191919"/>
        </w:rPr>
        <w:t>($15,000); non-chair member of Compensation</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20"/>
          <w:szCs w:val="20"/>
          <w:color w:val="191919"/>
        </w:rPr>
        <w:t>Committee ($10,000); and non-chair member of</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19"/>
          <w:szCs w:val="19"/>
          <w:color w:val="191919"/>
        </w:rPr>
        <w:t>Nominating and Corporate Governance Committee</w:t>
      </w:r>
    </w:p>
    <w:p>
      <w:pPr>
        <w:spacing w:after="0" w:line="25" w:lineRule="exact"/>
        <w:rPr>
          <w:sz w:val="20"/>
          <w:szCs w:val="20"/>
          <w:color w:val="auto"/>
        </w:rPr>
      </w:pPr>
    </w:p>
    <w:p>
      <w:pPr>
        <w:ind w:left="660"/>
        <w:spacing w:after="0"/>
        <w:rPr>
          <w:sz w:val="20"/>
          <w:szCs w:val="20"/>
          <w:color w:val="auto"/>
        </w:rPr>
      </w:pPr>
      <w:r>
        <w:rPr>
          <w:rFonts w:ascii="Arial" w:cs="Arial" w:eastAsia="Arial" w:hAnsi="Arial"/>
          <w:sz w:val="19"/>
          <w:szCs w:val="19"/>
          <w:color w:val="191919"/>
        </w:rPr>
        <w:t>($7,500). In addition, the Compensation Committee</w:t>
      </w:r>
    </w:p>
    <w:p>
      <w:pPr>
        <w:spacing w:after="0" w:line="25" w:lineRule="exact"/>
        <w:rPr>
          <w:sz w:val="20"/>
          <w:szCs w:val="20"/>
          <w:color w:val="auto"/>
        </w:rPr>
      </w:pPr>
    </w:p>
    <w:p>
      <w:pPr>
        <w:ind w:left="660"/>
        <w:spacing w:after="0"/>
        <w:rPr>
          <w:sz w:val="20"/>
          <w:szCs w:val="20"/>
          <w:color w:val="auto"/>
        </w:rPr>
      </w:pPr>
      <w:r>
        <w:rPr>
          <w:rFonts w:ascii="Arial" w:cs="Arial" w:eastAsia="Arial" w:hAnsi="Arial"/>
          <w:sz w:val="20"/>
          <w:szCs w:val="20"/>
          <w:color w:val="191919"/>
        </w:rPr>
        <w:t>continues to retain discretion to recommend to the</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20"/>
          <w:szCs w:val="20"/>
          <w:color w:val="191919"/>
        </w:rPr>
        <w:t>full Board that additional cash payments be made</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20"/>
          <w:szCs w:val="20"/>
          <w:color w:val="191919"/>
        </w:rPr>
        <w:t>to a non-employee director for extraordinary</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20"/>
          <w:szCs w:val="20"/>
          <w:color w:val="191919"/>
        </w:rPr>
        <w:t>service during a fiscal year.</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Arial" w:cs="Arial" w:eastAsia="Arial" w:hAnsi="Arial"/>
          <w:sz w:val="23"/>
          <w:szCs w:val="23"/>
          <w:b w:val="1"/>
          <w:bCs w:val="1"/>
          <w:i w:val="1"/>
          <w:iCs w:val="1"/>
          <w:color w:val="auto"/>
        </w:rPr>
        <w:t>Equity Compensation</w:t>
      </w:r>
    </w:p>
    <w:p>
      <w:pPr>
        <w:spacing w:after="0" w:line="174" w:lineRule="exact"/>
        <w:rPr>
          <w:sz w:val="20"/>
          <w:szCs w:val="20"/>
          <w:color w:val="auto"/>
        </w:rPr>
      </w:pPr>
    </w:p>
    <w:p>
      <w:pPr>
        <w:ind w:right="680"/>
        <w:spacing w:after="0" w:line="253" w:lineRule="auto"/>
        <w:rPr>
          <w:sz w:val="20"/>
          <w:szCs w:val="20"/>
          <w:color w:val="auto"/>
        </w:rPr>
      </w:pPr>
      <w:r>
        <w:rPr>
          <w:rFonts w:ascii="Arial" w:cs="Arial" w:eastAsia="Arial" w:hAnsi="Arial"/>
          <w:sz w:val="20"/>
          <w:szCs w:val="20"/>
          <w:color w:val="191919"/>
        </w:rPr>
        <w:t>Currently, following each annual meeting of stockholders, each non-employee director who is reelected will receive a grant of RSUs having a value of approximately $225,000 (which increased from $200,000 as of February 2022). Any newly appointed non-employee director will receive an initial equity grant of RSUs having a value of approximately $225,000 (which increased from $200,000 as of February 2022). The number of shares subject to a non-employee director’s initial RSU award or annual award is determined by dividing the approximate value of the award, as stated above, by the average closing price per share of the Company’s common stock as reported on the Nasdaq Global Select Market (or if the common stock is not then traded on such market, such other market on which the common stock is traded) for each trading day during the 30 consecutive trading day period ending on, and including, the grant date. Unless otherwise determined by the Board, (a) a non-employee director’s initial equity grant of RSUs will vest in three (3) equal annual installments on the first three anniversaries of the date of grant, and (b) a non-employee director’s annual equity grant of RSUs will vest on the first anniversary of the date of grant. In the event of a change in control of the Company, any outstanding options and RSUs awarded under the 2008 Director Long-Term Incentive Plan will become fully exercisable and deemed fully vested, respectively.</w:t>
      </w:r>
    </w:p>
    <w:p>
      <w:pPr>
        <w:spacing w:after="0" w:line="234" w:lineRule="exact"/>
        <w:rPr>
          <w:sz w:val="20"/>
          <w:szCs w:val="20"/>
          <w:color w:val="auto"/>
        </w:rPr>
      </w:pPr>
    </w:p>
    <w:p>
      <w:pPr>
        <w:ind w:right="740"/>
        <w:spacing w:after="0" w:line="256" w:lineRule="auto"/>
        <w:rPr>
          <w:sz w:val="20"/>
          <w:szCs w:val="20"/>
          <w:color w:val="auto"/>
        </w:rPr>
      </w:pPr>
      <w:r>
        <w:rPr>
          <w:rFonts w:ascii="Arial" w:cs="Arial" w:eastAsia="Arial" w:hAnsi="Arial"/>
          <w:sz w:val="20"/>
          <w:szCs w:val="20"/>
          <w:color w:val="191919"/>
        </w:rPr>
        <w:t>No director who is also an employee receives separate compensation for services rendered as a director. Mr. Griffin is currently the only director who is also an employee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-462280</wp:posOffset>
            </wp:positionH>
            <wp:positionV relativeFrom="paragraph">
              <wp:posOffset>922020</wp:posOffset>
            </wp:positionV>
            <wp:extent cx="779780" cy="25717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79780" cy="2571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40" w:space="440"/>
            <w:col w:w="5140"/>
          </w:cols>
          <w:pgMar w:left="580" w:top="132" w:right="5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860" w:type="dxa"/>
            <w:vAlign w:val="bottom"/>
          </w:tcPr>
          <w:p>
            <w:pPr>
              <w:ind w:left="660"/>
              <w:spacing w:after="0"/>
              <w:rPr>
                <w:sz w:val="20"/>
                <w:szCs w:val="20"/>
                <w:color w:val="auto"/>
              </w:rPr>
            </w:pPr>
            <w:r>
              <w:rPr>
                <w:rFonts w:ascii="Arial" w:cs="Arial" w:eastAsia="Arial" w:hAnsi="Arial"/>
                <w:sz w:val="16"/>
                <w:szCs w:val="16"/>
                <w:color w:val="auto"/>
              </w:rPr>
              <w:t>Proxy Statement</w:t>
            </w:r>
          </w:p>
        </w:tc>
        <w:tc>
          <w:tcPr>
            <w:tcW w:w="4860" w:type="dxa"/>
            <w:vAlign w:val="bottom"/>
          </w:tcPr>
          <w:p>
            <w:pPr>
              <w:jc w:val="right"/>
              <w:ind w:right="579"/>
              <w:spacing w:after="0"/>
              <w:rPr>
                <w:sz w:val="20"/>
                <w:szCs w:val="20"/>
                <w:color w:val="auto"/>
              </w:rPr>
            </w:pPr>
            <w:r>
              <w:rPr>
                <w:rFonts w:ascii="Arial" w:cs="Arial" w:eastAsia="Arial" w:hAnsi="Arial"/>
                <w:sz w:val="16"/>
                <w:szCs w:val="16"/>
                <w:color w:val="auto"/>
              </w:rPr>
              <w:t>55</w:t>
            </w:r>
          </w:p>
        </w:tc>
      </w:tr>
      <w:tr>
        <w:trPr>
          <w:trHeight w:val="296"/>
        </w:trPr>
        <w:tc>
          <w:tcPr>
            <w:tcW w:w="5860" w:type="dxa"/>
            <w:vAlign w:val="bottom"/>
            <w:tcBorders>
              <w:bottom w:val="single" w:sz="8" w:color="9A9A9A"/>
            </w:tcBorders>
          </w:tcPr>
          <w:p>
            <w:pPr>
              <w:spacing w:after="0"/>
              <w:rPr>
                <w:sz w:val="24"/>
                <w:szCs w:val="24"/>
                <w:color w:val="auto"/>
              </w:rPr>
            </w:pPr>
          </w:p>
        </w:tc>
        <w:tc>
          <w:tcPr>
            <w:tcW w:w="4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type w:val="continuous"/>
        </w:sectPr>
      </w:pPr>
    </w:p>
    <w:bookmarkStart w:id="60" w:name="page61"/>
    <w:bookmarkEnd w:id="6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Arial" w:cs="Arial" w:eastAsia="Arial" w:hAnsi="Arial"/>
          <w:sz w:val="23"/>
          <w:szCs w:val="23"/>
          <w:b w:val="1"/>
          <w:bCs w:val="1"/>
          <w:i w:val="1"/>
          <w:iCs w:val="1"/>
          <w:color w:val="auto"/>
        </w:rPr>
        <w:t>Director Compensation Table</w:t>
      </w:r>
    </w:p>
    <w:p>
      <w:pPr>
        <w:spacing w:after="0" w:line="161" w:lineRule="exact"/>
        <w:rPr>
          <w:sz w:val="20"/>
          <w:szCs w:val="20"/>
          <w:color w:val="auto"/>
        </w:rPr>
      </w:pPr>
    </w:p>
    <w:p>
      <w:pPr>
        <w:ind w:left="660" w:right="80"/>
        <w:spacing w:after="0" w:line="261" w:lineRule="auto"/>
        <w:rPr>
          <w:sz w:val="20"/>
          <w:szCs w:val="20"/>
          <w:color w:val="auto"/>
        </w:rPr>
      </w:pPr>
      <w:r>
        <w:rPr>
          <w:rFonts w:ascii="Arial" w:cs="Arial" w:eastAsia="Arial" w:hAnsi="Arial"/>
          <w:sz w:val="20"/>
          <w:szCs w:val="20"/>
          <w:color w:val="191919"/>
        </w:rPr>
        <w:t>The following table summarizes the compensation paid to the Company’s non-employee directors for fiscal year 2021.</w:t>
      </w:r>
    </w:p>
    <w:p>
      <w:pPr>
        <w:spacing w:after="0" w:line="246" w:lineRule="exact"/>
        <w:rPr>
          <w:sz w:val="20"/>
          <w:szCs w:val="20"/>
          <w:color w:val="auto"/>
        </w:rPr>
      </w:pPr>
    </w:p>
    <w:tbl>
      <w:tblPr>
        <w:tblLayout w:type="fixed"/>
        <w:tblInd w:w="660" w:type="dxa"/>
        <w:tblCellMar>
          <w:top w:w="0" w:type="dxa"/>
          <w:left w:w="0" w:type="dxa"/>
          <w:bottom w:w="0" w:type="dxa"/>
          <w:right w:w="0" w:type="dxa"/>
        </w:tblCellMar>
      </w:tblPr>
      <w:tr>
        <w:trPr>
          <w:trHeight w:val="215"/>
        </w:trPr>
        <w:tc>
          <w:tcPr>
            <w:tcW w:w="5020" w:type="dxa"/>
            <w:vAlign w:val="bottom"/>
            <w:shd w:val="clear" w:color="auto" w:fill="0076A8"/>
          </w:tcPr>
          <w:p>
            <w:pPr>
              <w:spacing w:after="0"/>
              <w:rPr>
                <w:sz w:val="18"/>
                <w:szCs w:val="18"/>
                <w:color w:val="auto"/>
              </w:rPr>
            </w:pPr>
          </w:p>
        </w:tc>
        <w:tc>
          <w:tcPr>
            <w:tcW w:w="2720" w:type="dxa"/>
            <w:vAlign w:val="bottom"/>
            <w:shd w:val="clear" w:color="auto" w:fill="0076A8"/>
          </w:tcPr>
          <w:p>
            <w:pPr>
              <w:jc w:val="center"/>
              <w:ind w:left="1197"/>
              <w:spacing w:after="0"/>
              <w:rPr>
                <w:sz w:val="20"/>
                <w:szCs w:val="20"/>
                <w:color w:val="auto"/>
              </w:rPr>
            </w:pPr>
            <w:r>
              <w:rPr>
                <w:rFonts w:ascii="Arial" w:cs="Arial" w:eastAsia="Arial" w:hAnsi="Arial"/>
                <w:sz w:val="18"/>
                <w:szCs w:val="18"/>
                <w:color w:val="FFFFFF"/>
                <w:w w:val="99"/>
              </w:rPr>
              <w:t>Fees Earned or</w:t>
            </w:r>
          </w:p>
        </w:tc>
        <w:tc>
          <w:tcPr>
            <w:tcW w:w="900" w:type="dxa"/>
            <w:vAlign w:val="bottom"/>
            <w:shd w:val="clear" w:color="auto" w:fill="0076A8"/>
          </w:tcPr>
          <w:p>
            <w:pPr>
              <w:jc w:val="right"/>
              <w:ind w:right="177"/>
              <w:spacing w:after="0"/>
              <w:rPr>
                <w:sz w:val="20"/>
                <w:szCs w:val="20"/>
                <w:color w:val="auto"/>
              </w:rPr>
            </w:pPr>
            <w:r>
              <w:rPr>
                <w:rFonts w:ascii="Arial" w:cs="Arial" w:eastAsia="Arial" w:hAnsi="Arial"/>
                <w:sz w:val="18"/>
                <w:szCs w:val="18"/>
                <w:color w:val="FFFFFF"/>
              </w:rPr>
              <w:t>Stock</w:t>
            </w:r>
          </w:p>
        </w:tc>
        <w:tc>
          <w:tcPr>
            <w:tcW w:w="760" w:type="dxa"/>
            <w:vAlign w:val="bottom"/>
            <w:shd w:val="clear" w:color="auto" w:fill="0076A8"/>
          </w:tcPr>
          <w:p>
            <w:pPr>
              <w:spacing w:after="0"/>
              <w:rPr>
                <w:sz w:val="18"/>
                <w:szCs w:val="18"/>
                <w:color w:val="auto"/>
              </w:rPr>
            </w:pPr>
          </w:p>
        </w:tc>
      </w:tr>
      <w:tr>
        <w:trPr>
          <w:trHeight w:val="189"/>
        </w:trPr>
        <w:tc>
          <w:tcPr>
            <w:tcW w:w="5020" w:type="dxa"/>
            <w:vAlign w:val="bottom"/>
            <w:shd w:val="clear" w:color="auto" w:fill="0076A8"/>
          </w:tcPr>
          <w:p>
            <w:pPr>
              <w:spacing w:after="0"/>
              <w:rPr>
                <w:sz w:val="16"/>
                <w:szCs w:val="16"/>
                <w:color w:val="auto"/>
              </w:rPr>
            </w:pPr>
          </w:p>
        </w:tc>
        <w:tc>
          <w:tcPr>
            <w:tcW w:w="2720" w:type="dxa"/>
            <w:vAlign w:val="bottom"/>
            <w:shd w:val="clear" w:color="auto" w:fill="0076A8"/>
          </w:tcPr>
          <w:p>
            <w:pPr>
              <w:jc w:val="center"/>
              <w:ind w:left="1177"/>
              <w:spacing w:after="0" w:line="189" w:lineRule="exact"/>
              <w:rPr>
                <w:sz w:val="20"/>
                <w:szCs w:val="20"/>
                <w:color w:val="auto"/>
              </w:rPr>
            </w:pPr>
            <w:r>
              <w:rPr>
                <w:rFonts w:ascii="Arial" w:cs="Arial" w:eastAsia="Arial" w:hAnsi="Arial"/>
                <w:sz w:val="18"/>
                <w:szCs w:val="18"/>
                <w:color w:val="FFFFFF"/>
                <w:w w:val="99"/>
              </w:rPr>
              <w:t>Paid in Cash</w:t>
            </w:r>
          </w:p>
        </w:tc>
        <w:tc>
          <w:tcPr>
            <w:tcW w:w="900" w:type="dxa"/>
            <w:vAlign w:val="bottom"/>
            <w:shd w:val="clear" w:color="auto" w:fill="0076A8"/>
          </w:tcPr>
          <w:p>
            <w:pPr>
              <w:ind w:left="120"/>
              <w:spacing w:after="0" w:line="189" w:lineRule="exact"/>
              <w:rPr>
                <w:sz w:val="20"/>
                <w:szCs w:val="20"/>
                <w:color w:val="auto"/>
              </w:rPr>
            </w:pPr>
            <w:r>
              <w:rPr>
                <w:rFonts w:ascii="Arial" w:cs="Arial" w:eastAsia="Arial" w:hAnsi="Arial"/>
                <w:sz w:val="18"/>
                <w:szCs w:val="18"/>
                <w:color w:val="FFFFFF"/>
              </w:rPr>
              <w:t>Awards</w:t>
            </w:r>
          </w:p>
        </w:tc>
        <w:tc>
          <w:tcPr>
            <w:tcW w:w="760" w:type="dxa"/>
            <w:vAlign w:val="bottom"/>
            <w:shd w:val="clear" w:color="auto" w:fill="0076A8"/>
          </w:tcPr>
          <w:p>
            <w:pPr>
              <w:ind w:left="200"/>
              <w:spacing w:after="0" w:line="189" w:lineRule="exact"/>
              <w:rPr>
                <w:sz w:val="20"/>
                <w:szCs w:val="20"/>
                <w:color w:val="auto"/>
              </w:rPr>
            </w:pPr>
            <w:r>
              <w:rPr>
                <w:rFonts w:ascii="Arial" w:cs="Arial" w:eastAsia="Arial" w:hAnsi="Arial"/>
                <w:sz w:val="18"/>
                <w:szCs w:val="18"/>
                <w:color w:val="FFFFFF"/>
              </w:rPr>
              <w:t>Total</w:t>
            </w:r>
          </w:p>
        </w:tc>
      </w:tr>
      <w:tr>
        <w:trPr>
          <w:trHeight w:val="203"/>
        </w:trPr>
        <w:tc>
          <w:tcPr>
            <w:tcW w:w="5020" w:type="dxa"/>
            <w:vAlign w:val="bottom"/>
            <w:shd w:val="clear" w:color="auto" w:fill="0076A8"/>
          </w:tcPr>
          <w:p>
            <w:pPr>
              <w:ind w:left="40"/>
              <w:spacing w:after="0" w:line="203" w:lineRule="exact"/>
              <w:rPr>
                <w:sz w:val="20"/>
                <w:szCs w:val="20"/>
                <w:color w:val="auto"/>
              </w:rPr>
            </w:pPr>
            <w:r>
              <w:rPr>
                <w:rFonts w:ascii="Arial" w:cs="Arial" w:eastAsia="Arial" w:hAnsi="Arial"/>
                <w:sz w:val="18"/>
                <w:szCs w:val="18"/>
                <w:color w:val="FFFFFF"/>
              </w:rPr>
              <w:t>Name</w:t>
            </w:r>
          </w:p>
        </w:tc>
        <w:tc>
          <w:tcPr>
            <w:tcW w:w="2720" w:type="dxa"/>
            <w:vAlign w:val="bottom"/>
            <w:shd w:val="clear" w:color="auto" w:fill="0076A8"/>
          </w:tcPr>
          <w:p>
            <w:pPr>
              <w:jc w:val="center"/>
              <w:ind w:left="1177"/>
              <w:spacing w:after="0" w:line="203" w:lineRule="exact"/>
              <w:rPr>
                <w:sz w:val="20"/>
                <w:szCs w:val="20"/>
                <w:color w:val="auto"/>
              </w:rPr>
            </w:pPr>
            <w:r>
              <w:rPr>
                <w:rFonts w:ascii="Arial" w:cs="Arial" w:eastAsia="Arial" w:hAnsi="Arial"/>
                <w:sz w:val="18"/>
                <w:szCs w:val="18"/>
                <w:color w:val="FFFFFF"/>
                <w:w w:val="99"/>
              </w:rPr>
              <w:t>($)</w:t>
            </w:r>
          </w:p>
        </w:tc>
        <w:tc>
          <w:tcPr>
            <w:tcW w:w="900" w:type="dxa"/>
            <w:vAlign w:val="bottom"/>
            <w:shd w:val="clear" w:color="auto" w:fill="0076A8"/>
          </w:tcPr>
          <w:p>
            <w:pPr>
              <w:ind w:left="120"/>
              <w:spacing w:after="0" w:line="203" w:lineRule="exact"/>
              <w:rPr>
                <w:sz w:val="20"/>
                <w:szCs w:val="20"/>
                <w:color w:val="auto"/>
              </w:rPr>
            </w:pPr>
            <w:r>
              <w:rPr>
                <w:rFonts w:ascii="Arial" w:cs="Arial" w:eastAsia="Arial" w:hAnsi="Arial"/>
                <w:sz w:val="18"/>
                <w:szCs w:val="18"/>
                <w:color w:val="FFFFFF"/>
              </w:rPr>
              <w:t>($)(1)(2)</w:t>
            </w:r>
          </w:p>
        </w:tc>
        <w:tc>
          <w:tcPr>
            <w:tcW w:w="760" w:type="dxa"/>
            <w:vAlign w:val="bottom"/>
            <w:shd w:val="clear" w:color="auto" w:fill="0076A8"/>
          </w:tcPr>
          <w:p>
            <w:pPr>
              <w:jc w:val="center"/>
              <w:spacing w:after="0" w:line="203" w:lineRule="exact"/>
              <w:rPr>
                <w:sz w:val="20"/>
                <w:szCs w:val="20"/>
                <w:color w:val="auto"/>
              </w:rPr>
            </w:pPr>
            <w:r>
              <w:rPr>
                <w:rFonts w:ascii="Arial" w:cs="Arial" w:eastAsia="Arial" w:hAnsi="Arial"/>
                <w:sz w:val="18"/>
                <w:szCs w:val="18"/>
                <w:color w:val="FFFFFF"/>
                <w:w w:val="99"/>
              </w:rPr>
              <w:t>($)</w:t>
            </w:r>
          </w:p>
        </w:tc>
      </w:tr>
      <w:tr>
        <w:trPr>
          <w:trHeight w:val="203"/>
        </w:trPr>
        <w:tc>
          <w:tcPr>
            <w:tcW w:w="5020" w:type="dxa"/>
            <w:vAlign w:val="bottom"/>
            <w:shd w:val="clear" w:color="auto" w:fill="E5E5E5"/>
          </w:tcPr>
          <w:p>
            <w:pPr>
              <w:ind w:left="40"/>
              <w:spacing w:after="0"/>
              <w:rPr>
                <w:sz w:val="20"/>
                <w:szCs w:val="20"/>
                <w:color w:val="auto"/>
              </w:rPr>
            </w:pPr>
            <w:r>
              <w:rPr>
                <w:rFonts w:ascii="Arial" w:cs="Arial" w:eastAsia="Arial" w:hAnsi="Arial"/>
                <w:sz w:val="16"/>
                <w:szCs w:val="16"/>
                <w:color w:val="auto"/>
              </w:rPr>
              <w:t>David J. Aldrich, Former Chairman of the Board</w:t>
            </w:r>
            <w:r>
              <w:rPr>
                <w:rFonts w:ascii="Arial" w:cs="Arial" w:eastAsia="Arial" w:hAnsi="Arial"/>
                <w:sz w:val="16"/>
                <w:szCs w:val="16"/>
                <w:color w:val="0076A8"/>
              </w:rPr>
              <w:t>(3)</w:t>
            </w:r>
          </w:p>
        </w:tc>
        <w:tc>
          <w:tcPr>
            <w:tcW w:w="2720" w:type="dxa"/>
            <w:vAlign w:val="bottom"/>
            <w:shd w:val="clear" w:color="auto" w:fill="E5E5E5"/>
          </w:tcPr>
          <w:p>
            <w:pPr>
              <w:jc w:val="right"/>
              <w:ind w:right="337"/>
              <w:spacing w:after="0"/>
              <w:rPr>
                <w:sz w:val="20"/>
                <w:szCs w:val="20"/>
                <w:color w:val="auto"/>
              </w:rPr>
            </w:pPr>
            <w:r>
              <w:rPr>
                <w:rFonts w:ascii="Arial" w:cs="Arial" w:eastAsia="Arial" w:hAnsi="Arial"/>
                <w:sz w:val="16"/>
                <w:szCs w:val="16"/>
                <w:color w:val="auto"/>
              </w:rPr>
              <w:t>126,154</w:t>
            </w:r>
          </w:p>
        </w:tc>
        <w:tc>
          <w:tcPr>
            <w:tcW w:w="900" w:type="dxa"/>
            <w:vAlign w:val="bottom"/>
            <w:shd w:val="clear" w:color="auto" w:fill="E5E5E5"/>
          </w:tcPr>
          <w:p>
            <w:pPr>
              <w:jc w:val="right"/>
              <w:ind w:right="77"/>
              <w:spacing w:after="0"/>
              <w:rPr>
                <w:sz w:val="20"/>
                <w:szCs w:val="20"/>
                <w:color w:val="auto"/>
              </w:rPr>
            </w:pPr>
            <w:r>
              <w:rPr>
                <w:rFonts w:ascii="Arial" w:cs="Arial" w:eastAsia="Arial" w:hAnsi="Arial"/>
                <w:sz w:val="16"/>
                <w:szCs w:val="16"/>
                <w:color w:val="auto"/>
              </w:rPr>
              <w:t>—</w:t>
            </w:r>
          </w:p>
        </w:tc>
        <w:tc>
          <w:tcPr>
            <w:tcW w:w="76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126,154</w:t>
            </w:r>
          </w:p>
        </w:tc>
      </w:tr>
      <w:tr>
        <w:trPr>
          <w:trHeight w:val="203"/>
        </w:trPr>
        <w:tc>
          <w:tcPr>
            <w:tcW w:w="5020" w:type="dxa"/>
            <w:vAlign w:val="bottom"/>
          </w:tcPr>
          <w:p>
            <w:pPr>
              <w:ind w:left="40"/>
              <w:spacing w:after="0"/>
              <w:rPr>
                <w:sz w:val="20"/>
                <w:szCs w:val="20"/>
                <w:color w:val="auto"/>
              </w:rPr>
            </w:pPr>
            <w:r>
              <w:rPr>
                <w:rFonts w:ascii="Arial" w:cs="Arial" w:eastAsia="Arial" w:hAnsi="Arial"/>
                <w:sz w:val="16"/>
                <w:szCs w:val="16"/>
                <w:color w:val="auto"/>
              </w:rPr>
              <w:t>Christine King, Lead Independent Director</w:t>
            </w:r>
          </w:p>
        </w:tc>
        <w:tc>
          <w:tcPr>
            <w:tcW w:w="2720" w:type="dxa"/>
            <w:vAlign w:val="bottom"/>
          </w:tcPr>
          <w:p>
            <w:pPr>
              <w:jc w:val="right"/>
              <w:ind w:right="337"/>
              <w:spacing w:after="0"/>
              <w:rPr>
                <w:sz w:val="20"/>
                <w:szCs w:val="20"/>
                <w:color w:val="auto"/>
              </w:rPr>
            </w:pPr>
            <w:r>
              <w:rPr>
                <w:rFonts w:ascii="Arial" w:cs="Arial" w:eastAsia="Arial" w:hAnsi="Arial"/>
                <w:sz w:val="16"/>
                <w:szCs w:val="16"/>
                <w:color w:val="auto"/>
              </w:rPr>
              <w:t>160,000</w:t>
            </w:r>
          </w:p>
        </w:tc>
        <w:tc>
          <w:tcPr>
            <w:tcW w:w="900" w:type="dxa"/>
            <w:vAlign w:val="bottom"/>
          </w:tcPr>
          <w:p>
            <w:pPr>
              <w:jc w:val="right"/>
              <w:ind w:right="77"/>
              <w:spacing w:after="0"/>
              <w:rPr>
                <w:sz w:val="20"/>
                <w:szCs w:val="20"/>
                <w:color w:val="auto"/>
              </w:rPr>
            </w:pPr>
            <w:r>
              <w:rPr>
                <w:rFonts w:ascii="Arial" w:cs="Arial" w:eastAsia="Arial" w:hAnsi="Arial"/>
                <w:sz w:val="16"/>
                <w:szCs w:val="16"/>
                <w:color w:val="auto"/>
              </w:rPr>
              <w:t>175,099</w:t>
            </w:r>
          </w:p>
        </w:tc>
        <w:tc>
          <w:tcPr>
            <w:tcW w:w="760" w:type="dxa"/>
            <w:vAlign w:val="bottom"/>
          </w:tcPr>
          <w:p>
            <w:pPr>
              <w:jc w:val="center"/>
              <w:spacing w:after="0"/>
              <w:rPr>
                <w:sz w:val="20"/>
                <w:szCs w:val="20"/>
                <w:color w:val="auto"/>
              </w:rPr>
            </w:pPr>
            <w:r>
              <w:rPr>
                <w:rFonts w:ascii="Arial" w:cs="Arial" w:eastAsia="Arial" w:hAnsi="Arial"/>
                <w:sz w:val="16"/>
                <w:szCs w:val="16"/>
                <w:color w:val="auto"/>
              </w:rPr>
              <w:t>335,099</w:t>
            </w:r>
          </w:p>
        </w:tc>
      </w:tr>
      <w:tr>
        <w:trPr>
          <w:trHeight w:val="203"/>
        </w:trPr>
        <w:tc>
          <w:tcPr>
            <w:tcW w:w="5020" w:type="dxa"/>
            <w:vAlign w:val="bottom"/>
            <w:shd w:val="clear" w:color="auto" w:fill="E5E5E5"/>
          </w:tcPr>
          <w:p>
            <w:pPr>
              <w:ind w:left="40"/>
              <w:spacing w:after="0"/>
              <w:rPr>
                <w:sz w:val="20"/>
                <w:szCs w:val="20"/>
                <w:color w:val="auto"/>
              </w:rPr>
            </w:pPr>
            <w:r>
              <w:rPr>
                <w:rFonts w:ascii="Arial" w:cs="Arial" w:eastAsia="Arial" w:hAnsi="Arial"/>
                <w:sz w:val="16"/>
                <w:szCs w:val="16"/>
                <w:color w:val="auto"/>
              </w:rPr>
              <w:t>Alan S. Batey</w:t>
            </w:r>
          </w:p>
        </w:tc>
        <w:tc>
          <w:tcPr>
            <w:tcW w:w="2720" w:type="dxa"/>
            <w:vAlign w:val="bottom"/>
            <w:shd w:val="clear" w:color="auto" w:fill="E5E5E5"/>
          </w:tcPr>
          <w:p>
            <w:pPr>
              <w:jc w:val="right"/>
              <w:ind w:right="337"/>
              <w:spacing w:after="0"/>
              <w:rPr>
                <w:sz w:val="20"/>
                <w:szCs w:val="20"/>
                <w:color w:val="auto"/>
              </w:rPr>
            </w:pPr>
            <w:r>
              <w:rPr>
                <w:rFonts w:ascii="Arial" w:cs="Arial" w:eastAsia="Arial" w:hAnsi="Arial"/>
                <w:sz w:val="16"/>
                <w:szCs w:val="16"/>
                <w:color w:val="auto"/>
              </w:rPr>
              <w:t>82,500</w:t>
            </w:r>
          </w:p>
        </w:tc>
        <w:tc>
          <w:tcPr>
            <w:tcW w:w="900" w:type="dxa"/>
            <w:vAlign w:val="bottom"/>
            <w:shd w:val="clear" w:color="auto" w:fill="E5E5E5"/>
          </w:tcPr>
          <w:p>
            <w:pPr>
              <w:jc w:val="right"/>
              <w:ind w:right="77"/>
              <w:spacing w:after="0"/>
              <w:rPr>
                <w:sz w:val="20"/>
                <w:szCs w:val="20"/>
                <w:color w:val="auto"/>
              </w:rPr>
            </w:pPr>
            <w:r>
              <w:rPr>
                <w:rFonts w:ascii="Arial" w:cs="Arial" w:eastAsia="Arial" w:hAnsi="Arial"/>
                <w:sz w:val="16"/>
                <w:szCs w:val="16"/>
                <w:color w:val="auto"/>
              </w:rPr>
              <w:t>175,099</w:t>
            </w:r>
          </w:p>
        </w:tc>
        <w:tc>
          <w:tcPr>
            <w:tcW w:w="76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257,599</w:t>
            </w:r>
          </w:p>
        </w:tc>
      </w:tr>
      <w:tr>
        <w:trPr>
          <w:trHeight w:val="203"/>
        </w:trPr>
        <w:tc>
          <w:tcPr>
            <w:tcW w:w="5020" w:type="dxa"/>
            <w:vAlign w:val="bottom"/>
          </w:tcPr>
          <w:p>
            <w:pPr>
              <w:ind w:left="40"/>
              <w:spacing w:after="0"/>
              <w:rPr>
                <w:sz w:val="20"/>
                <w:szCs w:val="20"/>
                <w:color w:val="auto"/>
              </w:rPr>
            </w:pPr>
            <w:r>
              <w:rPr>
                <w:rFonts w:ascii="Arial" w:cs="Arial" w:eastAsia="Arial" w:hAnsi="Arial"/>
                <w:sz w:val="16"/>
                <w:szCs w:val="16"/>
                <w:color w:val="auto"/>
              </w:rPr>
              <w:t>Kevin L. Beebe</w:t>
            </w:r>
          </w:p>
        </w:tc>
        <w:tc>
          <w:tcPr>
            <w:tcW w:w="2720" w:type="dxa"/>
            <w:vAlign w:val="bottom"/>
          </w:tcPr>
          <w:p>
            <w:pPr>
              <w:jc w:val="right"/>
              <w:ind w:right="337"/>
              <w:spacing w:after="0"/>
              <w:rPr>
                <w:sz w:val="20"/>
                <w:szCs w:val="20"/>
                <w:color w:val="auto"/>
              </w:rPr>
            </w:pPr>
            <w:r>
              <w:rPr>
                <w:rFonts w:ascii="Arial" w:cs="Arial" w:eastAsia="Arial" w:hAnsi="Arial"/>
                <w:sz w:val="16"/>
                <w:szCs w:val="16"/>
                <w:color w:val="auto"/>
              </w:rPr>
              <w:t>90,000</w:t>
            </w:r>
          </w:p>
        </w:tc>
        <w:tc>
          <w:tcPr>
            <w:tcW w:w="900" w:type="dxa"/>
            <w:vAlign w:val="bottom"/>
          </w:tcPr>
          <w:p>
            <w:pPr>
              <w:jc w:val="right"/>
              <w:ind w:right="77"/>
              <w:spacing w:after="0"/>
              <w:rPr>
                <w:sz w:val="20"/>
                <w:szCs w:val="20"/>
                <w:color w:val="auto"/>
              </w:rPr>
            </w:pPr>
            <w:r>
              <w:rPr>
                <w:rFonts w:ascii="Arial" w:cs="Arial" w:eastAsia="Arial" w:hAnsi="Arial"/>
                <w:sz w:val="16"/>
                <w:szCs w:val="16"/>
                <w:color w:val="auto"/>
              </w:rPr>
              <w:t>175,099</w:t>
            </w:r>
          </w:p>
        </w:tc>
        <w:tc>
          <w:tcPr>
            <w:tcW w:w="760" w:type="dxa"/>
            <w:vAlign w:val="bottom"/>
          </w:tcPr>
          <w:p>
            <w:pPr>
              <w:jc w:val="center"/>
              <w:spacing w:after="0"/>
              <w:rPr>
                <w:sz w:val="20"/>
                <w:szCs w:val="20"/>
                <w:color w:val="auto"/>
              </w:rPr>
            </w:pPr>
            <w:r>
              <w:rPr>
                <w:rFonts w:ascii="Arial" w:cs="Arial" w:eastAsia="Arial" w:hAnsi="Arial"/>
                <w:sz w:val="16"/>
                <w:szCs w:val="16"/>
                <w:color w:val="auto"/>
              </w:rPr>
              <w:t>265,099</w:t>
            </w:r>
          </w:p>
        </w:tc>
      </w:tr>
      <w:tr>
        <w:trPr>
          <w:trHeight w:val="203"/>
        </w:trPr>
        <w:tc>
          <w:tcPr>
            <w:tcW w:w="5020" w:type="dxa"/>
            <w:vAlign w:val="bottom"/>
            <w:shd w:val="clear" w:color="auto" w:fill="E5E5E5"/>
          </w:tcPr>
          <w:p>
            <w:pPr>
              <w:ind w:left="40"/>
              <w:spacing w:after="0"/>
              <w:rPr>
                <w:sz w:val="20"/>
                <w:szCs w:val="20"/>
                <w:color w:val="auto"/>
              </w:rPr>
            </w:pPr>
            <w:r>
              <w:rPr>
                <w:rFonts w:ascii="Arial" w:cs="Arial" w:eastAsia="Arial" w:hAnsi="Arial"/>
                <w:sz w:val="16"/>
                <w:szCs w:val="16"/>
                <w:color w:val="auto"/>
              </w:rPr>
              <w:t>Timothy R. Furey</w:t>
            </w:r>
          </w:p>
        </w:tc>
        <w:tc>
          <w:tcPr>
            <w:tcW w:w="2720" w:type="dxa"/>
            <w:vAlign w:val="bottom"/>
            <w:shd w:val="clear" w:color="auto" w:fill="E5E5E5"/>
          </w:tcPr>
          <w:p>
            <w:pPr>
              <w:jc w:val="right"/>
              <w:ind w:right="337"/>
              <w:spacing w:after="0"/>
              <w:rPr>
                <w:sz w:val="20"/>
                <w:szCs w:val="20"/>
                <w:color w:val="auto"/>
              </w:rPr>
            </w:pPr>
            <w:r>
              <w:rPr>
                <w:rFonts w:ascii="Arial" w:cs="Arial" w:eastAsia="Arial" w:hAnsi="Arial"/>
                <w:sz w:val="16"/>
                <w:szCs w:val="16"/>
                <w:color w:val="auto"/>
              </w:rPr>
              <w:t>97,500</w:t>
            </w:r>
          </w:p>
        </w:tc>
        <w:tc>
          <w:tcPr>
            <w:tcW w:w="900" w:type="dxa"/>
            <w:vAlign w:val="bottom"/>
            <w:shd w:val="clear" w:color="auto" w:fill="E5E5E5"/>
          </w:tcPr>
          <w:p>
            <w:pPr>
              <w:jc w:val="right"/>
              <w:ind w:right="77"/>
              <w:spacing w:after="0"/>
              <w:rPr>
                <w:sz w:val="20"/>
                <w:szCs w:val="20"/>
                <w:color w:val="auto"/>
              </w:rPr>
            </w:pPr>
            <w:r>
              <w:rPr>
                <w:rFonts w:ascii="Arial" w:cs="Arial" w:eastAsia="Arial" w:hAnsi="Arial"/>
                <w:sz w:val="16"/>
                <w:szCs w:val="16"/>
                <w:color w:val="auto"/>
              </w:rPr>
              <w:t>175,099</w:t>
            </w:r>
          </w:p>
        </w:tc>
        <w:tc>
          <w:tcPr>
            <w:tcW w:w="76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272,599</w:t>
            </w:r>
          </w:p>
        </w:tc>
      </w:tr>
      <w:tr>
        <w:trPr>
          <w:trHeight w:val="203"/>
        </w:trPr>
        <w:tc>
          <w:tcPr>
            <w:tcW w:w="5020" w:type="dxa"/>
            <w:vAlign w:val="bottom"/>
          </w:tcPr>
          <w:p>
            <w:pPr>
              <w:ind w:left="40"/>
              <w:spacing w:after="0"/>
              <w:rPr>
                <w:sz w:val="20"/>
                <w:szCs w:val="20"/>
                <w:color w:val="auto"/>
              </w:rPr>
            </w:pPr>
            <w:r>
              <w:rPr>
                <w:rFonts w:ascii="Arial" w:cs="Arial" w:eastAsia="Arial" w:hAnsi="Arial"/>
                <w:sz w:val="16"/>
                <w:szCs w:val="16"/>
                <w:color w:val="auto"/>
              </w:rPr>
              <w:t>David P. McGlade</w:t>
            </w:r>
          </w:p>
        </w:tc>
        <w:tc>
          <w:tcPr>
            <w:tcW w:w="2720" w:type="dxa"/>
            <w:vAlign w:val="bottom"/>
          </w:tcPr>
          <w:p>
            <w:pPr>
              <w:jc w:val="right"/>
              <w:ind w:right="337"/>
              <w:spacing w:after="0"/>
              <w:rPr>
                <w:sz w:val="20"/>
                <w:szCs w:val="20"/>
                <w:color w:val="auto"/>
              </w:rPr>
            </w:pPr>
            <w:r>
              <w:rPr>
                <w:rFonts w:ascii="Arial" w:cs="Arial" w:eastAsia="Arial" w:hAnsi="Arial"/>
                <w:sz w:val="16"/>
                <w:szCs w:val="16"/>
                <w:color w:val="auto"/>
              </w:rPr>
              <w:t>115,000</w:t>
            </w:r>
          </w:p>
        </w:tc>
        <w:tc>
          <w:tcPr>
            <w:tcW w:w="900" w:type="dxa"/>
            <w:vAlign w:val="bottom"/>
          </w:tcPr>
          <w:p>
            <w:pPr>
              <w:jc w:val="right"/>
              <w:ind w:right="77"/>
              <w:spacing w:after="0"/>
              <w:rPr>
                <w:sz w:val="20"/>
                <w:szCs w:val="20"/>
                <w:color w:val="auto"/>
              </w:rPr>
            </w:pPr>
            <w:r>
              <w:rPr>
                <w:rFonts w:ascii="Arial" w:cs="Arial" w:eastAsia="Arial" w:hAnsi="Arial"/>
                <w:sz w:val="16"/>
                <w:szCs w:val="16"/>
                <w:color w:val="auto"/>
              </w:rPr>
              <w:t>175,099</w:t>
            </w:r>
          </w:p>
        </w:tc>
        <w:tc>
          <w:tcPr>
            <w:tcW w:w="760" w:type="dxa"/>
            <w:vAlign w:val="bottom"/>
          </w:tcPr>
          <w:p>
            <w:pPr>
              <w:jc w:val="center"/>
              <w:spacing w:after="0"/>
              <w:rPr>
                <w:sz w:val="20"/>
                <w:szCs w:val="20"/>
                <w:color w:val="auto"/>
              </w:rPr>
            </w:pPr>
            <w:r>
              <w:rPr>
                <w:rFonts w:ascii="Arial" w:cs="Arial" w:eastAsia="Arial" w:hAnsi="Arial"/>
                <w:sz w:val="16"/>
                <w:szCs w:val="16"/>
                <w:color w:val="auto"/>
              </w:rPr>
              <w:t>290,099</w:t>
            </w:r>
          </w:p>
        </w:tc>
      </w:tr>
      <w:tr>
        <w:trPr>
          <w:trHeight w:val="216"/>
        </w:trPr>
        <w:tc>
          <w:tcPr>
            <w:tcW w:w="5020" w:type="dxa"/>
            <w:vAlign w:val="bottom"/>
            <w:shd w:val="clear" w:color="auto" w:fill="E5E5E5"/>
          </w:tcPr>
          <w:p>
            <w:pPr>
              <w:ind w:left="40"/>
              <w:spacing w:after="0"/>
              <w:rPr>
                <w:sz w:val="20"/>
                <w:szCs w:val="20"/>
                <w:color w:val="auto"/>
              </w:rPr>
            </w:pPr>
            <w:r>
              <w:rPr>
                <w:rFonts w:ascii="Arial" w:cs="Arial" w:eastAsia="Arial" w:hAnsi="Arial"/>
                <w:sz w:val="16"/>
                <w:szCs w:val="16"/>
                <w:color w:val="auto"/>
              </w:rPr>
              <w:t>Robert A. Schriesheim</w:t>
            </w:r>
          </w:p>
        </w:tc>
        <w:tc>
          <w:tcPr>
            <w:tcW w:w="2720" w:type="dxa"/>
            <w:vAlign w:val="bottom"/>
            <w:shd w:val="clear" w:color="auto" w:fill="E5E5E5"/>
          </w:tcPr>
          <w:p>
            <w:pPr>
              <w:jc w:val="right"/>
              <w:ind w:right="337"/>
              <w:spacing w:after="0"/>
              <w:rPr>
                <w:sz w:val="20"/>
                <w:szCs w:val="20"/>
                <w:color w:val="auto"/>
              </w:rPr>
            </w:pPr>
            <w:r>
              <w:rPr>
                <w:rFonts w:ascii="Arial" w:cs="Arial" w:eastAsia="Arial" w:hAnsi="Arial"/>
                <w:sz w:val="16"/>
                <w:szCs w:val="16"/>
                <w:color w:val="auto"/>
              </w:rPr>
              <w:t>100,000</w:t>
            </w:r>
          </w:p>
        </w:tc>
        <w:tc>
          <w:tcPr>
            <w:tcW w:w="900" w:type="dxa"/>
            <w:vAlign w:val="bottom"/>
            <w:shd w:val="clear" w:color="auto" w:fill="E5E5E5"/>
          </w:tcPr>
          <w:p>
            <w:pPr>
              <w:jc w:val="right"/>
              <w:ind w:right="77"/>
              <w:spacing w:after="0"/>
              <w:rPr>
                <w:sz w:val="20"/>
                <w:szCs w:val="20"/>
                <w:color w:val="auto"/>
              </w:rPr>
            </w:pPr>
            <w:r>
              <w:rPr>
                <w:rFonts w:ascii="Arial" w:cs="Arial" w:eastAsia="Arial" w:hAnsi="Arial"/>
                <w:sz w:val="16"/>
                <w:szCs w:val="16"/>
                <w:color w:val="auto"/>
              </w:rPr>
              <w:t>175,099</w:t>
            </w:r>
          </w:p>
        </w:tc>
        <w:tc>
          <w:tcPr>
            <w:tcW w:w="760" w:type="dxa"/>
            <w:vAlign w:val="bottom"/>
            <w:shd w:val="clear" w:color="auto" w:fill="E5E5E5"/>
          </w:tcPr>
          <w:p>
            <w:pPr>
              <w:jc w:val="center"/>
              <w:spacing w:after="0"/>
              <w:rPr>
                <w:sz w:val="20"/>
                <w:szCs w:val="20"/>
                <w:color w:val="auto"/>
              </w:rPr>
            </w:pPr>
            <w:r>
              <w:rPr>
                <w:rFonts w:ascii="Arial" w:cs="Arial" w:eastAsia="Arial" w:hAnsi="Arial"/>
                <w:sz w:val="16"/>
                <w:szCs w:val="16"/>
                <w:color w:val="auto"/>
              </w:rPr>
              <w:t>275,099</w:t>
            </w:r>
          </w:p>
        </w:tc>
      </w:tr>
      <w:tr>
        <w:trPr>
          <w:trHeight w:val="240"/>
        </w:trPr>
        <w:tc>
          <w:tcPr>
            <w:tcW w:w="5020" w:type="dxa"/>
            <w:vAlign w:val="bottom"/>
            <w:tcBorders>
              <w:bottom w:val="single" w:sz="8" w:color="BFBFBF"/>
            </w:tcBorders>
          </w:tcPr>
          <w:p>
            <w:pPr>
              <w:ind w:left="40"/>
              <w:spacing w:after="0"/>
              <w:rPr>
                <w:sz w:val="20"/>
                <w:szCs w:val="20"/>
                <w:color w:val="auto"/>
              </w:rPr>
            </w:pPr>
            <w:r>
              <w:rPr>
                <w:rFonts w:ascii="Arial" w:cs="Arial" w:eastAsia="Arial" w:hAnsi="Arial"/>
                <w:sz w:val="16"/>
                <w:szCs w:val="16"/>
                <w:color w:val="auto"/>
              </w:rPr>
              <w:t>Kimberly S. Stevenson</w:t>
            </w:r>
          </w:p>
        </w:tc>
        <w:tc>
          <w:tcPr>
            <w:tcW w:w="2720" w:type="dxa"/>
            <w:vAlign w:val="bottom"/>
            <w:tcBorders>
              <w:bottom w:val="single" w:sz="8" w:color="BFBFBF"/>
            </w:tcBorders>
          </w:tcPr>
          <w:p>
            <w:pPr>
              <w:jc w:val="right"/>
              <w:ind w:right="337"/>
              <w:spacing w:after="0"/>
              <w:rPr>
                <w:sz w:val="20"/>
                <w:szCs w:val="20"/>
                <w:color w:val="auto"/>
              </w:rPr>
            </w:pPr>
            <w:r>
              <w:rPr>
                <w:rFonts w:ascii="Arial" w:cs="Arial" w:eastAsia="Arial" w:hAnsi="Arial"/>
                <w:sz w:val="16"/>
                <w:szCs w:val="16"/>
                <w:color w:val="auto"/>
              </w:rPr>
              <w:t>82,500</w:t>
            </w:r>
          </w:p>
        </w:tc>
        <w:tc>
          <w:tcPr>
            <w:tcW w:w="900" w:type="dxa"/>
            <w:vAlign w:val="bottom"/>
            <w:tcBorders>
              <w:bottom w:val="single" w:sz="8" w:color="BFBFBF"/>
            </w:tcBorders>
          </w:tcPr>
          <w:p>
            <w:pPr>
              <w:jc w:val="right"/>
              <w:ind w:right="77"/>
              <w:spacing w:after="0"/>
              <w:rPr>
                <w:sz w:val="20"/>
                <w:szCs w:val="20"/>
                <w:color w:val="auto"/>
              </w:rPr>
            </w:pPr>
            <w:r>
              <w:rPr>
                <w:rFonts w:ascii="Arial" w:cs="Arial" w:eastAsia="Arial" w:hAnsi="Arial"/>
                <w:sz w:val="16"/>
                <w:szCs w:val="16"/>
                <w:color w:val="auto"/>
              </w:rPr>
              <w:t>175,099</w:t>
            </w:r>
          </w:p>
        </w:tc>
        <w:tc>
          <w:tcPr>
            <w:tcW w:w="760" w:type="dxa"/>
            <w:vAlign w:val="bottom"/>
            <w:tcBorders>
              <w:bottom w:val="single" w:sz="8" w:color="BFBFBF"/>
            </w:tcBorders>
          </w:tcPr>
          <w:p>
            <w:pPr>
              <w:jc w:val="center"/>
              <w:spacing w:after="0"/>
              <w:rPr>
                <w:sz w:val="20"/>
                <w:szCs w:val="20"/>
                <w:color w:val="auto"/>
              </w:rPr>
            </w:pPr>
            <w:r>
              <w:rPr>
                <w:rFonts w:ascii="Arial" w:cs="Arial" w:eastAsia="Arial" w:hAnsi="Arial"/>
                <w:sz w:val="16"/>
                <w:szCs w:val="16"/>
                <w:color w:val="auto"/>
              </w:rPr>
              <w:t>257,599</w:t>
            </w:r>
          </w:p>
        </w:tc>
      </w:tr>
    </w:tbl>
    <w:p>
      <w:pPr>
        <w:spacing w:after="0" w:line="107" w:lineRule="exact"/>
        <w:rPr>
          <w:sz w:val="20"/>
          <w:szCs w:val="20"/>
          <w:color w:val="auto"/>
        </w:rPr>
      </w:pPr>
    </w:p>
    <w:p>
      <w:pPr>
        <w:ind w:left="1080" w:right="60" w:hanging="354"/>
        <w:spacing w:after="0" w:line="281" w:lineRule="auto"/>
        <w:tabs>
          <w:tab w:leader="none" w:pos="1080" w:val="left"/>
        </w:tabs>
        <w:numPr>
          <w:ilvl w:val="0"/>
          <w:numId w:val="77"/>
        </w:numPr>
        <w:rPr>
          <w:rFonts w:ascii="Arial" w:cs="Arial" w:eastAsia="Arial" w:hAnsi="Arial"/>
          <w:sz w:val="16"/>
          <w:szCs w:val="16"/>
          <w:i w:val="1"/>
          <w:iCs w:val="1"/>
          <w:color w:val="auto"/>
        </w:rPr>
      </w:pPr>
      <w:r>
        <w:rPr>
          <w:rFonts w:ascii="Arial" w:cs="Arial" w:eastAsia="Arial" w:hAnsi="Arial"/>
          <w:sz w:val="16"/>
          <w:szCs w:val="16"/>
          <w:i w:val="1"/>
          <w:iCs w:val="1"/>
          <w:color w:val="auto"/>
        </w:rPr>
        <w:t>The non-employee members of the Board who held such positions on October 1, 2021, held the following aggregate number of unexercised stock options and unvested RSU awards as of such date:</w:t>
      </w:r>
    </w:p>
    <w:p>
      <w:pPr>
        <w:spacing w:after="0" w:line="218" w:lineRule="exact"/>
        <w:rPr>
          <w:sz w:val="20"/>
          <w:szCs w:val="20"/>
          <w:color w:val="auto"/>
        </w:rPr>
      </w:pPr>
    </w:p>
    <w:tbl>
      <w:tblPr>
        <w:tblLayout w:type="fixed"/>
        <w:tblInd w:w="1740" w:type="dxa"/>
        <w:tblCellMar>
          <w:top w:w="0" w:type="dxa"/>
          <w:left w:w="0" w:type="dxa"/>
          <w:bottom w:w="0" w:type="dxa"/>
          <w:right w:w="0" w:type="dxa"/>
        </w:tblCellMar>
      </w:tblPr>
      <w:tr>
        <w:trPr>
          <w:trHeight w:val="229"/>
        </w:trPr>
        <w:tc>
          <w:tcPr>
            <w:tcW w:w="3720" w:type="dxa"/>
            <w:vAlign w:val="bottom"/>
            <w:shd w:val="clear" w:color="auto" w:fill="0076A8"/>
          </w:tcPr>
          <w:p>
            <w:pPr>
              <w:spacing w:after="0"/>
              <w:rPr>
                <w:sz w:val="19"/>
                <w:szCs w:val="19"/>
                <w:color w:val="auto"/>
              </w:rPr>
            </w:pPr>
          </w:p>
        </w:tc>
        <w:tc>
          <w:tcPr>
            <w:tcW w:w="1820" w:type="dxa"/>
            <w:vAlign w:val="bottom"/>
            <w:shd w:val="clear" w:color="auto" w:fill="0076A8"/>
          </w:tcPr>
          <w:p>
            <w:pPr>
              <w:jc w:val="center"/>
              <w:ind w:left="415"/>
              <w:spacing w:after="0"/>
              <w:rPr>
                <w:sz w:val="20"/>
                <w:szCs w:val="20"/>
                <w:color w:val="auto"/>
              </w:rPr>
            </w:pPr>
            <w:r>
              <w:rPr>
                <w:rFonts w:ascii="Arial" w:cs="Arial" w:eastAsia="Arial" w:hAnsi="Arial"/>
                <w:sz w:val="18"/>
                <w:szCs w:val="18"/>
                <w:color w:val="FFFFFF"/>
                <w:w w:val="99"/>
              </w:rPr>
              <w:t>Number of</w:t>
            </w:r>
          </w:p>
        </w:tc>
        <w:tc>
          <w:tcPr>
            <w:tcW w:w="1700" w:type="dxa"/>
            <w:vAlign w:val="bottom"/>
            <w:shd w:val="clear" w:color="auto" w:fill="0076A8"/>
          </w:tcPr>
          <w:p>
            <w:pPr>
              <w:spacing w:after="0"/>
              <w:rPr>
                <w:sz w:val="19"/>
                <w:szCs w:val="19"/>
                <w:color w:val="auto"/>
              </w:rPr>
            </w:pPr>
          </w:p>
        </w:tc>
      </w:tr>
      <w:tr>
        <w:trPr>
          <w:trHeight w:val="189"/>
        </w:trPr>
        <w:tc>
          <w:tcPr>
            <w:tcW w:w="3720" w:type="dxa"/>
            <w:vAlign w:val="bottom"/>
            <w:shd w:val="clear" w:color="auto" w:fill="0076A8"/>
          </w:tcPr>
          <w:p>
            <w:pPr>
              <w:spacing w:after="0"/>
              <w:rPr>
                <w:sz w:val="16"/>
                <w:szCs w:val="16"/>
                <w:color w:val="auto"/>
              </w:rPr>
            </w:pPr>
          </w:p>
        </w:tc>
        <w:tc>
          <w:tcPr>
            <w:tcW w:w="1820" w:type="dxa"/>
            <w:vAlign w:val="bottom"/>
            <w:shd w:val="clear" w:color="auto" w:fill="0076A8"/>
          </w:tcPr>
          <w:p>
            <w:pPr>
              <w:jc w:val="center"/>
              <w:ind w:left="415"/>
              <w:spacing w:after="0" w:line="189" w:lineRule="exact"/>
              <w:rPr>
                <w:sz w:val="20"/>
                <w:szCs w:val="20"/>
                <w:color w:val="auto"/>
              </w:rPr>
            </w:pPr>
            <w:r>
              <w:rPr>
                <w:rFonts w:ascii="Arial" w:cs="Arial" w:eastAsia="Arial" w:hAnsi="Arial"/>
                <w:sz w:val="18"/>
                <w:szCs w:val="18"/>
                <w:color w:val="FFFFFF"/>
              </w:rPr>
              <w:t>Securities</w:t>
            </w:r>
          </w:p>
        </w:tc>
        <w:tc>
          <w:tcPr>
            <w:tcW w:w="1700" w:type="dxa"/>
            <w:vAlign w:val="bottom"/>
            <w:shd w:val="clear" w:color="auto" w:fill="0076A8"/>
          </w:tcPr>
          <w:p>
            <w:pPr>
              <w:spacing w:after="0"/>
              <w:rPr>
                <w:sz w:val="16"/>
                <w:szCs w:val="16"/>
                <w:color w:val="auto"/>
              </w:rPr>
            </w:pPr>
          </w:p>
        </w:tc>
      </w:tr>
      <w:tr>
        <w:trPr>
          <w:trHeight w:val="189"/>
        </w:trPr>
        <w:tc>
          <w:tcPr>
            <w:tcW w:w="3720" w:type="dxa"/>
            <w:vAlign w:val="bottom"/>
            <w:shd w:val="clear" w:color="auto" w:fill="0076A8"/>
          </w:tcPr>
          <w:p>
            <w:pPr>
              <w:spacing w:after="0"/>
              <w:rPr>
                <w:sz w:val="16"/>
                <w:szCs w:val="16"/>
                <w:color w:val="auto"/>
              </w:rPr>
            </w:pPr>
          </w:p>
        </w:tc>
        <w:tc>
          <w:tcPr>
            <w:tcW w:w="1820" w:type="dxa"/>
            <w:vAlign w:val="bottom"/>
            <w:shd w:val="clear" w:color="auto" w:fill="0076A8"/>
          </w:tcPr>
          <w:p>
            <w:pPr>
              <w:jc w:val="center"/>
              <w:ind w:left="435"/>
              <w:spacing w:after="0" w:line="189" w:lineRule="exact"/>
              <w:rPr>
                <w:sz w:val="20"/>
                <w:szCs w:val="20"/>
                <w:color w:val="auto"/>
              </w:rPr>
            </w:pPr>
            <w:r>
              <w:rPr>
                <w:rFonts w:ascii="Arial" w:cs="Arial" w:eastAsia="Arial" w:hAnsi="Arial"/>
                <w:sz w:val="18"/>
                <w:szCs w:val="18"/>
                <w:color w:val="FFFFFF"/>
                <w:w w:val="99"/>
              </w:rPr>
              <w:t>Underlying</w:t>
            </w:r>
          </w:p>
        </w:tc>
        <w:tc>
          <w:tcPr>
            <w:tcW w:w="1700" w:type="dxa"/>
            <w:vAlign w:val="bottom"/>
            <w:shd w:val="clear" w:color="auto" w:fill="0076A8"/>
          </w:tcPr>
          <w:p>
            <w:pPr>
              <w:jc w:val="center"/>
              <w:spacing w:after="0" w:line="189" w:lineRule="exact"/>
              <w:rPr>
                <w:sz w:val="20"/>
                <w:szCs w:val="20"/>
                <w:color w:val="auto"/>
              </w:rPr>
            </w:pPr>
            <w:r>
              <w:rPr>
                <w:rFonts w:ascii="Arial" w:cs="Arial" w:eastAsia="Arial" w:hAnsi="Arial"/>
                <w:sz w:val="18"/>
                <w:szCs w:val="18"/>
                <w:color w:val="FFFFFF"/>
                <w:w w:val="99"/>
              </w:rPr>
              <w:t>Number of Shares</w:t>
            </w:r>
          </w:p>
        </w:tc>
      </w:tr>
      <w:tr>
        <w:trPr>
          <w:trHeight w:val="189"/>
        </w:trPr>
        <w:tc>
          <w:tcPr>
            <w:tcW w:w="3720" w:type="dxa"/>
            <w:vAlign w:val="bottom"/>
            <w:shd w:val="clear" w:color="auto" w:fill="0076A8"/>
          </w:tcPr>
          <w:p>
            <w:pPr>
              <w:spacing w:after="0"/>
              <w:rPr>
                <w:sz w:val="16"/>
                <w:szCs w:val="16"/>
                <w:color w:val="auto"/>
              </w:rPr>
            </w:pPr>
          </w:p>
        </w:tc>
        <w:tc>
          <w:tcPr>
            <w:tcW w:w="1820" w:type="dxa"/>
            <w:vAlign w:val="bottom"/>
            <w:shd w:val="clear" w:color="auto" w:fill="0076A8"/>
          </w:tcPr>
          <w:p>
            <w:pPr>
              <w:jc w:val="center"/>
              <w:ind w:left="415"/>
              <w:spacing w:after="0" w:line="189" w:lineRule="exact"/>
              <w:rPr>
                <w:sz w:val="20"/>
                <w:szCs w:val="20"/>
                <w:color w:val="auto"/>
              </w:rPr>
            </w:pPr>
            <w:r>
              <w:rPr>
                <w:rFonts w:ascii="Arial" w:cs="Arial" w:eastAsia="Arial" w:hAnsi="Arial"/>
                <w:sz w:val="18"/>
                <w:szCs w:val="18"/>
                <w:color w:val="FFFFFF"/>
                <w:w w:val="99"/>
              </w:rPr>
              <w:t>Unexercised</w:t>
            </w:r>
          </w:p>
        </w:tc>
        <w:tc>
          <w:tcPr>
            <w:tcW w:w="1700" w:type="dxa"/>
            <w:vAlign w:val="bottom"/>
            <w:shd w:val="clear" w:color="auto" w:fill="0076A8"/>
          </w:tcPr>
          <w:p>
            <w:pPr>
              <w:jc w:val="center"/>
              <w:ind w:left="16"/>
              <w:spacing w:after="0" w:line="189" w:lineRule="exact"/>
              <w:rPr>
                <w:sz w:val="20"/>
                <w:szCs w:val="20"/>
                <w:color w:val="auto"/>
              </w:rPr>
            </w:pPr>
            <w:r>
              <w:rPr>
                <w:rFonts w:ascii="Arial" w:cs="Arial" w:eastAsia="Arial" w:hAnsi="Arial"/>
                <w:sz w:val="18"/>
                <w:szCs w:val="18"/>
                <w:color w:val="FFFFFF"/>
                <w:w w:val="99"/>
              </w:rPr>
              <w:t>Subject to</w:t>
            </w:r>
          </w:p>
        </w:tc>
      </w:tr>
      <w:tr>
        <w:trPr>
          <w:trHeight w:val="203"/>
        </w:trPr>
        <w:tc>
          <w:tcPr>
            <w:tcW w:w="3720" w:type="dxa"/>
            <w:vAlign w:val="bottom"/>
            <w:shd w:val="clear" w:color="auto" w:fill="0076A8"/>
          </w:tcPr>
          <w:p>
            <w:pPr>
              <w:ind w:left="40"/>
              <w:spacing w:after="0" w:line="203" w:lineRule="exact"/>
              <w:rPr>
                <w:sz w:val="20"/>
                <w:szCs w:val="20"/>
                <w:color w:val="auto"/>
              </w:rPr>
            </w:pPr>
            <w:r>
              <w:rPr>
                <w:rFonts w:ascii="Arial" w:cs="Arial" w:eastAsia="Arial" w:hAnsi="Arial"/>
                <w:sz w:val="18"/>
                <w:szCs w:val="18"/>
                <w:color w:val="FFFFFF"/>
              </w:rPr>
              <w:t>Name</w:t>
            </w:r>
          </w:p>
        </w:tc>
        <w:tc>
          <w:tcPr>
            <w:tcW w:w="1820" w:type="dxa"/>
            <w:vAlign w:val="bottom"/>
            <w:shd w:val="clear" w:color="auto" w:fill="0076A8"/>
          </w:tcPr>
          <w:p>
            <w:pPr>
              <w:jc w:val="center"/>
              <w:ind w:left="475"/>
              <w:spacing w:after="0" w:line="203" w:lineRule="exact"/>
              <w:rPr>
                <w:sz w:val="20"/>
                <w:szCs w:val="20"/>
                <w:color w:val="auto"/>
              </w:rPr>
            </w:pPr>
            <w:r>
              <w:rPr>
                <w:rFonts w:ascii="Arial" w:cs="Arial" w:eastAsia="Arial" w:hAnsi="Arial"/>
                <w:sz w:val="18"/>
                <w:szCs w:val="18"/>
                <w:color w:val="FFFFFF"/>
                <w:w w:val="99"/>
              </w:rPr>
              <w:t>Options</w:t>
            </w:r>
          </w:p>
        </w:tc>
        <w:tc>
          <w:tcPr>
            <w:tcW w:w="1700" w:type="dxa"/>
            <w:vAlign w:val="bottom"/>
            <w:shd w:val="clear" w:color="auto" w:fill="0076A8"/>
          </w:tcPr>
          <w:p>
            <w:pPr>
              <w:jc w:val="center"/>
              <w:ind w:left="16"/>
              <w:spacing w:after="0" w:line="203" w:lineRule="exact"/>
              <w:rPr>
                <w:sz w:val="20"/>
                <w:szCs w:val="20"/>
                <w:color w:val="auto"/>
              </w:rPr>
            </w:pPr>
            <w:r>
              <w:rPr>
                <w:rFonts w:ascii="Arial" w:cs="Arial" w:eastAsia="Arial" w:hAnsi="Arial"/>
                <w:sz w:val="18"/>
                <w:szCs w:val="18"/>
                <w:color w:val="FFFFFF"/>
                <w:w w:val="99"/>
              </w:rPr>
              <w:t>Unvested RSUs</w:t>
            </w:r>
          </w:p>
        </w:tc>
      </w:tr>
      <w:tr>
        <w:trPr>
          <w:trHeight w:val="216"/>
        </w:trPr>
        <w:tc>
          <w:tcPr>
            <w:tcW w:w="3720" w:type="dxa"/>
            <w:vAlign w:val="bottom"/>
            <w:shd w:val="clear" w:color="auto" w:fill="E5E5E5"/>
          </w:tcPr>
          <w:p>
            <w:pPr>
              <w:ind w:left="40"/>
              <w:spacing w:after="0"/>
              <w:rPr>
                <w:sz w:val="20"/>
                <w:szCs w:val="20"/>
                <w:color w:val="auto"/>
              </w:rPr>
            </w:pPr>
            <w:r>
              <w:rPr>
                <w:rFonts w:ascii="Arial" w:cs="Arial" w:eastAsia="Arial" w:hAnsi="Arial"/>
                <w:sz w:val="16"/>
                <w:szCs w:val="16"/>
                <w:color w:val="auto"/>
              </w:rPr>
              <w:t>Christine King, Lead Independent Director</w:t>
            </w:r>
          </w:p>
        </w:tc>
        <w:tc>
          <w:tcPr>
            <w:tcW w:w="1820" w:type="dxa"/>
            <w:vAlign w:val="bottom"/>
            <w:shd w:val="clear" w:color="auto" w:fill="E5E5E5"/>
          </w:tcPr>
          <w:p>
            <w:pPr>
              <w:jc w:val="center"/>
              <w:ind w:left="455"/>
              <w:spacing w:after="0"/>
              <w:rPr>
                <w:sz w:val="20"/>
                <w:szCs w:val="20"/>
                <w:color w:val="auto"/>
              </w:rPr>
            </w:pPr>
            <w:r>
              <w:rPr>
                <w:rFonts w:ascii="Arial" w:cs="Arial" w:eastAsia="Arial" w:hAnsi="Arial"/>
                <w:sz w:val="16"/>
                <w:szCs w:val="16"/>
                <w:color w:val="auto"/>
                <w:w w:val="99"/>
              </w:rPr>
              <w:t>—</w:t>
            </w:r>
          </w:p>
        </w:tc>
        <w:tc>
          <w:tcPr>
            <w:tcW w:w="1700" w:type="dxa"/>
            <w:vAlign w:val="bottom"/>
            <w:shd w:val="clear" w:color="auto" w:fill="E5E5E5"/>
          </w:tcPr>
          <w:p>
            <w:pPr>
              <w:jc w:val="center"/>
              <w:ind w:left="16"/>
              <w:spacing w:after="0"/>
              <w:rPr>
                <w:sz w:val="20"/>
                <w:szCs w:val="20"/>
                <w:color w:val="auto"/>
              </w:rPr>
            </w:pPr>
            <w:r>
              <w:rPr>
                <w:rFonts w:ascii="Arial" w:cs="Arial" w:eastAsia="Arial" w:hAnsi="Arial"/>
                <w:sz w:val="16"/>
                <w:szCs w:val="16"/>
                <w:color w:val="auto"/>
                <w:w w:val="99"/>
              </w:rPr>
              <w:t>1,084</w:t>
            </w:r>
          </w:p>
        </w:tc>
      </w:tr>
      <w:tr>
        <w:trPr>
          <w:trHeight w:val="216"/>
        </w:trPr>
        <w:tc>
          <w:tcPr>
            <w:tcW w:w="3720" w:type="dxa"/>
            <w:vAlign w:val="bottom"/>
          </w:tcPr>
          <w:p>
            <w:pPr>
              <w:ind w:left="40"/>
              <w:spacing w:after="0"/>
              <w:rPr>
                <w:sz w:val="20"/>
                <w:szCs w:val="20"/>
                <w:color w:val="auto"/>
              </w:rPr>
            </w:pPr>
            <w:r>
              <w:rPr>
                <w:rFonts w:ascii="Arial" w:cs="Arial" w:eastAsia="Arial" w:hAnsi="Arial"/>
                <w:sz w:val="16"/>
                <w:szCs w:val="16"/>
                <w:color w:val="auto"/>
              </w:rPr>
              <w:t>Alan S. Batey</w:t>
            </w:r>
          </w:p>
        </w:tc>
        <w:tc>
          <w:tcPr>
            <w:tcW w:w="1820" w:type="dxa"/>
            <w:vAlign w:val="bottom"/>
          </w:tcPr>
          <w:p>
            <w:pPr>
              <w:jc w:val="center"/>
              <w:ind w:left="455"/>
              <w:spacing w:after="0"/>
              <w:rPr>
                <w:sz w:val="20"/>
                <w:szCs w:val="20"/>
                <w:color w:val="auto"/>
              </w:rPr>
            </w:pPr>
            <w:r>
              <w:rPr>
                <w:rFonts w:ascii="Arial" w:cs="Arial" w:eastAsia="Arial" w:hAnsi="Arial"/>
                <w:sz w:val="16"/>
                <w:szCs w:val="16"/>
                <w:color w:val="auto"/>
                <w:w w:val="99"/>
              </w:rPr>
              <w:t>—</w:t>
            </w:r>
          </w:p>
        </w:tc>
        <w:tc>
          <w:tcPr>
            <w:tcW w:w="1700" w:type="dxa"/>
            <w:vAlign w:val="bottom"/>
          </w:tcPr>
          <w:p>
            <w:pPr>
              <w:jc w:val="center"/>
              <w:ind w:left="16"/>
              <w:spacing w:after="0"/>
              <w:rPr>
                <w:sz w:val="20"/>
                <w:szCs w:val="20"/>
                <w:color w:val="auto"/>
              </w:rPr>
            </w:pPr>
            <w:r>
              <w:rPr>
                <w:rFonts w:ascii="Arial" w:cs="Arial" w:eastAsia="Arial" w:hAnsi="Arial"/>
                <w:sz w:val="16"/>
                <w:szCs w:val="16"/>
                <w:color w:val="auto"/>
                <w:w w:val="99"/>
              </w:rPr>
              <w:t>1,924</w:t>
            </w:r>
          </w:p>
        </w:tc>
      </w:tr>
      <w:tr>
        <w:trPr>
          <w:trHeight w:val="216"/>
        </w:trPr>
        <w:tc>
          <w:tcPr>
            <w:tcW w:w="3720" w:type="dxa"/>
            <w:vAlign w:val="bottom"/>
            <w:shd w:val="clear" w:color="auto" w:fill="E5E5E5"/>
          </w:tcPr>
          <w:p>
            <w:pPr>
              <w:ind w:left="40"/>
              <w:spacing w:after="0"/>
              <w:rPr>
                <w:sz w:val="20"/>
                <w:szCs w:val="20"/>
                <w:color w:val="auto"/>
              </w:rPr>
            </w:pPr>
            <w:r>
              <w:rPr>
                <w:rFonts w:ascii="Arial" w:cs="Arial" w:eastAsia="Arial" w:hAnsi="Arial"/>
                <w:sz w:val="16"/>
                <w:szCs w:val="16"/>
                <w:color w:val="auto"/>
              </w:rPr>
              <w:t>Kevin L. Beebe</w:t>
            </w:r>
          </w:p>
        </w:tc>
        <w:tc>
          <w:tcPr>
            <w:tcW w:w="1820" w:type="dxa"/>
            <w:vAlign w:val="bottom"/>
            <w:shd w:val="clear" w:color="auto" w:fill="E5E5E5"/>
          </w:tcPr>
          <w:p>
            <w:pPr>
              <w:jc w:val="center"/>
              <w:ind w:left="455"/>
              <w:spacing w:after="0"/>
              <w:rPr>
                <w:sz w:val="20"/>
                <w:szCs w:val="20"/>
                <w:color w:val="auto"/>
              </w:rPr>
            </w:pPr>
            <w:r>
              <w:rPr>
                <w:rFonts w:ascii="Arial" w:cs="Arial" w:eastAsia="Arial" w:hAnsi="Arial"/>
                <w:sz w:val="16"/>
                <w:szCs w:val="16"/>
                <w:color w:val="auto"/>
                <w:w w:val="99"/>
              </w:rPr>
              <w:t>—</w:t>
            </w:r>
          </w:p>
        </w:tc>
        <w:tc>
          <w:tcPr>
            <w:tcW w:w="1700" w:type="dxa"/>
            <w:vAlign w:val="bottom"/>
            <w:shd w:val="clear" w:color="auto" w:fill="E5E5E5"/>
          </w:tcPr>
          <w:p>
            <w:pPr>
              <w:jc w:val="center"/>
              <w:ind w:left="16"/>
              <w:spacing w:after="0"/>
              <w:rPr>
                <w:sz w:val="20"/>
                <w:szCs w:val="20"/>
                <w:color w:val="auto"/>
              </w:rPr>
            </w:pPr>
            <w:r>
              <w:rPr>
                <w:rFonts w:ascii="Arial" w:cs="Arial" w:eastAsia="Arial" w:hAnsi="Arial"/>
                <w:sz w:val="16"/>
                <w:szCs w:val="16"/>
                <w:color w:val="auto"/>
                <w:w w:val="99"/>
              </w:rPr>
              <w:t>1,084</w:t>
            </w:r>
          </w:p>
        </w:tc>
      </w:tr>
      <w:tr>
        <w:trPr>
          <w:trHeight w:val="216"/>
        </w:trPr>
        <w:tc>
          <w:tcPr>
            <w:tcW w:w="3720" w:type="dxa"/>
            <w:vAlign w:val="bottom"/>
          </w:tcPr>
          <w:p>
            <w:pPr>
              <w:ind w:left="40"/>
              <w:spacing w:after="0"/>
              <w:rPr>
                <w:sz w:val="20"/>
                <w:szCs w:val="20"/>
                <w:color w:val="auto"/>
              </w:rPr>
            </w:pPr>
            <w:r>
              <w:rPr>
                <w:rFonts w:ascii="Arial" w:cs="Arial" w:eastAsia="Arial" w:hAnsi="Arial"/>
                <w:sz w:val="16"/>
                <w:szCs w:val="16"/>
                <w:color w:val="auto"/>
              </w:rPr>
              <w:t>Timothy R. Furey</w:t>
            </w:r>
          </w:p>
        </w:tc>
        <w:tc>
          <w:tcPr>
            <w:tcW w:w="1820" w:type="dxa"/>
            <w:vAlign w:val="bottom"/>
          </w:tcPr>
          <w:p>
            <w:pPr>
              <w:jc w:val="center"/>
              <w:ind w:left="455"/>
              <w:spacing w:after="0"/>
              <w:rPr>
                <w:sz w:val="20"/>
                <w:szCs w:val="20"/>
                <w:color w:val="auto"/>
              </w:rPr>
            </w:pPr>
            <w:r>
              <w:rPr>
                <w:rFonts w:ascii="Arial" w:cs="Arial" w:eastAsia="Arial" w:hAnsi="Arial"/>
                <w:sz w:val="16"/>
                <w:szCs w:val="16"/>
                <w:color w:val="auto"/>
                <w:w w:val="99"/>
              </w:rPr>
              <w:t>—</w:t>
            </w:r>
          </w:p>
        </w:tc>
        <w:tc>
          <w:tcPr>
            <w:tcW w:w="1700" w:type="dxa"/>
            <w:vAlign w:val="bottom"/>
          </w:tcPr>
          <w:p>
            <w:pPr>
              <w:jc w:val="center"/>
              <w:ind w:left="16"/>
              <w:spacing w:after="0"/>
              <w:rPr>
                <w:sz w:val="20"/>
                <w:szCs w:val="20"/>
                <w:color w:val="auto"/>
              </w:rPr>
            </w:pPr>
            <w:r>
              <w:rPr>
                <w:rFonts w:ascii="Arial" w:cs="Arial" w:eastAsia="Arial" w:hAnsi="Arial"/>
                <w:sz w:val="16"/>
                <w:szCs w:val="16"/>
                <w:color w:val="auto"/>
                <w:w w:val="99"/>
              </w:rPr>
              <w:t>1,084</w:t>
            </w:r>
          </w:p>
        </w:tc>
      </w:tr>
      <w:tr>
        <w:trPr>
          <w:trHeight w:val="216"/>
        </w:trPr>
        <w:tc>
          <w:tcPr>
            <w:tcW w:w="3720" w:type="dxa"/>
            <w:vAlign w:val="bottom"/>
            <w:shd w:val="clear" w:color="auto" w:fill="E5E5E5"/>
          </w:tcPr>
          <w:p>
            <w:pPr>
              <w:ind w:left="40"/>
              <w:spacing w:after="0"/>
              <w:rPr>
                <w:sz w:val="20"/>
                <w:szCs w:val="20"/>
                <w:color w:val="auto"/>
              </w:rPr>
            </w:pPr>
            <w:r>
              <w:rPr>
                <w:rFonts w:ascii="Arial" w:cs="Arial" w:eastAsia="Arial" w:hAnsi="Arial"/>
                <w:sz w:val="16"/>
                <w:szCs w:val="16"/>
                <w:color w:val="auto"/>
              </w:rPr>
              <w:t>David P. McGlade</w:t>
            </w:r>
          </w:p>
        </w:tc>
        <w:tc>
          <w:tcPr>
            <w:tcW w:w="1820" w:type="dxa"/>
            <w:vAlign w:val="bottom"/>
            <w:shd w:val="clear" w:color="auto" w:fill="E5E5E5"/>
          </w:tcPr>
          <w:p>
            <w:pPr>
              <w:jc w:val="center"/>
              <w:ind w:left="455"/>
              <w:spacing w:after="0"/>
              <w:rPr>
                <w:sz w:val="20"/>
                <w:szCs w:val="20"/>
                <w:color w:val="auto"/>
              </w:rPr>
            </w:pPr>
            <w:r>
              <w:rPr>
                <w:rFonts w:ascii="Arial" w:cs="Arial" w:eastAsia="Arial" w:hAnsi="Arial"/>
                <w:sz w:val="16"/>
                <w:szCs w:val="16"/>
                <w:color w:val="auto"/>
                <w:w w:val="99"/>
              </w:rPr>
              <w:t>—</w:t>
            </w:r>
          </w:p>
        </w:tc>
        <w:tc>
          <w:tcPr>
            <w:tcW w:w="1700" w:type="dxa"/>
            <w:vAlign w:val="bottom"/>
            <w:shd w:val="clear" w:color="auto" w:fill="E5E5E5"/>
          </w:tcPr>
          <w:p>
            <w:pPr>
              <w:jc w:val="center"/>
              <w:ind w:left="16"/>
              <w:spacing w:after="0"/>
              <w:rPr>
                <w:sz w:val="20"/>
                <w:szCs w:val="20"/>
                <w:color w:val="auto"/>
              </w:rPr>
            </w:pPr>
            <w:r>
              <w:rPr>
                <w:rFonts w:ascii="Arial" w:cs="Arial" w:eastAsia="Arial" w:hAnsi="Arial"/>
                <w:sz w:val="16"/>
                <w:szCs w:val="16"/>
                <w:color w:val="auto"/>
                <w:w w:val="99"/>
              </w:rPr>
              <w:t>1,084</w:t>
            </w:r>
          </w:p>
        </w:tc>
      </w:tr>
      <w:tr>
        <w:trPr>
          <w:trHeight w:val="230"/>
        </w:trPr>
        <w:tc>
          <w:tcPr>
            <w:tcW w:w="3720" w:type="dxa"/>
            <w:vAlign w:val="bottom"/>
          </w:tcPr>
          <w:p>
            <w:pPr>
              <w:ind w:left="40"/>
              <w:spacing w:after="0"/>
              <w:rPr>
                <w:sz w:val="20"/>
                <w:szCs w:val="20"/>
                <w:color w:val="auto"/>
              </w:rPr>
            </w:pPr>
            <w:r>
              <w:rPr>
                <w:rFonts w:ascii="Arial" w:cs="Arial" w:eastAsia="Arial" w:hAnsi="Arial"/>
                <w:sz w:val="16"/>
                <w:szCs w:val="16"/>
                <w:color w:val="auto"/>
              </w:rPr>
              <w:t>Robert A. Schriesheim</w:t>
            </w:r>
          </w:p>
        </w:tc>
        <w:tc>
          <w:tcPr>
            <w:tcW w:w="1820" w:type="dxa"/>
            <w:vAlign w:val="bottom"/>
          </w:tcPr>
          <w:p>
            <w:pPr>
              <w:jc w:val="center"/>
              <w:ind w:left="455"/>
              <w:spacing w:after="0"/>
              <w:rPr>
                <w:sz w:val="20"/>
                <w:szCs w:val="20"/>
                <w:color w:val="auto"/>
              </w:rPr>
            </w:pPr>
            <w:r>
              <w:rPr>
                <w:rFonts w:ascii="Arial" w:cs="Arial" w:eastAsia="Arial" w:hAnsi="Arial"/>
                <w:sz w:val="16"/>
                <w:szCs w:val="16"/>
                <w:color w:val="auto"/>
                <w:w w:val="99"/>
              </w:rPr>
              <w:t>—</w:t>
            </w:r>
          </w:p>
        </w:tc>
        <w:tc>
          <w:tcPr>
            <w:tcW w:w="1700" w:type="dxa"/>
            <w:vAlign w:val="bottom"/>
          </w:tcPr>
          <w:p>
            <w:pPr>
              <w:jc w:val="center"/>
              <w:ind w:left="16"/>
              <w:spacing w:after="0"/>
              <w:rPr>
                <w:sz w:val="20"/>
                <w:szCs w:val="20"/>
                <w:color w:val="auto"/>
              </w:rPr>
            </w:pPr>
            <w:r>
              <w:rPr>
                <w:rFonts w:ascii="Arial" w:cs="Arial" w:eastAsia="Arial" w:hAnsi="Arial"/>
                <w:sz w:val="16"/>
                <w:szCs w:val="16"/>
                <w:color w:val="auto"/>
                <w:w w:val="99"/>
              </w:rPr>
              <w:t>1,084</w:t>
            </w:r>
          </w:p>
        </w:tc>
      </w:tr>
      <w:tr>
        <w:trPr>
          <w:trHeight w:val="243"/>
        </w:trPr>
        <w:tc>
          <w:tcPr>
            <w:tcW w:w="3720" w:type="dxa"/>
            <w:vAlign w:val="bottom"/>
            <w:shd w:val="clear" w:color="auto" w:fill="E5E5E5"/>
          </w:tcPr>
          <w:p>
            <w:pPr>
              <w:ind w:left="40"/>
              <w:spacing w:after="0"/>
              <w:rPr>
                <w:sz w:val="20"/>
                <w:szCs w:val="20"/>
                <w:color w:val="auto"/>
              </w:rPr>
            </w:pPr>
            <w:r>
              <w:rPr>
                <w:rFonts w:ascii="Arial" w:cs="Arial" w:eastAsia="Arial" w:hAnsi="Arial"/>
                <w:sz w:val="16"/>
                <w:szCs w:val="16"/>
                <w:color w:val="auto"/>
              </w:rPr>
              <w:t>Kimberly S. Stevenson</w:t>
            </w:r>
          </w:p>
        </w:tc>
        <w:tc>
          <w:tcPr>
            <w:tcW w:w="1820" w:type="dxa"/>
            <w:vAlign w:val="bottom"/>
            <w:shd w:val="clear" w:color="auto" w:fill="E5E5E5"/>
          </w:tcPr>
          <w:p>
            <w:pPr>
              <w:jc w:val="center"/>
              <w:ind w:left="455"/>
              <w:spacing w:after="0"/>
              <w:rPr>
                <w:sz w:val="20"/>
                <w:szCs w:val="20"/>
                <w:color w:val="auto"/>
              </w:rPr>
            </w:pPr>
            <w:r>
              <w:rPr>
                <w:rFonts w:ascii="Arial" w:cs="Arial" w:eastAsia="Arial" w:hAnsi="Arial"/>
                <w:sz w:val="16"/>
                <w:szCs w:val="16"/>
                <w:color w:val="auto"/>
                <w:w w:val="99"/>
              </w:rPr>
              <w:t>—</w:t>
            </w:r>
          </w:p>
        </w:tc>
        <w:tc>
          <w:tcPr>
            <w:tcW w:w="1700" w:type="dxa"/>
            <w:vAlign w:val="bottom"/>
            <w:shd w:val="clear" w:color="auto" w:fill="E5E5E5"/>
          </w:tcPr>
          <w:p>
            <w:pPr>
              <w:jc w:val="center"/>
              <w:ind w:left="16"/>
              <w:spacing w:after="0"/>
              <w:rPr>
                <w:sz w:val="20"/>
                <w:szCs w:val="20"/>
                <w:color w:val="auto"/>
              </w:rPr>
            </w:pPr>
            <w:r>
              <w:rPr>
                <w:rFonts w:ascii="Arial" w:cs="Arial" w:eastAsia="Arial" w:hAnsi="Arial"/>
                <w:sz w:val="16"/>
                <w:szCs w:val="16"/>
                <w:color w:val="auto"/>
                <w:w w:val="99"/>
              </w:rPr>
              <w:t>1,084</w:t>
            </w:r>
          </w:p>
        </w:tc>
      </w:tr>
    </w:tbl>
    <w:p>
      <w:pPr>
        <w:spacing w:after="0" w:line="107" w:lineRule="exact"/>
        <w:rPr>
          <w:sz w:val="20"/>
          <w:szCs w:val="20"/>
          <w:color w:val="auto"/>
        </w:rPr>
      </w:pPr>
    </w:p>
    <w:p>
      <w:pPr>
        <w:jc w:val="both"/>
        <w:ind w:left="1080" w:hanging="354"/>
        <w:spacing w:after="0" w:line="255" w:lineRule="auto"/>
        <w:tabs>
          <w:tab w:leader="none" w:pos="1080" w:val="left"/>
        </w:tabs>
        <w:numPr>
          <w:ilvl w:val="0"/>
          <w:numId w:val="78"/>
        </w:numPr>
        <w:rPr>
          <w:rFonts w:ascii="Arial" w:cs="Arial" w:eastAsia="Arial" w:hAnsi="Arial"/>
          <w:sz w:val="16"/>
          <w:szCs w:val="16"/>
          <w:i w:val="1"/>
          <w:iCs w:val="1"/>
          <w:color w:val="auto"/>
        </w:rPr>
      </w:pPr>
      <w:r>
        <w:rPr>
          <w:rFonts w:ascii="Arial" w:cs="Arial" w:eastAsia="Arial" w:hAnsi="Arial"/>
          <w:sz w:val="16"/>
          <w:szCs w:val="16"/>
          <w:i w:val="1"/>
          <w:iCs w:val="1"/>
          <w:color w:val="auto"/>
        </w:rPr>
        <w:t>Reflects the grant date fair value of 1,084 RSUs granted on May 12, 2021, to each non-employee director elected at the 2021 Annual Meeting of Stockholders, computed in accordance with the provisions of ASC 718 using a price of $161.53 per share, which was the closing sale price of the Company’s common stock on the Nasdaq Global Select Market on May 12, 2021.</w:t>
      </w:r>
    </w:p>
    <w:p>
      <w:pPr>
        <w:spacing w:after="0" w:line="2" w:lineRule="exact"/>
        <w:rPr>
          <w:rFonts w:ascii="Arial" w:cs="Arial" w:eastAsia="Arial" w:hAnsi="Arial"/>
          <w:sz w:val="16"/>
          <w:szCs w:val="16"/>
          <w:i w:val="1"/>
          <w:iCs w:val="1"/>
          <w:color w:val="auto"/>
        </w:rPr>
      </w:pPr>
    </w:p>
    <w:p>
      <w:pPr>
        <w:ind w:left="1080" w:right="340" w:hanging="354"/>
        <w:spacing w:after="0" w:line="270" w:lineRule="auto"/>
        <w:tabs>
          <w:tab w:leader="none" w:pos="1080" w:val="left"/>
        </w:tabs>
        <w:numPr>
          <w:ilvl w:val="0"/>
          <w:numId w:val="78"/>
        </w:numPr>
        <w:rPr>
          <w:rFonts w:ascii="Arial" w:cs="Arial" w:eastAsia="Arial" w:hAnsi="Arial"/>
          <w:sz w:val="16"/>
          <w:szCs w:val="16"/>
          <w:i w:val="1"/>
          <w:iCs w:val="1"/>
          <w:color w:val="auto"/>
        </w:rPr>
      </w:pPr>
      <w:r>
        <w:rPr>
          <w:rFonts w:ascii="Arial" w:cs="Arial" w:eastAsia="Arial" w:hAnsi="Arial"/>
          <w:sz w:val="16"/>
          <w:szCs w:val="16"/>
          <w:i w:val="1"/>
          <w:iCs w:val="1"/>
          <w:color w:val="auto"/>
        </w:rPr>
        <w:t>Mr. Aldrich served as Chairman of the Board and as a director until the 2021 Annual Meeting of Stockholders on May 12, 2021.</w:t>
      </w:r>
    </w:p>
    <w:p>
      <w:pPr>
        <w:sectPr>
          <w:pgSz w:w="11900" w:h="16838" w:orient="portrait"/>
          <w:cols w:equalWidth="0" w:num="1">
            <w:col w:w="10060"/>
          </w:cols>
          <w:pgMar w:left="580" w:top="132" w:right="1259" w:bottom="1440" w:gutter="0" w:footer="0" w:header="0"/>
        </w:sectPr>
      </w:pPr>
    </w:p>
    <w:p>
      <w:pPr>
        <w:spacing w:after="0" w:line="54" w:lineRule="exact"/>
        <w:rPr>
          <w:sz w:val="20"/>
          <w:szCs w:val="20"/>
          <w:color w:val="auto"/>
        </w:rPr>
      </w:pPr>
    </w:p>
    <w:p>
      <w:pPr>
        <w:ind w:left="660" w:right="1620"/>
        <w:spacing w:after="0" w:line="286" w:lineRule="auto"/>
        <w:rPr>
          <w:sz w:val="20"/>
          <w:szCs w:val="20"/>
          <w:color w:val="auto"/>
        </w:rPr>
      </w:pPr>
      <w:r>
        <w:rPr>
          <w:rFonts w:ascii="Arial" w:cs="Arial" w:eastAsia="Arial" w:hAnsi="Arial"/>
          <w:sz w:val="23"/>
          <w:szCs w:val="23"/>
          <w:b w:val="1"/>
          <w:bCs w:val="1"/>
          <w:i w:val="1"/>
          <w:iCs w:val="1"/>
          <w:color w:val="auto"/>
        </w:rPr>
        <w:t>Director Stock Ownership Requirements</w:t>
      </w:r>
    </w:p>
    <w:p>
      <w:pPr>
        <w:spacing w:after="0" w:line="78" w:lineRule="exact"/>
        <w:rPr>
          <w:sz w:val="20"/>
          <w:szCs w:val="20"/>
          <w:color w:val="auto"/>
        </w:rPr>
      </w:pPr>
    </w:p>
    <w:p>
      <w:pPr>
        <w:ind w:left="660"/>
        <w:spacing w:after="0" w:line="254" w:lineRule="auto"/>
        <w:rPr>
          <w:sz w:val="20"/>
          <w:szCs w:val="20"/>
          <w:color w:val="auto"/>
        </w:rPr>
      </w:pPr>
      <w:r>
        <w:rPr>
          <w:rFonts w:ascii="Arial" w:cs="Arial" w:eastAsia="Arial" w:hAnsi="Arial"/>
          <w:sz w:val="20"/>
          <w:szCs w:val="20"/>
          <w:color w:val="191919"/>
        </w:rPr>
        <w:t>We have adopted Director Stock Ownership guidelines with the objective of more closely aligning the interests of our directors with those of our stockholders. The minimum number of shares of the Company’s common stock that the Director Stock Ownership guidelines require non-employee directors to hold while serving in their capacity as directors is the director base compensation (currently $80,000) multiplied by five (5), divided by the fair market value of the Company’s common stock (rounded to the nearest 100 shares). For purposes of the Director Stock</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ind w:right="100"/>
        <w:spacing w:after="0" w:line="266" w:lineRule="auto"/>
        <w:rPr>
          <w:sz w:val="20"/>
          <w:szCs w:val="20"/>
          <w:color w:val="auto"/>
        </w:rPr>
      </w:pPr>
      <w:r>
        <w:rPr>
          <w:rFonts w:ascii="Arial" w:cs="Arial" w:eastAsia="Arial" w:hAnsi="Arial"/>
          <w:sz w:val="19"/>
          <w:szCs w:val="19"/>
          <w:color w:val="191919"/>
        </w:rPr>
        <w:t>Ownership guidelines, the fair market value of the Company’s common stock is the average closing price per share of the Company’s common stock as reported on the Nasdaq Global Select Market (or if the common stock is not then traded on such market, such other market on which the common stock is traded) for the twelve (12) month period ending with the determination date. All of our directors have met the stock ownership guidelines as of the date hereof (with the exception of</w:t>
      </w:r>
    </w:p>
    <w:p>
      <w:pPr>
        <w:spacing w:after="0" w:line="8" w:lineRule="exact"/>
        <w:rPr>
          <w:sz w:val="20"/>
          <w:szCs w:val="20"/>
          <w:color w:val="auto"/>
        </w:rPr>
      </w:pPr>
    </w:p>
    <w:p>
      <w:pPr>
        <w:ind w:right="100"/>
        <w:spacing w:after="0" w:line="277" w:lineRule="auto"/>
        <w:rPr>
          <w:sz w:val="20"/>
          <w:szCs w:val="20"/>
          <w:color w:val="auto"/>
        </w:rPr>
      </w:pPr>
      <w:r>
        <w:rPr>
          <w:rFonts w:ascii="Arial" w:cs="Arial" w:eastAsia="Arial" w:hAnsi="Arial"/>
          <w:sz w:val="19"/>
          <w:szCs w:val="19"/>
          <w:color w:val="191919"/>
        </w:rPr>
        <w:t>Mr. Guerin and Ms. McBride, who are not required to comply with the guidelines until the fifth anniversary of their appointments to the Board).</w:t>
      </w:r>
    </w:p>
    <w:p>
      <w:pPr>
        <w:spacing w:after="0" w:line="609" w:lineRule="exact"/>
        <w:rPr>
          <w:sz w:val="20"/>
          <w:szCs w:val="20"/>
          <w:color w:val="auto"/>
        </w:rPr>
      </w:pPr>
    </w:p>
    <w:p>
      <w:pPr>
        <w:sectPr>
          <w:pgSz w:w="11900" w:h="16838" w:orient="portrait"/>
          <w:cols w:equalWidth="0" w:num="2">
            <w:col w:w="5140" w:space="440"/>
            <w:col w:w="4480"/>
          </w:cols>
          <w:pgMar w:left="580" w:top="132" w:right="1259" w:bottom="1440" w:gutter="0" w:footer="0" w:header="0"/>
          <w:type w:val="continuous"/>
        </w:sectPr>
      </w:pPr>
    </w:p>
    <w:p>
      <w:pPr>
        <w:spacing w:after="0" w:line="200" w:lineRule="exact"/>
        <w:rPr>
          <w:sz w:val="20"/>
          <w:szCs w:val="20"/>
          <w:color w:val="auto"/>
        </w:rPr>
      </w:pPr>
    </w:p>
    <w:p>
      <w:pPr>
        <w:spacing w:after="0" w:line="348" w:lineRule="exact"/>
        <w:rPr>
          <w:sz w:val="20"/>
          <w:szCs w:val="20"/>
          <w:color w:val="auto"/>
        </w:rPr>
      </w:pPr>
    </w:p>
    <w:p>
      <w:pPr>
        <w:ind w:left="660"/>
        <w:spacing w:after="0"/>
        <w:tabs>
          <w:tab w:leader="none" w:pos="4817" w:val="left"/>
        </w:tabs>
        <w:rPr>
          <w:sz w:val="20"/>
          <w:szCs w:val="20"/>
          <w:color w:val="auto"/>
        </w:rPr>
      </w:pPr>
      <w:r>
        <w:rPr>
          <w:rFonts w:ascii="Arial" w:cs="Arial" w:eastAsia="Arial" w:hAnsi="Arial"/>
          <w:sz w:val="16"/>
          <w:szCs w:val="16"/>
          <w:color w:val="auto"/>
        </w:rPr>
        <w:t>56</w:t>
      </w:r>
      <w:r>
        <w:rPr>
          <w:sz w:val="20"/>
          <w:szCs w:val="20"/>
          <w:color w:val="auto"/>
        </w:rPr>
        <w:tab/>
      </w:r>
      <w:r>
        <w:rPr>
          <w:sz w:val="1"/>
          <w:szCs w:val="1"/>
          <w:color w:val="auto"/>
        </w:rPr>
        <w:drawing>
          <wp:inline distT="0" distB="0" distL="0" distR="0">
            <wp:extent cx="779780" cy="257175"/>
            <wp:effectExtent l="0" t="0" r="0" b="0"/>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132" w:right="1259" w:bottom="1440" w:gutter="0" w:footer="0" w:header="0"/>
          <w:type w:val="continuous"/>
        </w:sectPr>
      </w:pPr>
    </w:p>
    <w:bookmarkStart w:id="61" w:name="page62"/>
    <w:bookmarkEnd w:id="6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353" w:lineRule="exact"/>
        <w:rPr>
          <w:sz w:val="20"/>
          <w:szCs w:val="20"/>
          <w:color w:val="auto"/>
        </w:rPr>
      </w:pPr>
    </w:p>
    <w:p>
      <w:pPr>
        <w:ind w:left="660"/>
        <w:spacing w:after="0"/>
        <w:rPr>
          <w:sz w:val="20"/>
          <w:szCs w:val="20"/>
          <w:color w:val="auto"/>
        </w:rPr>
      </w:pPr>
      <w:r>
        <w:rPr>
          <w:rFonts w:ascii="Arial" w:cs="Arial" w:eastAsia="Arial" w:hAnsi="Arial"/>
          <w:sz w:val="32"/>
          <w:szCs w:val="32"/>
          <w:b w:val="1"/>
          <w:bCs w:val="1"/>
          <w:color w:val="0076A8"/>
        </w:rPr>
        <w:t>COMPENSATION COMMITTEE REPORT</w:t>
      </w:r>
    </w:p>
    <w:p>
      <w:pPr>
        <w:spacing w:after="0" w:line="259" w:lineRule="exact"/>
        <w:rPr>
          <w:sz w:val="20"/>
          <w:szCs w:val="20"/>
          <w:color w:val="auto"/>
        </w:rPr>
      </w:pPr>
    </w:p>
    <w:p>
      <w:pPr>
        <w:ind w:left="660" w:right="780"/>
        <w:spacing w:after="0" w:line="256" w:lineRule="auto"/>
        <w:rPr>
          <w:sz w:val="20"/>
          <w:szCs w:val="20"/>
          <w:color w:val="auto"/>
        </w:rPr>
      </w:pPr>
      <w:r>
        <w:rPr>
          <w:rFonts w:ascii="Arial" w:cs="Arial" w:eastAsia="Arial" w:hAnsi="Arial"/>
          <w:sz w:val="20"/>
          <w:szCs w:val="20"/>
          <w:color w:val="191919"/>
        </w:rPr>
        <w:t>The Compensation Committee has reviewed and discussed the Compensation Discussion and Analysis included herein with management, and based on the review and discussions, the Compensation Committee recommended to the Board that the Compensation Discussion and Analysis be included in this Proxy Statement for the 2022 Annual Meeting of Stockholders.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20"/>
          <w:szCs w:val="20"/>
          <w:color w:val="191919"/>
        </w:rPr>
        <w:t>THE COMPENSATION COMMITTEE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191919"/>
        </w:rPr>
        <w:t>Christine King, Chairman</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20"/>
          <w:szCs w:val="20"/>
          <w:color w:val="191919"/>
        </w:rPr>
        <w:t>David P. McGlade</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20"/>
          <w:szCs w:val="20"/>
          <w:color w:val="191919"/>
        </w:rPr>
        <w:t>Robert A. Schriesheim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3080385</wp:posOffset>
            </wp:positionH>
            <wp:positionV relativeFrom="paragraph">
              <wp:posOffset>5608320</wp:posOffset>
            </wp:positionV>
            <wp:extent cx="779780" cy="25717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7978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860" w:type="dxa"/>
            <w:vAlign w:val="bottom"/>
          </w:tcPr>
          <w:p>
            <w:pPr>
              <w:ind w:left="660"/>
              <w:spacing w:after="0"/>
              <w:rPr>
                <w:sz w:val="20"/>
                <w:szCs w:val="20"/>
                <w:color w:val="auto"/>
              </w:rPr>
            </w:pPr>
            <w:r>
              <w:rPr>
                <w:rFonts w:ascii="Arial" w:cs="Arial" w:eastAsia="Arial" w:hAnsi="Arial"/>
                <w:sz w:val="16"/>
                <w:szCs w:val="16"/>
                <w:color w:val="auto"/>
              </w:rPr>
              <w:t>Proxy Statement</w:t>
            </w:r>
          </w:p>
        </w:tc>
        <w:tc>
          <w:tcPr>
            <w:tcW w:w="4860" w:type="dxa"/>
            <w:vAlign w:val="bottom"/>
          </w:tcPr>
          <w:p>
            <w:pPr>
              <w:jc w:val="right"/>
              <w:ind w:right="579"/>
              <w:spacing w:after="0"/>
              <w:rPr>
                <w:sz w:val="20"/>
                <w:szCs w:val="20"/>
                <w:color w:val="auto"/>
              </w:rPr>
            </w:pPr>
            <w:r>
              <w:rPr>
                <w:rFonts w:ascii="Arial" w:cs="Arial" w:eastAsia="Arial" w:hAnsi="Arial"/>
                <w:sz w:val="16"/>
                <w:szCs w:val="16"/>
                <w:color w:val="auto"/>
              </w:rPr>
              <w:t>57</w:t>
            </w:r>
          </w:p>
        </w:tc>
      </w:tr>
      <w:tr>
        <w:trPr>
          <w:trHeight w:val="297"/>
        </w:trPr>
        <w:tc>
          <w:tcPr>
            <w:tcW w:w="5860" w:type="dxa"/>
            <w:vAlign w:val="bottom"/>
            <w:tcBorders>
              <w:bottom w:val="single" w:sz="8" w:color="9A9A9A"/>
            </w:tcBorders>
          </w:tcPr>
          <w:p>
            <w:pPr>
              <w:spacing w:after="0"/>
              <w:rPr>
                <w:sz w:val="24"/>
                <w:szCs w:val="24"/>
                <w:color w:val="auto"/>
              </w:rPr>
            </w:pPr>
          </w:p>
        </w:tc>
        <w:tc>
          <w:tcPr>
            <w:tcW w:w="4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62" w:name="page63"/>
    <w:bookmarkEnd w:id="6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57150</wp:posOffset>
            </wp:positionV>
            <wp:extent cx="6480810" cy="41148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480810" cy="411480"/>
                    </a:xfrm>
                    <a:prstGeom prst="rect">
                      <a:avLst/>
                    </a:prstGeom>
                    <a:noFill/>
                  </pic:spPr>
                </pic:pic>
              </a:graphicData>
            </a:graphic>
          </wp:anchor>
        </w:drawing>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25"/>
          <w:szCs w:val="25"/>
          <w:b w:val="1"/>
          <w:bCs w:val="1"/>
          <w:color w:val="FFFFFF"/>
        </w:rPr>
        <w:t>INTRODUCTION TO PROPOSALS 4-7:</w:t>
      </w:r>
    </w:p>
    <w:p>
      <w:pPr>
        <w:spacing w:after="0" w:line="200" w:lineRule="exact"/>
        <w:rPr>
          <w:sz w:val="20"/>
          <w:szCs w:val="20"/>
          <w:color w:val="auto"/>
        </w:rPr>
      </w:pPr>
    </w:p>
    <w:p>
      <w:pPr>
        <w:spacing w:after="0" w:line="344" w:lineRule="exact"/>
        <w:rPr>
          <w:sz w:val="20"/>
          <w:szCs w:val="20"/>
          <w:color w:val="auto"/>
        </w:rPr>
      </w:pPr>
    </w:p>
    <w:p>
      <w:pPr>
        <w:ind w:left="660" w:right="820"/>
        <w:spacing w:after="0" w:line="268" w:lineRule="auto"/>
        <w:rPr>
          <w:sz w:val="20"/>
          <w:szCs w:val="20"/>
          <w:color w:val="auto"/>
        </w:rPr>
      </w:pPr>
      <w:r>
        <w:rPr>
          <w:rFonts w:ascii="Arial" w:cs="Arial" w:eastAsia="Arial" w:hAnsi="Arial"/>
          <w:sz w:val="32"/>
          <w:szCs w:val="32"/>
          <w:b w:val="1"/>
          <w:bCs w:val="1"/>
          <w:color w:val="0076A8"/>
        </w:rPr>
        <w:t>ELIMINATION OF SUPERMAJORITY VOTE PROVISIONS FROM OUR CHARTER</w:t>
      </w:r>
    </w:p>
    <w:p>
      <w:pPr>
        <w:sectPr>
          <w:pgSz w:w="11900" w:h="16838" w:orient="portrait"/>
          <w:cols w:equalWidth="0" w:num="1">
            <w:col w:w="10060"/>
          </w:cols>
          <w:pgMar w:left="580" w:top="132" w:right="1259" w:bottom="1440" w:gutter="0" w:footer="0" w:header="0"/>
        </w:sectPr>
      </w:pPr>
    </w:p>
    <w:p>
      <w:pPr>
        <w:spacing w:after="0" w:line="34" w:lineRule="exact"/>
        <w:rPr>
          <w:sz w:val="20"/>
          <w:szCs w:val="20"/>
          <w:color w:val="auto"/>
        </w:rPr>
      </w:pPr>
    </w:p>
    <w:p>
      <w:pPr>
        <w:ind w:left="660" w:right="60"/>
        <w:spacing w:after="0" w:line="254" w:lineRule="auto"/>
        <w:rPr>
          <w:sz w:val="20"/>
          <w:szCs w:val="20"/>
          <w:color w:val="auto"/>
        </w:rPr>
      </w:pPr>
      <w:r>
        <w:rPr>
          <w:rFonts w:ascii="Arial" w:cs="Arial" w:eastAsia="Arial" w:hAnsi="Arial"/>
          <w:sz w:val="20"/>
          <w:szCs w:val="20"/>
          <w:color w:val="191919"/>
        </w:rPr>
        <w:t>The Charter currently includes a number of supermajority voting provisions. At the Company’s 2016 Annual Meeting, we presented five Company proposals that, if approved by the stockholders, would have removed all existing supermajority voting provisions from the Charter. However, despite the recommendation of the Board in favor of all five proposals, only one of the five proposals (which required the affirmative vote of only two-thirds of the shares of the Company’s outstanding common stock) passed.</w:t>
      </w:r>
    </w:p>
    <w:p>
      <w:pPr>
        <w:spacing w:after="0" w:line="77" w:lineRule="exact"/>
        <w:rPr>
          <w:sz w:val="20"/>
          <w:szCs w:val="20"/>
          <w:color w:val="auto"/>
        </w:rPr>
      </w:pPr>
    </w:p>
    <w:p>
      <w:pPr>
        <w:ind w:left="660"/>
        <w:spacing w:after="0" w:line="254" w:lineRule="auto"/>
        <w:rPr>
          <w:sz w:val="20"/>
          <w:szCs w:val="20"/>
          <w:color w:val="auto"/>
        </w:rPr>
      </w:pPr>
      <w:r>
        <w:rPr>
          <w:rFonts w:ascii="Arial" w:cs="Arial" w:eastAsia="Arial" w:hAnsi="Arial"/>
          <w:sz w:val="20"/>
          <w:szCs w:val="20"/>
          <w:color w:val="191919"/>
        </w:rPr>
        <w:t>The four proposals that did not pass in 2016 were again presented at the 2020 Annual Meeting for stockholder approval. However, despite the recommendation of the Board once again in favor of all four proposals, as well as the Company engaging in enhanced solicitation of stockholder votes for the 2020 Annual Meeting with the goal of increasing the number of shares represented at the meeting, none of the four proposals passed.</w:t>
      </w:r>
    </w:p>
    <w:p>
      <w:pPr>
        <w:spacing w:after="0" w:line="64" w:lineRule="exact"/>
        <w:rPr>
          <w:sz w:val="20"/>
          <w:szCs w:val="20"/>
          <w:color w:val="auto"/>
        </w:rPr>
      </w:pPr>
    </w:p>
    <w:p>
      <w:pPr>
        <w:ind w:left="660"/>
        <w:spacing w:after="0" w:line="268" w:lineRule="auto"/>
        <w:rPr>
          <w:sz w:val="20"/>
          <w:szCs w:val="20"/>
          <w:color w:val="auto"/>
        </w:rPr>
      </w:pPr>
      <w:r>
        <w:rPr>
          <w:rFonts w:ascii="Arial" w:cs="Arial" w:eastAsia="Arial" w:hAnsi="Arial"/>
          <w:sz w:val="19"/>
          <w:szCs w:val="19"/>
          <w:color w:val="191919"/>
        </w:rPr>
        <w:t>After taking into consideration the approval by our stockholders of a stockholder proposal in 2021 requesting that the Board take steps to remove the supermajority provisions in the Charter, as well as the feedback received from stockholders following the 2021 Annual Meeting, the Board has directed that the four proposals that did not pass in 2016 or in 2020 be again presented at the Annual Meeting for stockholder approval. Specifically, our Board has adopted and approved amendments to our Charter to remove the supermajority voting provisions and to make certain other changes as described below, subject to approval by the Company’s stockholders as set forth in the Charter.</w:t>
      </w:r>
    </w:p>
    <w:p>
      <w:pPr>
        <w:spacing w:after="0" w:line="54" w:lineRule="exact"/>
        <w:rPr>
          <w:sz w:val="20"/>
          <w:szCs w:val="20"/>
          <w:color w:val="auto"/>
        </w:rPr>
      </w:pPr>
    </w:p>
    <w:p>
      <w:pPr>
        <w:ind w:left="660" w:right="60"/>
        <w:spacing w:after="0" w:line="254" w:lineRule="auto"/>
        <w:rPr>
          <w:sz w:val="20"/>
          <w:szCs w:val="20"/>
          <w:color w:val="auto"/>
        </w:rPr>
      </w:pPr>
      <w:r>
        <w:rPr>
          <w:rFonts w:ascii="Arial" w:cs="Arial" w:eastAsia="Arial" w:hAnsi="Arial"/>
          <w:sz w:val="20"/>
          <w:szCs w:val="20"/>
          <w:color w:val="191919"/>
        </w:rPr>
        <w:t>The Board believes that the changes set forth in Proposals 4-7 are advisable and in the best interests of our stockholders. The Board, upon the recommendation of the Nominating and Corporate Governance Committee, has unanimously approved the proposed amendments and declared them to be advisable,</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ind w:left="3" w:right="40"/>
        <w:spacing w:after="0" w:line="287" w:lineRule="auto"/>
        <w:rPr>
          <w:sz w:val="20"/>
          <w:szCs w:val="20"/>
          <w:color w:val="auto"/>
        </w:rPr>
      </w:pPr>
      <w:r>
        <w:rPr>
          <w:rFonts w:ascii="Arial" w:cs="Arial" w:eastAsia="Arial" w:hAnsi="Arial"/>
          <w:sz w:val="19"/>
          <w:szCs w:val="19"/>
          <w:color w:val="191919"/>
        </w:rPr>
        <w:t>and recommends that the Company’s stockholders adopt and approve the proposed amendments.</w:t>
      </w:r>
    </w:p>
    <w:p>
      <w:pPr>
        <w:spacing w:after="0" w:line="44" w:lineRule="exact"/>
        <w:rPr>
          <w:sz w:val="20"/>
          <w:szCs w:val="20"/>
          <w:color w:val="auto"/>
        </w:rPr>
      </w:pPr>
    </w:p>
    <w:p>
      <w:pPr>
        <w:ind w:left="3"/>
        <w:spacing w:after="0" w:line="254" w:lineRule="auto"/>
        <w:rPr>
          <w:sz w:val="20"/>
          <w:szCs w:val="20"/>
          <w:color w:val="auto"/>
        </w:rPr>
      </w:pPr>
      <w:r>
        <w:rPr>
          <w:rFonts w:ascii="Arial" w:cs="Arial" w:eastAsia="Arial" w:hAnsi="Arial"/>
          <w:sz w:val="20"/>
          <w:szCs w:val="20"/>
          <w:color w:val="191919"/>
        </w:rPr>
        <w:t>Different voting standards apply to the various provisions proposed to be amended and, accordingly, different votes are required for the approval of Proposals 4-7, as specified in each proposal below. We are submitting these amendments to our stockholders as separate items so that our stockholders are able to express their views on each amendment separately. None of the proposals is conditioned upon approval of any other proposal; each proposal may be approved or rejected independently.</w:t>
      </w:r>
    </w:p>
    <w:p>
      <w:pPr>
        <w:spacing w:after="0" w:line="63" w:lineRule="exact"/>
        <w:rPr>
          <w:sz w:val="20"/>
          <w:szCs w:val="20"/>
          <w:color w:val="auto"/>
        </w:rPr>
      </w:pPr>
    </w:p>
    <w:p>
      <w:pPr>
        <w:ind w:left="3" w:right="80"/>
        <w:spacing w:after="0" w:line="266" w:lineRule="auto"/>
        <w:rPr>
          <w:sz w:val="20"/>
          <w:szCs w:val="20"/>
          <w:color w:val="auto"/>
        </w:rPr>
      </w:pPr>
      <w:r>
        <w:rPr>
          <w:rFonts w:ascii="Arial" w:cs="Arial" w:eastAsia="Arial" w:hAnsi="Arial"/>
          <w:sz w:val="19"/>
          <w:szCs w:val="19"/>
          <w:color w:val="191919"/>
        </w:rPr>
        <w:t>The Company recognizes the high voting thresholds that must be surpassed in order to approve Proposals 4-7 (80% of shares outstanding, in the case of Proposals 4, 6, and 7, and 90% of shares outstanding, in the case of Proposal 5) and that fewer than 80% of the Company’s outstanding shares of common stock were present in person or represented by proxy at our most recent annual meeting. In order to increase the number of shares represented at the Annual Meeting and with the objective of obtaining sufficient votes to approve Proposals 4-7, the Company has engaged a proxy solicitor, D.F. King</w:t>
      </w:r>
    </w:p>
    <w:p>
      <w:pPr>
        <w:spacing w:after="0" w:line="11" w:lineRule="exact"/>
        <w:rPr>
          <w:sz w:val="20"/>
          <w:szCs w:val="20"/>
          <w:color w:val="auto"/>
        </w:rPr>
      </w:pPr>
    </w:p>
    <w:p>
      <w:pPr>
        <w:ind w:left="3" w:right="200" w:hanging="3"/>
        <w:spacing w:after="0" w:line="261" w:lineRule="auto"/>
        <w:tabs>
          <w:tab w:leader="none" w:pos="190" w:val="left"/>
        </w:tabs>
        <w:numPr>
          <w:ilvl w:val="0"/>
          <w:numId w:val="79"/>
        </w:numPr>
        <w:rPr>
          <w:rFonts w:ascii="Arial" w:cs="Arial" w:eastAsia="Arial" w:hAnsi="Arial"/>
          <w:sz w:val="20"/>
          <w:szCs w:val="20"/>
          <w:color w:val="191919"/>
        </w:rPr>
      </w:pPr>
      <w:r>
        <w:rPr>
          <w:rFonts w:ascii="Arial" w:cs="Arial" w:eastAsia="Arial" w:hAnsi="Arial"/>
          <w:sz w:val="20"/>
          <w:szCs w:val="20"/>
          <w:color w:val="191919"/>
        </w:rPr>
        <w:t>Co., to undertake a targeted solicitation of both institutional and retail investors.</w:t>
      </w:r>
    </w:p>
    <w:p>
      <w:pPr>
        <w:spacing w:after="0" w:line="53" w:lineRule="exact"/>
        <w:rPr>
          <w:sz w:val="20"/>
          <w:szCs w:val="20"/>
          <w:color w:val="auto"/>
        </w:rPr>
      </w:pPr>
    </w:p>
    <w:p>
      <w:pPr>
        <w:ind w:left="3" w:right="60"/>
        <w:spacing w:after="0" w:line="254" w:lineRule="auto"/>
        <w:rPr>
          <w:sz w:val="20"/>
          <w:szCs w:val="20"/>
          <w:color w:val="auto"/>
        </w:rPr>
      </w:pPr>
      <w:r>
        <w:rPr>
          <w:rFonts w:ascii="Arial" w:cs="Arial" w:eastAsia="Arial" w:hAnsi="Arial"/>
          <w:sz w:val="20"/>
          <w:szCs w:val="20"/>
          <w:color w:val="191919"/>
        </w:rPr>
        <w:t>The proposals that are approved by our stockholders at the Annual Meeting will be reflected in a Certificate of Amendment to our Restated Certificate of Incorporation, as amended, filed with the Secretary of State of the State of Delaware following the meeting. Our Board reserves the right, at any time prior to the effectiveness of the filing of the Certificate of Amendment, to abandon the proposed amendments.</w:t>
      </w:r>
    </w:p>
    <w:p>
      <w:pPr>
        <w:spacing w:after="0" w:line="212" w:lineRule="exact"/>
        <w:rPr>
          <w:sz w:val="20"/>
          <w:szCs w:val="20"/>
          <w:color w:val="auto"/>
        </w:rPr>
      </w:pPr>
    </w:p>
    <w:p>
      <w:pPr>
        <w:ind w:left="3" w:right="240"/>
        <w:spacing w:after="0" w:line="255" w:lineRule="auto"/>
        <w:rPr>
          <w:sz w:val="20"/>
          <w:szCs w:val="20"/>
          <w:color w:val="auto"/>
        </w:rPr>
      </w:pPr>
      <w:r>
        <w:rPr>
          <w:rFonts w:ascii="Arial" w:cs="Arial" w:eastAsia="Arial" w:hAnsi="Arial"/>
          <w:sz w:val="20"/>
          <w:szCs w:val="20"/>
          <w:color w:val="191919"/>
        </w:rPr>
        <w:t xml:space="preserve">The following description of the proposed amendments to our Charter is a summary and is qualified by the full text of the proposed amendments, which is attached to this Proxy Statement as </w:t>
      </w:r>
      <w:r>
        <w:rPr>
          <w:rFonts w:ascii="Arial" w:cs="Arial" w:eastAsia="Arial" w:hAnsi="Arial"/>
          <w:sz w:val="20"/>
          <w:szCs w:val="20"/>
          <w:i w:val="1"/>
          <w:iCs w:val="1"/>
          <w:color w:val="191919"/>
        </w:rPr>
        <w:t>Appendix A</w:t>
      </w:r>
      <w:r>
        <w:rPr>
          <w:rFonts w:ascii="Arial" w:cs="Arial" w:eastAsia="Arial" w:hAnsi="Arial"/>
          <w:sz w:val="20"/>
          <w:szCs w:val="20"/>
          <w:color w:val="191919"/>
        </w:rPr>
        <w:t>.</w:t>
      </w:r>
    </w:p>
    <w:p>
      <w:pPr>
        <w:spacing w:after="0" w:line="200" w:lineRule="exact"/>
        <w:rPr>
          <w:sz w:val="20"/>
          <w:szCs w:val="20"/>
          <w:color w:val="auto"/>
        </w:rPr>
      </w:pPr>
    </w:p>
    <w:p>
      <w:pPr>
        <w:sectPr>
          <w:pgSz w:w="11900" w:h="16838" w:orient="portrait"/>
          <w:cols w:equalWidth="0" w:num="2">
            <w:col w:w="5140" w:space="437"/>
            <w:col w:w="4483"/>
          </w:cols>
          <w:pgMar w:left="580" w:top="132" w:right="1259" w:bottom="1440" w:gutter="0" w:footer="0" w:header="0"/>
          <w:type w:val="continuous"/>
        </w:sectPr>
      </w:pPr>
    </w:p>
    <w:p>
      <w:pPr>
        <w:spacing w:after="0" w:line="73" w:lineRule="exact"/>
        <w:rPr>
          <w:sz w:val="20"/>
          <w:szCs w:val="20"/>
          <w:color w:val="auto"/>
        </w:rPr>
      </w:pPr>
    </w:p>
    <w:p>
      <w:pPr>
        <w:ind w:left="660"/>
        <w:spacing w:after="0"/>
        <w:tabs>
          <w:tab w:leader="none" w:pos="4817" w:val="left"/>
        </w:tabs>
        <w:rPr>
          <w:sz w:val="20"/>
          <w:szCs w:val="20"/>
          <w:color w:val="auto"/>
        </w:rPr>
      </w:pPr>
      <w:r>
        <w:rPr>
          <w:rFonts w:ascii="Arial" w:cs="Arial" w:eastAsia="Arial" w:hAnsi="Arial"/>
          <w:sz w:val="16"/>
          <w:szCs w:val="16"/>
          <w:color w:val="auto"/>
        </w:rPr>
        <w:t>58</w:t>
      </w:r>
      <w:r>
        <w:rPr>
          <w:sz w:val="20"/>
          <w:szCs w:val="20"/>
          <w:color w:val="auto"/>
        </w:rPr>
        <w:tab/>
      </w:r>
      <w:r>
        <w:rPr>
          <w:sz w:val="1"/>
          <w:szCs w:val="1"/>
          <w:color w:val="auto"/>
        </w:rPr>
        <w:drawing>
          <wp:inline distT="0" distB="0" distL="0" distR="0">
            <wp:extent cx="779780" cy="257175"/>
            <wp:effectExtent l="0" t="0" r="0" b="0"/>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132" w:right="1259" w:bottom="1440" w:gutter="0" w:footer="0" w:header="0"/>
          <w:type w:val="continuous"/>
        </w:sectPr>
      </w:pPr>
    </w:p>
    <w:bookmarkStart w:id="63" w:name="page64"/>
    <w:bookmarkEnd w:id="6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57150</wp:posOffset>
            </wp:positionV>
            <wp:extent cx="6480810" cy="41148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480810" cy="411480"/>
                    </a:xfrm>
                    <a:prstGeom prst="rect">
                      <a:avLst/>
                    </a:prstGeom>
                    <a:noFill/>
                  </pic:spPr>
                </pic:pic>
              </a:graphicData>
            </a:graphic>
          </wp:anchor>
        </w:drawing>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25"/>
          <w:szCs w:val="25"/>
          <w:b w:val="1"/>
          <w:bCs w:val="1"/>
          <w:color w:val="FFFFFF"/>
        </w:rPr>
        <w:t>PROPOSAL 4:</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60" w:right="660"/>
        <w:spacing w:after="0" w:line="237" w:lineRule="auto"/>
        <w:rPr>
          <w:sz w:val="20"/>
          <w:szCs w:val="20"/>
          <w:color w:val="auto"/>
        </w:rPr>
      </w:pPr>
      <w:r>
        <w:rPr>
          <w:rFonts w:ascii="Arial" w:cs="Arial" w:eastAsia="Arial" w:hAnsi="Arial"/>
          <w:sz w:val="32"/>
          <w:szCs w:val="32"/>
          <w:b w:val="1"/>
          <w:bCs w:val="1"/>
          <w:color w:val="0076A8"/>
        </w:rPr>
        <w:t>APPROVAL OF AMENDMENT TO THE CHARTER TO ELIMINATE THE SUPERMAJORITY VOTE PROVISIONS RELATING TO STOCKHOLDER APPROVAL OF A MERGER OR CONSOLIDATION, DISPOSITION OF ALL OR SUBSTANTIALLY ALL OF OUR ASSETS, OR ISSUANCE OF A SUBSTANTIAL AMOUNT OF OUR SECURITIES</w:t>
      </w:r>
    </w:p>
    <w:p>
      <w:pPr>
        <w:sectPr>
          <w:pgSz w:w="11900" w:h="16838" w:orient="portrait"/>
          <w:cols w:equalWidth="0" w:num="1">
            <w:col w:w="10720"/>
          </w:cols>
          <w:pgMar w:left="580" w:top="132" w:right="599" w:bottom="1440" w:gutter="0" w:footer="0" w:header="0"/>
        </w:sectPr>
      </w:pPr>
    </w:p>
    <w:p>
      <w:pPr>
        <w:spacing w:after="0" w:line="242" w:lineRule="exact"/>
        <w:rPr>
          <w:sz w:val="20"/>
          <w:szCs w:val="20"/>
          <w:color w:val="auto"/>
        </w:rPr>
      </w:pPr>
    </w:p>
    <w:p>
      <w:pPr>
        <w:ind w:left="660"/>
        <w:spacing w:after="0" w:line="267" w:lineRule="auto"/>
        <w:rPr>
          <w:sz w:val="20"/>
          <w:szCs w:val="20"/>
          <w:color w:val="auto"/>
        </w:rPr>
      </w:pPr>
      <w:r>
        <w:rPr>
          <w:rFonts w:ascii="Arial" w:cs="Arial" w:eastAsia="Arial" w:hAnsi="Arial"/>
          <w:sz w:val="19"/>
          <w:szCs w:val="19"/>
          <w:color w:val="191919"/>
        </w:rPr>
        <w:t>The Charter currently requires, in addition to any other vote required by law, another provision of the Charter, or a contract to which we are party, the affirmative vote of holders of at least 80% of the shares of all classes of our stock entitled to vote for the election of directors, considered for this purpose as one class of stock, (a) for the adoption of any agreement for the merger or consolidation of the Company with or into any Other Corporation (as defined in the Charter), or (b) to authorize any sale, lease, exchange, mortgage, pledge, or other disposition of all, or substantially all, of the assets of the Company or any Subsidiary (as defined in the Charter) to any Other Corporation, or (c) to authorize the issuance or transfer by the Company of any Substantial Amount (as defined in the Charter) of securities of the Company in exchange for the securities or assets of any Other Corporation. This supermajority vote is not required if the transaction has been approved by members of the Board who were directors prior to the time any such Other Corporation involved in the proposed transaction became a Beneficial Owner (as defined in the Charter) of 5% or more of the outstanding shares of stock of the Company entitled to vote for the election of directors. The Charter also requires the affirmative vote of holders of at least 80% of the</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ind w:right="660"/>
        <w:spacing w:after="0" w:line="255" w:lineRule="auto"/>
        <w:rPr>
          <w:sz w:val="20"/>
          <w:szCs w:val="20"/>
          <w:color w:val="auto"/>
        </w:rPr>
      </w:pPr>
      <w:r>
        <w:rPr>
          <w:rFonts w:ascii="Arial" w:cs="Arial" w:eastAsia="Arial" w:hAnsi="Arial"/>
          <w:sz w:val="20"/>
          <w:szCs w:val="20"/>
          <w:color w:val="191919"/>
        </w:rPr>
        <w:t>shares of all classes of our stock entitled to vote for the election of directors, considered for this purpose as one class of stock, to amend the Charter provisions relating to stockholder approval of such a transaction.</w:t>
      </w:r>
    </w:p>
    <w:p>
      <w:pPr>
        <w:spacing w:after="0" w:line="209" w:lineRule="exact"/>
        <w:rPr>
          <w:sz w:val="20"/>
          <w:szCs w:val="20"/>
          <w:color w:val="auto"/>
        </w:rPr>
      </w:pPr>
    </w:p>
    <w:p>
      <w:pPr>
        <w:ind w:right="660"/>
        <w:spacing w:after="0" w:line="254" w:lineRule="auto"/>
        <w:rPr>
          <w:sz w:val="20"/>
          <w:szCs w:val="20"/>
          <w:color w:val="auto"/>
        </w:rPr>
      </w:pPr>
      <w:r>
        <w:rPr>
          <w:rFonts w:ascii="Arial" w:cs="Arial" w:eastAsia="Arial" w:hAnsi="Arial"/>
          <w:sz w:val="20"/>
          <w:szCs w:val="20"/>
          <w:color w:val="191919"/>
        </w:rPr>
        <w:t>If stockholders approve this Proposal 4, the Charter will be amended to eliminate these supermajority voting requirements, and the voting requirement in the future would be the affirmative vote of the holders of at least a majority of the shares of all classes of our stock entitled to vote for the election of directors, considered for this purpose as one class of stock.</w:t>
      </w:r>
    </w:p>
    <w:p>
      <w:pPr>
        <w:spacing w:after="0" w:line="213" w:lineRule="exact"/>
        <w:rPr>
          <w:sz w:val="20"/>
          <w:szCs w:val="20"/>
          <w:color w:val="auto"/>
        </w:rPr>
      </w:pPr>
    </w:p>
    <w:p>
      <w:pPr>
        <w:ind w:right="660"/>
        <w:spacing w:after="0" w:line="255" w:lineRule="auto"/>
        <w:rPr>
          <w:sz w:val="20"/>
          <w:szCs w:val="20"/>
          <w:color w:val="auto"/>
        </w:rPr>
      </w:pPr>
      <w:r>
        <w:rPr>
          <w:rFonts w:ascii="Arial" w:cs="Arial" w:eastAsia="Arial" w:hAnsi="Arial"/>
          <w:sz w:val="20"/>
          <w:szCs w:val="20"/>
          <w:color w:val="191919"/>
        </w:rPr>
        <w:t xml:space="preserve">The amendment to the Charter that would be effected by approval of this Proposal 4 is shown in the text of Article ELEVENTH, Paragraphs 1 and 5, of the Charter provisions attached to this Proxy Statement as </w:t>
      </w:r>
      <w:r>
        <w:rPr>
          <w:rFonts w:ascii="Arial" w:cs="Arial" w:eastAsia="Arial" w:hAnsi="Arial"/>
          <w:sz w:val="20"/>
          <w:szCs w:val="20"/>
          <w:i w:val="1"/>
          <w:iCs w:val="1"/>
          <w:color w:val="191919"/>
        </w:rPr>
        <w:t>Appendix A.</w:t>
      </w:r>
    </w:p>
    <w:p>
      <w:pPr>
        <w:spacing w:after="0" w:line="257" w:lineRule="exact"/>
        <w:rPr>
          <w:sz w:val="20"/>
          <w:szCs w:val="20"/>
          <w:color w:val="auto"/>
        </w:rPr>
      </w:pPr>
    </w:p>
    <w:p>
      <w:pPr>
        <w:spacing w:after="0"/>
        <w:rPr>
          <w:sz w:val="20"/>
          <w:szCs w:val="20"/>
          <w:color w:val="auto"/>
        </w:rPr>
      </w:pPr>
      <w:r>
        <w:rPr>
          <w:rFonts w:ascii="Arial" w:cs="Arial" w:eastAsia="Arial" w:hAnsi="Arial"/>
          <w:sz w:val="23"/>
          <w:szCs w:val="23"/>
          <w:b w:val="1"/>
          <w:bCs w:val="1"/>
          <w:i w:val="1"/>
          <w:iCs w:val="1"/>
          <w:color w:val="auto"/>
        </w:rPr>
        <w:t>Vote Required to Approve Proposal 4</w:t>
      </w:r>
    </w:p>
    <w:p>
      <w:pPr>
        <w:spacing w:after="0" w:line="161" w:lineRule="exact"/>
        <w:rPr>
          <w:sz w:val="20"/>
          <w:szCs w:val="20"/>
          <w:color w:val="auto"/>
        </w:rPr>
      </w:pPr>
    </w:p>
    <w:p>
      <w:pPr>
        <w:ind w:right="700"/>
        <w:spacing w:after="0" w:line="256" w:lineRule="auto"/>
        <w:rPr>
          <w:sz w:val="20"/>
          <w:szCs w:val="20"/>
          <w:color w:val="auto"/>
        </w:rPr>
      </w:pPr>
      <w:r>
        <w:rPr>
          <w:rFonts w:ascii="Arial" w:cs="Arial" w:eastAsia="Arial" w:hAnsi="Arial"/>
          <w:sz w:val="20"/>
          <w:szCs w:val="20"/>
          <w:color w:val="191919"/>
        </w:rPr>
        <w:t>Approval of this amendment at the Annual Meeting requires the affirmative vote of the holders of at least 80% of the shares of our outstanding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-2553970</wp:posOffset>
            </wp:positionH>
            <wp:positionV relativeFrom="paragraph">
              <wp:posOffset>365125</wp:posOffset>
            </wp:positionV>
            <wp:extent cx="4834890" cy="65151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4834890" cy="651510"/>
                    </a:xfrm>
                    <a:prstGeom prst="rect">
                      <a:avLst/>
                    </a:prstGeom>
                    <a:noFill/>
                  </pic:spPr>
                </pic:pic>
              </a:graphicData>
            </a:graphic>
          </wp:anchor>
        </w:drawing>
      </w:r>
    </w:p>
    <w:p>
      <w:pPr>
        <w:spacing w:after="0" w:line="287" w:lineRule="exact"/>
        <w:rPr>
          <w:sz w:val="20"/>
          <w:szCs w:val="20"/>
          <w:color w:val="auto"/>
        </w:rPr>
      </w:pPr>
    </w:p>
    <w:p>
      <w:pPr>
        <w:sectPr>
          <w:pgSz w:w="11900" w:h="16838" w:orient="portrait"/>
          <w:cols w:equalWidth="0" w:num="2">
            <w:col w:w="5140" w:space="440"/>
            <w:col w:w="5140"/>
          </w:cols>
          <w:pgMar w:left="580" w:top="132" w:right="599" w:bottom="1440" w:gutter="0" w:footer="0" w:header="0"/>
          <w:type w:val="continuous"/>
        </w:sect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0076A8"/>
        </w:rPr>
        <w:t>THE BOARD OF DIRECTORS UNANIMOUSLY RECOMMENDS A VOTE</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0076A8"/>
        </w:rPr>
        <w:t>“FOR” THIS PROPOSAL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3080385</wp:posOffset>
            </wp:positionH>
            <wp:positionV relativeFrom="paragraph">
              <wp:posOffset>1085850</wp:posOffset>
            </wp:positionV>
            <wp:extent cx="779780" cy="25717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7978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860" w:type="dxa"/>
            <w:vAlign w:val="bottom"/>
          </w:tcPr>
          <w:p>
            <w:pPr>
              <w:ind w:left="660"/>
              <w:spacing w:after="0"/>
              <w:rPr>
                <w:sz w:val="20"/>
                <w:szCs w:val="20"/>
                <w:color w:val="auto"/>
              </w:rPr>
            </w:pPr>
            <w:r>
              <w:rPr>
                <w:rFonts w:ascii="Arial" w:cs="Arial" w:eastAsia="Arial" w:hAnsi="Arial"/>
                <w:sz w:val="16"/>
                <w:szCs w:val="16"/>
                <w:color w:val="auto"/>
              </w:rPr>
              <w:t>Proxy Statement</w:t>
            </w:r>
          </w:p>
        </w:tc>
        <w:tc>
          <w:tcPr>
            <w:tcW w:w="4860" w:type="dxa"/>
            <w:vAlign w:val="bottom"/>
          </w:tcPr>
          <w:p>
            <w:pPr>
              <w:jc w:val="right"/>
              <w:ind w:right="579"/>
              <w:spacing w:after="0"/>
              <w:rPr>
                <w:sz w:val="20"/>
                <w:szCs w:val="20"/>
                <w:color w:val="auto"/>
              </w:rPr>
            </w:pPr>
            <w:r>
              <w:rPr>
                <w:rFonts w:ascii="Arial" w:cs="Arial" w:eastAsia="Arial" w:hAnsi="Arial"/>
                <w:sz w:val="16"/>
                <w:szCs w:val="16"/>
                <w:color w:val="auto"/>
              </w:rPr>
              <w:t>59</w:t>
            </w:r>
          </w:p>
        </w:tc>
      </w:tr>
      <w:tr>
        <w:trPr>
          <w:trHeight w:val="310"/>
        </w:trPr>
        <w:tc>
          <w:tcPr>
            <w:tcW w:w="5860" w:type="dxa"/>
            <w:vAlign w:val="bottom"/>
            <w:tcBorders>
              <w:bottom w:val="single" w:sz="8" w:color="9A9A9A"/>
            </w:tcBorders>
          </w:tcPr>
          <w:p>
            <w:pPr>
              <w:spacing w:after="0"/>
              <w:rPr>
                <w:sz w:val="24"/>
                <w:szCs w:val="24"/>
                <w:color w:val="auto"/>
              </w:rPr>
            </w:pPr>
          </w:p>
        </w:tc>
        <w:tc>
          <w:tcPr>
            <w:tcW w:w="4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type w:val="continuous"/>
        </w:sectPr>
      </w:pPr>
    </w:p>
    <w:bookmarkStart w:id="64" w:name="page65"/>
    <w:bookmarkEnd w:id="6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57150</wp:posOffset>
            </wp:positionV>
            <wp:extent cx="6480810" cy="41148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480810" cy="411480"/>
                    </a:xfrm>
                    <a:prstGeom prst="rect">
                      <a:avLst/>
                    </a:prstGeom>
                    <a:noFill/>
                  </pic:spPr>
                </pic:pic>
              </a:graphicData>
            </a:graphic>
          </wp:anchor>
        </w:drawing>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25"/>
          <w:szCs w:val="25"/>
          <w:b w:val="1"/>
          <w:bCs w:val="1"/>
          <w:color w:val="FFFFFF"/>
        </w:rPr>
        <w:t>PROPOSAL 5:</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60" w:right="180"/>
        <w:spacing w:after="0" w:line="242" w:lineRule="auto"/>
        <w:rPr>
          <w:sz w:val="20"/>
          <w:szCs w:val="20"/>
          <w:color w:val="auto"/>
        </w:rPr>
      </w:pPr>
      <w:r>
        <w:rPr>
          <w:rFonts w:ascii="Arial" w:cs="Arial" w:eastAsia="Arial" w:hAnsi="Arial"/>
          <w:sz w:val="32"/>
          <w:szCs w:val="32"/>
          <w:b w:val="1"/>
          <w:bCs w:val="1"/>
          <w:color w:val="0076A8"/>
        </w:rPr>
        <w:t>APPROVAL OF AMENDMENT TO THE CHARTER TO ELIMINATE THE SUPERMAJORITY VOTE PROVISIONS RELATING TO STOCKHOLDER APPROVAL OF A BUSINESS COMBINATION WITH ANY RELATED PERSON</w:t>
      </w:r>
    </w:p>
    <w:p>
      <w:pPr>
        <w:sectPr>
          <w:pgSz w:w="11900" w:h="16838" w:orient="portrait"/>
          <w:cols w:equalWidth="0" w:num="1">
            <w:col w:w="10060"/>
          </w:cols>
          <w:pgMar w:left="580" w:top="132" w:right="1259" w:bottom="1440" w:gutter="0" w:footer="0" w:header="0"/>
        </w:sectPr>
      </w:pPr>
    </w:p>
    <w:p>
      <w:pPr>
        <w:spacing w:after="0" w:line="236" w:lineRule="exact"/>
        <w:rPr>
          <w:sz w:val="20"/>
          <w:szCs w:val="20"/>
          <w:color w:val="auto"/>
        </w:rPr>
      </w:pPr>
    </w:p>
    <w:p>
      <w:pPr>
        <w:ind w:left="660"/>
        <w:spacing w:after="0" w:line="268" w:lineRule="auto"/>
        <w:rPr>
          <w:sz w:val="20"/>
          <w:szCs w:val="20"/>
          <w:color w:val="auto"/>
        </w:rPr>
      </w:pPr>
      <w:r>
        <w:rPr>
          <w:rFonts w:ascii="Arial" w:cs="Arial" w:eastAsia="Arial" w:hAnsi="Arial"/>
          <w:sz w:val="19"/>
          <w:szCs w:val="19"/>
          <w:color w:val="191919"/>
        </w:rPr>
        <w:t>The Charter currently requires the affirmative vote of holders of at least 90% of the shares of all classes of our stock entitled to vote for the election of directors, considered for this purpose as one class of stock, to approve a Business Combination, which, as defined in the Charter, requires that such Business Combination be with a Related Person or an Affiliate of a Related Person (each as defined in the Charter), in addition to any other vote required by law or the Charter. The Charter also requires the affirmative vote of holders of at least 90% of the shares of all classes of our stock entitled to vote for the election of directors, considered for this purpose as one class of stock, to amend the Charter provisions relating to stockholder approval of such a Business Combination.</w:t>
      </w:r>
    </w:p>
    <w:p>
      <w:pPr>
        <w:spacing w:after="0" w:line="200" w:lineRule="exact"/>
        <w:rPr>
          <w:sz w:val="20"/>
          <w:szCs w:val="20"/>
          <w:color w:val="auto"/>
        </w:rPr>
      </w:pPr>
    </w:p>
    <w:p>
      <w:pPr>
        <w:ind w:left="660" w:right="700"/>
        <w:spacing w:after="0" w:line="287" w:lineRule="auto"/>
        <w:rPr>
          <w:sz w:val="20"/>
          <w:szCs w:val="20"/>
          <w:color w:val="auto"/>
        </w:rPr>
      </w:pPr>
      <w:r>
        <w:rPr>
          <w:rFonts w:ascii="Arial" w:cs="Arial" w:eastAsia="Arial" w:hAnsi="Arial"/>
          <w:sz w:val="19"/>
          <w:szCs w:val="19"/>
          <w:color w:val="191919"/>
        </w:rPr>
        <w:t>If stockholders approve this Proposal 5, the Charter will be amended to eliminate these</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spacing w:after="0" w:line="255" w:lineRule="auto"/>
        <w:rPr>
          <w:sz w:val="20"/>
          <w:szCs w:val="20"/>
          <w:color w:val="auto"/>
        </w:rPr>
      </w:pPr>
      <w:r>
        <w:rPr>
          <w:rFonts w:ascii="Arial" w:cs="Arial" w:eastAsia="Arial" w:hAnsi="Arial"/>
          <w:sz w:val="20"/>
          <w:szCs w:val="20"/>
          <w:color w:val="191919"/>
        </w:rPr>
        <w:t>supermajority voting requirements, and the voting requirement in the future would be the affirmative vote of the holders of at least a majority of the shares of all classes of our stock entitled to vote for the election of directors, considered for this purpose as one class of stock.</w:t>
      </w:r>
    </w:p>
    <w:p>
      <w:pPr>
        <w:spacing w:after="0" w:line="208" w:lineRule="exact"/>
        <w:rPr>
          <w:sz w:val="20"/>
          <w:szCs w:val="20"/>
          <w:color w:val="auto"/>
        </w:rPr>
      </w:pPr>
    </w:p>
    <w:p>
      <w:pPr>
        <w:ind w:right="80"/>
        <w:spacing w:after="0" w:line="255" w:lineRule="auto"/>
        <w:rPr>
          <w:sz w:val="20"/>
          <w:szCs w:val="20"/>
          <w:color w:val="auto"/>
        </w:rPr>
      </w:pPr>
      <w:r>
        <w:rPr>
          <w:rFonts w:ascii="Arial" w:cs="Arial" w:eastAsia="Arial" w:hAnsi="Arial"/>
          <w:sz w:val="20"/>
          <w:szCs w:val="20"/>
          <w:color w:val="191919"/>
        </w:rPr>
        <w:t xml:space="preserve">The amendment to the Charter that would be effected by approval of this Proposal 5 is shown in the text of Article TWELFTH, Paragraph 2, and Article TENTH, Paragraph 1(B), subpart (ii), of the Charter provisions attached to this Proxy Statement as </w:t>
      </w:r>
      <w:r>
        <w:rPr>
          <w:rFonts w:ascii="Arial" w:cs="Arial" w:eastAsia="Arial" w:hAnsi="Arial"/>
          <w:sz w:val="20"/>
          <w:szCs w:val="20"/>
          <w:i w:val="1"/>
          <w:iCs w:val="1"/>
          <w:color w:val="191919"/>
        </w:rPr>
        <w:t>Appendix A.</w:t>
      </w:r>
    </w:p>
    <w:p>
      <w:pPr>
        <w:spacing w:after="0" w:line="255" w:lineRule="exact"/>
        <w:rPr>
          <w:sz w:val="20"/>
          <w:szCs w:val="20"/>
          <w:color w:val="auto"/>
        </w:rPr>
      </w:pPr>
    </w:p>
    <w:p>
      <w:pPr>
        <w:spacing w:after="0"/>
        <w:rPr>
          <w:sz w:val="20"/>
          <w:szCs w:val="20"/>
          <w:color w:val="auto"/>
        </w:rPr>
      </w:pPr>
      <w:r>
        <w:rPr>
          <w:rFonts w:ascii="Arial" w:cs="Arial" w:eastAsia="Arial" w:hAnsi="Arial"/>
          <w:sz w:val="23"/>
          <w:szCs w:val="23"/>
          <w:b w:val="1"/>
          <w:bCs w:val="1"/>
          <w:i w:val="1"/>
          <w:iCs w:val="1"/>
          <w:color w:val="auto"/>
        </w:rPr>
        <w:t>Vote Required to Approve Proposal 5</w:t>
      </w:r>
    </w:p>
    <w:p>
      <w:pPr>
        <w:spacing w:after="0" w:line="161" w:lineRule="exact"/>
        <w:rPr>
          <w:sz w:val="20"/>
          <w:szCs w:val="20"/>
          <w:color w:val="auto"/>
        </w:rPr>
      </w:pPr>
    </w:p>
    <w:p>
      <w:pPr>
        <w:ind w:right="40"/>
        <w:spacing w:after="0" w:line="256" w:lineRule="auto"/>
        <w:rPr>
          <w:sz w:val="20"/>
          <w:szCs w:val="20"/>
          <w:color w:val="auto"/>
        </w:rPr>
      </w:pPr>
      <w:r>
        <w:rPr>
          <w:rFonts w:ascii="Arial" w:cs="Arial" w:eastAsia="Arial" w:hAnsi="Arial"/>
          <w:sz w:val="20"/>
          <w:szCs w:val="20"/>
          <w:color w:val="191919"/>
        </w:rPr>
        <w:t>Approval of this amendment at the Annual Meeting requires the affirmative vote of the holders of at least 90% of the shares of our outstanding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-2553970</wp:posOffset>
            </wp:positionH>
            <wp:positionV relativeFrom="paragraph">
              <wp:posOffset>142240</wp:posOffset>
            </wp:positionV>
            <wp:extent cx="4834890" cy="65151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4834890" cy="6515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40" w:space="440"/>
            <w:col w:w="4480"/>
          </w:cols>
          <w:pgMar w:left="580" w:top="132" w:right="1259" w:bottom="1440" w:gutter="0" w:footer="0" w:header="0"/>
          <w:type w:val="continuous"/>
        </w:sectPr>
      </w:pPr>
    </w:p>
    <w:p>
      <w:pPr>
        <w:spacing w:after="0" w:line="302" w:lineRule="exact"/>
        <w:rPr>
          <w:sz w:val="20"/>
          <w:szCs w:val="20"/>
          <w:color w:val="auto"/>
        </w:rPr>
      </w:pPr>
    </w:p>
    <w:p>
      <w:pPr>
        <w:jc w:val="center"/>
        <w:ind w:right="-1199"/>
        <w:spacing w:after="0"/>
        <w:rPr>
          <w:sz w:val="20"/>
          <w:szCs w:val="20"/>
          <w:color w:val="auto"/>
        </w:rPr>
      </w:pPr>
      <w:r>
        <w:rPr>
          <w:rFonts w:ascii="Arial" w:cs="Arial" w:eastAsia="Arial" w:hAnsi="Arial"/>
          <w:sz w:val="18"/>
          <w:szCs w:val="18"/>
          <w:i w:val="1"/>
          <w:iCs w:val="1"/>
          <w:color w:val="0076A8"/>
        </w:rPr>
        <w:t>THE BOARD OF DIRECTORS UNANIMOUSLY RECOMMENDS A VOTE</w:t>
      </w:r>
    </w:p>
    <w:p>
      <w:pPr>
        <w:spacing w:after="0" w:line="28" w:lineRule="exact"/>
        <w:rPr>
          <w:sz w:val="20"/>
          <w:szCs w:val="20"/>
          <w:color w:val="auto"/>
        </w:rPr>
      </w:pPr>
    </w:p>
    <w:p>
      <w:pPr>
        <w:jc w:val="center"/>
        <w:ind w:right="-1199"/>
        <w:spacing w:after="0"/>
        <w:rPr>
          <w:sz w:val="20"/>
          <w:szCs w:val="20"/>
          <w:color w:val="auto"/>
        </w:rPr>
      </w:pPr>
      <w:r>
        <w:rPr>
          <w:rFonts w:ascii="Arial" w:cs="Arial" w:eastAsia="Arial" w:hAnsi="Arial"/>
          <w:sz w:val="18"/>
          <w:szCs w:val="18"/>
          <w:i w:val="1"/>
          <w:iCs w:val="1"/>
          <w:color w:val="0076A8"/>
        </w:rPr>
        <w:t>“FOR” THIS PROPOSAL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spacing w:after="0"/>
        <w:tabs>
          <w:tab w:leader="none" w:pos="4817" w:val="left"/>
        </w:tabs>
        <w:rPr>
          <w:sz w:val="20"/>
          <w:szCs w:val="20"/>
          <w:color w:val="auto"/>
        </w:rPr>
      </w:pPr>
      <w:r>
        <w:rPr>
          <w:rFonts w:ascii="Arial" w:cs="Arial" w:eastAsia="Arial" w:hAnsi="Arial"/>
          <w:sz w:val="16"/>
          <w:szCs w:val="16"/>
          <w:color w:val="auto"/>
        </w:rPr>
        <w:t>60</w:t>
      </w:r>
      <w:r>
        <w:rPr>
          <w:sz w:val="20"/>
          <w:szCs w:val="20"/>
          <w:color w:val="auto"/>
        </w:rPr>
        <w:tab/>
      </w:r>
      <w:r>
        <w:rPr>
          <w:sz w:val="1"/>
          <w:szCs w:val="1"/>
          <w:color w:val="auto"/>
        </w:rPr>
        <w:drawing>
          <wp:inline distT="0" distB="0" distL="0" distR="0">
            <wp:extent cx="779780" cy="257175"/>
            <wp:effectExtent l="0" t="0" r="0" b="0"/>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132" w:right="1259" w:bottom="1440" w:gutter="0" w:footer="0" w:header="0"/>
          <w:type w:val="continuous"/>
        </w:sectPr>
      </w:pPr>
    </w:p>
    <w:bookmarkStart w:id="65" w:name="page66"/>
    <w:bookmarkEnd w:id="6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57150</wp:posOffset>
            </wp:positionV>
            <wp:extent cx="6480810" cy="41148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480810" cy="411480"/>
                    </a:xfrm>
                    <a:prstGeom prst="rect">
                      <a:avLst/>
                    </a:prstGeom>
                    <a:noFill/>
                  </pic:spPr>
                </pic:pic>
              </a:graphicData>
            </a:graphic>
          </wp:anchor>
        </w:drawing>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25"/>
          <w:szCs w:val="25"/>
          <w:b w:val="1"/>
          <w:bCs w:val="1"/>
          <w:color w:val="FFFFFF"/>
        </w:rPr>
        <w:t>PROPOSAL 6:</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60" w:right="900"/>
        <w:spacing w:after="0" w:line="242" w:lineRule="auto"/>
        <w:rPr>
          <w:sz w:val="20"/>
          <w:szCs w:val="20"/>
          <w:color w:val="auto"/>
        </w:rPr>
      </w:pPr>
      <w:r>
        <w:rPr>
          <w:rFonts w:ascii="Arial" w:cs="Arial" w:eastAsia="Arial" w:hAnsi="Arial"/>
          <w:sz w:val="32"/>
          <w:szCs w:val="32"/>
          <w:b w:val="1"/>
          <w:bCs w:val="1"/>
          <w:color w:val="0076A8"/>
        </w:rPr>
        <w:t>APPROVAL OF AMENDMENT TO THE CHARTER TO ELIMINATE THE SUPERMAJORITY VOTE PROVISION RELATING TO STOCKHOLDER AMENDMENT OF CHARTER PROVISIONS GOVERNING DIRECTORS</w:t>
      </w:r>
    </w:p>
    <w:p>
      <w:pPr>
        <w:sectPr>
          <w:pgSz w:w="11900" w:h="16838" w:orient="portrait"/>
          <w:cols w:equalWidth="0" w:num="1">
            <w:col w:w="10720"/>
          </w:cols>
          <w:pgMar w:left="580" w:top="132" w:right="599" w:bottom="1440" w:gutter="0" w:footer="0" w:header="0"/>
        </w:sectPr>
      </w:pPr>
    </w:p>
    <w:p>
      <w:pPr>
        <w:spacing w:after="0" w:line="236" w:lineRule="exact"/>
        <w:rPr>
          <w:sz w:val="20"/>
          <w:szCs w:val="20"/>
          <w:color w:val="auto"/>
        </w:rPr>
      </w:pPr>
    </w:p>
    <w:p>
      <w:pPr>
        <w:ind w:left="660"/>
        <w:spacing w:after="0" w:line="254" w:lineRule="auto"/>
        <w:rPr>
          <w:sz w:val="20"/>
          <w:szCs w:val="20"/>
          <w:color w:val="auto"/>
        </w:rPr>
      </w:pPr>
      <w:r>
        <w:rPr>
          <w:rFonts w:ascii="Arial" w:cs="Arial" w:eastAsia="Arial" w:hAnsi="Arial"/>
          <w:sz w:val="20"/>
          <w:szCs w:val="20"/>
          <w:color w:val="191919"/>
        </w:rPr>
        <w:t>The Charter currently requires the affirmative vote of holders of at least 80% of the shares of all classes of our stock entitled to vote for the election of directors, considered for this purpose as one class of stock, to amend the Charter provisions governing the duties, number, term, election, removal, and liability of our directors.</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ind w:right="740"/>
        <w:spacing w:after="0" w:line="255" w:lineRule="auto"/>
        <w:rPr>
          <w:sz w:val="20"/>
          <w:szCs w:val="20"/>
          <w:color w:val="auto"/>
        </w:rPr>
      </w:pPr>
      <w:r>
        <w:rPr>
          <w:rFonts w:ascii="Arial" w:cs="Arial" w:eastAsia="Arial" w:hAnsi="Arial"/>
          <w:sz w:val="20"/>
          <w:szCs w:val="20"/>
          <w:color w:val="191919"/>
        </w:rPr>
        <w:t xml:space="preserve">The amendment to the Charter that would be effected by approval of this Proposal 6 is shown in the text referring to Article SEVENTH within Article TENTH, Paragraph 1(B), subpart (i), of the Charter provisions attached to this Proxy Statement as </w:t>
      </w:r>
      <w:r>
        <w:rPr>
          <w:rFonts w:ascii="Arial" w:cs="Arial" w:eastAsia="Arial" w:hAnsi="Arial"/>
          <w:sz w:val="20"/>
          <w:szCs w:val="20"/>
          <w:i w:val="1"/>
          <w:iCs w:val="1"/>
          <w:color w:val="191919"/>
        </w:rPr>
        <w:t>Appendix A.</w:t>
      </w:r>
    </w:p>
    <w:p>
      <w:pPr>
        <w:spacing w:after="0" w:line="255" w:lineRule="exact"/>
        <w:rPr>
          <w:sz w:val="20"/>
          <w:szCs w:val="20"/>
          <w:color w:val="auto"/>
        </w:rPr>
      </w:pPr>
    </w:p>
    <w:p>
      <w:pPr>
        <w:sectPr>
          <w:pgSz w:w="11900" w:h="16838" w:orient="portrait"/>
          <w:cols w:equalWidth="0" w:num="2">
            <w:col w:w="5080" w:space="500"/>
            <w:col w:w="5140"/>
          </w:cols>
          <w:pgMar w:left="580" w:top="132" w:right="599" w:bottom="1440" w:gutter="0" w:footer="0" w:header="0"/>
          <w:type w:val="continuous"/>
        </w:sectPr>
      </w:pPr>
    </w:p>
    <w:p>
      <w:pPr>
        <w:spacing w:after="0" w:line="195" w:lineRule="exact"/>
        <w:rPr>
          <w:sz w:val="20"/>
          <w:szCs w:val="20"/>
          <w:color w:val="auto"/>
        </w:rPr>
      </w:pPr>
    </w:p>
    <w:p>
      <w:pPr>
        <w:ind w:left="660"/>
        <w:spacing w:after="0" w:line="254" w:lineRule="auto"/>
        <w:rPr>
          <w:sz w:val="20"/>
          <w:szCs w:val="20"/>
          <w:color w:val="auto"/>
        </w:rPr>
      </w:pPr>
      <w:r>
        <w:rPr>
          <w:rFonts w:ascii="Arial" w:cs="Arial" w:eastAsia="Arial" w:hAnsi="Arial"/>
          <w:sz w:val="20"/>
          <w:szCs w:val="20"/>
          <w:color w:val="191919"/>
        </w:rPr>
        <w:t>If stockholders approve this Proposal 6, the Charter will be amended to eliminate this supermajority voting requirement, and the voting requirement in the future would be the affirmative vote of the holders of at least a majority of the shares of all classes of our stock entitled to vote for the election of directors, considered for this purpose as one class of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3"/>
          <w:szCs w:val="23"/>
          <w:b w:val="1"/>
          <w:bCs w:val="1"/>
          <w:i w:val="1"/>
          <w:iCs w:val="1"/>
          <w:color w:val="auto"/>
        </w:rPr>
        <w:t>Vote Required to Approve Proposal 6</w:t>
      </w:r>
    </w:p>
    <w:p>
      <w:pPr>
        <w:spacing w:after="0" w:line="161" w:lineRule="exact"/>
        <w:rPr>
          <w:sz w:val="20"/>
          <w:szCs w:val="20"/>
          <w:color w:val="auto"/>
        </w:rPr>
      </w:pPr>
    </w:p>
    <w:p>
      <w:pPr>
        <w:ind w:right="700"/>
        <w:spacing w:after="0" w:line="256" w:lineRule="auto"/>
        <w:rPr>
          <w:sz w:val="20"/>
          <w:szCs w:val="20"/>
          <w:color w:val="auto"/>
        </w:rPr>
      </w:pPr>
      <w:r>
        <w:rPr>
          <w:rFonts w:ascii="Arial" w:cs="Arial" w:eastAsia="Arial" w:hAnsi="Arial"/>
          <w:sz w:val="20"/>
          <w:szCs w:val="20"/>
          <w:color w:val="191919"/>
        </w:rPr>
        <w:t>Approval of this amendment at the Annual Meeting requires the affirmative vote of the holders of at least 80% of the shares of our outstanding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-2553970</wp:posOffset>
            </wp:positionH>
            <wp:positionV relativeFrom="paragraph">
              <wp:posOffset>622300</wp:posOffset>
            </wp:positionV>
            <wp:extent cx="4834890" cy="65151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4834890" cy="651510"/>
                    </a:xfrm>
                    <a:prstGeom prst="rect">
                      <a:avLst/>
                    </a:prstGeom>
                    <a:noFill/>
                  </pic:spPr>
                </pic:pic>
              </a:graphicData>
            </a:graphic>
          </wp:anchor>
        </w:drawing>
      </w:r>
    </w:p>
    <w:p>
      <w:pPr>
        <w:spacing w:after="0" w:line="936" w:lineRule="exact"/>
        <w:rPr>
          <w:sz w:val="20"/>
          <w:szCs w:val="20"/>
          <w:color w:val="auto"/>
        </w:rPr>
      </w:pPr>
    </w:p>
    <w:p>
      <w:pPr>
        <w:sectPr>
          <w:pgSz w:w="11900" w:h="16838" w:orient="portrait"/>
          <w:cols w:equalWidth="0" w:num="2">
            <w:col w:w="5140" w:space="440"/>
            <w:col w:w="5140"/>
          </w:cols>
          <w:pgMar w:left="580" w:top="132" w:right="599" w:bottom="1440" w:gutter="0" w:footer="0" w:header="0"/>
          <w:type w:val="continuous"/>
        </w:sect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0076A8"/>
        </w:rPr>
        <w:t>THE BOARD OF DIRECTORS UNANIMOUSLY RECOMMENDS A VOTE</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0076A8"/>
        </w:rPr>
        <w:t>“FOR” THIS PROPOSAL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3080385</wp:posOffset>
            </wp:positionH>
            <wp:positionV relativeFrom="paragraph">
              <wp:posOffset>3426460</wp:posOffset>
            </wp:positionV>
            <wp:extent cx="779780" cy="25717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7978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860" w:type="dxa"/>
            <w:vAlign w:val="bottom"/>
          </w:tcPr>
          <w:p>
            <w:pPr>
              <w:ind w:left="660"/>
              <w:spacing w:after="0"/>
              <w:rPr>
                <w:sz w:val="20"/>
                <w:szCs w:val="20"/>
                <w:color w:val="auto"/>
              </w:rPr>
            </w:pPr>
            <w:r>
              <w:rPr>
                <w:rFonts w:ascii="Arial" w:cs="Arial" w:eastAsia="Arial" w:hAnsi="Arial"/>
                <w:sz w:val="16"/>
                <w:szCs w:val="16"/>
                <w:color w:val="auto"/>
              </w:rPr>
              <w:t>Proxy Statement</w:t>
            </w:r>
          </w:p>
        </w:tc>
        <w:tc>
          <w:tcPr>
            <w:tcW w:w="4860" w:type="dxa"/>
            <w:vAlign w:val="bottom"/>
          </w:tcPr>
          <w:p>
            <w:pPr>
              <w:jc w:val="right"/>
              <w:ind w:right="579"/>
              <w:spacing w:after="0"/>
              <w:rPr>
                <w:sz w:val="20"/>
                <w:szCs w:val="20"/>
                <w:color w:val="auto"/>
              </w:rPr>
            </w:pPr>
            <w:r>
              <w:rPr>
                <w:rFonts w:ascii="Arial" w:cs="Arial" w:eastAsia="Arial" w:hAnsi="Arial"/>
                <w:sz w:val="16"/>
                <w:szCs w:val="16"/>
                <w:color w:val="auto"/>
              </w:rPr>
              <w:t>61</w:t>
            </w:r>
          </w:p>
        </w:tc>
      </w:tr>
      <w:tr>
        <w:trPr>
          <w:trHeight w:val="310"/>
        </w:trPr>
        <w:tc>
          <w:tcPr>
            <w:tcW w:w="5860" w:type="dxa"/>
            <w:vAlign w:val="bottom"/>
            <w:tcBorders>
              <w:bottom w:val="single" w:sz="8" w:color="9A9A9A"/>
            </w:tcBorders>
          </w:tcPr>
          <w:p>
            <w:pPr>
              <w:spacing w:after="0"/>
              <w:rPr>
                <w:sz w:val="24"/>
                <w:szCs w:val="24"/>
                <w:color w:val="auto"/>
              </w:rPr>
            </w:pPr>
          </w:p>
        </w:tc>
        <w:tc>
          <w:tcPr>
            <w:tcW w:w="4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type w:val="continuous"/>
        </w:sectPr>
      </w:pPr>
    </w:p>
    <w:bookmarkStart w:id="66" w:name="page67"/>
    <w:bookmarkEnd w:id="6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57150</wp:posOffset>
            </wp:positionV>
            <wp:extent cx="6480810" cy="41148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480810" cy="411480"/>
                    </a:xfrm>
                    <a:prstGeom prst="rect">
                      <a:avLst/>
                    </a:prstGeom>
                    <a:noFill/>
                  </pic:spPr>
                </pic:pic>
              </a:graphicData>
            </a:graphic>
          </wp:anchor>
        </w:drawing>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25"/>
          <w:szCs w:val="25"/>
          <w:b w:val="1"/>
          <w:bCs w:val="1"/>
          <w:color w:val="FFFFFF"/>
        </w:rPr>
        <w:t>PROPOSAL 7:</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60" w:right="1180"/>
        <w:spacing w:after="0" w:line="239" w:lineRule="auto"/>
        <w:rPr>
          <w:sz w:val="20"/>
          <w:szCs w:val="20"/>
          <w:color w:val="auto"/>
        </w:rPr>
      </w:pPr>
      <w:r>
        <w:rPr>
          <w:rFonts w:ascii="Arial" w:cs="Arial" w:eastAsia="Arial" w:hAnsi="Arial"/>
          <w:sz w:val="32"/>
          <w:szCs w:val="32"/>
          <w:b w:val="1"/>
          <w:bCs w:val="1"/>
          <w:color w:val="0076A8"/>
        </w:rPr>
        <w:t>APPROVAL OF AMENDMENT TO THE CHARTER TO ELIMINATE THE SUPERMAJORITY VOTE PROVISION RELATING TO STOCKHOLDER AMENDMENT OF THE CHARTER PROVISION GOVERNING ACTION BY STOCKHOLDERS</w:t>
      </w:r>
    </w:p>
    <w:p>
      <w:pPr>
        <w:sectPr>
          <w:pgSz w:w="11900" w:h="16838" w:orient="portrait"/>
          <w:cols w:equalWidth="0" w:num="1">
            <w:col w:w="10060"/>
          </w:cols>
          <w:pgMar w:left="580" w:top="132" w:right="1259" w:bottom="1440" w:gutter="0" w:footer="0" w:header="0"/>
        </w:sectPr>
      </w:pPr>
    </w:p>
    <w:p>
      <w:pPr>
        <w:spacing w:after="0" w:line="239" w:lineRule="exact"/>
        <w:rPr>
          <w:sz w:val="20"/>
          <w:szCs w:val="20"/>
          <w:color w:val="auto"/>
        </w:rPr>
      </w:pPr>
    </w:p>
    <w:p>
      <w:pPr>
        <w:ind w:left="660" w:right="60"/>
        <w:spacing w:after="0" w:line="254" w:lineRule="auto"/>
        <w:rPr>
          <w:sz w:val="20"/>
          <w:szCs w:val="20"/>
          <w:color w:val="auto"/>
        </w:rPr>
      </w:pPr>
      <w:r>
        <w:rPr>
          <w:rFonts w:ascii="Arial" w:cs="Arial" w:eastAsia="Arial" w:hAnsi="Arial"/>
          <w:sz w:val="20"/>
          <w:szCs w:val="20"/>
          <w:color w:val="191919"/>
        </w:rPr>
        <w:t>The Charter currently requires the affirmative vote of holders of at least 80% of the shares of all classes of our stock entitled to vote for the election of directors, considered for this purpose as one class of stock, to amend the Charter provision requiring that an action taken by stockholders be effected at an annual or special meeting, and not by written consent.</w:t>
      </w:r>
    </w:p>
    <w:p>
      <w:pPr>
        <w:spacing w:after="0" w:line="213" w:lineRule="exact"/>
        <w:rPr>
          <w:sz w:val="20"/>
          <w:szCs w:val="20"/>
          <w:color w:val="auto"/>
        </w:rPr>
      </w:pPr>
    </w:p>
    <w:p>
      <w:pPr>
        <w:ind w:left="660"/>
        <w:spacing w:after="0" w:line="254" w:lineRule="auto"/>
        <w:rPr>
          <w:sz w:val="20"/>
          <w:szCs w:val="20"/>
          <w:color w:val="auto"/>
        </w:rPr>
      </w:pPr>
      <w:r>
        <w:rPr>
          <w:rFonts w:ascii="Arial" w:cs="Arial" w:eastAsia="Arial" w:hAnsi="Arial"/>
          <w:sz w:val="20"/>
          <w:szCs w:val="20"/>
          <w:color w:val="191919"/>
        </w:rPr>
        <w:t>If stockholders approve this Proposal 7, the Charter will be amended to eliminate this supermajority voting requirement, and the voting requirement in the future would be the affirmative vote of the holders of at least a majority of the shares of all classes of our stock entitled to vote for the election of directors, considered for this purpose as one class of stock.</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ind w:right="80"/>
        <w:spacing w:after="0" w:line="255" w:lineRule="auto"/>
        <w:rPr>
          <w:sz w:val="20"/>
          <w:szCs w:val="20"/>
          <w:color w:val="auto"/>
        </w:rPr>
      </w:pPr>
      <w:r>
        <w:rPr>
          <w:rFonts w:ascii="Arial" w:cs="Arial" w:eastAsia="Arial" w:hAnsi="Arial"/>
          <w:sz w:val="20"/>
          <w:szCs w:val="20"/>
          <w:color w:val="191919"/>
        </w:rPr>
        <w:t xml:space="preserve">The amendment to the Charter that would be effected by approval of this Proposal 7 is shown in the text referring to Article THIRTEENTH within Article TENTH, Paragraph 1(B), subpart (i), of the Charter provisions attached to this Proxy Statement as </w:t>
      </w:r>
      <w:r>
        <w:rPr>
          <w:rFonts w:ascii="Arial" w:cs="Arial" w:eastAsia="Arial" w:hAnsi="Arial"/>
          <w:sz w:val="20"/>
          <w:szCs w:val="20"/>
          <w:i w:val="1"/>
          <w:iCs w:val="1"/>
          <w:color w:val="191919"/>
        </w:rPr>
        <w:t>Appendix A.</w:t>
      </w:r>
    </w:p>
    <w:p>
      <w:pPr>
        <w:spacing w:after="0" w:line="255" w:lineRule="exact"/>
        <w:rPr>
          <w:sz w:val="20"/>
          <w:szCs w:val="20"/>
          <w:color w:val="auto"/>
        </w:rPr>
      </w:pPr>
    </w:p>
    <w:p>
      <w:pPr>
        <w:spacing w:after="0"/>
        <w:rPr>
          <w:sz w:val="20"/>
          <w:szCs w:val="20"/>
          <w:color w:val="auto"/>
        </w:rPr>
      </w:pPr>
      <w:r>
        <w:rPr>
          <w:rFonts w:ascii="Arial" w:cs="Arial" w:eastAsia="Arial" w:hAnsi="Arial"/>
          <w:sz w:val="23"/>
          <w:szCs w:val="23"/>
          <w:b w:val="1"/>
          <w:bCs w:val="1"/>
          <w:i w:val="1"/>
          <w:iCs w:val="1"/>
          <w:color w:val="auto"/>
        </w:rPr>
        <w:t>Vote Required to Approve Proposal 7</w:t>
      </w:r>
    </w:p>
    <w:p>
      <w:pPr>
        <w:spacing w:after="0" w:line="161" w:lineRule="exact"/>
        <w:rPr>
          <w:sz w:val="20"/>
          <w:szCs w:val="20"/>
          <w:color w:val="auto"/>
        </w:rPr>
      </w:pPr>
    </w:p>
    <w:p>
      <w:pPr>
        <w:ind w:right="40"/>
        <w:spacing w:after="0" w:line="256" w:lineRule="auto"/>
        <w:rPr>
          <w:sz w:val="20"/>
          <w:szCs w:val="20"/>
          <w:color w:val="auto"/>
        </w:rPr>
      </w:pPr>
      <w:r>
        <w:rPr>
          <w:rFonts w:ascii="Arial" w:cs="Arial" w:eastAsia="Arial" w:hAnsi="Arial"/>
          <w:sz w:val="20"/>
          <w:szCs w:val="20"/>
          <w:color w:val="191919"/>
        </w:rPr>
        <w:t>Approval of this amendment at the Annual Meeting requires the affirmative vote of the holders of at least 80% of the shares of our outstanding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-2553970</wp:posOffset>
            </wp:positionH>
            <wp:positionV relativeFrom="paragraph">
              <wp:posOffset>776605</wp:posOffset>
            </wp:positionV>
            <wp:extent cx="4834890" cy="65151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4834890" cy="651510"/>
                    </a:xfrm>
                    <a:prstGeom prst="rect">
                      <a:avLst/>
                    </a:prstGeom>
                    <a:noFill/>
                  </pic:spPr>
                </pic:pic>
              </a:graphicData>
            </a:graphic>
          </wp:anchor>
        </w:drawing>
      </w:r>
    </w:p>
    <w:p>
      <w:pPr>
        <w:spacing w:after="0" w:line="1179" w:lineRule="exact"/>
        <w:rPr>
          <w:sz w:val="20"/>
          <w:szCs w:val="20"/>
          <w:color w:val="auto"/>
        </w:rPr>
      </w:pPr>
    </w:p>
    <w:p>
      <w:pPr>
        <w:sectPr>
          <w:pgSz w:w="11900" w:h="16838" w:orient="portrait"/>
          <w:cols w:equalWidth="0" w:num="2">
            <w:col w:w="5140" w:space="440"/>
            <w:col w:w="4480"/>
          </w:cols>
          <w:pgMar w:left="580" w:top="132" w:right="1259" w:bottom="1440" w:gutter="0" w:footer="0" w:header="0"/>
          <w:type w:val="continuous"/>
        </w:sectPr>
      </w:pPr>
    </w:p>
    <w:p>
      <w:pPr>
        <w:spacing w:after="0" w:line="322" w:lineRule="exact"/>
        <w:rPr>
          <w:sz w:val="20"/>
          <w:szCs w:val="20"/>
          <w:color w:val="auto"/>
        </w:rPr>
      </w:pPr>
    </w:p>
    <w:p>
      <w:pPr>
        <w:jc w:val="center"/>
        <w:ind w:right="-1199"/>
        <w:spacing w:after="0"/>
        <w:rPr>
          <w:sz w:val="20"/>
          <w:szCs w:val="20"/>
          <w:color w:val="auto"/>
        </w:rPr>
      </w:pPr>
      <w:r>
        <w:rPr>
          <w:rFonts w:ascii="Arial" w:cs="Arial" w:eastAsia="Arial" w:hAnsi="Arial"/>
          <w:sz w:val="18"/>
          <w:szCs w:val="18"/>
          <w:i w:val="1"/>
          <w:iCs w:val="1"/>
          <w:color w:val="0076A8"/>
        </w:rPr>
        <w:t>THE BOARD OF DIRECTORS UNANIMOUSLY RECOMMENDS A VOTE</w:t>
      </w:r>
    </w:p>
    <w:p>
      <w:pPr>
        <w:spacing w:after="0" w:line="28" w:lineRule="exact"/>
        <w:rPr>
          <w:sz w:val="20"/>
          <w:szCs w:val="20"/>
          <w:color w:val="auto"/>
        </w:rPr>
      </w:pPr>
    </w:p>
    <w:p>
      <w:pPr>
        <w:jc w:val="center"/>
        <w:ind w:right="-1199"/>
        <w:spacing w:after="0"/>
        <w:rPr>
          <w:sz w:val="20"/>
          <w:szCs w:val="20"/>
          <w:color w:val="auto"/>
        </w:rPr>
      </w:pPr>
      <w:r>
        <w:rPr>
          <w:rFonts w:ascii="Arial" w:cs="Arial" w:eastAsia="Arial" w:hAnsi="Arial"/>
          <w:sz w:val="18"/>
          <w:szCs w:val="18"/>
          <w:i w:val="1"/>
          <w:iCs w:val="1"/>
          <w:color w:val="0076A8"/>
        </w:rPr>
        <w:t>“FOR” THIS PROPOSAL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60"/>
        <w:spacing w:after="0"/>
        <w:tabs>
          <w:tab w:leader="none" w:pos="4817" w:val="left"/>
        </w:tabs>
        <w:rPr>
          <w:sz w:val="20"/>
          <w:szCs w:val="20"/>
          <w:color w:val="auto"/>
        </w:rPr>
      </w:pPr>
      <w:r>
        <w:rPr>
          <w:rFonts w:ascii="Arial" w:cs="Arial" w:eastAsia="Arial" w:hAnsi="Arial"/>
          <w:sz w:val="16"/>
          <w:szCs w:val="16"/>
          <w:color w:val="auto"/>
        </w:rPr>
        <w:t>62</w:t>
      </w:r>
      <w:r>
        <w:rPr>
          <w:sz w:val="20"/>
          <w:szCs w:val="20"/>
          <w:color w:val="auto"/>
        </w:rPr>
        <w:tab/>
      </w:r>
      <w:r>
        <w:rPr>
          <w:sz w:val="1"/>
          <w:szCs w:val="1"/>
          <w:color w:val="auto"/>
        </w:rPr>
        <w:drawing>
          <wp:inline distT="0" distB="0" distL="0" distR="0">
            <wp:extent cx="779780" cy="257175"/>
            <wp:effectExtent l="0" t="0" r="0" b="0"/>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132" w:right="1259" w:bottom="1440" w:gutter="0" w:footer="0" w:header="0"/>
          <w:type w:val="continuous"/>
        </w:sectPr>
      </w:pPr>
    </w:p>
    <w:bookmarkStart w:id="67" w:name="page68"/>
    <w:bookmarkEnd w:id="6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57150</wp:posOffset>
            </wp:positionV>
            <wp:extent cx="6480810" cy="41148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480810" cy="411480"/>
                    </a:xfrm>
                    <a:prstGeom prst="rect">
                      <a:avLst/>
                    </a:prstGeom>
                    <a:noFill/>
                  </pic:spPr>
                </pic:pic>
              </a:graphicData>
            </a:graphic>
          </wp:anchor>
        </w:drawing>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25"/>
          <w:szCs w:val="25"/>
          <w:b w:val="1"/>
          <w:bCs w:val="1"/>
          <w:color w:val="FFFFFF"/>
        </w:rPr>
        <w:t>PROPOSAL 8:</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60" w:right="1000"/>
        <w:spacing w:after="0" w:line="268" w:lineRule="auto"/>
        <w:rPr>
          <w:sz w:val="20"/>
          <w:szCs w:val="20"/>
          <w:color w:val="auto"/>
        </w:rPr>
      </w:pPr>
      <w:r>
        <w:rPr>
          <w:rFonts w:ascii="Arial" w:cs="Arial" w:eastAsia="Arial" w:hAnsi="Arial"/>
          <w:sz w:val="32"/>
          <w:szCs w:val="32"/>
          <w:b w:val="1"/>
          <w:bCs w:val="1"/>
          <w:color w:val="0076A8"/>
        </w:rPr>
        <w:t>STOCKHOLDER PROPOSAL REGARDING STOCKHOLDER SPECIAL MEETING RIGHT</w:t>
      </w:r>
    </w:p>
    <w:p>
      <w:pPr>
        <w:sectPr>
          <w:pgSz w:w="11900" w:h="16838" w:orient="portrait"/>
          <w:cols w:equalWidth="0" w:num="1">
            <w:col w:w="10720"/>
          </w:cols>
          <w:pgMar w:left="580" w:top="132" w:right="599" w:bottom="1440" w:gutter="0" w:footer="0" w:header="0"/>
        </w:sectPr>
      </w:pPr>
    </w:p>
    <w:p>
      <w:pPr>
        <w:spacing w:after="0" w:line="196" w:lineRule="exact"/>
        <w:rPr>
          <w:sz w:val="20"/>
          <w:szCs w:val="20"/>
          <w:color w:val="auto"/>
        </w:rPr>
      </w:pPr>
    </w:p>
    <w:p>
      <w:pPr>
        <w:ind w:left="660"/>
        <w:spacing w:after="0" w:line="239" w:lineRule="auto"/>
        <w:rPr>
          <w:sz w:val="20"/>
          <w:szCs w:val="20"/>
          <w:color w:val="auto"/>
        </w:rPr>
      </w:pPr>
      <w:r>
        <w:rPr>
          <w:rFonts w:ascii="Arial" w:cs="Arial" w:eastAsia="Arial" w:hAnsi="Arial"/>
          <w:sz w:val="19"/>
          <w:szCs w:val="19"/>
          <w:color w:val="191919"/>
        </w:rPr>
        <w:t>In accordance with SEC rules, we have set forth below a stockholder proposal from Mr. John Chevedden, 2215 Nelson Avenue, No. 205, Redondo Beach, CA 90278. Mr. Chevedden has notified us that he is the beneficial owner of 50 shares of the Company’s common stock and that he intends to present the following proposal at the Annual Meeting. The stockholder proposal will be voted upon at the Annual Meeting if properly</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ind w:right="660"/>
        <w:spacing w:after="0"/>
        <w:rPr>
          <w:sz w:val="20"/>
          <w:szCs w:val="20"/>
          <w:color w:val="auto"/>
        </w:rPr>
      </w:pPr>
      <w:r>
        <w:rPr>
          <w:rFonts w:ascii="Arial" w:cs="Arial" w:eastAsia="Arial" w:hAnsi="Arial"/>
          <w:sz w:val="19"/>
          <w:szCs w:val="19"/>
          <w:color w:val="191919"/>
        </w:rPr>
        <w:t>presented. The Company assumes no responsibility for the content or accuracy of the text of the stockholder’s resolution or the statement and graphic the stockholder furnished to us in support thereof, which appear below exactly as submitted. The stockholder proposal includes some assertions the Company believes are incorrect.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-3128645</wp:posOffset>
            </wp:positionH>
            <wp:positionV relativeFrom="paragraph">
              <wp:posOffset>428625</wp:posOffset>
            </wp:positionV>
            <wp:extent cx="597471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974715" cy="8255"/>
                    </a:xfrm>
                    <a:prstGeom prst="rect">
                      <a:avLst/>
                    </a:prstGeom>
                    <a:noFill/>
                  </pic:spPr>
                </pic:pic>
              </a:graphicData>
            </a:graphic>
          </wp:anchor>
        </w:drawing>
      </w:r>
    </w:p>
    <w:p>
      <w:pPr>
        <w:spacing w:after="0" w:line="628" w:lineRule="exact"/>
        <w:rPr>
          <w:sz w:val="20"/>
          <w:szCs w:val="20"/>
          <w:color w:val="auto"/>
        </w:rPr>
      </w:pPr>
    </w:p>
    <w:p>
      <w:pPr>
        <w:sectPr>
          <w:pgSz w:w="11900" w:h="16838" w:orient="portrait"/>
          <w:cols w:equalWidth="0" w:num="2">
            <w:col w:w="5020" w:space="560"/>
            <w:col w:w="5140"/>
          </w:cols>
          <w:pgMar w:left="580" w:top="132" w:right="599" w:bottom="1440" w:gutter="0" w:footer="0" w:header="0"/>
          <w:type w:val="continuous"/>
        </w:sectPr>
      </w:pPr>
    </w:p>
    <w:p>
      <w:pPr>
        <w:spacing w:after="0" w:line="306" w:lineRule="exact"/>
        <w:rPr>
          <w:sz w:val="20"/>
          <w:szCs w:val="20"/>
          <w:color w:val="auto"/>
        </w:rPr>
      </w:pPr>
    </w:p>
    <w:p>
      <w:pPr>
        <w:jc w:val="center"/>
        <w:ind w:left="660"/>
        <w:spacing w:after="0"/>
        <w:rPr>
          <w:sz w:val="20"/>
          <w:szCs w:val="20"/>
          <w:color w:val="auto"/>
        </w:rPr>
      </w:pPr>
      <w:r>
        <w:rPr>
          <w:rFonts w:ascii="Arial" w:cs="Arial" w:eastAsia="Arial" w:hAnsi="Arial"/>
          <w:sz w:val="23"/>
          <w:szCs w:val="23"/>
          <w:b w:val="1"/>
          <w:bCs w:val="1"/>
          <w:color w:val="auto"/>
        </w:rPr>
        <w:t>Proposal 8 — Special Shareholder</w:t>
      </w:r>
    </w:p>
    <w:p>
      <w:pPr>
        <w:spacing w:after="0" w:line="34" w:lineRule="exact"/>
        <w:rPr>
          <w:sz w:val="20"/>
          <w:szCs w:val="20"/>
          <w:color w:val="auto"/>
        </w:rPr>
      </w:pPr>
    </w:p>
    <w:p>
      <w:pPr>
        <w:jc w:val="center"/>
        <w:ind w:left="660"/>
        <w:spacing w:after="0"/>
        <w:rPr>
          <w:sz w:val="20"/>
          <w:szCs w:val="20"/>
          <w:color w:val="auto"/>
        </w:rPr>
      </w:pPr>
      <w:r>
        <w:rPr>
          <w:rFonts w:ascii="Arial" w:cs="Arial" w:eastAsia="Arial" w:hAnsi="Arial"/>
          <w:sz w:val="23"/>
          <w:szCs w:val="23"/>
          <w:b w:val="1"/>
          <w:bCs w:val="1"/>
          <w:color w:val="auto"/>
        </w:rPr>
        <w:t>Meeting Improvement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859790</wp:posOffset>
            </wp:positionH>
            <wp:positionV relativeFrom="paragraph">
              <wp:posOffset>163830</wp:posOffset>
            </wp:positionV>
            <wp:extent cx="1962785" cy="38608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96278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60" w:right="200"/>
        <w:spacing w:after="0" w:line="242" w:lineRule="auto"/>
        <w:rPr>
          <w:sz w:val="20"/>
          <w:szCs w:val="20"/>
          <w:color w:val="auto"/>
        </w:rPr>
      </w:pPr>
      <w:r>
        <w:rPr>
          <w:rFonts w:ascii="Arial" w:cs="Arial" w:eastAsia="Arial" w:hAnsi="Arial"/>
          <w:sz w:val="19"/>
          <w:szCs w:val="19"/>
          <w:color w:val="191919"/>
        </w:rPr>
        <w:t>Shareholders ask our board to take the steps necessary to amend the appropriate company governing documents to give the owners of a combined 10% of our outstanding common stock the power to call a special shareholder meeting.</w:t>
      </w:r>
    </w:p>
    <w:p>
      <w:pPr>
        <w:spacing w:after="0" w:line="73" w:lineRule="exact"/>
        <w:rPr>
          <w:sz w:val="20"/>
          <w:szCs w:val="20"/>
          <w:color w:val="auto"/>
        </w:rPr>
      </w:pPr>
    </w:p>
    <w:p>
      <w:pPr>
        <w:ind w:left="660"/>
        <w:spacing w:after="0" w:line="229" w:lineRule="auto"/>
        <w:rPr>
          <w:sz w:val="20"/>
          <w:szCs w:val="20"/>
          <w:color w:val="auto"/>
        </w:rPr>
      </w:pPr>
      <w:r>
        <w:rPr>
          <w:rFonts w:ascii="Arial" w:cs="Arial" w:eastAsia="Arial" w:hAnsi="Arial"/>
          <w:sz w:val="20"/>
          <w:szCs w:val="20"/>
          <w:color w:val="191919"/>
        </w:rPr>
        <w:t>One of the main purposes of this proposal is to give shareholders the right to formally participate in calling for a special shareholder meeting regardless of their length of stock ownership to the fullest extent possible.</w:t>
      </w:r>
    </w:p>
    <w:p>
      <w:pPr>
        <w:spacing w:after="0" w:line="77" w:lineRule="exact"/>
        <w:rPr>
          <w:sz w:val="20"/>
          <w:szCs w:val="20"/>
          <w:color w:val="auto"/>
        </w:rPr>
      </w:pPr>
    </w:p>
    <w:p>
      <w:pPr>
        <w:jc w:val="both"/>
        <w:ind w:left="660"/>
        <w:spacing w:after="0" w:line="232" w:lineRule="auto"/>
        <w:rPr>
          <w:sz w:val="20"/>
          <w:szCs w:val="20"/>
          <w:color w:val="auto"/>
        </w:rPr>
      </w:pPr>
      <w:r>
        <w:rPr>
          <w:rFonts w:ascii="Arial" w:cs="Arial" w:eastAsia="Arial" w:hAnsi="Arial"/>
          <w:sz w:val="20"/>
          <w:szCs w:val="20"/>
          <w:color w:val="191919"/>
        </w:rPr>
        <w:t>It currently takes a theoretical 25% of shares to call a special shareholder meeting. And it keeps getting worse from here for shareholders.</w:t>
      </w:r>
    </w:p>
    <w:p>
      <w:pPr>
        <w:spacing w:after="0" w:line="62" w:lineRule="exact"/>
        <w:rPr>
          <w:sz w:val="20"/>
          <w:szCs w:val="20"/>
          <w:color w:val="auto"/>
        </w:rPr>
      </w:pPr>
    </w:p>
    <w:p>
      <w:pPr>
        <w:ind w:left="660" w:right="40"/>
        <w:spacing w:after="0" w:line="229" w:lineRule="auto"/>
        <w:rPr>
          <w:sz w:val="20"/>
          <w:szCs w:val="20"/>
          <w:color w:val="auto"/>
        </w:rPr>
      </w:pPr>
      <w:r>
        <w:rPr>
          <w:rFonts w:ascii="Arial" w:cs="Arial" w:eastAsia="Arial" w:hAnsi="Arial"/>
          <w:sz w:val="20"/>
          <w:szCs w:val="20"/>
          <w:color w:val="191919"/>
        </w:rPr>
        <w:t>This theoretical 25% of shares equal 34% of shares that vote at the annual meeting. It would be hopeless to think that they shares that do not have the time to vote at the annual meeting would have the time to take the special procedural steps to call for a special shareholder meeting.</w:t>
      </w:r>
    </w:p>
    <w:p>
      <w:pPr>
        <w:spacing w:after="0" w:line="74" w:lineRule="exact"/>
        <w:rPr>
          <w:sz w:val="20"/>
          <w:szCs w:val="20"/>
          <w:color w:val="auto"/>
        </w:rPr>
      </w:pPr>
    </w:p>
    <w:p>
      <w:pPr>
        <w:ind w:left="660" w:right="40"/>
        <w:spacing w:after="0" w:line="229" w:lineRule="auto"/>
        <w:rPr>
          <w:sz w:val="20"/>
          <w:szCs w:val="20"/>
          <w:color w:val="auto"/>
        </w:rPr>
      </w:pPr>
      <w:r>
        <w:rPr>
          <w:rFonts w:ascii="Arial" w:cs="Arial" w:eastAsia="Arial" w:hAnsi="Arial"/>
          <w:sz w:val="20"/>
          <w:szCs w:val="20"/>
          <w:color w:val="191919"/>
        </w:rPr>
        <w:t>Then all shares not owned for a full year are prohibited from participation in the call for a special shareholder meeting. Thus the 34% of shares could determine that they own 44% of shares that vote when all their shares are included regardless of length of stock ownership.</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ind w:right="660"/>
        <w:spacing w:after="0" w:line="242" w:lineRule="auto"/>
        <w:rPr>
          <w:sz w:val="20"/>
          <w:szCs w:val="20"/>
          <w:color w:val="auto"/>
        </w:rPr>
      </w:pPr>
      <w:r>
        <w:rPr>
          <w:rFonts w:ascii="Arial" w:cs="Arial" w:eastAsia="Arial" w:hAnsi="Arial"/>
          <w:sz w:val="19"/>
          <w:szCs w:val="19"/>
          <w:color w:val="191919"/>
        </w:rPr>
        <w:t xml:space="preserve">Then all share not held </w:t>
      </w:r>
      <w:r>
        <w:rPr>
          <w:rFonts w:ascii="Arial" w:cs="Arial" w:eastAsia="Arial" w:hAnsi="Arial"/>
          <w:sz w:val="19"/>
          <w:szCs w:val="19"/>
          <w:i w:val="1"/>
          <w:iCs w:val="1"/>
          <w:color w:val="191919"/>
        </w:rPr>
        <w:t>long</w:t>
      </w:r>
      <w:r>
        <w:rPr>
          <w:rFonts w:ascii="Arial" w:cs="Arial" w:eastAsia="Arial" w:hAnsi="Arial"/>
          <w:sz w:val="19"/>
          <w:szCs w:val="19"/>
          <w:color w:val="191919"/>
        </w:rPr>
        <w:t xml:space="preserve"> are prohibited from participation in the call for a special shareholder meeting. Thus the 44% of shares could determine that they own 50% of shares when their shares are include that are not held long. A theoretical 25% of shares to call a special shareholder meeting that can easily descend into a requirement of 50% of shares. A 50% requirement is nothing for Skyworks Solutions management to brag about.</w:t>
      </w:r>
    </w:p>
    <w:p>
      <w:pPr>
        <w:spacing w:after="0" w:line="62" w:lineRule="exact"/>
        <w:rPr>
          <w:sz w:val="20"/>
          <w:szCs w:val="20"/>
          <w:color w:val="auto"/>
        </w:rPr>
      </w:pPr>
    </w:p>
    <w:p>
      <w:pPr>
        <w:ind w:right="700"/>
        <w:spacing w:after="0" w:line="229" w:lineRule="auto"/>
        <w:rPr>
          <w:sz w:val="20"/>
          <w:szCs w:val="20"/>
          <w:color w:val="auto"/>
        </w:rPr>
      </w:pPr>
      <w:r>
        <w:rPr>
          <w:rFonts w:ascii="Arial" w:cs="Arial" w:eastAsia="Arial" w:hAnsi="Arial"/>
          <w:sz w:val="20"/>
          <w:szCs w:val="20"/>
          <w:color w:val="191919"/>
        </w:rPr>
        <w:t>It is also important to adopt this proposal to make up for our complete lack of a shareholder right to act by written consent. Many companies provide for a shareholder right to call a special shareholder meeting and a shareholder right to act by written consent.</w:t>
      </w:r>
    </w:p>
    <w:p>
      <w:pPr>
        <w:spacing w:after="0" w:line="74" w:lineRule="exact"/>
        <w:rPr>
          <w:sz w:val="20"/>
          <w:szCs w:val="20"/>
          <w:color w:val="auto"/>
        </w:rPr>
      </w:pPr>
    </w:p>
    <w:p>
      <w:pPr>
        <w:ind w:right="720"/>
        <w:spacing w:after="0" w:line="242" w:lineRule="auto"/>
        <w:rPr>
          <w:sz w:val="20"/>
          <w:szCs w:val="20"/>
          <w:color w:val="auto"/>
        </w:rPr>
      </w:pPr>
      <w:r>
        <w:rPr>
          <w:rFonts w:ascii="Arial" w:cs="Arial" w:eastAsia="Arial" w:hAnsi="Arial"/>
          <w:sz w:val="19"/>
          <w:szCs w:val="19"/>
          <w:color w:val="191919"/>
        </w:rPr>
        <w:t>Skyworks Solutions shareholders gave 44%-support to a shareholder right to act by written consent at the 2020 annual meeting. This 44%-suport was likely 51% support from the shares that have access to independent proxy voting advice.</w:t>
      </w:r>
    </w:p>
    <w:p>
      <w:pPr>
        <w:spacing w:after="0" w:line="73" w:lineRule="exact"/>
        <w:rPr>
          <w:sz w:val="20"/>
          <w:szCs w:val="20"/>
          <w:color w:val="auto"/>
        </w:rPr>
      </w:pPr>
    </w:p>
    <w:p>
      <w:pPr>
        <w:ind w:right="780"/>
        <w:spacing w:after="0" w:line="228" w:lineRule="auto"/>
        <w:rPr>
          <w:sz w:val="20"/>
          <w:szCs w:val="20"/>
          <w:color w:val="auto"/>
        </w:rPr>
      </w:pPr>
      <w:r>
        <w:rPr>
          <w:rFonts w:ascii="Arial" w:cs="Arial" w:eastAsia="Arial" w:hAnsi="Arial"/>
          <w:sz w:val="20"/>
          <w:szCs w:val="20"/>
          <w:color w:val="191919"/>
        </w:rPr>
        <w:t>This is a corporate governance improvement proposal like the 2021 shareholder proposal to eliminate our undemocratic 80% shareholder vote requirement from all shares outstanding (that descends into an outrageous 109% vote requirement from the shares that typically vote at our annual meeting) that won outstanding 96% support from Skyworks Solutions shareholders.</w:t>
      </w:r>
    </w:p>
    <w:p>
      <w:pPr>
        <w:spacing w:after="0" w:line="102" w:lineRule="exact"/>
        <w:rPr>
          <w:sz w:val="20"/>
          <w:szCs w:val="20"/>
          <w:color w:val="auto"/>
        </w:rPr>
      </w:pPr>
    </w:p>
    <w:p>
      <w:pPr>
        <w:jc w:val="center"/>
        <w:ind w:right="660"/>
        <w:spacing w:after="0"/>
        <w:rPr>
          <w:sz w:val="20"/>
          <w:szCs w:val="20"/>
          <w:color w:val="auto"/>
        </w:rPr>
      </w:pPr>
      <w:r>
        <w:rPr>
          <w:rFonts w:ascii="Arial" w:cs="Arial" w:eastAsia="Arial" w:hAnsi="Arial"/>
          <w:sz w:val="20"/>
          <w:szCs w:val="20"/>
          <w:color w:val="auto"/>
        </w:rPr>
        <w:t>Please vote yes:</w:t>
      </w:r>
    </w:p>
    <w:p>
      <w:pPr>
        <w:spacing w:after="0" w:line="87" w:lineRule="exact"/>
        <w:rPr>
          <w:sz w:val="20"/>
          <w:szCs w:val="20"/>
          <w:color w:val="auto"/>
        </w:rPr>
      </w:pPr>
    </w:p>
    <w:p>
      <w:pPr>
        <w:jc w:val="center"/>
        <w:ind w:right="660"/>
        <w:spacing w:after="0"/>
        <w:rPr>
          <w:sz w:val="20"/>
          <w:szCs w:val="20"/>
          <w:color w:val="auto"/>
        </w:rPr>
      </w:pPr>
      <w:r>
        <w:rPr>
          <w:rFonts w:ascii="Arial" w:cs="Arial" w:eastAsia="Arial" w:hAnsi="Arial"/>
          <w:sz w:val="23"/>
          <w:szCs w:val="23"/>
          <w:b w:val="1"/>
          <w:bCs w:val="1"/>
          <w:color w:val="auto"/>
        </w:rPr>
        <w:t>Special Shareholder Meeting</w:t>
      </w:r>
    </w:p>
    <w:p>
      <w:pPr>
        <w:spacing w:after="0" w:line="34" w:lineRule="exact"/>
        <w:rPr>
          <w:sz w:val="20"/>
          <w:szCs w:val="20"/>
          <w:color w:val="auto"/>
        </w:rPr>
      </w:pPr>
    </w:p>
    <w:p>
      <w:pPr>
        <w:jc w:val="center"/>
        <w:ind w:right="660"/>
        <w:spacing w:after="0"/>
        <w:rPr>
          <w:sz w:val="20"/>
          <w:szCs w:val="20"/>
          <w:color w:val="auto"/>
        </w:rPr>
      </w:pPr>
      <w:r>
        <w:rPr>
          <w:rFonts w:ascii="Arial" w:cs="Arial" w:eastAsia="Arial" w:hAnsi="Arial"/>
          <w:sz w:val="23"/>
          <w:szCs w:val="23"/>
          <w:b w:val="1"/>
          <w:bCs w:val="1"/>
          <w:color w:val="auto"/>
        </w:rPr>
        <w:t>Improvement — Proposal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-462280</wp:posOffset>
            </wp:positionH>
            <wp:positionV relativeFrom="paragraph">
              <wp:posOffset>360680</wp:posOffset>
            </wp:positionV>
            <wp:extent cx="779780" cy="25717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79780" cy="257175"/>
                    </a:xfrm>
                    <a:prstGeom prst="rect">
                      <a:avLst/>
                    </a:prstGeom>
                    <a:noFill/>
                  </pic:spPr>
                </pic:pic>
              </a:graphicData>
            </a:graphic>
          </wp:anchor>
        </w:drawing>
      </w:r>
    </w:p>
    <w:p>
      <w:pPr>
        <w:spacing w:after="0" w:line="272" w:lineRule="exact"/>
        <w:rPr>
          <w:sz w:val="20"/>
          <w:szCs w:val="20"/>
          <w:color w:val="auto"/>
        </w:rPr>
      </w:pPr>
    </w:p>
    <w:p>
      <w:pPr>
        <w:sectPr>
          <w:pgSz w:w="11900" w:h="16838" w:orient="portrait"/>
          <w:cols w:equalWidth="0" w:num="2">
            <w:col w:w="5140" w:space="440"/>
            <w:col w:w="5140"/>
          </w:cols>
          <w:pgMar w:left="580" w:top="132" w:right="599" w:bottom="1440" w:gutter="0" w:footer="0" w:header="0"/>
          <w:type w:val="continuous"/>
        </w:sect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860" w:type="dxa"/>
            <w:vAlign w:val="bottom"/>
          </w:tcPr>
          <w:p>
            <w:pPr>
              <w:ind w:left="660"/>
              <w:spacing w:after="0"/>
              <w:rPr>
                <w:sz w:val="20"/>
                <w:szCs w:val="20"/>
                <w:color w:val="auto"/>
              </w:rPr>
            </w:pPr>
            <w:r>
              <w:rPr>
                <w:rFonts w:ascii="Arial" w:cs="Arial" w:eastAsia="Arial" w:hAnsi="Arial"/>
                <w:sz w:val="16"/>
                <w:szCs w:val="16"/>
                <w:color w:val="auto"/>
              </w:rPr>
              <w:t>Proxy Statement</w:t>
            </w:r>
          </w:p>
        </w:tc>
        <w:tc>
          <w:tcPr>
            <w:tcW w:w="4860" w:type="dxa"/>
            <w:vAlign w:val="bottom"/>
          </w:tcPr>
          <w:p>
            <w:pPr>
              <w:jc w:val="right"/>
              <w:ind w:right="579"/>
              <w:spacing w:after="0"/>
              <w:rPr>
                <w:sz w:val="20"/>
                <w:szCs w:val="20"/>
                <w:color w:val="auto"/>
              </w:rPr>
            </w:pPr>
            <w:r>
              <w:rPr>
                <w:rFonts w:ascii="Arial" w:cs="Arial" w:eastAsia="Arial" w:hAnsi="Arial"/>
                <w:sz w:val="16"/>
                <w:szCs w:val="16"/>
                <w:color w:val="auto"/>
              </w:rPr>
              <w:t>63</w:t>
            </w:r>
          </w:p>
        </w:tc>
      </w:tr>
      <w:tr>
        <w:trPr>
          <w:trHeight w:val="297"/>
        </w:trPr>
        <w:tc>
          <w:tcPr>
            <w:tcW w:w="5860" w:type="dxa"/>
            <w:vAlign w:val="bottom"/>
            <w:tcBorders>
              <w:bottom w:val="single" w:sz="8" w:color="9A9A9A"/>
            </w:tcBorders>
          </w:tcPr>
          <w:p>
            <w:pPr>
              <w:spacing w:after="0"/>
              <w:rPr>
                <w:sz w:val="24"/>
                <w:szCs w:val="24"/>
                <w:color w:val="auto"/>
              </w:rPr>
            </w:pPr>
          </w:p>
        </w:tc>
        <w:tc>
          <w:tcPr>
            <w:tcW w:w="4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type w:val="continuous"/>
        </w:sectPr>
      </w:pPr>
    </w:p>
    <w:bookmarkStart w:id="68" w:name="page69"/>
    <w:bookmarkEnd w:id="6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Arial" w:cs="Arial" w:eastAsia="Arial" w:hAnsi="Arial"/>
          <w:sz w:val="28"/>
          <w:szCs w:val="28"/>
          <w:b w:val="1"/>
          <w:bCs w:val="1"/>
          <w:color w:val="auto"/>
        </w:rPr>
        <w:t>Statement of Opposition by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86995</wp:posOffset>
            </wp:positionV>
            <wp:extent cx="597471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974715" cy="8890"/>
                    </a:xfrm>
                    <a:prstGeom prst="rect">
                      <a:avLst/>
                    </a:prstGeom>
                    <a:noFill/>
                  </pic:spPr>
                </pic:pic>
              </a:graphicData>
            </a:graphic>
          </wp:anchor>
        </w:drawing>
      </w:r>
    </w:p>
    <w:p>
      <w:pPr>
        <w:sectPr>
          <w:pgSz w:w="11900" w:h="16838" w:orient="portrait"/>
          <w:cols w:equalWidth="0" w:num="1">
            <w:col w:w="10060"/>
          </w:cols>
          <w:pgMar w:left="580" w:top="132" w:right="1259" w:bottom="1440" w:gutter="0" w:footer="0" w:header="0"/>
        </w:sectPr>
      </w:pPr>
    </w:p>
    <w:p>
      <w:pPr>
        <w:spacing w:after="0" w:line="255" w:lineRule="exact"/>
        <w:rPr>
          <w:sz w:val="20"/>
          <w:szCs w:val="20"/>
          <w:color w:val="auto"/>
        </w:rPr>
      </w:pPr>
    </w:p>
    <w:p>
      <w:pPr>
        <w:ind w:left="660" w:right="60"/>
        <w:spacing w:after="0" w:line="269" w:lineRule="auto"/>
        <w:rPr>
          <w:sz w:val="20"/>
          <w:szCs w:val="20"/>
          <w:color w:val="auto"/>
        </w:rPr>
      </w:pPr>
      <w:r>
        <w:rPr>
          <w:rFonts w:ascii="Arial" w:cs="Arial" w:eastAsia="Arial" w:hAnsi="Arial"/>
          <w:sz w:val="19"/>
          <w:szCs w:val="19"/>
          <w:color w:val="191919"/>
        </w:rPr>
        <w:t>In 2018, the Board amended the Company’s By-laws to provide a stockholder special meeting right because it believes, as a matter of good corporate governance, that stockholders should be permitted to request special meetings in appropriate circumstances. The existing stockholder special meeting right, and its 25% required ownership threshold, was ratified by stockholders at the 2018 Annual Meeting of Stockholders.</w:t>
      </w:r>
    </w:p>
    <w:p>
      <w:pPr>
        <w:spacing w:after="0" w:line="199" w:lineRule="exact"/>
        <w:rPr>
          <w:sz w:val="20"/>
          <w:szCs w:val="20"/>
          <w:color w:val="auto"/>
        </w:rPr>
      </w:pPr>
    </w:p>
    <w:p>
      <w:pPr>
        <w:ind w:left="660" w:right="80"/>
        <w:spacing w:after="0" w:line="254" w:lineRule="auto"/>
        <w:rPr>
          <w:sz w:val="20"/>
          <w:szCs w:val="20"/>
          <w:color w:val="auto"/>
        </w:rPr>
      </w:pPr>
      <w:r>
        <w:rPr>
          <w:rFonts w:ascii="Arial" w:cs="Arial" w:eastAsia="Arial" w:hAnsi="Arial"/>
          <w:sz w:val="20"/>
          <w:szCs w:val="20"/>
          <w:color w:val="191919"/>
        </w:rPr>
        <w:t>The Board has carefully reviewed and considered the stockholder’s proposal and has concluded that reducing the special meeting ownership threshold to 10% would not be in the best interests of the Company’s stockholders. The Board recommends a vote AGAINST the proposal for the following reasons:</w:t>
      </w:r>
    </w:p>
    <w:p>
      <w:pPr>
        <w:spacing w:after="0" w:line="189" w:lineRule="exact"/>
        <w:rPr>
          <w:sz w:val="20"/>
          <w:szCs w:val="20"/>
          <w:color w:val="auto"/>
        </w:rPr>
      </w:pPr>
    </w:p>
    <w:p>
      <w:pPr>
        <w:ind w:left="660" w:right="120"/>
        <w:spacing w:after="0" w:line="261" w:lineRule="auto"/>
        <w:rPr>
          <w:sz w:val="20"/>
          <w:szCs w:val="20"/>
          <w:color w:val="auto"/>
        </w:rPr>
      </w:pPr>
      <w:r>
        <w:rPr>
          <w:rFonts w:ascii="Arial" w:cs="Arial" w:eastAsia="Arial" w:hAnsi="Arial"/>
          <w:sz w:val="20"/>
          <w:szCs w:val="20"/>
          <w:b w:val="1"/>
          <w:bCs w:val="1"/>
          <w:i w:val="1"/>
          <w:iCs w:val="1"/>
          <w:color w:val="0076A8"/>
        </w:rPr>
        <w:t>Our existing stockholder special meeting right strikes the appropriate balance between enhancing the rights of all stockholders and preventing the waste of corporate resources and associated disruptions</w:t>
      </w:r>
    </w:p>
    <w:p>
      <w:pPr>
        <w:spacing w:after="0" w:line="204" w:lineRule="exact"/>
        <w:rPr>
          <w:sz w:val="20"/>
          <w:szCs w:val="20"/>
          <w:color w:val="auto"/>
        </w:rPr>
      </w:pPr>
    </w:p>
    <w:p>
      <w:pPr>
        <w:ind w:left="660"/>
        <w:spacing w:after="0" w:line="267" w:lineRule="auto"/>
        <w:rPr>
          <w:sz w:val="20"/>
          <w:szCs w:val="20"/>
          <w:color w:val="auto"/>
        </w:rPr>
      </w:pPr>
      <w:r>
        <w:rPr>
          <w:rFonts w:ascii="Arial" w:cs="Arial" w:eastAsia="Arial" w:hAnsi="Arial"/>
          <w:sz w:val="19"/>
          <w:szCs w:val="19"/>
          <w:color w:val="191919"/>
        </w:rPr>
        <w:t>Organizing and preparing for a special meeting results in significant costs to the Company in legal, administrative, printing, distribution, and other fees. It also requires considerable attention from our senior executives, diverting their focus from performing their primary functions of overseeing and operating our business in the best interests of all stockholders. Consequently, the Board believes that special meetings should be called only to consider matters deemed by a significant portion of our stockholders to warrant immediate attention and that cannot be deferred for consideration until the next annual meeting. A low ownership threshold could allow small groups of stockholders to misuse the special meeting right to advance narrow or short-term interests that might not be shared by our broader stockholder base. A 10% ownership threshold could be met by a single current stockholder, while our existing 25% ownership threshold could be met by no fewer than four of our current stockholders acting together.</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ind w:right="60"/>
        <w:spacing w:after="0" w:line="282" w:lineRule="auto"/>
        <w:rPr>
          <w:sz w:val="20"/>
          <w:szCs w:val="20"/>
          <w:color w:val="auto"/>
        </w:rPr>
      </w:pPr>
      <w:r>
        <w:rPr>
          <w:rFonts w:ascii="Arial" w:cs="Arial" w:eastAsia="Arial" w:hAnsi="Arial"/>
          <w:sz w:val="19"/>
          <w:szCs w:val="19"/>
          <w:b w:val="1"/>
          <w:bCs w:val="1"/>
          <w:i w:val="1"/>
          <w:iCs w:val="1"/>
          <w:color w:val="0076A8"/>
        </w:rPr>
        <w:t>In line with our commitment to strong corporate governance practices, our existing stockholder special meeting right is consistent with public company best practices</w:t>
      </w:r>
    </w:p>
    <w:p>
      <w:pPr>
        <w:spacing w:after="0" w:line="185" w:lineRule="exact"/>
        <w:rPr>
          <w:sz w:val="20"/>
          <w:szCs w:val="20"/>
          <w:color w:val="auto"/>
        </w:rPr>
      </w:pPr>
    </w:p>
    <w:p>
      <w:pPr>
        <w:ind w:right="20"/>
        <w:spacing w:after="0" w:line="267" w:lineRule="auto"/>
        <w:rPr>
          <w:sz w:val="20"/>
          <w:szCs w:val="20"/>
          <w:color w:val="auto"/>
        </w:rPr>
      </w:pPr>
      <w:r>
        <w:rPr>
          <w:rFonts w:ascii="Arial" w:cs="Arial" w:eastAsia="Arial" w:hAnsi="Arial"/>
          <w:sz w:val="19"/>
          <w:szCs w:val="19"/>
          <w:color w:val="191919"/>
        </w:rPr>
        <w:t>The Board is committed to sound principles of corporate governance, as described throughout this Proxy Statement. Our corporate governance practices and policies, including our stockholder special meeting right, annual election of all directors, and regular board refreshment, promote accountability to protect the interests of our stockholders and are aligned with mainstream governance practices. Our existing 25% ownership threshold reflects prevailing public company trends. Among S&amp;P 500 companies, based on FactSet data as of February 2022, 33.3% do not allow stockholders to call special meetings at all and 36.9% maintain a stockholder special meeting right with a threshold of 25% or higher, while only 12.0% have adopted a threshold of 10% or lower. Furthermore, our Charter already requires, in line with applicable Nasdaq requirements and Delaware laws, that certain significant matters be presented for a stockholder vote, such as mergers, large acquisitions, and share issuances, providing additional protection for our stockholders. As described in Proposals 4 through 7 above, the Board is recommending that stockholders approve amendments to our Charter that would eliminate applicable supermajority voting provisions therein. Our robust corporate governance framework makes the proponent’s proposal unnecessary.</w:t>
      </w:r>
    </w:p>
    <w:p>
      <w:pPr>
        <w:spacing w:after="0" w:line="190" w:lineRule="exact"/>
        <w:rPr>
          <w:sz w:val="20"/>
          <w:szCs w:val="20"/>
          <w:color w:val="auto"/>
        </w:rPr>
      </w:pPr>
    </w:p>
    <w:p>
      <w:pPr>
        <w:jc w:val="both"/>
        <w:ind w:right="140"/>
        <w:spacing w:after="0" w:line="264" w:lineRule="auto"/>
        <w:rPr>
          <w:sz w:val="20"/>
          <w:szCs w:val="20"/>
          <w:color w:val="auto"/>
        </w:rPr>
      </w:pPr>
      <w:r>
        <w:rPr>
          <w:rFonts w:ascii="Arial" w:cs="Arial" w:eastAsia="Arial" w:hAnsi="Arial"/>
          <w:sz w:val="20"/>
          <w:szCs w:val="20"/>
          <w:b w:val="1"/>
          <w:bCs w:val="1"/>
          <w:i w:val="1"/>
          <w:iCs w:val="1"/>
          <w:color w:val="0076A8"/>
        </w:rPr>
        <w:t>Regular stockholder engagement remains an important source of feedback that informs our corporate decisions and is significantly more cost effective than a special meeting</w:t>
      </w:r>
    </w:p>
    <w:p>
      <w:pPr>
        <w:spacing w:after="0" w:line="200" w:lineRule="exact"/>
        <w:rPr>
          <w:sz w:val="20"/>
          <w:szCs w:val="20"/>
          <w:color w:val="auto"/>
        </w:rPr>
      </w:pPr>
    </w:p>
    <w:p>
      <w:pPr>
        <w:ind w:right="60"/>
        <w:spacing w:after="0" w:line="270" w:lineRule="auto"/>
        <w:rPr>
          <w:sz w:val="20"/>
          <w:szCs w:val="20"/>
          <w:color w:val="auto"/>
        </w:rPr>
      </w:pPr>
      <w:r>
        <w:rPr>
          <w:rFonts w:ascii="Arial" w:cs="Arial" w:eastAsia="Arial" w:hAnsi="Arial"/>
          <w:sz w:val="19"/>
          <w:szCs w:val="19"/>
          <w:color w:val="191919"/>
        </w:rPr>
        <w:t>As noted in this Proxy Statement, we meet with stockholders throughout the year to solicit their perspectives on corporate governance, among other topics. In addition to regular formal engagement with our institutional stockholders, we maintain open lines of communication by which all stockholders are permitted to communicate</w:t>
      </w:r>
    </w:p>
    <w:p>
      <w:pPr>
        <w:spacing w:after="0" w:line="200" w:lineRule="exact"/>
        <w:rPr>
          <w:sz w:val="20"/>
          <w:szCs w:val="20"/>
          <w:color w:val="auto"/>
        </w:rPr>
      </w:pPr>
    </w:p>
    <w:p>
      <w:pPr>
        <w:sectPr>
          <w:pgSz w:w="11900" w:h="16838" w:orient="portrait"/>
          <w:cols w:equalWidth="0" w:num="2">
            <w:col w:w="5140" w:space="440"/>
            <w:col w:w="4480"/>
          </w:cols>
          <w:pgMar w:left="580" w:top="132" w:right="1259" w:bottom="1440" w:gutter="0" w:footer="0" w:header="0"/>
          <w:type w:val="continuous"/>
        </w:sectPr>
      </w:pPr>
    </w:p>
    <w:p>
      <w:pPr>
        <w:spacing w:after="0" w:line="155" w:lineRule="exact"/>
        <w:rPr>
          <w:sz w:val="20"/>
          <w:szCs w:val="20"/>
          <w:color w:val="auto"/>
        </w:rPr>
      </w:pPr>
    </w:p>
    <w:p>
      <w:pPr>
        <w:ind w:left="660"/>
        <w:spacing w:after="0"/>
        <w:tabs>
          <w:tab w:leader="none" w:pos="4817" w:val="left"/>
        </w:tabs>
        <w:rPr>
          <w:sz w:val="20"/>
          <w:szCs w:val="20"/>
          <w:color w:val="auto"/>
        </w:rPr>
      </w:pPr>
      <w:r>
        <w:rPr>
          <w:rFonts w:ascii="Arial" w:cs="Arial" w:eastAsia="Arial" w:hAnsi="Arial"/>
          <w:sz w:val="16"/>
          <w:szCs w:val="16"/>
          <w:color w:val="auto"/>
        </w:rPr>
        <w:t>64</w:t>
      </w:r>
      <w:r>
        <w:rPr>
          <w:sz w:val="20"/>
          <w:szCs w:val="20"/>
          <w:color w:val="auto"/>
        </w:rPr>
        <w:tab/>
      </w:r>
      <w:r>
        <w:rPr>
          <w:sz w:val="1"/>
          <w:szCs w:val="1"/>
          <w:color w:val="auto"/>
        </w:rPr>
        <w:drawing>
          <wp:inline distT="0" distB="0" distL="0" distR="0">
            <wp:extent cx="779780" cy="257175"/>
            <wp:effectExtent l="0" t="0" r="0" b="0"/>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132" w:right="1259" w:bottom="1440" w:gutter="0" w:footer="0" w:header="0"/>
          <w:type w:val="continuous"/>
        </w:sectPr>
      </w:pPr>
    </w:p>
    <w:bookmarkStart w:id="69" w:name="page70"/>
    <w:bookmarkEnd w:id="6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91" w:lineRule="exact"/>
        <w:rPr>
          <w:sz w:val="20"/>
          <w:szCs w:val="20"/>
          <w:color w:val="auto"/>
        </w:rPr>
      </w:pPr>
    </w:p>
    <w:p>
      <w:pPr>
        <w:ind w:left="660"/>
        <w:spacing w:after="0" w:line="254" w:lineRule="auto"/>
        <w:rPr>
          <w:sz w:val="20"/>
          <w:szCs w:val="20"/>
          <w:color w:val="auto"/>
        </w:rPr>
      </w:pPr>
      <w:r>
        <w:rPr>
          <w:rFonts w:ascii="Arial" w:cs="Arial" w:eastAsia="Arial" w:hAnsi="Arial"/>
          <w:sz w:val="20"/>
          <w:szCs w:val="20"/>
          <w:color w:val="191919"/>
        </w:rPr>
        <w:t>directly with members of our Board. We value the views of our stockholders, and the input we receive is a cornerstone of our corporate governance practices, as demonstrated by the actions our Board has taken in response to discussions with stockholders, such as the implementation of majority voting for directors in uncontested elections, significant additions to our sustainability disclosures, and the executive compensation changes described in this Proxy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660"/>
        <w:spacing w:after="0" w:line="255" w:lineRule="auto"/>
        <w:rPr>
          <w:sz w:val="20"/>
          <w:szCs w:val="20"/>
          <w:color w:val="auto"/>
        </w:rPr>
      </w:pPr>
      <w:r>
        <w:rPr>
          <w:rFonts w:ascii="Arial" w:cs="Arial" w:eastAsia="Arial" w:hAnsi="Arial"/>
          <w:sz w:val="20"/>
          <w:szCs w:val="20"/>
          <w:color w:val="191919"/>
        </w:rPr>
        <w:t>Statement. Importantly, our institutional stockholders did not express concern regarding the existing 25% ownership threshold in our engagement meetings following the 2021 Annual Meeting.</w:t>
      </w:r>
    </w:p>
    <w:p>
      <w:pPr>
        <w:spacing w:after="0" w:line="209" w:lineRule="exact"/>
        <w:rPr>
          <w:sz w:val="20"/>
          <w:szCs w:val="20"/>
          <w:color w:val="auto"/>
        </w:rPr>
      </w:pPr>
    </w:p>
    <w:p>
      <w:pPr>
        <w:ind w:right="700"/>
        <w:spacing w:after="0" w:line="257" w:lineRule="auto"/>
        <w:rPr>
          <w:sz w:val="20"/>
          <w:szCs w:val="20"/>
          <w:color w:val="auto"/>
        </w:rPr>
      </w:pPr>
      <w:r>
        <w:rPr>
          <w:rFonts w:ascii="Arial" w:cs="Arial" w:eastAsia="Arial" w:hAnsi="Arial"/>
          <w:sz w:val="20"/>
          <w:szCs w:val="20"/>
          <w:color w:val="191919"/>
        </w:rPr>
        <w:t>For these reasons, the Board considers the proponent’s proposal not to be in the best interests of the Company’s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-2553970</wp:posOffset>
            </wp:positionH>
            <wp:positionV relativeFrom="paragraph">
              <wp:posOffset>321945</wp:posOffset>
            </wp:positionV>
            <wp:extent cx="4834890" cy="65151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4834890" cy="651510"/>
                    </a:xfrm>
                    <a:prstGeom prst="rect">
                      <a:avLst/>
                    </a:prstGeom>
                    <a:noFill/>
                  </pic:spPr>
                </pic:pic>
              </a:graphicData>
            </a:graphic>
          </wp:anchor>
        </w:drawing>
      </w:r>
    </w:p>
    <w:p>
      <w:pPr>
        <w:spacing w:after="0" w:line="464" w:lineRule="exact"/>
        <w:rPr>
          <w:sz w:val="20"/>
          <w:szCs w:val="20"/>
          <w:color w:val="auto"/>
        </w:rPr>
      </w:pPr>
    </w:p>
    <w:p>
      <w:pPr>
        <w:sectPr>
          <w:pgSz w:w="11900" w:h="16838" w:orient="portrait"/>
          <w:cols w:equalWidth="0" w:num="2">
            <w:col w:w="5140" w:space="440"/>
            <w:col w:w="5140"/>
          </w:cols>
          <w:pgMar w:left="580" w:top="132" w:right="599" w:bottom="1440" w:gutter="0" w:footer="0" w:header="0"/>
        </w:sect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0076A8"/>
        </w:rPr>
        <w:t>THE BOARD OF DIRECTORS UNANIMOUSLY RECOMMENDS A VOTE</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0076A8"/>
        </w:rPr>
        <w:t>“AGAINST” THE STOCKHOLDER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3080385</wp:posOffset>
            </wp:positionH>
            <wp:positionV relativeFrom="paragraph">
              <wp:posOffset>5192395</wp:posOffset>
            </wp:positionV>
            <wp:extent cx="779780" cy="25717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7978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860" w:type="dxa"/>
            <w:vAlign w:val="bottom"/>
          </w:tcPr>
          <w:p>
            <w:pPr>
              <w:ind w:left="660"/>
              <w:spacing w:after="0"/>
              <w:rPr>
                <w:sz w:val="20"/>
                <w:szCs w:val="20"/>
                <w:color w:val="auto"/>
              </w:rPr>
            </w:pPr>
            <w:r>
              <w:rPr>
                <w:rFonts w:ascii="Arial" w:cs="Arial" w:eastAsia="Arial" w:hAnsi="Arial"/>
                <w:sz w:val="16"/>
                <w:szCs w:val="16"/>
                <w:color w:val="auto"/>
              </w:rPr>
              <w:t>Proxy Statement</w:t>
            </w:r>
          </w:p>
        </w:tc>
        <w:tc>
          <w:tcPr>
            <w:tcW w:w="4860" w:type="dxa"/>
            <w:vAlign w:val="bottom"/>
          </w:tcPr>
          <w:p>
            <w:pPr>
              <w:jc w:val="right"/>
              <w:ind w:right="579"/>
              <w:spacing w:after="0"/>
              <w:rPr>
                <w:sz w:val="20"/>
                <w:szCs w:val="20"/>
                <w:color w:val="auto"/>
              </w:rPr>
            </w:pPr>
            <w:r>
              <w:rPr>
                <w:rFonts w:ascii="Arial" w:cs="Arial" w:eastAsia="Arial" w:hAnsi="Arial"/>
                <w:sz w:val="16"/>
                <w:szCs w:val="16"/>
                <w:color w:val="auto"/>
              </w:rPr>
              <w:t>65</w:t>
            </w:r>
          </w:p>
        </w:tc>
      </w:tr>
      <w:tr>
        <w:trPr>
          <w:trHeight w:val="297"/>
        </w:trPr>
        <w:tc>
          <w:tcPr>
            <w:tcW w:w="5860" w:type="dxa"/>
            <w:vAlign w:val="bottom"/>
            <w:tcBorders>
              <w:bottom w:val="single" w:sz="8" w:color="9A9A9A"/>
            </w:tcBorders>
          </w:tcPr>
          <w:p>
            <w:pPr>
              <w:spacing w:after="0"/>
              <w:rPr>
                <w:sz w:val="24"/>
                <w:szCs w:val="24"/>
                <w:color w:val="auto"/>
              </w:rPr>
            </w:pPr>
          </w:p>
        </w:tc>
        <w:tc>
          <w:tcPr>
            <w:tcW w:w="4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type w:val="continuous"/>
        </w:sectPr>
      </w:pPr>
    </w:p>
    <w:bookmarkStart w:id="70" w:name="page71"/>
    <w:bookmarkEnd w:id="7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353" w:lineRule="exact"/>
        <w:rPr>
          <w:sz w:val="20"/>
          <w:szCs w:val="20"/>
          <w:color w:val="auto"/>
        </w:rPr>
      </w:pPr>
    </w:p>
    <w:p>
      <w:pPr>
        <w:ind w:left="660" w:right="60"/>
        <w:spacing w:after="0" w:line="268" w:lineRule="auto"/>
        <w:rPr>
          <w:sz w:val="20"/>
          <w:szCs w:val="20"/>
          <w:color w:val="auto"/>
        </w:rPr>
      </w:pPr>
      <w:r>
        <w:rPr>
          <w:rFonts w:ascii="Arial" w:cs="Arial" w:eastAsia="Arial" w:hAnsi="Arial"/>
          <w:sz w:val="32"/>
          <w:szCs w:val="32"/>
          <w:b w:val="1"/>
          <w:bCs w:val="1"/>
          <w:color w:val="0076A8"/>
        </w:rPr>
        <w:t>SECURITY OWNERSHIP OF CERTAIN BENEFICIAL OWNERS AND MANAGEMENT</w:t>
      </w:r>
    </w:p>
    <w:p>
      <w:pPr>
        <w:spacing w:after="0" w:line="142" w:lineRule="exact"/>
        <w:rPr>
          <w:sz w:val="20"/>
          <w:szCs w:val="20"/>
          <w:color w:val="auto"/>
        </w:rPr>
      </w:pPr>
    </w:p>
    <w:p>
      <w:pPr>
        <w:ind w:left="660" w:right="140"/>
        <w:spacing w:after="0"/>
        <w:rPr>
          <w:sz w:val="20"/>
          <w:szCs w:val="20"/>
          <w:color w:val="auto"/>
        </w:rPr>
      </w:pPr>
      <w:r>
        <w:rPr>
          <w:rFonts w:ascii="Arial" w:cs="Arial" w:eastAsia="Arial" w:hAnsi="Arial"/>
          <w:sz w:val="20"/>
          <w:szCs w:val="20"/>
          <w:color w:val="191919"/>
        </w:rPr>
        <w:t>To the Company’s knowledge, the following table sets forth the beneficial ownership of the Company’s common stock as of March 1, 2022, by the following individuals or entities: (i) each person or entity who beneficially owns five percent (5%) or more of the outstanding shares of the Company’s common stock as of March 1, 2022; (ii) the Named Executive Officers (as defined above under “</w:t>
      </w:r>
      <w:r>
        <w:rPr>
          <w:rFonts w:ascii="Arial" w:cs="Arial" w:eastAsia="Arial" w:hAnsi="Arial"/>
          <w:sz w:val="20"/>
          <w:szCs w:val="20"/>
          <w:i w:val="1"/>
          <w:iCs w:val="1"/>
          <w:color w:val="191919"/>
        </w:rPr>
        <w:t>Information About Executive</w:t>
      </w:r>
      <w:r>
        <w:rPr>
          <w:rFonts w:ascii="Arial" w:cs="Arial" w:eastAsia="Arial" w:hAnsi="Arial"/>
          <w:sz w:val="20"/>
          <w:szCs w:val="20"/>
          <w:color w:val="191919"/>
        </w:rPr>
        <w:t xml:space="preserve"> </w:t>
      </w:r>
      <w:r>
        <w:rPr>
          <w:rFonts w:ascii="Arial" w:cs="Arial" w:eastAsia="Arial" w:hAnsi="Arial"/>
          <w:sz w:val="20"/>
          <w:szCs w:val="20"/>
          <w:i w:val="1"/>
          <w:iCs w:val="1"/>
          <w:color w:val="191919"/>
        </w:rPr>
        <w:t>and Director Compensation</w:t>
      </w:r>
      <w:r>
        <w:rPr>
          <w:rFonts w:ascii="Arial" w:cs="Arial" w:eastAsia="Arial" w:hAnsi="Arial"/>
          <w:sz w:val="20"/>
          <w:szCs w:val="20"/>
          <w:color w:val="191919"/>
        </w:rPr>
        <w:t>”); (iii) each director and nominee for director; and (iv) all current executive</w:t>
      </w:r>
      <w:r>
        <w:rPr>
          <w:rFonts w:ascii="Arial" w:cs="Arial" w:eastAsia="Arial" w:hAnsi="Arial"/>
          <w:sz w:val="20"/>
          <w:szCs w:val="20"/>
          <w:i w:val="1"/>
          <w:iCs w:val="1"/>
          <w:color w:val="191919"/>
        </w:rPr>
        <w:t xml:space="preserve"> </w:t>
      </w:r>
      <w:r>
        <w:rPr>
          <w:rFonts w:ascii="Arial" w:cs="Arial" w:eastAsia="Arial" w:hAnsi="Arial"/>
          <w:sz w:val="20"/>
          <w:szCs w:val="20"/>
          <w:color w:val="191919"/>
        </w:rPr>
        <w:t>officers and directors of the Company, as a group.</w:t>
      </w:r>
    </w:p>
    <w:p>
      <w:pPr>
        <w:spacing w:after="0" w:line="213" w:lineRule="exact"/>
        <w:rPr>
          <w:sz w:val="20"/>
          <w:szCs w:val="20"/>
          <w:color w:val="auto"/>
        </w:rPr>
      </w:pPr>
    </w:p>
    <w:p>
      <w:pPr>
        <w:ind w:left="660" w:right="100"/>
        <w:spacing w:after="0" w:line="241" w:lineRule="auto"/>
        <w:rPr>
          <w:sz w:val="20"/>
          <w:szCs w:val="20"/>
          <w:color w:val="auto"/>
        </w:rPr>
      </w:pPr>
      <w:r>
        <w:rPr>
          <w:rFonts w:ascii="Arial" w:cs="Arial" w:eastAsia="Arial" w:hAnsi="Arial"/>
          <w:sz w:val="20"/>
          <w:szCs w:val="20"/>
          <w:color w:val="191919"/>
        </w:rPr>
        <w:t>Beneficial ownership is determined in accordance with the rules of the SEC, is not necessarily indicative of beneficial ownership for any other purpose, and does not constitute an admission that the named stockholder is a direct or indirect beneficial owner of those shares. As of March 1, 2022, there were 161,980,339 shares of the Company’s common stock issued and outstanding.</w:t>
      </w:r>
    </w:p>
    <w:p>
      <w:pPr>
        <w:spacing w:after="0" w:line="210" w:lineRule="exact"/>
        <w:rPr>
          <w:sz w:val="20"/>
          <w:szCs w:val="20"/>
          <w:color w:val="auto"/>
        </w:rPr>
      </w:pPr>
    </w:p>
    <w:p>
      <w:pPr>
        <w:ind w:left="660" w:right="140"/>
        <w:spacing w:after="0" w:line="241" w:lineRule="auto"/>
        <w:rPr>
          <w:sz w:val="20"/>
          <w:szCs w:val="20"/>
          <w:color w:val="auto"/>
        </w:rPr>
      </w:pPr>
      <w:r>
        <w:rPr>
          <w:rFonts w:ascii="Arial" w:cs="Arial" w:eastAsia="Arial" w:hAnsi="Arial"/>
          <w:sz w:val="20"/>
          <w:szCs w:val="20"/>
          <w:color w:val="191919"/>
        </w:rPr>
        <w:t>In computing the number of shares of Company common stock beneficially owned by a person and the percentage ownership of that person, shares of Company common stock that are subject to stock options or other rights held by that person that are currently exercisable or that will become exercisable within sixty (60) days of March 1, 2022, are deemed outstanding. These shares are not, however, deemed outstanding for the purpose of computing the percentage ownership of any other person.</w:t>
      </w:r>
    </w:p>
    <w:p>
      <w:pPr>
        <w:spacing w:after="0" w:line="253" w:lineRule="exact"/>
        <w:rPr>
          <w:sz w:val="20"/>
          <w:szCs w:val="20"/>
          <w:color w:val="auto"/>
        </w:rPr>
      </w:pPr>
    </w:p>
    <w:tbl>
      <w:tblPr>
        <w:tblLayout w:type="fixed"/>
        <w:tblInd w:w="660" w:type="dxa"/>
        <w:tblCellMar>
          <w:top w:w="0" w:type="dxa"/>
          <w:left w:w="0" w:type="dxa"/>
          <w:bottom w:w="0" w:type="dxa"/>
          <w:right w:w="0" w:type="dxa"/>
        </w:tblCellMar>
      </w:tblPr>
      <w:tr>
        <w:trPr>
          <w:trHeight w:val="215"/>
        </w:trPr>
        <w:tc>
          <w:tcPr>
            <w:tcW w:w="5420" w:type="dxa"/>
            <w:vAlign w:val="bottom"/>
            <w:shd w:val="clear" w:color="auto" w:fill="0076A8"/>
          </w:tcPr>
          <w:p>
            <w:pPr>
              <w:spacing w:after="0"/>
              <w:rPr>
                <w:sz w:val="18"/>
                <w:szCs w:val="18"/>
                <w:color w:val="auto"/>
              </w:rPr>
            </w:pPr>
          </w:p>
        </w:tc>
        <w:tc>
          <w:tcPr>
            <w:tcW w:w="2480" w:type="dxa"/>
            <w:vAlign w:val="bottom"/>
            <w:shd w:val="clear" w:color="auto" w:fill="0076A8"/>
          </w:tcPr>
          <w:p>
            <w:pPr>
              <w:jc w:val="right"/>
              <w:ind w:right="198"/>
              <w:spacing w:after="0"/>
              <w:rPr>
                <w:sz w:val="20"/>
                <w:szCs w:val="20"/>
                <w:color w:val="auto"/>
              </w:rPr>
            </w:pPr>
            <w:r>
              <w:rPr>
                <w:rFonts w:ascii="Arial" w:cs="Arial" w:eastAsia="Arial" w:hAnsi="Arial"/>
                <w:sz w:val="18"/>
                <w:szCs w:val="18"/>
                <w:color w:val="FFFFFF"/>
              </w:rPr>
              <w:t>Number of Shares</w:t>
            </w:r>
          </w:p>
        </w:tc>
        <w:tc>
          <w:tcPr>
            <w:tcW w:w="1500" w:type="dxa"/>
            <w:vAlign w:val="bottom"/>
            <w:shd w:val="clear" w:color="auto" w:fill="0076A8"/>
          </w:tcPr>
          <w:p>
            <w:pPr>
              <w:spacing w:after="0"/>
              <w:rPr>
                <w:sz w:val="18"/>
                <w:szCs w:val="18"/>
                <w:color w:val="auto"/>
              </w:rPr>
            </w:pPr>
          </w:p>
        </w:tc>
      </w:tr>
      <w:tr>
        <w:trPr>
          <w:trHeight w:val="230"/>
        </w:trPr>
        <w:tc>
          <w:tcPr>
            <w:tcW w:w="5420" w:type="dxa"/>
            <w:vAlign w:val="bottom"/>
            <w:shd w:val="clear" w:color="auto" w:fill="0076A8"/>
          </w:tcPr>
          <w:p>
            <w:pPr>
              <w:ind w:left="40"/>
              <w:spacing w:after="0"/>
              <w:rPr>
                <w:sz w:val="20"/>
                <w:szCs w:val="20"/>
                <w:color w:val="auto"/>
              </w:rPr>
            </w:pPr>
            <w:r>
              <w:rPr>
                <w:rFonts w:ascii="Arial" w:cs="Arial" w:eastAsia="Arial" w:hAnsi="Arial"/>
                <w:sz w:val="18"/>
                <w:szCs w:val="18"/>
                <w:color w:val="FFFFFF"/>
              </w:rPr>
              <w:t>Names and Addresses of Beneficial Owners(1)</w:t>
            </w:r>
          </w:p>
        </w:tc>
        <w:tc>
          <w:tcPr>
            <w:tcW w:w="2480" w:type="dxa"/>
            <w:vAlign w:val="bottom"/>
            <w:shd w:val="clear" w:color="auto" w:fill="0076A8"/>
          </w:tcPr>
          <w:p>
            <w:pPr>
              <w:jc w:val="right"/>
              <w:ind w:right="38"/>
              <w:spacing w:after="0"/>
              <w:rPr>
                <w:sz w:val="20"/>
                <w:szCs w:val="20"/>
                <w:color w:val="auto"/>
              </w:rPr>
            </w:pPr>
            <w:r>
              <w:rPr>
                <w:rFonts w:ascii="Arial" w:cs="Arial" w:eastAsia="Arial" w:hAnsi="Arial"/>
                <w:sz w:val="18"/>
                <w:szCs w:val="18"/>
                <w:color w:val="FFFFFF"/>
              </w:rPr>
              <w:t>Beneficially Owned(2)</w:t>
            </w:r>
          </w:p>
        </w:tc>
        <w:tc>
          <w:tcPr>
            <w:tcW w:w="1500" w:type="dxa"/>
            <w:vAlign w:val="bottom"/>
            <w:shd w:val="clear" w:color="auto" w:fill="0076A8"/>
          </w:tcPr>
          <w:p>
            <w:pPr>
              <w:jc w:val="right"/>
              <w:spacing w:after="0"/>
              <w:rPr>
                <w:sz w:val="20"/>
                <w:szCs w:val="20"/>
                <w:color w:val="auto"/>
              </w:rPr>
            </w:pPr>
            <w:r>
              <w:rPr>
                <w:rFonts w:ascii="Arial" w:cs="Arial" w:eastAsia="Arial" w:hAnsi="Arial"/>
                <w:sz w:val="18"/>
                <w:szCs w:val="18"/>
                <w:color w:val="FFFFFF"/>
              </w:rPr>
              <w:t>Percent of Class</w:t>
            </w:r>
          </w:p>
        </w:tc>
      </w:tr>
      <w:tr>
        <w:trPr>
          <w:trHeight w:val="257"/>
        </w:trPr>
        <w:tc>
          <w:tcPr>
            <w:tcW w:w="5420" w:type="dxa"/>
            <w:vAlign w:val="bottom"/>
            <w:shd w:val="clear" w:color="auto" w:fill="E5E5E5"/>
          </w:tcPr>
          <w:p>
            <w:pPr>
              <w:ind w:left="40"/>
              <w:spacing w:after="0"/>
              <w:rPr>
                <w:sz w:val="20"/>
                <w:szCs w:val="20"/>
                <w:color w:val="auto"/>
              </w:rPr>
            </w:pPr>
            <w:r>
              <w:rPr>
                <w:rFonts w:ascii="Arial" w:cs="Arial" w:eastAsia="Arial" w:hAnsi="Arial"/>
                <w:sz w:val="16"/>
                <w:szCs w:val="16"/>
                <w:color w:val="auto"/>
              </w:rPr>
              <w:t>The Vanguard Group, Inc.</w:t>
            </w:r>
          </w:p>
        </w:tc>
        <w:tc>
          <w:tcPr>
            <w:tcW w:w="2480" w:type="dxa"/>
            <w:vAlign w:val="bottom"/>
            <w:shd w:val="clear" w:color="auto" w:fill="E5E5E5"/>
          </w:tcPr>
          <w:p>
            <w:pPr>
              <w:jc w:val="right"/>
              <w:ind w:right="318"/>
              <w:spacing w:after="0"/>
              <w:rPr>
                <w:sz w:val="20"/>
                <w:szCs w:val="20"/>
                <w:color w:val="auto"/>
              </w:rPr>
            </w:pPr>
            <w:r>
              <w:rPr>
                <w:rFonts w:ascii="Arial" w:cs="Arial" w:eastAsia="Arial" w:hAnsi="Arial"/>
                <w:sz w:val="16"/>
                <w:szCs w:val="16"/>
                <w:color w:val="auto"/>
              </w:rPr>
              <w:t>17,932,949</w:t>
            </w:r>
            <w:r>
              <w:rPr>
                <w:rFonts w:ascii="Arial" w:cs="Arial" w:eastAsia="Arial" w:hAnsi="Arial"/>
                <w:sz w:val="16"/>
                <w:szCs w:val="16"/>
                <w:color w:val="0076A8"/>
              </w:rPr>
              <w:t>(3)</w:t>
            </w:r>
          </w:p>
        </w:tc>
        <w:tc>
          <w:tcPr>
            <w:tcW w:w="1500" w:type="dxa"/>
            <w:vAlign w:val="bottom"/>
            <w:shd w:val="clear" w:color="auto" w:fill="E5E5E5"/>
          </w:tcPr>
          <w:p>
            <w:pPr>
              <w:jc w:val="right"/>
              <w:ind w:right="279"/>
              <w:spacing w:after="0"/>
              <w:rPr>
                <w:sz w:val="20"/>
                <w:szCs w:val="20"/>
                <w:color w:val="auto"/>
              </w:rPr>
            </w:pPr>
            <w:r>
              <w:rPr>
                <w:rFonts w:ascii="Arial" w:cs="Arial" w:eastAsia="Arial" w:hAnsi="Arial"/>
                <w:sz w:val="16"/>
                <w:szCs w:val="16"/>
                <w:color w:val="auto"/>
              </w:rPr>
              <w:t>11.07%</w:t>
            </w:r>
          </w:p>
        </w:tc>
      </w:tr>
      <w:tr>
        <w:trPr>
          <w:trHeight w:val="253"/>
        </w:trPr>
        <w:tc>
          <w:tcPr>
            <w:tcW w:w="5420" w:type="dxa"/>
            <w:vAlign w:val="bottom"/>
          </w:tcPr>
          <w:p>
            <w:pPr>
              <w:ind w:left="40"/>
              <w:spacing w:after="0"/>
              <w:rPr>
                <w:sz w:val="20"/>
                <w:szCs w:val="20"/>
                <w:color w:val="auto"/>
              </w:rPr>
            </w:pPr>
            <w:r>
              <w:rPr>
                <w:rFonts w:ascii="Arial" w:cs="Arial" w:eastAsia="Arial" w:hAnsi="Arial"/>
                <w:sz w:val="16"/>
                <w:szCs w:val="16"/>
                <w:color w:val="auto"/>
              </w:rPr>
              <w:t>BlackRock, Inc.</w:t>
            </w:r>
          </w:p>
        </w:tc>
        <w:tc>
          <w:tcPr>
            <w:tcW w:w="2480" w:type="dxa"/>
            <w:vAlign w:val="bottom"/>
          </w:tcPr>
          <w:p>
            <w:pPr>
              <w:jc w:val="right"/>
              <w:ind w:right="318"/>
              <w:spacing w:after="0"/>
              <w:rPr>
                <w:sz w:val="20"/>
                <w:szCs w:val="20"/>
                <w:color w:val="auto"/>
              </w:rPr>
            </w:pPr>
            <w:r>
              <w:rPr>
                <w:rFonts w:ascii="Arial" w:cs="Arial" w:eastAsia="Arial" w:hAnsi="Arial"/>
                <w:sz w:val="16"/>
                <w:szCs w:val="16"/>
                <w:color w:val="auto"/>
              </w:rPr>
              <w:t>14,307,628</w:t>
            </w:r>
            <w:r>
              <w:rPr>
                <w:rFonts w:ascii="Arial" w:cs="Arial" w:eastAsia="Arial" w:hAnsi="Arial"/>
                <w:sz w:val="16"/>
                <w:szCs w:val="16"/>
                <w:color w:val="0076A8"/>
              </w:rPr>
              <w:t>(4)</w:t>
            </w:r>
          </w:p>
        </w:tc>
        <w:tc>
          <w:tcPr>
            <w:tcW w:w="1500" w:type="dxa"/>
            <w:vAlign w:val="bottom"/>
          </w:tcPr>
          <w:p>
            <w:pPr>
              <w:jc w:val="right"/>
              <w:ind w:right="279"/>
              <w:spacing w:after="0"/>
              <w:rPr>
                <w:sz w:val="20"/>
                <w:szCs w:val="20"/>
                <w:color w:val="auto"/>
              </w:rPr>
            </w:pPr>
            <w:r>
              <w:rPr>
                <w:rFonts w:ascii="Arial" w:cs="Arial" w:eastAsia="Arial" w:hAnsi="Arial"/>
                <w:sz w:val="16"/>
                <w:szCs w:val="16"/>
                <w:color w:val="auto"/>
              </w:rPr>
              <w:t>8.83%</w:t>
            </w:r>
          </w:p>
        </w:tc>
      </w:tr>
      <w:tr>
        <w:trPr>
          <w:trHeight w:val="273"/>
        </w:trPr>
        <w:tc>
          <w:tcPr>
            <w:tcW w:w="5420" w:type="dxa"/>
            <w:vAlign w:val="bottom"/>
            <w:shd w:val="clear" w:color="auto" w:fill="E5E5E5"/>
          </w:tcPr>
          <w:p>
            <w:pPr>
              <w:ind w:left="40"/>
              <w:spacing w:after="0"/>
              <w:rPr>
                <w:sz w:val="20"/>
                <w:szCs w:val="20"/>
                <w:color w:val="auto"/>
              </w:rPr>
            </w:pPr>
            <w:r>
              <w:rPr>
                <w:rFonts w:ascii="Arial" w:cs="Arial" w:eastAsia="Arial" w:hAnsi="Arial"/>
                <w:sz w:val="16"/>
                <w:szCs w:val="16"/>
                <w:color w:val="auto"/>
              </w:rPr>
              <w:t>Alan S. Batey</w:t>
            </w:r>
          </w:p>
        </w:tc>
        <w:tc>
          <w:tcPr>
            <w:tcW w:w="2480" w:type="dxa"/>
            <w:vAlign w:val="bottom"/>
            <w:shd w:val="clear" w:color="auto" w:fill="E5E5E5"/>
          </w:tcPr>
          <w:p>
            <w:pPr>
              <w:jc w:val="right"/>
              <w:ind w:right="498"/>
              <w:spacing w:after="0"/>
              <w:rPr>
                <w:sz w:val="20"/>
                <w:szCs w:val="20"/>
                <w:color w:val="auto"/>
              </w:rPr>
            </w:pPr>
            <w:r>
              <w:rPr>
                <w:rFonts w:ascii="Arial" w:cs="Arial" w:eastAsia="Arial" w:hAnsi="Arial"/>
                <w:sz w:val="16"/>
                <w:szCs w:val="16"/>
                <w:color w:val="auto"/>
              </w:rPr>
              <w:t>3,821</w:t>
            </w:r>
          </w:p>
        </w:tc>
        <w:tc>
          <w:tcPr>
            <w:tcW w:w="1500" w:type="dxa"/>
            <w:vAlign w:val="bottom"/>
            <w:shd w:val="clear" w:color="auto" w:fill="E5E5E5"/>
          </w:tcPr>
          <w:p>
            <w:pPr>
              <w:jc w:val="right"/>
              <w:ind w:right="379"/>
              <w:spacing w:after="0"/>
              <w:rPr>
                <w:sz w:val="20"/>
                <w:szCs w:val="20"/>
                <w:color w:val="auto"/>
              </w:rPr>
            </w:pPr>
            <w:r>
              <w:rPr>
                <w:rFonts w:ascii="Arial" w:cs="Arial" w:eastAsia="Arial" w:hAnsi="Arial"/>
                <w:sz w:val="16"/>
                <w:szCs w:val="16"/>
                <w:color w:val="auto"/>
              </w:rPr>
              <w:t>(*)</w:t>
            </w:r>
          </w:p>
        </w:tc>
      </w:tr>
      <w:tr>
        <w:trPr>
          <w:trHeight w:val="267"/>
        </w:trPr>
        <w:tc>
          <w:tcPr>
            <w:tcW w:w="5420" w:type="dxa"/>
            <w:vAlign w:val="bottom"/>
          </w:tcPr>
          <w:p>
            <w:pPr>
              <w:ind w:left="40"/>
              <w:spacing w:after="0"/>
              <w:rPr>
                <w:sz w:val="20"/>
                <w:szCs w:val="20"/>
                <w:color w:val="auto"/>
              </w:rPr>
            </w:pPr>
            <w:r>
              <w:rPr>
                <w:rFonts w:ascii="Arial" w:cs="Arial" w:eastAsia="Arial" w:hAnsi="Arial"/>
                <w:sz w:val="16"/>
                <w:szCs w:val="16"/>
                <w:color w:val="auto"/>
              </w:rPr>
              <w:t>Kevin L. Beebe</w:t>
            </w:r>
          </w:p>
        </w:tc>
        <w:tc>
          <w:tcPr>
            <w:tcW w:w="2480" w:type="dxa"/>
            <w:vAlign w:val="bottom"/>
          </w:tcPr>
          <w:p>
            <w:pPr>
              <w:jc w:val="right"/>
              <w:ind w:right="498"/>
              <w:spacing w:after="0"/>
              <w:rPr>
                <w:sz w:val="20"/>
                <w:szCs w:val="20"/>
                <w:color w:val="auto"/>
              </w:rPr>
            </w:pPr>
            <w:r>
              <w:rPr>
                <w:rFonts w:ascii="Arial" w:cs="Arial" w:eastAsia="Arial" w:hAnsi="Arial"/>
                <w:sz w:val="16"/>
                <w:szCs w:val="16"/>
                <w:color w:val="auto"/>
              </w:rPr>
              <w:t>56,870</w:t>
            </w:r>
          </w:p>
        </w:tc>
        <w:tc>
          <w:tcPr>
            <w:tcW w:w="1500" w:type="dxa"/>
            <w:vAlign w:val="bottom"/>
          </w:tcPr>
          <w:p>
            <w:pPr>
              <w:jc w:val="right"/>
              <w:ind w:right="379"/>
              <w:spacing w:after="0"/>
              <w:rPr>
                <w:sz w:val="20"/>
                <w:szCs w:val="20"/>
                <w:color w:val="auto"/>
              </w:rPr>
            </w:pPr>
            <w:r>
              <w:rPr>
                <w:rFonts w:ascii="Arial" w:cs="Arial" w:eastAsia="Arial" w:hAnsi="Arial"/>
                <w:sz w:val="16"/>
                <w:szCs w:val="16"/>
                <w:color w:val="auto"/>
              </w:rPr>
              <w:t>(*)</w:t>
            </w:r>
          </w:p>
        </w:tc>
      </w:tr>
      <w:tr>
        <w:trPr>
          <w:trHeight w:val="273"/>
        </w:trPr>
        <w:tc>
          <w:tcPr>
            <w:tcW w:w="5420" w:type="dxa"/>
            <w:vAlign w:val="bottom"/>
            <w:shd w:val="clear" w:color="auto" w:fill="E5E5E5"/>
          </w:tcPr>
          <w:p>
            <w:pPr>
              <w:ind w:left="40"/>
              <w:spacing w:after="0"/>
              <w:rPr>
                <w:sz w:val="20"/>
                <w:szCs w:val="20"/>
                <w:color w:val="auto"/>
              </w:rPr>
            </w:pPr>
            <w:r>
              <w:rPr>
                <w:rFonts w:ascii="Arial" w:cs="Arial" w:eastAsia="Arial" w:hAnsi="Arial"/>
                <w:sz w:val="16"/>
                <w:szCs w:val="16"/>
                <w:color w:val="auto"/>
              </w:rPr>
              <w:t>Carlos S. Bori</w:t>
            </w:r>
          </w:p>
        </w:tc>
        <w:tc>
          <w:tcPr>
            <w:tcW w:w="2480" w:type="dxa"/>
            <w:vAlign w:val="bottom"/>
            <w:shd w:val="clear" w:color="auto" w:fill="E5E5E5"/>
          </w:tcPr>
          <w:p>
            <w:pPr>
              <w:jc w:val="right"/>
              <w:ind w:right="318"/>
              <w:spacing w:after="0"/>
              <w:rPr>
                <w:sz w:val="20"/>
                <w:szCs w:val="20"/>
                <w:color w:val="auto"/>
              </w:rPr>
            </w:pPr>
            <w:r>
              <w:rPr>
                <w:rFonts w:ascii="Arial" w:cs="Arial" w:eastAsia="Arial" w:hAnsi="Arial"/>
                <w:sz w:val="16"/>
                <w:szCs w:val="16"/>
                <w:color w:val="auto"/>
              </w:rPr>
              <w:t>25,982</w:t>
            </w:r>
            <w:r>
              <w:rPr>
                <w:rFonts w:ascii="Arial" w:cs="Arial" w:eastAsia="Arial" w:hAnsi="Arial"/>
                <w:sz w:val="16"/>
                <w:szCs w:val="16"/>
                <w:color w:val="0076A8"/>
              </w:rPr>
              <w:t>(5)</w:t>
            </w:r>
          </w:p>
        </w:tc>
        <w:tc>
          <w:tcPr>
            <w:tcW w:w="1500" w:type="dxa"/>
            <w:vAlign w:val="bottom"/>
            <w:shd w:val="clear" w:color="auto" w:fill="E5E5E5"/>
          </w:tcPr>
          <w:p>
            <w:pPr>
              <w:jc w:val="right"/>
              <w:ind w:right="379"/>
              <w:spacing w:after="0"/>
              <w:rPr>
                <w:sz w:val="20"/>
                <w:szCs w:val="20"/>
                <w:color w:val="auto"/>
              </w:rPr>
            </w:pPr>
            <w:r>
              <w:rPr>
                <w:rFonts w:ascii="Arial" w:cs="Arial" w:eastAsia="Arial" w:hAnsi="Arial"/>
                <w:sz w:val="16"/>
                <w:szCs w:val="16"/>
                <w:color w:val="auto"/>
              </w:rPr>
              <w:t>(*)</w:t>
            </w:r>
          </w:p>
        </w:tc>
      </w:tr>
      <w:tr>
        <w:trPr>
          <w:trHeight w:val="267"/>
        </w:trPr>
        <w:tc>
          <w:tcPr>
            <w:tcW w:w="5420" w:type="dxa"/>
            <w:vAlign w:val="bottom"/>
          </w:tcPr>
          <w:p>
            <w:pPr>
              <w:ind w:left="40"/>
              <w:spacing w:after="0"/>
              <w:rPr>
                <w:sz w:val="20"/>
                <w:szCs w:val="20"/>
                <w:color w:val="auto"/>
              </w:rPr>
            </w:pPr>
            <w:r>
              <w:rPr>
                <w:rFonts w:ascii="Arial" w:cs="Arial" w:eastAsia="Arial" w:hAnsi="Arial"/>
                <w:sz w:val="16"/>
                <w:szCs w:val="16"/>
                <w:color w:val="auto"/>
              </w:rPr>
              <w:t>Karilee A. Durham</w:t>
            </w:r>
          </w:p>
        </w:tc>
        <w:tc>
          <w:tcPr>
            <w:tcW w:w="2480" w:type="dxa"/>
            <w:vAlign w:val="bottom"/>
          </w:tcPr>
          <w:p>
            <w:pPr>
              <w:jc w:val="right"/>
              <w:ind w:right="498"/>
              <w:spacing w:after="0"/>
              <w:rPr>
                <w:sz w:val="20"/>
                <w:szCs w:val="20"/>
                <w:color w:val="auto"/>
              </w:rPr>
            </w:pPr>
            <w:r>
              <w:rPr>
                <w:rFonts w:ascii="Arial" w:cs="Arial" w:eastAsia="Arial" w:hAnsi="Arial"/>
                <w:sz w:val="16"/>
                <w:szCs w:val="16"/>
                <w:color w:val="auto"/>
              </w:rPr>
              <w:t>18,191</w:t>
            </w:r>
          </w:p>
        </w:tc>
        <w:tc>
          <w:tcPr>
            <w:tcW w:w="1500" w:type="dxa"/>
            <w:vAlign w:val="bottom"/>
          </w:tcPr>
          <w:p>
            <w:pPr>
              <w:jc w:val="right"/>
              <w:ind w:right="379"/>
              <w:spacing w:after="0"/>
              <w:rPr>
                <w:sz w:val="20"/>
                <w:szCs w:val="20"/>
                <w:color w:val="auto"/>
              </w:rPr>
            </w:pPr>
            <w:r>
              <w:rPr>
                <w:rFonts w:ascii="Arial" w:cs="Arial" w:eastAsia="Arial" w:hAnsi="Arial"/>
                <w:sz w:val="16"/>
                <w:szCs w:val="16"/>
                <w:color w:val="auto"/>
              </w:rPr>
              <w:t>(*)</w:t>
            </w:r>
          </w:p>
        </w:tc>
      </w:tr>
      <w:tr>
        <w:trPr>
          <w:trHeight w:val="273"/>
        </w:trPr>
        <w:tc>
          <w:tcPr>
            <w:tcW w:w="5420" w:type="dxa"/>
            <w:vAlign w:val="bottom"/>
            <w:shd w:val="clear" w:color="auto" w:fill="E5E5E5"/>
          </w:tcPr>
          <w:p>
            <w:pPr>
              <w:ind w:left="40"/>
              <w:spacing w:after="0"/>
              <w:rPr>
                <w:sz w:val="20"/>
                <w:szCs w:val="20"/>
                <w:color w:val="auto"/>
              </w:rPr>
            </w:pPr>
            <w:r>
              <w:rPr>
                <w:rFonts w:ascii="Arial" w:cs="Arial" w:eastAsia="Arial" w:hAnsi="Arial"/>
                <w:sz w:val="16"/>
                <w:szCs w:val="16"/>
                <w:color w:val="auto"/>
              </w:rPr>
              <w:t>Timothy R. Furey</w:t>
            </w:r>
          </w:p>
        </w:tc>
        <w:tc>
          <w:tcPr>
            <w:tcW w:w="2480" w:type="dxa"/>
            <w:vAlign w:val="bottom"/>
            <w:shd w:val="clear" w:color="auto" w:fill="E5E5E5"/>
          </w:tcPr>
          <w:p>
            <w:pPr>
              <w:jc w:val="right"/>
              <w:ind w:right="498"/>
              <w:spacing w:after="0"/>
              <w:rPr>
                <w:sz w:val="20"/>
                <w:szCs w:val="20"/>
                <w:color w:val="auto"/>
              </w:rPr>
            </w:pPr>
            <w:r>
              <w:rPr>
                <w:rFonts w:ascii="Arial" w:cs="Arial" w:eastAsia="Arial" w:hAnsi="Arial"/>
                <w:sz w:val="16"/>
                <w:szCs w:val="16"/>
                <w:color w:val="auto"/>
              </w:rPr>
              <w:t>18,758</w:t>
            </w:r>
          </w:p>
        </w:tc>
        <w:tc>
          <w:tcPr>
            <w:tcW w:w="1500" w:type="dxa"/>
            <w:vAlign w:val="bottom"/>
            <w:shd w:val="clear" w:color="auto" w:fill="E5E5E5"/>
          </w:tcPr>
          <w:p>
            <w:pPr>
              <w:jc w:val="right"/>
              <w:ind w:right="379"/>
              <w:spacing w:after="0"/>
              <w:rPr>
                <w:sz w:val="20"/>
                <w:szCs w:val="20"/>
                <w:color w:val="auto"/>
              </w:rPr>
            </w:pPr>
            <w:r>
              <w:rPr>
                <w:rFonts w:ascii="Arial" w:cs="Arial" w:eastAsia="Arial" w:hAnsi="Arial"/>
                <w:sz w:val="16"/>
                <w:szCs w:val="16"/>
                <w:color w:val="auto"/>
              </w:rPr>
              <w:t>(*)</w:t>
            </w:r>
          </w:p>
        </w:tc>
      </w:tr>
      <w:tr>
        <w:trPr>
          <w:trHeight w:val="267"/>
        </w:trPr>
        <w:tc>
          <w:tcPr>
            <w:tcW w:w="5420" w:type="dxa"/>
            <w:vAlign w:val="bottom"/>
          </w:tcPr>
          <w:p>
            <w:pPr>
              <w:ind w:left="40"/>
              <w:spacing w:after="0"/>
              <w:rPr>
                <w:sz w:val="20"/>
                <w:szCs w:val="20"/>
                <w:color w:val="auto"/>
              </w:rPr>
            </w:pPr>
            <w:r>
              <w:rPr>
                <w:rFonts w:ascii="Arial" w:cs="Arial" w:eastAsia="Arial" w:hAnsi="Arial"/>
                <w:sz w:val="16"/>
                <w:szCs w:val="16"/>
                <w:color w:val="auto"/>
              </w:rPr>
              <w:t>Liam K. Griffin</w:t>
            </w:r>
          </w:p>
        </w:tc>
        <w:tc>
          <w:tcPr>
            <w:tcW w:w="2480" w:type="dxa"/>
            <w:vAlign w:val="bottom"/>
          </w:tcPr>
          <w:p>
            <w:pPr>
              <w:jc w:val="right"/>
              <w:ind w:right="318"/>
              <w:spacing w:after="0"/>
              <w:rPr>
                <w:sz w:val="20"/>
                <w:szCs w:val="20"/>
                <w:color w:val="auto"/>
              </w:rPr>
            </w:pPr>
            <w:r>
              <w:rPr>
                <w:rFonts w:ascii="Arial" w:cs="Arial" w:eastAsia="Arial" w:hAnsi="Arial"/>
                <w:sz w:val="16"/>
                <w:szCs w:val="16"/>
                <w:color w:val="auto"/>
              </w:rPr>
              <w:t>88,507</w:t>
            </w:r>
            <w:r>
              <w:rPr>
                <w:rFonts w:ascii="Arial" w:cs="Arial" w:eastAsia="Arial" w:hAnsi="Arial"/>
                <w:sz w:val="16"/>
                <w:szCs w:val="16"/>
                <w:color w:val="0076A8"/>
              </w:rPr>
              <w:t>(5)</w:t>
            </w:r>
          </w:p>
        </w:tc>
        <w:tc>
          <w:tcPr>
            <w:tcW w:w="1500" w:type="dxa"/>
            <w:vAlign w:val="bottom"/>
          </w:tcPr>
          <w:p>
            <w:pPr>
              <w:jc w:val="right"/>
              <w:ind w:right="379"/>
              <w:spacing w:after="0"/>
              <w:rPr>
                <w:sz w:val="20"/>
                <w:szCs w:val="20"/>
                <w:color w:val="auto"/>
              </w:rPr>
            </w:pPr>
            <w:r>
              <w:rPr>
                <w:rFonts w:ascii="Arial" w:cs="Arial" w:eastAsia="Arial" w:hAnsi="Arial"/>
                <w:sz w:val="16"/>
                <w:szCs w:val="16"/>
                <w:color w:val="auto"/>
              </w:rPr>
              <w:t>(*)</w:t>
            </w:r>
          </w:p>
        </w:tc>
      </w:tr>
      <w:tr>
        <w:trPr>
          <w:trHeight w:val="273"/>
        </w:trPr>
        <w:tc>
          <w:tcPr>
            <w:tcW w:w="5420" w:type="dxa"/>
            <w:vAlign w:val="bottom"/>
            <w:shd w:val="clear" w:color="auto" w:fill="E5E5E5"/>
          </w:tcPr>
          <w:p>
            <w:pPr>
              <w:ind w:left="40"/>
              <w:spacing w:after="0"/>
              <w:rPr>
                <w:sz w:val="20"/>
                <w:szCs w:val="20"/>
                <w:color w:val="auto"/>
              </w:rPr>
            </w:pPr>
            <w:r>
              <w:rPr>
                <w:rFonts w:ascii="Arial" w:cs="Arial" w:eastAsia="Arial" w:hAnsi="Arial"/>
                <w:sz w:val="16"/>
                <w:szCs w:val="16"/>
                <w:color w:val="auto"/>
              </w:rPr>
              <w:t>Eric J. Guerin</w:t>
            </w:r>
          </w:p>
        </w:tc>
        <w:tc>
          <w:tcPr>
            <w:tcW w:w="2480" w:type="dxa"/>
            <w:vAlign w:val="bottom"/>
            <w:shd w:val="clear" w:color="auto" w:fill="E5E5E5"/>
          </w:tcPr>
          <w:p>
            <w:pPr>
              <w:jc w:val="right"/>
              <w:ind w:right="498"/>
              <w:spacing w:after="0"/>
              <w:rPr>
                <w:sz w:val="20"/>
                <w:szCs w:val="20"/>
                <w:color w:val="auto"/>
              </w:rPr>
            </w:pPr>
            <w:r>
              <w:rPr>
                <w:rFonts w:ascii="Arial" w:cs="Arial" w:eastAsia="Arial" w:hAnsi="Arial"/>
                <w:sz w:val="16"/>
                <w:szCs w:val="16"/>
                <w:color w:val="auto"/>
              </w:rPr>
              <w:t>—</w:t>
            </w:r>
          </w:p>
        </w:tc>
        <w:tc>
          <w:tcPr>
            <w:tcW w:w="1500" w:type="dxa"/>
            <w:vAlign w:val="bottom"/>
            <w:shd w:val="clear" w:color="auto" w:fill="E5E5E5"/>
          </w:tcPr>
          <w:p>
            <w:pPr>
              <w:jc w:val="right"/>
              <w:ind w:right="419"/>
              <w:spacing w:after="0"/>
              <w:rPr>
                <w:sz w:val="20"/>
                <w:szCs w:val="20"/>
                <w:color w:val="auto"/>
              </w:rPr>
            </w:pPr>
            <w:r>
              <w:rPr>
                <w:rFonts w:ascii="Arial" w:cs="Arial" w:eastAsia="Arial" w:hAnsi="Arial"/>
                <w:sz w:val="16"/>
                <w:szCs w:val="16"/>
                <w:color w:val="auto"/>
              </w:rPr>
              <w:t>—</w:t>
            </w:r>
          </w:p>
        </w:tc>
      </w:tr>
      <w:tr>
        <w:trPr>
          <w:trHeight w:val="267"/>
        </w:trPr>
        <w:tc>
          <w:tcPr>
            <w:tcW w:w="5420" w:type="dxa"/>
            <w:vAlign w:val="bottom"/>
          </w:tcPr>
          <w:p>
            <w:pPr>
              <w:ind w:left="40"/>
              <w:spacing w:after="0"/>
              <w:rPr>
                <w:sz w:val="20"/>
                <w:szCs w:val="20"/>
                <w:color w:val="auto"/>
              </w:rPr>
            </w:pPr>
            <w:r>
              <w:rPr>
                <w:rFonts w:ascii="Arial" w:cs="Arial" w:eastAsia="Arial" w:hAnsi="Arial"/>
                <w:sz w:val="16"/>
                <w:szCs w:val="16"/>
                <w:color w:val="auto"/>
              </w:rPr>
              <w:t>Christine King</w:t>
            </w:r>
          </w:p>
        </w:tc>
        <w:tc>
          <w:tcPr>
            <w:tcW w:w="2480" w:type="dxa"/>
            <w:vAlign w:val="bottom"/>
          </w:tcPr>
          <w:p>
            <w:pPr>
              <w:jc w:val="right"/>
              <w:ind w:right="498"/>
              <w:spacing w:after="0"/>
              <w:rPr>
                <w:sz w:val="20"/>
                <w:szCs w:val="20"/>
                <w:color w:val="auto"/>
              </w:rPr>
            </w:pPr>
            <w:r>
              <w:rPr>
                <w:rFonts w:ascii="Arial" w:cs="Arial" w:eastAsia="Arial" w:hAnsi="Arial"/>
                <w:sz w:val="16"/>
                <w:szCs w:val="16"/>
                <w:color w:val="auto"/>
              </w:rPr>
              <w:t>17,995</w:t>
            </w:r>
          </w:p>
        </w:tc>
        <w:tc>
          <w:tcPr>
            <w:tcW w:w="1500" w:type="dxa"/>
            <w:vAlign w:val="bottom"/>
          </w:tcPr>
          <w:p>
            <w:pPr>
              <w:jc w:val="right"/>
              <w:ind w:right="379"/>
              <w:spacing w:after="0"/>
              <w:rPr>
                <w:sz w:val="20"/>
                <w:szCs w:val="20"/>
                <w:color w:val="auto"/>
              </w:rPr>
            </w:pPr>
            <w:r>
              <w:rPr>
                <w:rFonts w:ascii="Arial" w:cs="Arial" w:eastAsia="Arial" w:hAnsi="Arial"/>
                <w:sz w:val="16"/>
                <w:szCs w:val="16"/>
                <w:color w:val="auto"/>
              </w:rPr>
              <w:t>(*)</w:t>
            </w:r>
          </w:p>
        </w:tc>
      </w:tr>
      <w:tr>
        <w:trPr>
          <w:trHeight w:val="273"/>
        </w:trPr>
        <w:tc>
          <w:tcPr>
            <w:tcW w:w="5420" w:type="dxa"/>
            <w:vAlign w:val="bottom"/>
            <w:shd w:val="clear" w:color="auto" w:fill="E5E5E5"/>
          </w:tcPr>
          <w:p>
            <w:pPr>
              <w:ind w:left="40"/>
              <w:spacing w:after="0"/>
              <w:rPr>
                <w:sz w:val="20"/>
                <w:szCs w:val="20"/>
                <w:color w:val="auto"/>
              </w:rPr>
            </w:pPr>
            <w:r>
              <w:rPr>
                <w:rFonts w:ascii="Arial" w:cs="Arial" w:eastAsia="Arial" w:hAnsi="Arial"/>
                <w:sz w:val="16"/>
                <w:szCs w:val="16"/>
                <w:color w:val="auto"/>
              </w:rPr>
              <w:t>Suzanne E. McBride</w:t>
            </w:r>
          </w:p>
        </w:tc>
        <w:tc>
          <w:tcPr>
            <w:tcW w:w="2480" w:type="dxa"/>
            <w:vAlign w:val="bottom"/>
            <w:shd w:val="clear" w:color="auto" w:fill="E5E5E5"/>
          </w:tcPr>
          <w:p>
            <w:pPr>
              <w:jc w:val="right"/>
              <w:ind w:right="498"/>
              <w:spacing w:after="0"/>
              <w:rPr>
                <w:sz w:val="20"/>
                <w:szCs w:val="20"/>
                <w:color w:val="auto"/>
              </w:rPr>
            </w:pPr>
            <w:r>
              <w:rPr>
                <w:rFonts w:ascii="Arial" w:cs="Arial" w:eastAsia="Arial" w:hAnsi="Arial"/>
                <w:sz w:val="16"/>
                <w:szCs w:val="16"/>
                <w:color w:val="auto"/>
              </w:rPr>
              <w:t>—</w:t>
            </w:r>
          </w:p>
        </w:tc>
        <w:tc>
          <w:tcPr>
            <w:tcW w:w="1500" w:type="dxa"/>
            <w:vAlign w:val="bottom"/>
            <w:shd w:val="clear" w:color="auto" w:fill="E5E5E5"/>
          </w:tcPr>
          <w:p>
            <w:pPr>
              <w:jc w:val="right"/>
              <w:ind w:right="419"/>
              <w:spacing w:after="0"/>
              <w:rPr>
                <w:sz w:val="20"/>
                <w:szCs w:val="20"/>
                <w:color w:val="auto"/>
              </w:rPr>
            </w:pPr>
            <w:r>
              <w:rPr>
                <w:rFonts w:ascii="Arial" w:cs="Arial" w:eastAsia="Arial" w:hAnsi="Arial"/>
                <w:sz w:val="16"/>
                <w:szCs w:val="16"/>
                <w:color w:val="auto"/>
              </w:rPr>
              <w:t>—</w:t>
            </w:r>
          </w:p>
        </w:tc>
      </w:tr>
      <w:tr>
        <w:trPr>
          <w:trHeight w:val="267"/>
        </w:trPr>
        <w:tc>
          <w:tcPr>
            <w:tcW w:w="5420" w:type="dxa"/>
            <w:vAlign w:val="bottom"/>
          </w:tcPr>
          <w:p>
            <w:pPr>
              <w:ind w:left="40"/>
              <w:spacing w:after="0"/>
              <w:rPr>
                <w:sz w:val="20"/>
                <w:szCs w:val="20"/>
                <w:color w:val="auto"/>
              </w:rPr>
            </w:pPr>
            <w:r>
              <w:rPr>
                <w:rFonts w:ascii="Arial" w:cs="Arial" w:eastAsia="Arial" w:hAnsi="Arial"/>
                <w:sz w:val="16"/>
                <w:szCs w:val="16"/>
                <w:color w:val="auto"/>
              </w:rPr>
              <w:t>David P. McGlade</w:t>
            </w:r>
          </w:p>
        </w:tc>
        <w:tc>
          <w:tcPr>
            <w:tcW w:w="2480" w:type="dxa"/>
            <w:vAlign w:val="bottom"/>
          </w:tcPr>
          <w:p>
            <w:pPr>
              <w:jc w:val="right"/>
              <w:ind w:right="498"/>
              <w:spacing w:after="0"/>
              <w:rPr>
                <w:sz w:val="20"/>
                <w:szCs w:val="20"/>
                <w:color w:val="auto"/>
              </w:rPr>
            </w:pPr>
            <w:r>
              <w:rPr>
                <w:rFonts w:ascii="Arial" w:cs="Arial" w:eastAsia="Arial" w:hAnsi="Arial"/>
                <w:sz w:val="16"/>
                <w:szCs w:val="16"/>
                <w:color w:val="auto"/>
              </w:rPr>
              <w:t>39,932</w:t>
            </w:r>
          </w:p>
        </w:tc>
        <w:tc>
          <w:tcPr>
            <w:tcW w:w="1500" w:type="dxa"/>
            <w:vAlign w:val="bottom"/>
          </w:tcPr>
          <w:p>
            <w:pPr>
              <w:jc w:val="right"/>
              <w:ind w:right="379"/>
              <w:spacing w:after="0"/>
              <w:rPr>
                <w:sz w:val="20"/>
                <w:szCs w:val="20"/>
                <w:color w:val="auto"/>
              </w:rPr>
            </w:pPr>
            <w:r>
              <w:rPr>
                <w:rFonts w:ascii="Arial" w:cs="Arial" w:eastAsia="Arial" w:hAnsi="Arial"/>
                <w:sz w:val="16"/>
                <w:szCs w:val="16"/>
                <w:color w:val="auto"/>
              </w:rPr>
              <w:t>(*)</w:t>
            </w:r>
          </w:p>
        </w:tc>
      </w:tr>
      <w:tr>
        <w:trPr>
          <w:trHeight w:val="273"/>
        </w:trPr>
        <w:tc>
          <w:tcPr>
            <w:tcW w:w="5420" w:type="dxa"/>
            <w:vAlign w:val="bottom"/>
            <w:shd w:val="clear" w:color="auto" w:fill="E5E5E5"/>
          </w:tcPr>
          <w:p>
            <w:pPr>
              <w:ind w:left="40"/>
              <w:spacing w:after="0"/>
              <w:rPr>
                <w:sz w:val="20"/>
                <w:szCs w:val="20"/>
                <w:color w:val="auto"/>
              </w:rPr>
            </w:pPr>
            <w:r>
              <w:rPr>
                <w:rFonts w:ascii="Arial" w:cs="Arial" w:eastAsia="Arial" w:hAnsi="Arial"/>
                <w:sz w:val="16"/>
                <w:szCs w:val="16"/>
                <w:color w:val="auto"/>
              </w:rPr>
              <w:t>Robert A. Schriesheim</w:t>
            </w:r>
          </w:p>
        </w:tc>
        <w:tc>
          <w:tcPr>
            <w:tcW w:w="2480" w:type="dxa"/>
            <w:vAlign w:val="bottom"/>
            <w:shd w:val="clear" w:color="auto" w:fill="E5E5E5"/>
          </w:tcPr>
          <w:p>
            <w:pPr>
              <w:jc w:val="right"/>
              <w:ind w:right="498"/>
              <w:spacing w:after="0"/>
              <w:rPr>
                <w:sz w:val="20"/>
                <w:szCs w:val="20"/>
                <w:color w:val="auto"/>
              </w:rPr>
            </w:pPr>
            <w:r>
              <w:rPr>
                <w:rFonts w:ascii="Arial" w:cs="Arial" w:eastAsia="Arial" w:hAnsi="Arial"/>
                <w:sz w:val="16"/>
                <w:szCs w:val="16"/>
                <w:color w:val="auto"/>
              </w:rPr>
              <w:t>80,418</w:t>
            </w:r>
          </w:p>
        </w:tc>
        <w:tc>
          <w:tcPr>
            <w:tcW w:w="1500" w:type="dxa"/>
            <w:vAlign w:val="bottom"/>
            <w:shd w:val="clear" w:color="auto" w:fill="E5E5E5"/>
          </w:tcPr>
          <w:p>
            <w:pPr>
              <w:jc w:val="right"/>
              <w:ind w:right="379"/>
              <w:spacing w:after="0"/>
              <w:rPr>
                <w:sz w:val="20"/>
                <w:szCs w:val="20"/>
                <w:color w:val="auto"/>
              </w:rPr>
            </w:pPr>
            <w:r>
              <w:rPr>
                <w:rFonts w:ascii="Arial" w:cs="Arial" w:eastAsia="Arial" w:hAnsi="Arial"/>
                <w:sz w:val="16"/>
                <w:szCs w:val="16"/>
                <w:color w:val="auto"/>
              </w:rPr>
              <w:t>(*)</w:t>
            </w:r>
          </w:p>
        </w:tc>
      </w:tr>
      <w:tr>
        <w:trPr>
          <w:trHeight w:val="267"/>
        </w:trPr>
        <w:tc>
          <w:tcPr>
            <w:tcW w:w="5420" w:type="dxa"/>
            <w:vAlign w:val="bottom"/>
          </w:tcPr>
          <w:p>
            <w:pPr>
              <w:ind w:left="40"/>
              <w:spacing w:after="0"/>
              <w:rPr>
                <w:sz w:val="20"/>
                <w:szCs w:val="20"/>
                <w:color w:val="auto"/>
              </w:rPr>
            </w:pPr>
            <w:r>
              <w:rPr>
                <w:rFonts w:ascii="Arial" w:cs="Arial" w:eastAsia="Arial" w:hAnsi="Arial"/>
                <w:sz w:val="16"/>
                <w:szCs w:val="16"/>
                <w:color w:val="auto"/>
              </w:rPr>
              <w:t>Kris Sennesael</w:t>
            </w:r>
          </w:p>
        </w:tc>
        <w:tc>
          <w:tcPr>
            <w:tcW w:w="2480" w:type="dxa"/>
            <w:vAlign w:val="bottom"/>
          </w:tcPr>
          <w:p>
            <w:pPr>
              <w:jc w:val="right"/>
              <w:ind w:right="498"/>
              <w:spacing w:after="0"/>
              <w:rPr>
                <w:sz w:val="20"/>
                <w:szCs w:val="20"/>
                <w:color w:val="auto"/>
              </w:rPr>
            </w:pPr>
            <w:r>
              <w:rPr>
                <w:rFonts w:ascii="Arial" w:cs="Arial" w:eastAsia="Arial" w:hAnsi="Arial"/>
                <w:sz w:val="16"/>
                <w:szCs w:val="16"/>
                <w:color w:val="auto"/>
              </w:rPr>
              <w:t>129,322</w:t>
            </w:r>
          </w:p>
        </w:tc>
        <w:tc>
          <w:tcPr>
            <w:tcW w:w="1500" w:type="dxa"/>
            <w:vAlign w:val="bottom"/>
          </w:tcPr>
          <w:p>
            <w:pPr>
              <w:jc w:val="right"/>
              <w:ind w:right="379"/>
              <w:spacing w:after="0"/>
              <w:rPr>
                <w:sz w:val="20"/>
                <w:szCs w:val="20"/>
                <w:color w:val="auto"/>
              </w:rPr>
            </w:pPr>
            <w:r>
              <w:rPr>
                <w:rFonts w:ascii="Arial" w:cs="Arial" w:eastAsia="Arial" w:hAnsi="Arial"/>
                <w:sz w:val="16"/>
                <w:szCs w:val="16"/>
                <w:color w:val="auto"/>
              </w:rPr>
              <w:t>(*)</w:t>
            </w:r>
          </w:p>
        </w:tc>
      </w:tr>
      <w:tr>
        <w:trPr>
          <w:trHeight w:val="273"/>
        </w:trPr>
        <w:tc>
          <w:tcPr>
            <w:tcW w:w="5420" w:type="dxa"/>
            <w:vAlign w:val="bottom"/>
            <w:shd w:val="clear" w:color="auto" w:fill="E5E5E5"/>
          </w:tcPr>
          <w:p>
            <w:pPr>
              <w:ind w:left="40"/>
              <w:spacing w:after="0"/>
              <w:rPr>
                <w:sz w:val="20"/>
                <w:szCs w:val="20"/>
                <w:color w:val="auto"/>
              </w:rPr>
            </w:pPr>
            <w:r>
              <w:rPr>
                <w:rFonts w:ascii="Arial" w:cs="Arial" w:eastAsia="Arial" w:hAnsi="Arial"/>
                <w:sz w:val="16"/>
                <w:szCs w:val="16"/>
                <w:color w:val="auto"/>
              </w:rPr>
              <w:t>Kimberly S. Stevenson</w:t>
            </w:r>
          </w:p>
        </w:tc>
        <w:tc>
          <w:tcPr>
            <w:tcW w:w="2480" w:type="dxa"/>
            <w:vAlign w:val="bottom"/>
            <w:shd w:val="clear" w:color="auto" w:fill="E5E5E5"/>
          </w:tcPr>
          <w:p>
            <w:pPr>
              <w:jc w:val="right"/>
              <w:ind w:right="498"/>
              <w:spacing w:after="0"/>
              <w:rPr>
                <w:sz w:val="20"/>
                <w:szCs w:val="20"/>
                <w:color w:val="auto"/>
              </w:rPr>
            </w:pPr>
            <w:r>
              <w:rPr>
                <w:rFonts w:ascii="Arial" w:cs="Arial" w:eastAsia="Arial" w:hAnsi="Arial"/>
                <w:sz w:val="16"/>
                <w:szCs w:val="16"/>
                <w:color w:val="auto"/>
              </w:rPr>
              <w:t>6,451</w:t>
            </w:r>
          </w:p>
        </w:tc>
        <w:tc>
          <w:tcPr>
            <w:tcW w:w="1500" w:type="dxa"/>
            <w:vAlign w:val="bottom"/>
            <w:shd w:val="clear" w:color="auto" w:fill="E5E5E5"/>
          </w:tcPr>
          <w:p>
            <w:pPr>
              <w:jc w:val="right"/>
              <w:ind w:right="379"/>
              <w:spacing w:after="0"/>
              <w:rPr>
                <w:sz w:val="20"/>
                <w:szCs w:val="20"/>
                <w:color w:val="auto"/>
              </w:rPr>
            </w:pPr>
            <w:r>
              <w:rPr>
                <w:rFonts w:ascii="Arial" w:cs="Arial" w:eastAsia="Arial" w:hAnsi="Arial"/>
                <w:sz w:val="16"/>
                <w:szCs w:val="16"/>
                <w:color w:val="auto"/>
              </w:rPr>
              <w:t>(*)</w:t>
            </w:r>
          </w:p>
        </w:tc>
      </w:tr>
      <w:tr>
        <w:trPr>
          <w:trHeight w:val="267"/>
        </w:trPr>
        <w:tc>
          <w:tcPr>
            <w:tcW w:w="5420" w:type="dxa"/>
            <w:vAlign w:val="bottom"/>
          </w:tcPr>
          <w:p>
            <w:pPr>
              <w:ind w:left="40"/>
              <w:spacing w:after="0"/>
              <w:rPr>
                <w:sz w:val="20"/>
                <w:szCs w:val="20"/>
                <w:color w:val="auto"/>
              </w:rPr>
            </w:pPr>
            <w:r>
              <w:rPr>
                <w:rFonts w:ascii="Arial" w:cs="Arial" w:eastAsia="Arial" w:hAnsi="Arial"/>
                <w:sz w:val="16"/>
                <w:szCs w:val="16"/>
                <w:color w:val="auto"/>
              </w:rPr>
              <w:t>Robert J. Terry</w:t>
            </w:r>
          </w:p>
        </w:tc>
        <w:tc>
          <w:tcPr>
            <w:tcW w:w="2480" w:type="dxa"/>
            <w:vAlign w:val="bottom"/>
          </w:tcPr>
          <w:p>
            <w:pPr>
              <w:jc w:val="right"/>
              <w:ind w:right="318"/>
              <w:spacing w:after="0"/>
              <w:rPr>
                <w:sz w:val="20"/>
                <w:szCs w:val="20"/>
                <w:color w:val="auto"/>
              </w:rPr>
            </w:pPr>
            <w:r>
              <w:rPr>
                <w:rFonts w:ascii="Arial" w:cs="Arial" w:eastAsia="Arial" w:hAnsi="Arial"/>
                <w:sz w:val="16"/>
                <w:szCs w:val="16"/>
                <w:color w:val="auto"/>
              </w:rPr>
              <w:t>9,196</w:t>
            </w:r>
            <w:r>
              <w:rPr>
                <w:rFonts w:ascii="Arial" w:cs="Arial" w:eastAsia="Arial" w:hAnsi="Arial"/>
                <w:sz w:val="16"/>
                <w:szCs w:val="16"/>
                <w:color w:val="0076A8"/>
              </w:rPr>
              <w:t>(5)</w:t>
            </w:r>
          </w:p>
        </w:tc>
        <w:tc>
          <w:tcPr>
            <w:tcW w:w="1500" w:type="dxa"/>
            <w:vAlign w:val="bottom"/>
          </w:tcPr>
          <w:p>
            <w:pPr>
              <w:jc w:val="right"/>
              <w:ind w:right="379"/>
              <w:spacing w:after="0"/>
              <w:rPr>
                <w:sz w:val="20"/>
                <w:szCs w:val="20"/>
                <w:color w:val="auto"/>
              </w:rPr>
            </w:pPr>
            <w:r>
              <w:rPr>
                <w:rFonts w:ascii="Arial" w:cs="Arial" w:eastAsia="Arial" w:hAnsi="Arial"/>
                <w:sz w:val="16"/>
                <w:szCs w:val="16"/>
                <w:color w:val="auto"/>
              </w:rPr>
              <w:t>(*)</w:t>
            </w:r>
          </w:p>
        </w:tc>
      </w:tr>
      <w:tr>
        <w:trPr>
          <w:trHeight w:val="280"/>
        </w:trPr>
        <w:tc>
          <w:tcPr>
            <w:tcW w:w="5420" w:type="dxa"/>
            <w:vAlign w:val="bottom"/>
            <w:tcBorders>
              <w:bottom w:val="single" w:sz="8" w:color="E5E5E5"/>
            </w:tcBorders>
            <w:shd w:val="clear" w:color="auto" w:fill="E5E5E5"/>
          </w:tcPr>
          <w:p>
            <w:pPr>
              <w:ind w:left="40"/>
              <w:spacing w:after="0"/>
              <w:rPr>
                <w:sz w:val="20"/>
                <w:szCs w:val="20"/>
                <w:color w:val="auto"/>
              </w:rPr>
            </w:pPr>
            <w:r>
              <w:rPr>
                <w:rFonts w:ascii="Arial" w:cs="Arial" w:eastAsia="Arial" w:hAnsi="Arial"/>
                <w:sz w:val="16"/>
                <w:szCs w:val="16"/>
                <w:color w:val="auto"/>
              </w:rPr>
              <w:t>All current directors and executive officers as a group (15 persons)</w:t>
            </w:r>
          </w:p>
        </w:tc>
        <w:tc>
          <w:tcPr>
            <w:tcW w:w="2480" w:type="dxa"/>
            <w:vAlign w:val="bottom"/>
            <w:tcBorders>
              <w:bottom w:val="single" w:sz="8" w:color="E5E5E5"/>
            </w:tcBorders>
            <w:shd w:val="clear" w:color="auto" w:fill="E5E5E5"/>
          </w:tcPr>
          <w:p>
            <w:pPr>
              <w:jc w:val="right"/>
              <w:ind w:right="318"/>
              <w:spacing w:after="0"/>
              <w:rPr>
                <w:sz w:val="20"/>
                <w:szCs w:val="20"/>
                <w:color w:val="auto"/>
              </w:rPr>
            </w:pPr>
            <w:r>
              <w:rPr>
                <w:rFonts w:ascii="Arial" w:cs="Arial" w:eastAsia="Arial" w:hAnsi="Arial"/>
                <w:sz w:val="16"/>
                <w:szCs w:val="16"/>
                <w:color w:val="auto"/>
              </w:rPr>
              <w:t>506,309</w:t>
            </w:r>
            <w:r>
              <w:rPr>
                <w:rFonts w:ascii="Arial" w:cs="Arial" w:eastAsia="Arial" w:hAnsi="Arial"/>
                <w:sz w:val="16"/>
                <w:szCs w:val="16"/>
                <w:color w:val="0076A8"/>
              </w:rPr>
              <w:t>(5)</w:t>
            </w:r>
          </w:p>
        </w:tc>
        <w:tc>
          <w:tcPr>
            <w:tcW w:w="1500" w:type="dxa"/>
            <w:vAlign w:val="bottom"/>
            <w:tcBorders>
              <w:bottom w:val="single" w:sz="8" w:color="E5E5E5"/>
            </w:tcBorders>
            <w:shd w:val="clear" w:color="auto" w:fill="E5E5E5"/>
          </w:tcPr>
          <w:p>
            <w:pPr>
              <w:jc w:val="right"/>
              <w:ind w:right="379"/>
              <w:spacing w:after="0"/>
              <w:rPr>
                <w:sz w:val="20"/>
                <w:szCs w:val="20"/>
                <w:color w:val="auto"/>
              </w:rPr>
            </w:pPr>
            <w:r>
              <w:rPr>
                <w:rFonts w:ascii="Arial" w:cs="Arial" w:eastAsia="Arial" w:hAnsi="Arial"/>
                <w:sz w:val="16"/>
                <w:szCs w:val="16"/>
                <w:color w:val="auto"/>
              </w:rPr>
              <w:t>(*)</w:t>
            </w:r>
          </w:p>
        </w:tc>
      </w:tr>
      <w:tr>
        <w:trPr>
          <w:trHeight w:val="20"/>
        </w:trPr>
        <w:tc>
          <w:tcPr>
            <w:tcW w:w="5420" w:type="dxa"/>
            <w:vAlign w:val="bottom"/>
            <w:shd w:val="clear" w:color="auto" w:fill="BFBFBF"/>
          </w:tcPr>
          <w:p>
            <w:pPr>
              <w:spacing w:after="0" w:line="20" w:lineRule="exact"/>
              <w:rPr>
                <w:sz w:val="1"/>
                <w:szCs w:val="1"/>
                <w:color w:val="auto"/>
              </w:rPr>
            </w:pPr>
          </w:p>
        </w:tc>
        <w:tc>
          <w:tcPr>
            <w:tcW w:w="2480" w:type="dxa"/>
            <w:vAlign w:val="bottom"/>
            <w:shd w:val="clear" w:color="auto" w:fill="BFBFBF"/>
          </w:tcPr>
          <w:p>
            <w:pPr>
              <w:spacing w:after="0" w:line="20" w:lineRule="exact"/>
              <w:rPr>
                <w:sz w:val="1"/>
                <w:szCs w:val="1"/>
                <w:color w:val="auto"/>
              </w:rPr>
            </w:pPr>
          </w:p>
        </w:tc>
        <w:tc>
          <w:tcPr>
            <w:tcW w:w="1500" w:type="dxa"/>
            <w:vAlign w:val="bottom"/>
            <w:shd w:val="clear" w:color="auto" w:fill="BFBFBF"/>
          </w:tcPr>
          <w:p>
            <w:pPr>
              <w:spacing w:after="0" w:line="20" w:lineRule="exact"/>
              <w:rPr>
                <w:sz w:val="1"/>
                <w:szCs w:val="1"/>
                <w:color w:val="auto"/>
              </w:rPr>
            </w:pPr>
          </w:p>
        </w:tc>
      </w:tr>
    </w:tbl>
    <w:p>
      <w:pPr>
        <w:spacing w:after="0" w:line="134" w:lineRule="exact"/>
        <w:rPr>
          <w:sz w:val="20"/>
          <w:szCs w:val="20"/>
          <w:color w:val="auto"/>
        </w:rPr>
      </w:pPr>
    </w:p>
    <w:p>
      <w:pPr>
        <w:ind w:left="1080" w:hanging="354"/>
        <w:spacing w:after="0"/>
        <w:tabs>
          <w:tab w:leader="none" w:pos="1080" w:val="left"/>
        </w:tabs>
        <w:numPr>
          <w:ilvl w:val="0"/>
          <w:numId w:val="80"/>
        </w:numPr>
        <w:rPr>
          <w:rFonts w:ascii="Arial" w:cs="Arial" w:eastAsia="Arial" w:hAnsi="Arial"/>
          <w:sz w:val="16"/>
          <w:szCs w:val="16"/>
          <w:i w:val="1"/>
          <w:iCs w:val="1"/>
          <w:color w:val="auto"/>
        </w:rPr>
      </w:pPr>
      <w:r>
        <w:rPr>
          <w:rFonts w:ascii="Arial" w:cs="Arial" w:eastAsia="Arial" w:hAnsi="Arial"/>
          <w:sz w:val="16"/>
          <w:szCs w:val="16"/>
          <w:i w:val="1"/>
          <w:iCs w:val="1"/>
          <w:color w:val="auto"/>
        </w:rPr>
        <w:t>Less than 1%</w:t>
      </w:r>
    </w:p>
    <w:p>
      <w:pPr>
        <w:spacing w:after="0" w:line="27" w:lineRule="exact"/>
        <w:rPr>
          <w:sz w:val="20"/>
          <w:szCs w:val="20"/>
          <w:color w:val="auto"/>
        </w:rPr>
      </w:pPr>
    </w:p>
    <w:p>
      <w:pPr>
        <w:ind w:left="1080" w:right="100" w:hanging="354"/>
        <w:spacing w:after="0" w:line="250" w:lineRule="auto"/>
        <w:tabs>
          <w:tab w:leader="none" w:pos="1080" w:val="left"/>
        </w:tabs>
        <w:numPr>
          <w:ilvl w:val="0"/>
          <w:numId w:val="81"/>
        </w:numPr>
        <w:rPr>
          <w:rFonts w:ascii="Arial" w:cs="Arial" w:eastAsia="Arial" w:hAnsi="Arial"/>
          <w:sz w:val="16"/>
          <w:szCs w:val="16"/>
          <w:i w:val="1"/>
          <w:iCs w:val="1"/>
          <w:color w:val="auto"/>
        </w:rPr>
      </w:pPr>
      <w:r>
        <w:rPr>
          <w:rFonts w:ascii="Arial" w:cs="Arial" w:eastAsia="Arial" w:hAnsi="Arial"/>
          <w:sz w:val="16"/>
          <w:szCs w:val="16"/>
          <w:i w:val="1"/>
          <w:iCs w:val="1"/>
          <w:color w:val="auto"/>
        </w:rPr>
        <w:t>Unless otherwise set forth in the following notes, each person’s address is the address of the Company’s principal executive offices at Skyworks Solutions, Inc., 5260 California Avenue, Irvine, CA 92617, and stockholders have sole voting and sole investment power with respect to the shares, except to the extent such power may be shared by a spouse or otherwise subject to applicable community property laws.</w:t>
      </w:r>
    </w:p>
    <w:p>
      <w:pPr>
        <w:spacing w:after="0" w:line="2" w:lineRule="exact"/>
        <w:rPr>
          <w:rFonts w:ascii="Arial" w:cs="Arial" w:eastAsia="Arial" w:hAnsi="Arial"/>
          <w:sz w:val="16"/>
          <w:szCs w:val="16"/>
          <w:i w:val="1"/>
          <w:iCs w:val="1"/>
          <w:color w:val="auto"/>
        </w:rPr>
      </w:pPr>
    </w:p>
    <w:p>
      <w:pPr>
        <w:ind w:left="1080" w:right="120" w:hanging="354"/>
        <w:spacing w:after="0" w:line="251" w:lineRule="auto"/>
        <w:tabs>
          <w:tab w:leader="none" w:pos="1080" w:val="left"/>
        </w:tabs>
        <w:numPr>
          <w:ilvl w:val="0"/>
          <w:numId w:val="81"/>
        </w:numPr>
        <w:rPr>
          <w:rFonts w:ascii="Arial" w:cs="Arial" w:eastAsia="Arial" w:hAnsi="Arial"/>
          <w:sz w:val="16"/>
          <w:szCs w:val="16"/>
          <w:i w:val="1"/>
          <w:iCs w:val="1"/>
          <w:color w:val="auto"/>
        </w:rPr>
      </w:pPr>
      <w:r>
        <w:rPr>
          <w:rFonts w:ascii="Arial" w:cs="Arial" w:eastAsia="Arial" w:hAnsi="Arial"/>
          <w:sz w:val="16"/>
          <w:szCs w:val="16"/>
          <w:i w:val="1"/>
          <w:iCs w:val="1"/>
          <w:color w:val="auto"/>
        </w:rPr>
        <w:t>Includes the number of shares of Company common stock subject to stock options held by that person that are currently exercisable or will become exercisable within sixty (60) days of March 1, 2022 (the “Current Options”), as follows: Mr. Griffin</w:t>
      </w:r>
    </w:p>
    <w:p>
      <w:pPr>
        <w:spacing w:after="0" w:line="1" w:lineRule="exact"/>
        <w:rPr>
          <w:rFonts w:ascii="Arial" w:cs="Arial" w:eastAsia="Arial" w:hAnsi="Arial"/>
          <w:sz w:val="16"/>
          <w:szCs w:val="16"/>
          <w:i w:val="1"/>
          <w:iCs w:val="1"/>
          <w:color w:val="auto"/>
        </w:rPr>
      </w:pPr>
    </w:p>
    <w:p>
      <w:pPr>
        <w:ind w:left="1080" w:right="320"/>
        <w:spacing w:after="0" w:line="260" w:lineRule="auto"/>
        <w:rPr>
          <w:rFonts w:ascii="Arial" w:cs="Arial" w:eastAsia="Arial" w:hAnsi="Arial"/>
          <w:sz w:val="16"/>
          <w:szCs w:val="16"/>
          <w:i w:val="1"/>
          <w:iCs w:val="1"/>
          <w:color w:val="auto"/>
        </w:rPr>
      </w:pPr>
      <w:r>
        <w:rPr>
          <w:rFonts w:ascii="Arial" w:cs="Arial" w:eastAsia="Arial" w:hAnsi="Arial"/>
          <w:sz w:val="16"/>
          <w:szCs w:val="16"/>
          <w:i w:val="1"/>
          <w:iCs w:val="1"/>
          <w:color w:val="auto"/>
        </w:rPr>
        <w:t>— 13,211 shares under Current Options; Mr. Sennesael — 52,770 shares under Current Options; Mr. Terry — 502 shares under Current Options; current directors and executive officers as a group (15 persons) — 66,483 shares under Current</w:t>
      </w:r>
    </w:p>
    <w:p>
      <w:pPr>
        <w:spacing w:after="0" w:line="322" w:lineRule="exact"/>
        <w:rPr>
          <w:sz w:val="20"/>
          <w:szCs w:val="20"/>
          <w:color w:val="auto"/>
        </w:rPr>
      </w:pPr>
    </w:p>
    <w:p>
      <w:pPr>
        <w:ind w:left="660"/>
        <w:spacing w:after="0"/>
        <w:tabs>
          <w:tab w:leader="none" w:pos="4817" w:val="left"/>
        </w:tabs>
        <w:rPr>
          <w:sz w:val="20"/>
          <w:szCs w:val="20"/>
          <w:color w:val="auto"/>
        </w:rPr>
      </w:pPr>
      <w:r>
        <w:rPr>
          <w:rFonts w:ascii="Arial" w:cs="Arial" w:eastAsia="Arial" w:hAnsi="Arial"/>
          <w:sz w:val="16"/>
          <w:szCs w:val="16"/>
          <w:color w:val="auto"/>
        </w:rPr>
        <w:t>66</w:t>
      </w:r>
      <w:r>
        <w:rPr>
          <w:sz w:val="20"/>
          <w:szCs w:val="20"/>
          <w:color w:val="auto"/>
        </w:rPr>
        <w:tab/>
      </w:r>
      <w:r>
        <w:rPr>
          <w:sz w:val="1"/>
          <w:szCs w:val="1"/>
          <w:color w:val="auto"/>
        </w:rPr>
        <w:drawing>
          <wp:inline distT="0" distB="0" distL="0" distR="0">
            <wp:extent cx="779780" cy="257175"/>
            <wp:effectExtent l="0" t="0" r="0" b="0"/>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132" w:right="1259" w:bottom="1440" w:gutter="0" w:footer="0" w:header="0"/>
        </w:sectPr>
      </w:pPr>
    </w:p>
    <w:bookmarkStart w:id="71" w:name="page72"/>
    <w:bookmarkEnd w:id="7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389" w:lineRule="exact"/>
        <w:rPr>
          <w:sz w:val="20"/>
          <w:szCs w:val="20"/>
          <w:color w:val="auto"/>
        </w:rPr>
      </w:pPr>
    </w:p>
    <w:p>
      <w:pPr>
        <w:ind w:left="1080" w:right="740"/>
        <w:spacing w:after="0" w:line="250" w:lineRule="auto"/>
        <w:rPr>
          <w:sz w:val="20"/>
          <w:szCs w:val="20"/>
          <w:color w:val="auto"/>
        </w:rPr>
      </w:pPr>
      <w:r>
        <w:rPr>
          <w:rFonts w:ascii="Arial" w:cs="Arial" w:eastAsia="Arial" w:hAnsi="Arial"/>
          <w:sz w:val="16"/>
          <w:szCs w:val="16"/>
          <w:i w:val="1"/>
          <w:iCs w:val="1"/>
          <w:color w:val="auto"/>
        </w:rPr>
        <w:t>Options. Also includes the number of shares of Company common stock to be issued upon the vesting of restricted stock units within sixty (60) days of March 1, 2022 (the “Vesting RSUs”), as follows: Ms. Durham — 4,426 shares under Vesting RSUs; current directors and executive officers as a group (15 persons) — 4,426 shares under Vesting RSUs. The table does not reflect the number of shares of Company common stock to be issued pursuant to unvested restricted stock units (the “Unvested RSUs”) and earned, but unissued, performance share awards subject to time-based vesting only (the “Unvested PSAs”) that are not scheduled to vest within sixty (60) days of March 1, 2022, as follows: Mr. Batey — 1,924 shares under Unvested RSUs; Mr. Beebe — 1,084 shares under Unvested RSUs; Mr. Bori — 24,539 shares under Unvested RSUs and 20,680 shares under Unvested PSAs; Ms. Durham — 14,389 shares under Unvested RSUs and 12,137 shares under Unvested PSAs; Mr. Furey — 1,084 shares under Unvested RSUs; Mr. Griffin — 87,108 shares under Unvested RSUs and 70,656 shares under Unvested PSAs; Mr. Guerin — 1,340 shares under Unvested RSUs; Ms. King — 1,084 shares under Unvested RSUs; Ms. McBride — 1,348 shares under Unvested RSUs; Mr. McGlade — 1,084 shares under Unvested RSUs; Mr. Schriesheim — 1,084 shares under Unvested RSUs; Mr. Sennesael — 27,002 shares under Unvested RSUs and 22,152 shares under Unvested PSAs; Ms. Stevenson — 1,084 shares under Unvested RSUs; Mr. Terry — 20,986 shares under Unvested RSUs and 17,679 shares under Unvested PSAs; current directors and executive officers as a group (15 persons) — 209,666 shares under Unvested RSUs and 164,818 shares under Unvested PSAs.</w:t>
      </w:r>
    </w:p>
    <w:p>
      <w:pPr>
        <w:spacing w:after="0" w:line="1" w:lineRule="exact"/>
        <w:rPr>
          <w:sz w:val="20"/>
          <w:szCs w:val="20"/>
          <w:color w:val="auto"/>
        </w:rPr>
      </w:pPr>
    </w:p>
    <w:p>
      <w:pPr>
        <w:ind w:left="1080" w:right="660" w:hanging="354"/>
        <w:spacing w:after="0" w:line="252" w:lineRule="auto"/>
        <w:tabs>
          <w:tab w:leader="none" w:pos="1080" w:val="left"/>
        </w:tabs>
        <w:numPr>
          <w:ilvl w:val="0"/>
          <w:numId w:val="82"/>
        </w:numPr>
        <w:rPr>
          <w:rFonts w:ascii="Arial" w:cs="Arial" w:eastAsia="Arial" w:hAnsi="Arial"/>
          <w:sz w:val="16"/>
          <w:szCs w:val="16"/>
          <w:i w:val="1"/>
          <w:iCs w:val="1"/>
          <w:color w:val="auto"/>
        </w:rPr>
      </w:pPr>
      <w:r>
        <w:rPr>
          <w:rFonts w:ascii="Arial" w:cs="Arial" w:eastAsia="Arial" w:hAnsi="Arial"/>
          <w:sz w:val="16"/>
          <w:szCs w:val="16"/>
          <w:i w:val="1"/>
          <w:iCs w:val="1"/>
          <w:color w:val="auto"/>
        </w:rPr>
        <w:t>Consists of shares beneficially owned by The Vanguard Group, Inc. (“Vanguard”), which has sole voting power with respect to zero shares, shared voting power with respect to 269,138 shares, sole dispositive power with respect to 17,259,548 shares and shared dispositive power with respect to 673,401 shares. With respect to the information relating to Vanguard, the Company has relied on information supplied by Vanguard on a Schedule 13G/A filed with the SEC on February 10, 2022. The address of Vanguard is 100 Vanguard Blvd., Malvern, PA 19355.</w:t>
      </w:r>
    </w:p>
    <w:p>
      <w:pPr>
        <w:ind w:left="1080" w:right="660" w:hanging="354"/>
        <w:spacing w:after="0" w:line="248" w:lineRule="auto"/>
        <w:tabs>
          <w:tab w:leader="none" w:pos="1080" w:val="left"/>
        </w:tabs>
        <w:numPr>
          <w:ilvl w:val="0"/>
          <w:numId w:val="82"/>
        </w:numPr>
        <w:rPr>
          <w:rFonts w:ascii="Arial" w:cs="Arial" w:eastAsia="Arial" w:hAnsi="Arial"/>
          <w:sz w:val="16"/>
          <w:szCs w:val="16"/>
          <w:i w:val="1"/>
          <w:iCs w:val="1"/>
          <w:color w:val="auto"/>
        </w:rPr>
      </w:pPr>
      <w:r>
        <w:rPr>
          <w:rFonts w:ascii="Arial" w:cs="Arial" w:eastAsia="Arial" w:hAnsi="Arial"/>
          <w:sz w:val="16"/>
          <w:szCs w:val="16"/>
          <w:i w:val="1"/>
          <w:iCs w:val="1"/>
          <w:color w:val="auto"/>
        </w:rPr>
        <w:t>Consists of shares beneficially owned by BlackRock, Inc. (“BlackRock”), in its capacity as a parent holding company of various subsidiaries under Rule 13d-1(b)(1)(ii)(G). In its capacity as a parent holding company or control person, BlackRock has sole voting power with respect to 12,652,553 shares and sole dispositive power with respect to 14,307,628 shares which are held by the following of its subsidiaries: BlackRock Life Limited, BlackRock Advisors, LLC, Aperio Group, LLC, BlackRock (Netherlands) B.V., BlackRock Institutional Trust Company, National Association, BlackRock Asset Management Ireland Limited, BlackRock Financial Management, Inc., BlackRock Japan Co., Ltd., BlackRock Asset Management Schweiz AG, BlackRock Investment Management, LLC, BlackRock Investment Management (UK) Limited, BlackRock Asset Management Canada Limited, BlackRock Asset Management Deutschland AG, BlackRock (Luxembourg) S.A., BlackRock Investment Management (Australia) Limited, BlackRock Advisors (UK) Limited, BlackRock Fund Advisors, BlackRock Asset Management North Asia Limited, BlackRock (Singapore) Limited, and BlackRock Fund Managers Ltd. With respect to the information relating to BlackRock and its affiliated entities, we have relied on information supplied by BlackRock on a Schedule 13G/A filed with the SEC on February 1, 2022. The address of BlackRock is 55 East 52nd Street, New York, NY 10055.</w:t>
      </w:r>
    </w:p>
    <w:p>
      <w:pPr>
        <w:spacing w:after="0" w:line="189" w:lineRule="exact"/>
        <w:rPr>
          <w:rFonts w:ascii="Arial" w:cs="Arial" w:eastAsia="Arial" w:hAnsi="Arial"/>
          <w:sz w:val="16"/>
          <w:szCs w:val="16"/>
          <w:i w:val="1"/>
          <w:iCs w:val="1"/>
          <w:color w:val="auto"/>
        </w:rPr>
      </w:pPr>
    </w:p>
    <w:p>
      <w:pPr>
        <w:ind w:left="1080" w:hanging="354"/>
        <w:spacing w:after="0"/>
        <w:tabs>
          <w:tab w:leader="none" w:pos="1080" w:val="left"/>
        </w:tabs>
        <w:numPr>
          <w:ilvl w:val="0"/>
          <w:numId w:val="82"/>
        </w:numPr>
        <w:rPr>
          <w:rFonts w:ascii="Arial" w:cs="Arial" w:eastAsia="Arial" w:hAnsi="Arial"/>
          <w:sz w:val="16"/>
          <w:szCs w:val="16"/>
          <w:i w:val="1"/>
          <w:iCs w:val="1"/>
          <w:color w:val="auto"/>
        </w:rPr>
      </w:pPr>
      <w:r>
        <w:rPr>
          <w:rFonts w:ascii="Arial" w:cs="Arial" w:eastAsia="Arial" w:hAnsi="Arial"/>
          <w:sz w:val="16"/>
          <w:szCs w:val="16"/>
          <w:i w:val="1"/>
          <w:iCs w:val="1"/>
          <w:color w:val="auto"/>
        </w:rPr>
        <w:t>Includes shares held in the Company’s 401(k) Savings and Investment Plan as of March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3080385</wp:posOffset>
            </wp:positionH>
            <wp:positionV relativeFrom="paragraph">
              <wp:posOffset>3298825</wp:posOffset>
            </wp:positionV>
            <wp:extent cx="779780" cy="25717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7978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860" w:type="dxa"/>
            <w:vAlign w:val="bottom"/>
          </w:tcPr>
          <w:p>
            <w:pPr>
              <w:ind w:left="660"/>
              <w:spacing w:after="0"/>
              <w:rPr>
                <w:sz w:val="20"/>
                <w:szCs w:val="20"/>
                <w:color w:val="auto"/>
              </w:rPr>
            </w:pPr>
            <w:r>
              <w:rPr>
                <w:rFonts w:ascii="Arial" w:cs="Arial" w:eastAsia="Arial" w:hAnsi="Arial"/>
                <w:sz w:val="16"/>
                <w:szCs w:val="16"/>
                <w:color w:val="auto"/>
              </w:rPr>
              <w:t>Proxy Statement</w:t>
            </w:r>
          </w:p>
        </w:tc>
        <w:tc>
          <w:tcPr>
            <w:tcW w:w="4860" w:type="dxa"/>
            <w:vAlign w:val="bottom"/>
          </w:tcPr>
          <w:p>
            <w:pPr>
              <w:jc w:val="right"/>
              <w:ind w:right="579"/>
              <w:spacing w:after="0"/>
              <w:rPr>
                <w:sz w:val="20"/>
                <w:szCs w:val="20"/>
                <w:color w:val="auto"/>
              </w:rPr>
            </w:pPr>
            <w:r>
              <w:rPr>
                <w:rFonts w:ascii="Arial" w:cs="Arial" w:eastAsia="Arial" w:hAnsi="Arial"/>
                <w:sz w:val="16"/>
                <w:szCs w:val="16"/>
                <w:color w:val="auto"/>
              </w:rPr>
              <w:t>67</w:t>
            </w:r>
          </w:p>
        </w:tc>
      </w:tr>
      <w:tr>
        <w:trPr>
          <w:trHeight w:val="297"/>
        </w:trPr>
        <w:tc>
          <w:tcPr>
            <w:tcW w:w="5860" w:type="dxa"/>
            <w:vAlign w:val="bottom"/>
            <w:tcBorders>
              <w:bottom w:val="single" w:sz="8" w:color="9A9A9A"/>
            </w:tcBorders>
          </w:tcPr>
          <w:p>
            <w:pPr>
              <w:spacing w:after="0"/>
              <w:rPr>
                <w:sz w:val="24"/>
                <w:szCs w:val="24"/>
                <w:color w:val="auto"/>
              </w:rPr>
            </w:pPr>
          </w:p>
        </w:tc>
        <w:tc>
          <w:tcPr>
            <w:tcW w:w="4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2" w:right="599" w:bottom="1440" w:gutter="0" w:footer="0" w:header="0"/>
        </w:sectPr>
      </w:pPr>
    </w:p>
    <w:bookmarkStart w:id="72" w:name="page73"/>
    <w:bookmarkEnd w:id="7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ectPr>
          <w:pgSz w:w="11900" w:h="16838" w:orient="portrait"/>
          <w:cols w:equalWidth="0" w:num="1">
            <w:col w:w="10060"/>
          </w:cols>
          <w:pgMar w:left="580" w:top="132" w:right="125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ind w:left="660"/>
        <w:spacing w:after="0"/>
        <w:rPr>
          <w:sz w:val="20"/>
          <w:szCs w:val="20"/>
          <w:color w:val="auto"/>
        </w:rPr>
      </w:pPr>
      <w:r>
        <w:rPr>
          <w:rFonts w:ascii="Arial" w:cs="Arial" w:eastAsia="Arial" w:hAnsi="Arial"/>
          <w:sz w:val="32"/>
          <w:szCs w:val="32"/>
          <w:b w:val="1"/>
          <w:bCs w:val="1"/>
          <w:color w:val="0076A8"/>
        </w:rPr>
        <w:t>GENERAL INFORMATION</w:t>
      </w:r>
    </w:p>
    <w:p>
      <w:pPr>
        <w:spacing w:after="0" w:line="221" w:lineRule="exact"/>
        <w:rPr>
          <w:sz w:val="20"/>
          <w:szCs w:val="20"/>
          <w:color w:val="auto"/>
        </w:rPr>
      </w:pPr>
    </w:p>
    <w:p>
      <w:pPr>
        <w:ind w:left="1020" w:right="320" w:hanging="366"/>
        <w:spacing w:after="0" w:line="271" w:lineRule="auto"/>
        <w:tabs>
          <w:tab w:leader="none" w:pos="1020" w:val="left"/>
        </w:tabs>
        <w:numPr>
          <w:ilvl w:val="0"/>
          <w:numId w:val="83"/>
        </w:numPr>
        <w:rPr>
          <w:rFonts w:ascii="Arial" w:cs="Arial" w:eastAsia="Arial" w:hAnsi="Arial"/>
          <w:sz w:val="20"/>
          <w:szCs w:val="20"/>
          <w:b w:val="1"/>
          <w:bCs w:val="1"/>
          <w:color w:val="0076A8"/>
        </w:rPr>
      </w:pPr>
      <w:r>
        <w:rPr>
          <w:rFonts w:ascii="Arial" w:cs="Arial" w:eastAsia="Arial" w:hAnsi="Arial"/>
          <w:sz w:val="20"/>
          <w:szCs w:val="20"/>
          <w:b w:val="1"/>
          <w:bCs w:val="1"/>
          <w:color w:val="0076A8"/>
        </w:rPr>
        <w:t>How do we refer to Skyworks in this Proxy Statement?</w:t>
      </w:r>
    </w:p>
    <w:p>
      <w:pPr>
        <w:spacing w:after="0" w:line="98" w:lineRule="exact"/>
        <w:rPr>
          <w:rFonts w:ascii="Arial" w:cs="Arial" w:eastAsia="Arial" w:hAnsi="Arial"/>
          <w:sz w:val="20"/>
          <w:szCs w:val="20"/>
          <w:b w:val="1"/>
          <w:bCs w:val="1"/>
          <w:color w:val="0076A8"/>
        </w:rPr>
      </w:pPr>
    </w:p>
    <w:p>
      <w:pPr>
        <w:ind w:left="1020" w:right="420"/>
        <w:spacing w:after="0" w:line="256" w:lineRule="auto"/>
        <w:rPr>
          <w:rFonts w:ascii="Arial" w:cs="Arial" w:eastAsia="Arial" w:hAnsi="Arial"/>
          <w:sz w:val="20"/>
          <w:szCs w:val="20"/>
          <w:b w:val="1"/>
          <w:bCs w:val="1"/>
          <w:color w:val="0076A8"/>
        </w:rPr>
      </w:pPr>
      <w:r>
        <w:rPr>
          <w:rFonts w:ascii="Arial" w:cs="Arial" w:eastAsia="Arial" w:hAnsi="Arial"/>
          <w:sz w:val="20"/>
          <w:szCs w:val="20"/>
          <w:color w:val="191919"/>
        </w:rPr>
        <w:t>The terms “Skyworks,” “the Company,” “we,” “us,” and “our” refer to Skyworks Solutions, Inc., a Delaware corporation, and its consolidated subsidiaries.</w:t>
      </w:r>
    </w:p>
    <w:p>
      <w:pPr>
        <w:spacing w:after="0" w:line="182" w:lineRule="exact"/>
        <w:rPr>
          <w:rFonts w:ascii="Arial" w:cs="Arial" w:eastAsia="Arial" w:hAnsi="Arial"/>
          <w:sz w:val="20"/>
          <w:szCs w:val="20"/>
          <w:b w:val="1"/>
          <w:bCs w:val="1"/>
          <w:color w:val="0076A8"/>
        </w:rPr>
      </w:pPr>
    </w:p>
    <w:p>
      <w:pPr>
        <w:ind w:left="1020" w:hanging="366"/>
        <w:spacing w:after="0"/>
        <w:tabs>
          <w:tab w:leader="none" w:pos="1020" w:val="left"/>
        </w:tabs>
        <w:numPr>
          <w:ilvl w:val="0"/>
          <w:numId w:val="84"/>
        </w:numPr>
        <w:rPr>
          <w:rFonts w:ascii="Arial" w:cs="Arial" w:eastAsia="Arial" w:hAnsi="Arial"/>
          <w:sz w:val="20"/>
          <w:szCs w:val="20"/>
          <w:b w:val="1"/>
          <w:bCs w:val="1"/>
          <w:color w:val="0076A8"/>
        </w:rPr>
      </w:pPr>
      <w:r>
        <w:rPr>
          <w:rFonts w:ascii="Arial" w:cs="Arial" w:eastAsia="Arial" w:hAnsi="Arial"/>
          <w:sz w:val="20"/>
          <w:szCs w:val="20"/>
          <w:b w:val="1"/>
          <w:bCs w:val="1"/>
          <w:color w:val="0076A8"/>
        </w:rPr>
        <w:t>When and where is our Annual Meeting?</w:t>
      </w:r>
    </w:p>
    <w:p>
      <w:pPr>
        <w:spacing w:after="0" w:line="158" w:lineRule="exact"/>
        <w:rPr>
          <w:rFonts w:ascii="Arial" w:cs="Arial" w:eastAsia="Arial" w:hAnsi="Arial"/>
          <w:sz w:val="20"/>
          <w:szCs w:val="20"/>
          <w:b w:val="1"/>
          <w:bCs w:val="1"/>
          <w:color w:val="0076A8"/>
        </w:rPr>
      </w:pPr>
    </w:p>
    <w:p>
      <w:pPr>
        <w:ind w:left="1020"/>
        <w:spacing w:after="0" w:line="268" w:lineRule="auto"/>
        <w:rPr>
          <w:rFonts w:ascii="Arial" w:cs="Arial" w:eastAsia="Arial" w:hAnsi="Arial"/>
          <w:sz w:val="20"/>
          <w:szCs w:val="20"/>
          <w:b w:val="1"/>
          <w:bCs w:val="1"/>
          <w:color w:val="0076A8"/>
        </w:rPr>
      </w:pPr>
      <w:r>
        <w:rPr>
          <w:rFonts w:ascii="Arial" w:cs="Arial" w:eastAsia="Arial" w:hAnsi="Arial"/>
          <w:sz w:val="19"/>
          <w:szCs w:val="19"/>
          <w:color w:val="191919"/>
        </w:rPr>
        <w:t>The Annual Meeting will be held on Wednesday, May 11, 2022, at 11:00 a.m. Pacific Daylight Time. The Annual Meeting will be held in a virtual format. You will be able to attend and participate in the Annual Meeting online by visiting www.virtualshareholdermeeting.com/SWKS2022. We believe that hosting a virtual meeting will facilitate stockholder attendance and participation at our Annual Meeting by enabling stockholders to participate remotely from any location around the world. We have designed the virtual Annual Meeting to provide the same rights and opportunities to participate as stockholders would have at an in-person meeting, including the right to vote and ask questions through the virtual meeting platform.</w:t>
      </w:r>
    </w:p>
    <w:p>
      <w:pPr>
        <w:spacing w:after="0" w:line="200" w:lineRule="exact"/>
        <w:rPr>
          <w:rFonts w:ascii="Arial" w:cs="Arial" w:eastAsia="Arial" w:hAnsi="Arial"/>
          <w:sz w:val="20"/>
          <w:szCs w:val="20"/>
          <w:b w:val="1"/>
          <w:bCs w:val="1"/>
          <w:color w:val="0076A8"/>
        </w:rPr>
      </w:pPr>
    </w:p>
    <w:p>
      <w:pPr>
        <w:spacing w:after="0" w:line="219" w:lineRule="exact"/>
        <w:rPr>
          <w:rFonts w:ascii="Arial" w:cs="Arial" w:eastAsia="Arial" w:hAnsi="Arial"/>
          <w:sz w:val="20"/>
          <w:szCs w:val="20"/>
          <w:b w:val="1"/>
          <w:bCs w:val="1"/>
          <w:color w:val="0076A8"/>
        </w:rPr>
      </w:pPr>
    </w:p>
    <w:p>
      <w:pPr>
        <w:ind w:left="1020" w:right="1100" w:hanging="366"/>
        <w:spacing w:after="0" w:line="271" w:lineRule="auto"/>
        <w:tabs>
          <w:tab w:leader="none" w:pos="1020" w:val="left"/>
        </w:tabs>
        <w:numPr>
          <w:ilvl w:val="0"/>
          <w:numId w:val="85"/>
        </w:numPr>
        <w:rPr>
          <w:rFonts w:ascii="Arial" w:cs="Arial" w:eastAsia="Arial" w:hAnsi="Arial"/>
          <w:sz w:val="20"/>
          <w:szCs w:val="20"/>
          <w:b w:val="1"/>
          <w:bCs w:val="1"/>
          <w:color w:val="0076A8"/>
        </w:rPr>
      </w:pPr>
      <w:r>
        <w:rPr>
          <w:rFonts w:ascii="Arial" w:cs="Arial" w:eastAsia="Arial" w:hAnsi="Arial"/>
          <w:sz w:val="20"/>
          <w:szCs w:val="20"/>
          <w:b w:val="1"/>
          <w:bCs w:val="1"/>
          <w:color w:val="0076A8"/>
        </w:rPr>
        <w:t>What is the purpose of the Annual Meeting?</w:t>
      </w:r>
    </w:p>
    <w:p>
      <w:pPr>
        <w:spacing w:after="0" w:line="112" w:lineRule="exact"/>
        <w:rPr>
          <w:rFonts w:ascii="Arial" w:cs="Arial" w:eastAsia="Arial" w:hAnsi="Arial"/>
          <w:sz w:val="20"/>
          <w:szCs w:val="20"/>
          <w:b w:val="1"/>
          <w:bCs w:val="1"/>
          <w:color w:val="0076A8"/>
        </w:rPr>
      </w:pPr>
    </w:p>
    <w:p>
      <w:pPr>
        <w:ind w:left="1020" w:right="540"/>
        <w:spacing w:after="0" w:line="287" w:lineRule="auto"/>
        <w:rPr>
          <w:rFonts w:ascii="Arial" w:cs="Arial" w:eastAsia="Arial" w:hAnsi="Arial"/>
          <w:sz w:val="20"/>
          <w:szCs w:val="20"/>
          <w:b w:val="1"/>
          <w:bCs w:val="1"/>
          <w:color w:val="0076A8"/>
        </w:rPr>
      </w:pPr>
      <w:r>
        <w:rPr>
          <w:rFonts w:ascii="Arial" w:cs="Arial" w:eastAsia="Arial" w:hAnsi="Arial"/>
          <w:sz w:val="19"/>
          <w:szCs w:val="19"/>
          <w:color w:val="191919"/>
        </w:rPr>
        <w:t>At the Annual Meeting, stockholders will consider and vote on the following matters:</w:t>
      </w:r>
    </w:p>
    <w:p>
      <w:pPr>
        <w:spacing w:after="0" w:line="111" w:lineRule="exact"/>
        <w:rPr>
          <w:rFonts w:ascii="Arial" w:cs="Arial" w:eastAsia="Arial" w:hAnsi="Arial"/>
          <w:sz w:val="20"/>
          <w:szCs w:val="20"/>
          <w:b w:val="1"/>
          <w:bCs w:val="1"/>
          <w:color w:val="0076A8"/>
        </w:rPr>
      </w:pPr>
    </w:p>
    <w:p>
      <w:pPr>
        <w:ind w:left="1200" w:right="180" w:hanging="186"/>
        <w:spacing w:after="0" w:line="253" w:lineRule="auto"/>
        <w:tabs>
          <w:tab w:leader="none" w:pos="1200" w:val="left"/>
        </w:tabs>
        <w:numPr>
          <w:ilvl w:val="1"/>
          <w:numId w:val="85"/>
        </w:numPr>
        <w:rPr>
          <w:rFonts w:ascii="Arial" w:cs="Arial" w:eastAsia="Arial" w:hAnsi="Arial"/>
          <w:sz w:val="20"/>
          <w:szCs w:val="20"/>
          <w:color w:val="auto"/>
        </w:rPr>
      </w:pPr>
      <w:r>
        <w:rPr>
          <w:rFonts w:ascii="Arial" w:cs="Arial" w:eastAsia="Arial" w:hAnsi="Arial"/>
          <w:sz w:val="20"/>
          <w:szCs w:val="20"/>
          <w:color w:val="auto"/>
        </w:rPr>
        <w:t>Proposal 1: The election of the eight nominees named in this Proxy Statement to our Board of Directors to serve until the 2023 Annual Meeting of Stockholders.</w:t>
      </w:r>
    </w:p>
    <w:p>
      <w:pPr>
        <w:spacing w:after="0" w:line="2" w:lineRule="exact"/>
        <w:rPr>
          <w:rFonts w:ascii="Arial" w:cs="Arial" w:eastAsia="Arial" w:hAnsi="Arial"/>
          <w:sz w:val="20"/>
          <w:szCs w:val="20"/>
          <w:color w:val="auto"/>
        </w:rPr>
      </w:pPr>
    </w:p>
    <w:p>
      <w:pPr>
        <w:jc w:val="both"/>
        <w:ind w:left="1200" w:right="240" w:hanging="186"/>
        <w:spacing w:after="0" w:line="266" w:lineRule="auto"/>
        <w:tabs>
          <w:tab w:leader="none" w:pos="1200" w:val="left"/>
        </w:tabs>
        <w:numPr>
          <w:ilvl w:val="1"/>
          <w:numId w:val="85"/>
        </w:numPr>
        <w:rPr>
          <w:rFonts w:ascii="Arial" w:cs="Arial" w:eastAsia="Arial" w:hAnsi="Arial"/>
          <w:sz w:val="19"/>
          <w:szCs w:val="19"/>
          <w:color w:val="auto"/>
        </w:rPr>
      </w:pPr>
      <w:r>
        <w:rPr>
          <w:rFonts w:ascii="Arial" w:cs="Arial" w:eastAsia="Arial" w:hAnsi="Arial"/>
          <w:sz w:val="19"/>
          <w:szCs w:val="19"/>
          <w:color w:val="auto"/>
        </w:rPr>
        <w:t>Proposal 2: The ratification of the selection of KPMG LLP as our independent registered public accounting firm for fiscal year 2022.</w:t>
      </w:r>
    </w:p>
    <w:p>
      <w:pPr>
        <w:spacing w:after="0" w:line="2" w:lineRule="exact"/>
        <w:rPr>
          <w:rFonts w:ascii="Arial" w:cs="Arial" w:eastAsia="Arial" w:hAnsi="Arial"/>
          <w:sz w:val="19"/>
          <w:szCs w:val="19"/>
          <w:color w:val="auto"/>
        </w:rPr>
      </w:pPr>
    </w:p>
    <w:p>
      <w:pPr>
        <w:ind w:left="1200" w:right="220" w:hanging="186"/>
        <w:spacing w:after="0" w:line="255" w:lineRule="auto"/>
        <w:tabs>
          <w:tab w:leader="none" w:pos="1200" w:val="left"/>
        </w:tabs>
        <w:numPr>
          <w:ilvl w:val="1"/>
          <w:numId w:val="85"/>
        </w:numPr>
        <w:rPr>
          <w:rFonts w:ascii="Arial" w:cs="Arial" w:eastAsia="Arial" w:hAnsi="Arial"/>
          <w:sz w:val="20"/>
          <w:szCs w:val="20"/>
          <w:color w:val="auto"/>
        </w:rPr>
      </w:pPr>
      <w:r>
        <w:rPr>
          <w:rFonts w:ascii="Arial" w:cs="Arial" w:eastAsia="Arial" w:hAnsi="Arial"/>
          <w:sz w:val="20"/>
          <w:szCs w:val="20"/>
          <w:color w:val="auto"/>
        </w:rPr>
        <w:t>Proposal 3: The approval, on a non-binding basis, of the compensation of our Named Executive Officers, as described above under “</w:t>
      </w:r>
      <w:r>
        <w:rPr>
          <w:rFonts w:ascii="Arial" w:cs="Arial" w:eastAsia="Arial" w:hAnsi="Arial"/>
          <w:sz w:val="20"/>
          <w:szCs w:val="20"/>
          <w:i w:val="1"/>
          <w:iCs w:val="1"/>
          <w:color w:val="auto"/>
        </w:rPr>
        <w:t>Compensation Discussion and</w:t>
      </w:r>
      <w:r>
        <w:rPr>
          <w:rFonts w:ascii="Arial" w:cs="Arial" w:eastAsia="Arial" w:hAnsi="Arial"/>
          <w:sz w:val="20"/>
          <w:szCs w:val="20"/>
          <w:color w:val="auto"/>
        </w:rPr>
        <w:t xml:space="preserve"> </w:t>
      </w:r>
      <w:r>
        <w:rPr>
          <w:rFonts w:ascii="Arial" w:cs="Arial" w:eastAsia="Arial" w:hAnsi="Arial"/>
          <w:sz w:val="20"/>
          <w:szCs w:val="20"/>
          <w:i w:val="1"/>
          <w:iCs w:val="1"/>
          <w:color w:val="auto"/>
        </w:rPr>
        <w:t>Analysis</w:t>
      </w:r>
      <w:r>
        <w:rPr>
          <w:rFonts w:ascii="Arial" w:cs="Arial" w:eastAsia="Arial" w:hAnsi="Arial"/>
          <w:sz w:val="20"/>
          <w:szCs w:val="20"/>
          <w:color w:val="auto"/>
        </w:rPr>
        <w:t>,” and in the executive</w:t>
      </w:r>
      <w:r>
        <w:rPr>
          <w:rFonts w:ascii="Arial" w:cs="Arial" w:eastAsia="Arial" w:hAnsi="Arial"/>
          <w:sz w:val="20"/>
          <w:szCs w:val="20"/>
          <w:i w:val="1"/>
          <w:iCs w:val="1"/>
          <w:color w:val="auto"/>
        </w:rPr>
        <w:t xml:space="preserve"> </w:t>
      </w:r>
      <w:r>
        <w:rPr>
          <w:rFonts w:ascii="Arial" w:cs="Arial" w:eastAsia="Arial" w:hAnsi="Arial"/>
          <w:sz w:val="20"/>
          <w:szCs w:val="20"/>
          <w:color w:val="auto"/>
        </w:rPr>
        <w:t>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ind w:left="543" w:right="800"/>
        <w:spacing w:after="0" w:line="259" w:lineRule="auto"/>
        <w:rPr>
          <w:sz w:val="20"/>
          <w:szCs w:val="20"/>
          <w:color w:val="auto"/>
        </w:rPr>
      </w:pPr>
      <w:r>
        <w:rPr>
          <w:rFonts w:ascii="Arial" w:cs="Arial" w:eastAsia="Arial" w:hAnsi="Arial"/>
          <w:sz w:val="19"/>
          <w:szCs w:val="19"/>
          <w:color w:val="auto"/>
        </w:rPr>
        <w:t>tables and accompanying narrative disclosures in this Proxy Statement.</w:t>
      </w:r>
    </w:p>
    <w:p>
      <w:pPr>
        <w:spacing w:after="0" w:line="1" w:lineRule="exact"/>
        <w:rPr>
          <w:sz w:val="20"/>
          <w:szCs w:val="20"/>
          <w:color w:val="auto"/>
        </w:rPr>
      </w:pPr>
    </w:p>
    <w:p>
      <w:pPr>
        <w:ind w:left="543" w:right="220" w:hanging="183"/>
        <w:spacing w:after="0" w:line="253" w:lineRule="auto"/>
        <w:tabs>
          <w:tab w:leader="none" w:pos="543" w:val="left"/>
        </w:tabs>
        <w:numPr>
          <w:ilvl w:val="0"/>
          <w:numId w:val="86"/>
        </w:numPr>
        <w:rPr>
          <w:rFonts w:ascii="Arial" w:cs="Arial" w:eastAsia="Arial" w:hAnsi="Arial"/>
          <w:sz w:val="20"/>
          <w:szCs w:val="20"/>
          <w:color w:val="auto"/>
        </w:rPr>
      </w:pPr>
      <w:r>
        <w:rPr>
          <w:rFonts w:ascii="Arial" w:cs="Arial" w:eastAsia="Arial" w:hAnsi="Arial"/>
          <w:sz w:val="20"/>
          <w:szCs w:val="20"/>
          <w:color w:val="auto"/>
        </w:rPr>
        <w:t>Proposals 4, 5, 6, and 7: The approval of various amendments to the Company’s Restated Certificate of Incorporation regarding elimination of supermajority vote provisions.</w:t>
      </w:r>
    </w:p>
    <w:p>
      <w:pPr>
        <w:spacing w:after="0" w:line="2" w:lineRule="exact"/>
        <w:rPr>
          <w:rFonts w:ascii="Arial" w:cs="Arial" w:eastAsia="Arial" w:hAnsi="Arial"/>
          <w:sz w:val="20"/>
          <w:szCs w:val="20"/>
          <w:color w:val="auto"/>
        </w:rPr>
      </w:pPr>
    </w:p>
    <w:p>
      <w:pPr>
        <w:ind w:left="543" w:right="220" w:hanging="183"/>
        <w:spacing w:after="0" w:line="256" w:lineRule="auto"/>
        <w:tabs>
          <w:tab w:leader="none" w:pos="543" w:val="left"/>
        </w:tabs>
        <w:numPr>
          <w:ilvl w:val="0"/>
          <w:numId w:val="86"/>
        </w:numPr>
        <w:rPr>
          <w:rFonts w:ascii="Arial" w:cs="Arial" w:eastAsia="Arial" w:hAnsi="Arial"/>
          <w:sz w:val="20"/>
          <w:szCs w:val="20"/>
          <w:color w:val="auto"/>
        </w:rPr>
      </w:pPr>
      <w:r>
        <w:rPr>
          <w:rFonts w:ascii="Arial" w:cs="Arial" w:eastAsia="Arial" w:hAnsi="Arial"/>
          <w:sz w:val="20"/>
          <w:szCs w:val="20"/>
          <w:color w:val="auto"/>
        </w:rPr>
        <w:t>Proposal 8: A non-binding stockholder proposal regarding our stockholder special meeting right, if properly presented at the Annual Meeting.</w:t>
      </w:r>
    </w:p>
    <w:p>
      <w:pPr>
        <w:spacing w:after="0" w:line="207" w:lineRule="exact"/>
        <w:rPr>
          <w:sz w:val="20"/>
          <w:szCs w:val="20"/>
          <w:color w:val="auto"/>
        </w:rPr>
      </w:pPr>
    </w:p>
    <w:p>
      <w:pPr>
        <w:ind w:left="363" w:right="280"/>
        <w:spacing w:after="0" w:line="257" w:lineRule="auto"/>
        <w:rPr>
          <w:sz w:val="20"/>
          <w:szCs w:val="20"/>
          <w:color w:val="auto"/>
        </w:rPr>
      </w:pPr>
      <w:r>
        <w:rPr>
          <w:rFonts w:ascii="Arial" w:cs="Arial" w:eastAsia="Arial" w:hAnsi="Arial"/>
          <w:sz w:val="20"/>
          <w:szCs w:val="20"/>
          <w:color w:val="191919"/>
        </w:rPr>
        <w:t>The stockholders will also act on any other business that may properly come before the meeting.</w:t>
      </w:r>
    </w:p>
    <w:p>
      <w:pPr>
        <w:spacing w:after="0" w:line="182" w:lineRule="exact"/>
        <w:rPr>
          <w:sz w:val="20"/>
          <w:szCs w:val="20"/>
          <w:color w:val="auto"/>
        </w:rPr>
      </w:pPr>
    </w:p>
    <w:p>
      <w:pPr>
        <w:ind w:left="363" w:hanging="363"/>
        <w:spacing w:after="0"/>
        <w:tabs>
          <w:tab w:leader="none" w:pos="363" w:val="left"/>
        </w:tabs>
        <w:numPr>
          <w:ilvl w:val="0"/>
          <w:numId w:val="87"/>
        </w:numPr>
        <w:rPr>
          <w:rFonts w:ascii="Arial" w:cs="Arial" w:eastAsia="Arial" w:hAnsi="Arial"/>
          <w:sz w:val="20"/>
          <w:szCs w:val="20"/>
          <w:b w:val="1"/>
          <w:bCs w:val="1"/>
          <w:color w:val="0076A8"/>
        </w:rPr>
      </w:pPr>
      <w:r>
        <w:rPr>
          <w:rFonts w:ascii="Arial" w:cs="Arial" w:eastAsia="Arial" w:hAnsi="Arial"/>
          <w:sz w:val="20"/>
          <w:szCs w:val="20"/>
          <w:b w:val="1"/>
          <w:bCs w:val="1"/>
          <w:color w:val="0076A8"/>
        </w:rPr>
        <w:t>What is included in our proxy materials?</w:t>
      </w:r>
    </w:p>
    <w:p>
      <w:pPr>
        <w:spacing w:after="0" w:line="172" w:lineRule="exact"/>
        <w:rPr>
          <w:rFonts w:ascii="Arial" w:cs="Arial" w:eastAsia="Arial" w:hAnsi="Arial"/>
          <w:sz w:val="20"/>
          <w:szCs w:val="20"/>
          <w:b w:val="1"/>
          <w:bCs w:val="1"/>
          <w:color w:val="0076A8"/>
        </w:rPr>
      </w:pPr>
    </w:p>
    <w:p>
      <w:pPr>
        <w:ind w:left="363" w:right="20"/>
        <w:spacing w:after="0" w:line="254" w:lineRule="auto"/>
        <w:rPr>
          <w:rFonts w:ascii="Arial" w:cs="Arial" w:eastAsia="Arial" w:hAnsi="Arial"/>
          <w:sz w:val="20"/>
          <w:szCs w:val="20"/>
          <w:b w:val="1"/>
          <w:bCs w:val="1"/>
          <w:color w:val="0076A8"/>
        </w:rPr>
      </w:pPr>
      <w:r>
        <w:rPr>
          <w:rFonts w:ascii="Arial" w:cs="Arial" w:eastAsia="Arial" w:hAnsi="Arial"/>
          <w:sz w:val="20"/>
          <w:szCs w:val="20"/>
          <w:color w:val="191919"/>
        </w:rPr>
        <w:t>The Company’s Annual Report, which includes financial statements and “</w:t>
      </w:r>
      <w:r>
        <w:rPr>
          <w:rFonts w:ascii="Arial" w:cs="Arial" w:eastAsia="Arial" w:hAnsi="Arial"/>
          <w:sz w:val="20"/>
          <w:szCs w:val="20"/>
          <w:i w:val="1"/>
          <w:iCs w:val="1"/>
          <w:color w:val="191919"/>
        </w:rPr>
        <w:t>Management’s</w:t>
      </w:r>
      <w:r>
        <w:rPr>
          <w:rFonts w:ascii="Arial" w:cs="Arial" w:eastAsia="Arial" w:hAnsi="Arial"/>
          <w:sz w:val="20"/>
          <w:szCs w:val="20"/>
          <w:color w:val="191919"/>
        </w:rPr>
        <w:t xml:space="preserve"> </w:t>
      </w:r>
      <w:r>
        <w:rPr>
          <w:rFonts w:ascii="Arial" w:cs="Arial" w:eastAsia="Arial" w:hAnsi="Arial"/>
          <w:sz w:val="20"/>
          <w:szCs w:val="20"/>
          <w:i w:val="1"/>
          <w:iCs w:val="1"/>
          <w:color w:val="191919"/>
        </w:rPr>
        <w:t>Discussion and Analysis of Financial Condition and Results of Operation</w:t>
      </w:r>
      <w:r>
        <w:rPr>
          <w:rFonts w:ascii="Arial" w:cs="Arial" w:eastAsia="Arial" w:hAnsi="Arial"/>
          <w:sz w:val="20"/>
          <w:szCs w:val="20"/>
          <w:color w:val="191919"/>
        </w:rPr>
        <w:t>” for fiscal year 2021,</w:t>
      </w:r>
      <w:r>
        <w:rPr>
          <w:rFonts w:ascii="Arial" w:cs="Arial" w:eastAsia="Arial" w:hAnsi="Arial"/>
          <w:sz w:val="20"/>
          <w:szCs w:val="20"/>
          <w:i w:val="1"/>
          <w:iCs w:val="1"/>
          <w:color w:val="191919"/>
        </w:rPr>
        <w:t xml:space="preserve"> </w:t>
      </w:r>
      <w:r>
        <w:rPr>
          <w:rFonts w:ascii="Arial" w:cs="Arial" w:eastAsia="Arial" w:hAnsi="Arial"/>
          <w:sz w:val="20"/>
          <w:szCs w:val="20"/>
          <w:color w:val="191919"/>
        </w:rPr>
        <w:t>accompanies this Proxy Statement. This Proxy Statement and form of proxy, and/or notice of access thereto, are being first mailed to stockholders on or about March 25, 2022. The Proxy Statement and the Company’s Annual Report are available at www.skyworksinc.com/annualreport.</w:t>
      </w:r>
    </w:p>
    <w:p>
      <w:pPr>
        <w:spacing w:after="0" w:line="174" w:lineRule="exact"/>
        <w:rPr>
          <w:rFonts w:ascii="Arial" w:cs="Arial" w:eastAsia="Arial" w:hAnsi="Arial"/>
          <w:sz w:val="20"/>
          <w:szCs w:val="20"/>
          <w:b w:val="1"/>
          <w:bCs w:val="1"/>
          <w:color w:val="0076A8"/>
        </w:rPr>
      </w:pPr>
    </w:p>
    <w:p>
      <w:pPr>
        <w:ind w:left="363" w:hanging="363"/>
        <w:spacing w:after="0"/>
        <w:tabs>
          <w:tab w:leader="none" w:pos="363" w:val="left"/>
        </w:tabs>
        <w:numPr>
          <w:ilvl w:val="0"/>
          <w:numId w:val="88"/>
        </w:numPr>
        <w:rPr>
          <w:rFonts w:ascii="Arial" w:cs="Arial" w:eastAsia="Arial" w:hAnsi="Arial"/>
          <w:sz w:val="20"/>
          <w:szCs w:val="20"/>
          <w:b w:val="1"/>
          <w:bCs w:val="1"/>
          <w:color w:val="0076A8"/>
        </w:rPr>
      </w:pPr>
      <w:r>
        <w:rPr>
          <w:rFonts w:ascii="Arial" w:cs="Arial" w:eastAsia="Arial" w:hAnsi="Arial"/>
          <w:sz w:val="20"/>
          <w:szCs w:val="20"/>
          <w:b w:val="1"/>
          <w:bCs w:val="1"/>
          <w:color w:val="0076A8"/>
        </w:rPr>
        <w:t>Who can vote at our Annual Meeting?</w:t>
      </w:r>
    </w:p>
    <w:p>
      <w:pPr>
        <w:spacing w:after="0" w:line="172" w:lineRule="exact"/>
        <w:rPr>
          <w:rFonts w:ascii="Arial" w:cs="Arial" w:eastAsia="Arial" w:hAnsi="Arial"/>
          <w:sz w:val="20"/>
          <w:szCs w:val="20"/>
          <w:b w:val="1"/>
          <w:bCs w:val="1"/>
          <w:color w:val="0076A8"/>
        </w:rPr>
      </w:pPr>
    </w:p>
    <w:p>
      <w:pPr>
        <w:ind w:left="363" w:right="20"/>
        <w:spacing w:after="0" w:line="268" w:lineRule="auto"/>
        <w:rPr>
          <w:rFonts w:ascii="Arial" w:cs="Arial" w:eastAsia="Arial" w:hAnsi="Arial"/>
          <w:sz w:val="20"/>
          <w:szCs w:val="20"/>
          <w:b w:val="1"/>
          <w:bCs w:val="1"/>
          <w:color w:val="0076A8"/>
        </w:rPr>
      </w:pPr>
      <w:r>
        <w:rPr>
          <w:rFonts w:ascii="Arial" w:cs="Arial" w:eastAsia="Arial" w:hAnsi="Arial"/>
          <w:sz w:val="19"/>
          <w:szCs w:val="19"/>
          <w:color w:val="191919"/>
        </w:rPr>
        <w:t>Only stockholders of record at the close of business on March 17, 2022 (the “Record Date”), are entitled to notice of and to vote at the Annual Meeting. As of the Record Date, there were 161,670,997 shares of Skyworks’ common stock issued and outstanding. Pursuant to Skyworks’ Restated Certificate of Incorporation and By-laws, and applicable Delaware law, each share of common stock entitles the holder of record at the close of business on the Record Date to one vote on each matter considered at the Annual Meeting.</w:t>
      </w:r>
    </w:p>
    <w:p>
      <w:pPr>
        <w:spacing w:after="0" w:line="709" w:lineRule="exact"/>
        <w:rPr>
          <w:sz w:val="20"/>
          <w:szCs w:val="20"/>
          <w:color w:val="auto"/>
        </w:rPr>
      </w:pPr>
    </w:p>
    <w:p>
      <w:pPr>
        <w:sectPr>
          <w:pgSz w:w="11900" w:h="16838" w:orient="portrait"/>
          <w:cols w:equalWidth="0" w:num="2">
            <w:col w:w="5320" w:space="257"/>
            <w:col w:w="4483"/>
          </w:cols>
          <w:pgMar w:left="580" w:top="132" w:right="1259" w:bottom="1440" w:gutter="0" w:footer="0" w:header="0"/>
          <w:type w:val="continuous"/>
        </w:sectPr>
      </w:pPr>
    </w:p>
    <w:p>
      <w:pPr>
        <w:spacing w:after="0" w:line="200" w:lineRule="exact"/>
        <w:rPr>
          <w:sz w:val="20"/>
          <w:szCs w:val="20"/>
          <w:color w:val="auto"/>
        </w:rPr>
      </w:pPr>
    </w:p>
    <w:p>
      <w:pPr>
        <w:spacing w:after="0" w:line="277" w:lineRule="exact"/>
        <w:rPr>
          <w:sz w:val="20"/>
          <w:szCs w:val="20"/>
          <w:color w:val="auto"/>
        </w:rPr>
      </w:pPr>
    </w:p>
    <w:p>
      <w:pPr>
        <w:ind w:left="660"/>
        <w:spacing w:after="0"/>
        <w:tabs>
          <w:tab w:leader="none" w:pos="4817" w:val="left"/>
        </w:tabs>
        <w:rPr>
          <w:sz w:val="20"/>
          <w:szCs w:val="20"/>
          <w:color w:val="auto"/>
        </w:rPr>
      </w:pPr>
      <w:r>
        <w:rPr>
          <w:rFonts w:ascii="Arial" w:cs="Arial" w:eastAsia="Arial" w:hAnsi="Arial"/>
          <w:sz w:val="16"/>
          <w:szCs w:val="16"/>
          <w:color w:val="auto"/>
        </w:rPr>
        <w:t>68</w:t>
      </w:r>
      <w:r>
        <w:rPr>
          <w:sz w:val="20"/>
          <w:szCs w:val="20"/>
          <w:color w:val="auto"/>
        </w:rPr>
        <w:tab/>
      </w:r>
      <w:r>
        <w:rPr>
          <w:sz w:val="1"/>
          <w:szCs w:val="1"/>
          <w:color w:val="auto"/>
        </w:rPr>
        <w:drawing>
          <wp:inline distT="0" distB="0" distL="0" distR="0">
            <wp:extent cx="779780" cy="257175"/>
            <wp:effectExtent l="0" t="0" r="0" b="0"/>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132" w:right="1259" w:bottom="1440" w:gutter="0" w:footer="0" w:header="0"/>
          <w:type w:val="continuous"/>
        </w:sectPr>
      </w:pPr>
    </w:p>
    <w:bookmarkStart w:id="73" w:name="page74"/>
    <w:bookmarkEnd w:id="7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375" w:lineRule="exact"/>
        <w:rPr>
          <w:sz w:val="20"/>
          <w:szCs w:val="20"/>
          <w:color w:val="auto"/>
        </w:rPr>
      </w:pPr>
    </w:p>
    <w:p>
      <w:pPr>
        <w:ind w:left="1020" w:hanging="366"/>
        <w:spacing w:after="0"/>
        <w:tabs>
          <w:tab w:leader="none" w:pos="1020" w:val="left"/>
        </w:tabs>
        <w:numPr>
          <w:ilvl w:val="0"/>
          <w:numId w:val="89"/>
        </w:numPr>
        <w:rPr>
          <w:rFonts w:ascii="Arial" w:cs="Arial" w:eastAsia="Arial" w:hAnsi="Arial"/>
          <w:sz w:val="20"/>
          <w:szCs w:val="20"/>
          <w:b w:val="1"/>
          <w:bCs w:val="1"/>
          <w:color w:val="0076A8"/>
        </w:rPr>
      </w:pPr>
      <w:r>
        <w:rPr>
          <w:rFonts w:ascii="Arial" w:cs="Arial" w:eastAsia="Arial" w:hAnsi="Arial"/>
          <w:sz w:val="20"/>
          <w:szCs w:val="20"/>
          <w:b w:val="1"/>
          <w:bCs w:val="1"/>
          <w:color w:val="0076A8"/>
        </w:rPr>
        <w:t>Is my vote important?</w:t>
      </w:r>
    </w:p>
    <w:p>
      <w:pPr>
        <w:spacing w:after="0" w:line="158" w:lineRule="exact"/>
        <w:rPr>
          <w:rFonts w:ascii="Arial" w:cs="Arial" w:eastAsia="Arial" w:hAnsi="Arial"/>
          <w:sz w:val="20"/>
          <w:szCs w:val="20"/>
          <w:b w:val="1"/>
          <w:bCs w:val="1"/>
          <w:color w:val="0076A8"/>
        </w:rPr>
      </w:pPr>
    </w:p>
    <w:p>
      <w:pPr>
        <w:ind w:left="1020" w:right="40"/>
        <w:spacing w:after="0" w:line="255" w:lineRule="auto"/>
        <w:rPr>
          <w:rFonts w:ascii="Arial" w:cs="Arial" w:eastAsia="Arial" w:hAnsi="Arial"/>
          <w:sz w:val="20"/>
          <w:szCs w:val="20"/>
          <w:b w:val="1"/>
          <w:bCs w:val="1"/>
          <w:color w:val="0076A8"/>
        </w:rPr>
      </w:pPr>
      <w:r>
        <w:rPr>
          <w:rFonts w:ascii="Arial" w:cs="Arial" w:eastAsia="Arial" w:hAnsi="Arial"/>
          <w:sz w:val="20"/>
          <w:szCs w:val="20"/>
          <w:color w:val="191919"/>
        </w:rPr>
        <w:t>Yes. Your vote is important no matter how many shares you own. Please take the time to vote in the way that is easiest and most convenient for you, and cast your vote as soon as possible.</w:t>
      </w:r>
    </w:p>
    <w:p>
      <w:pPr>
        <w:spacing w:after="0" w:line="185" w:lineRule="exact"/>
        <w:rPr>
          <w:rFonts w:ascii="Arial" w:cs="Arial" w:eastAsia="Arial" w:hAnsi="Arial"/>
          <w:sz w:val="20"/>
          <w:szCs w:val="20"/>
          <w:b w:val="1"/>
          <w:bCs w:val="1"/>
          <w:color w:val="0076A8"/>
        </w:rPr>
      </w:pPr>
    </w:p>
    <w:p>
      <w:pPr>
        <w:ind w:left="1020" w:right="620" w:hanging="366"/>
        <w:spacing w:after="0" w:line="271" w:lineRule="auto"/>
        <w:tabs>
          <w:tab w:leader="none" w:pos="1020" w:val="left"/>
        </w:tabs>
        <w:numPr>
          <w:ilvl w:val="0"/>
          <w:numId w:val="90"/>
        </w:numPr>
        <w:rPr>
          <w:rFonts w:ascii="Arial" w:cs="Arial" w:eastAsia="Arial" w:hAnsi="Arial"/>
          <w:sz w:val="20"/>
          <w:szCs w:val="20"/>
          <w:b w:val="1"/>
          <w:bCs w:val="1"/>
          <w:color w:val="0076A8"/>
        </w:rPr>
      </w:pPr>
      <w:r>
        <w:rPr>
          <w:rFonts w:ascii="Arial" w:cs="Arial" w:eastAsia="Arial" w:hAnsi="Arial"/>
          <w:sz w:val="20"/>
          <w:szCs w:val="20"/>
          <w:b w:val="1"/>
          <w:bCs w:val="1"/>
          <w:color w:val="0076A8"/>
        </w:rPr>
        <w:t>How do I vote if I am a stockholder of record?</w:t>
      </w:r>
    </w:p>
    <w:p>
      <w:pPr>
        <w:spacing w:after="0" w:line="98" w:lineRule="exact"/>
        <w:rPr>
          <w:rFonts w:ascii="Arial" w:cs="Arial" w:eastAsia="Arial" w:hAnsi="Arial"/>
          <w:sz w:val="20"/>
          <w:szCs w:val="20"/>
          <w:b w:val="1"/>
          <w:bCs w:val="1"/>
          <w:color w:val="0076A8"/>
        </w:rPr>
      </w:pPr>
    </w:p>
    <w:p>
      <w:pPr>
        <w:ind w:left="1020" w:right="80"/>
        <w:spacing w:after="0" w:line="266" w:lineRule="auto"/>
        <w:rPr>
          <w:rFonts w:ascii="Arial" w:cs="Arial" w:eastAsia="Arial" w:hAnsi="Arial"/>
          <w:sz w:val="20"/>
          <w:szCs w:val="20"/>
          <w:b w:val="1"/>
          <w:bCs w:val="1"/>
          <w:color w:val="0076A8"/>
        </w:rPr>
      </w:pPr>
      <w:r>
        <w:rPr>
          <w:rFonts w:ascii="Arial" w:cs="Arial" w:eastAsia="Arial" w:hAnsi="Arial"/>
          <w:sz w:val="19"/>
          <w:szCs w:val="19"/>
          <w:color w:val="191919"/>
        </w:rPr>
        <w:t>As a stockholder of record, you may vote in one of the following three ways whether or not you plan to attend the Annual Meeting online:</w:t>
      </w:r>
    </w:p>
    <w:p>
      <w:pPr>
        <w:spacing w:after="0" w:line="2" w:lineRule="exact"/>
        <w:rPr>
          <w:rFonts w:ascii="Arial" w:cs="Arial" w:eastAsia="Arial" w:hAnsi="Arial"/>
          <w:sz w:val="20"/>
          <w:szCs w:val="20"/>
          <w:b w:val="1"/>
          <w:bCs w:val="1"/>
          <w:color w:val="0076A8"/>
        </w:rPr>
      </w:pPr>
    </w:p>
    <w:p>
      <w:pPr>
        <w:ind w:left="1020" w:right="140" w:hanging="6"/>
        <w:spacing w:after="0" w:line="266" w:lineRule="auto"/>
        <w:tabs>
          <w:tab w:leader="none" w:pos="1317" w:val="left"/>
        </w:tabs>
        <w:numPr>
          <w:ilvl w:val="1"/>
          <w:numId w:val="90"/>
        </w:numPr>
        <w:rPr>
          <w:rFonts w:ascii="Arial" w:cs="Arial" w:eastAsia="Arial" w:hAnsi="Arial"/>
          <w:sz w:val="19"/>
          <w:szCs w:val="19"/>
          <w:color w:val="191919"/>
        </w:rPr>
      </w:pPr>
      <w:r>
        <w:rPr>
          <w:rFonts w:ascii="Arial" w:cs="Arial" w:eastAsia="Arial" w:hAnsi="Arial"/>
          <w:sz w:val="19"/>
          <w:szCs w:val="19"/>
          <w:color w:val="191919"/>
        </w:rPr>
        <w:t>by completing and submitting your proxy via the Internet at the website address listed on the proxy card, (b) by completing and submitting your proxy using the toll-free telephone number listed on the proxy card, or</w:t>
      </w:r>
    </w:p>
    <w:p>
      <w:pPr>
        <w:spacing w:after="0" w:line="4" w:lineRule="exact"/>
        <w:rPr>
          <w:rFonts w:ascii="Arial" w:cs="Arial" w:eastAsia="Arial" w:hAnsi="Arial"/>
          <w:sz w:val="19"/>
          <w:szCs w:val="19"/>
          <w:color w:val="191919"/>
        </w:rPr>
      </w:pPr>
    </w:p>
    <w:p>
      <w:pPr>
        <w:ind w:left="1020" w:hanging="6"/>
        <w:spacing w:after="0" w:line="268" w:lineRule="auto"/>
        <w:tabs>
          <w:tab w:leader="none" w:pos="1306" w:val="left"/>
        </w:tabs>
        <w:numPr>
          <w:ilvl w:val="1"/>
          <w:numId w:val="91"/>
        </w:numPr>
        <w:rPr>
          <w:rFonts w:ascii="Arial" w:cs="Arial" w:eastAsia="Arial" w:hAnsi="Arial"/>
          <w:sz w:val="19"/>
          <w:szCs w:val="19"/>
          <w:color w:val="191919"/>
        </w:rPr>
      </w:pPr>
      <w:r>
        <w:rPr>
          <w:rFonts w:ascii="Arial" w:cs="Arial" w:eastAsia="Arial" w:hAnsi="Arial"/>
          <w:sz w:val="19"/>
          <w:szCs w:val="19"/>
          <w:color w:val="191919"/>
        </w:rPr>
        <w:t>by completing, signing, and dating the proxy card and returning it in the postage-prepaid envelope provided for that purpose. If you attend the Annual Meeting online, you may vote online at the Annual Meeting even if you have previously submitted your proxy by mail or telephone, or via the Internet (and your vote at the Annual Meeting will automatically revoke your previously submitted proxy, although mere virtual attendance at the meeting without voting will not have that result).</w:t>
      </w:r>
    </w:p>
    <w:p>
      <w:pPr>
        <w:spacing w:after="0" w:line="181" w:lineRule="exact"/>
        <w:rPr>
          <w:rFonts w:ascii="Arial" w:cs="Arial" w:eastAsia="Arial" w:hAnsi="Arial"/>
          <w:sz w:val="19"/>
          <w:szCs w:val="19"/>
          <w:color w:val="191919"/>
        </w:rPr>
      </w:pPr>
    </w:p>
    <w:p>
      <w:pPr>
        <w:ind w:left="1020" w:right="200" w:hanging="366"/>
        <w:spacing w:after="0" w:line="271" w:lineRule="auto"/>
        <w:tabs>
          <w:tab w:leader="none" w:pos="1020" w:val="left"/>
        </w:tabs>
        <w:numPr>
          <w:ilvl w:val="0"/>
          <w:numId w:val="92"/>
        </w:numPr>
        <w:rPr>
          <w:rFonts w:ascii="Arial" w:cs="Arial" w:eastAsia="Arial" w:hAnsi="Arial"/>
          <w:sz w:val="20"/>
          <w:szCs w:val="20"/>
          <w:b w:val="1"/>
          <w:bCs w:val="1"/>
          <w:color w:val="0076A8"/>
        </w:rPr>
      </w:pPr>
      <w:r>
        <w:rPr>
          <w:rFonts w:ascii="Arial" w:cs="Arial" w:eastAsia="Arial" w:hAnsi="Arial"/>
          <w:sz w:val="20"/>
          <w:szCs w:val="20"/>
          <w:b w:val="1"/>
          <w:bCs w:val="1"/>
          <w:color w:val="0076A8"/>
        </w:rPr>
        <w:t>How do I vote if I am a beneficial owner of shares held in “street name”?</w:t>
      </w:r>
    </w:p>
    <w:p>
      <w:pPr>
        <w:spacing w:after="0" w:line="112" w:lineRule="exact"/>
        <w:rPr>
          <w:rFonts w:ascii="Arial" w:cs="Arial" w:eastAsia="Arial" w:hAnsi="Arial"/>
          <w:sz w:val="20"/>
          <w:szCs w:val="20"/>
          <w:b w:val="1"/>
          <w:bCs w:val="1"/>
          <w:color w:val="0076A8"/>
        </w:rPr>
      </w:pPr>
    </w:p>
    <w:p>
      <w:pPr>
        <w:ind w:left="1020" w:right="40"/>
        <w:spacing w:after="0" w:line="268" w:lineRule="auto"/>
        <w:rPr>
          <w:rFonts w:ascii="Arial" w:cs="Arial" w:eastAsia="Arial" w:hAnsi="Arial"/>
          <w:sz w:val="20"/>
          <w:szCs w:val="20"/>
          <w:b w:val="1"/>
          <w:bCs w:val="1"/>
          <w:color w:val="0076A8"/>
        </w:rPr>
      </w:pPr>
      <w:r>
        <w:rPr>
          <w:rFonts w:ascii="Arial" w:cs="Arial" w:eastAsia="Arial" w:hAnsi="Arial"/>
          <w:sz w:val="19"/>
          <w:szCs w:val="19"/>
          <w:color w:val="191919"/>
        </w:rPr>
        <w:t>If your shares are held on your behalf by a third party such as your broker or another person or entity who holds shares of the Company on your behalf and for your benefit, which person or entity we refer to as a “nominee,” and your broker (or other nominee) is the stockholder of record of such shares, then you are the beneficial owner of such shares and we refer to those shares as being held in “street name.” As the beneficial owner of your “street name” shares, you are entitled to instruct your broker (or other nominee) as to how to vote your shares. Your broker (or other nominee) will provide you with information regarding how to instruct your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363" w:right="440"/>
        <w:spacing w:after="0" w:line="261" w:lineRule="auto"/>
        <w:rPr>
          <w:sz w:val="20"/>
          <w:szCs w:val="20"/>
          <w:color w:val="auto"/>
        </w:rPr>
      </w:pPr>
      <w:r>
        <w:rPr>
          <w:rFonts w:ascii="Arial" w:cs="Arial" w:eastAsia="Arial" w:hAnsi="Arial"/>
          <w:sz w:val="20"/>
          <w:szCs w:val="20"/>
          <w:color w:val="191919"/>
        </w:rPr>
        <w:t>broker (or other nominee) as to the voting of your “street name” shares.</w:t>
      </w:r>
    </w:p>
    <w:p>
      <w:pPr>
        <w:spacing w:after="0" w:line="178" w:lineRule="exact"/>
        <w:rPr>
          <w:sz w:val="20"/>
          <w:szCs w:val="20"/>
          <w:color w:val="auto"/>
        </w:rPr>
      </w:pPr>
    </w:p>
    <w:p>
      <w:pPr>
        <w:ind w:left="363" w:right="440" w:hanging="363"/>
        <w:spacing w:after="0" w:line="255" w:lineRule="auto"/>
        <w:tabs>
          <w:tab w:leader="none" w:pos="363" w:val="left"/>
        </w:tabs>
        <w:numPr>
          <w:ilvl w:val="0"/>
          <w:numId w:val="93"/>
        </w:numPr>
        <w:rPr>
          <w:rFonts w:ascii="Arial" w:cs="Arial" w:eastAsia="Arial" w:hAnsi="Arial"/>
          <w:sz w:val="20"/>
          <w:szCs w:val="20"/>
          <w:b w:val="1"/>
          <w:bCs w:val="1"/>
          <w:color w:val="0076A8"/>
        </w:rPr>
      </w:pPr>
      <w:r>
        <w:rPr>
          <w:rFonts w:ascii="Arial" w:cs="Arial" w:eastAsia="Arial" w:hAnsi="Arial"/>
          <w:sz w:val="20"/>
          <w:szCs w:val="20"/>
          <w:b w:val="1"/>
          <w:bCs w:val="1"/>
          <w:color w:val="0076A8"/>
        </w:rPr>
        <w:t>How do I vote if I am a participant in the Skyworks 401(k) Savings and Investment Plan?</w:t>
      </w:r>
    </w:p>
    <w:p>
      <w:pPr>
        <w:spacing w:after="0" w:line="114" w:lineRule="exact"/>
        <w:rPr>
          <w:rFonts w:ascii="Arial" w:cs="Arial" w:eastAsia="Arial" w:hAnsi="Arial"/>
          <w:sz w:val="20"/>
          <w:szCs w:val="20"/>
          <w:b w:val="1"/>
          <w:bCs w:val="1"/>
          <w:color w:val="0076A8"/>
        </w:rPr>
      </w:pPr>
    </w:p>
    <w:p>
      <w:pPr>
        <w:ind w:left="363" w:right="260"/>
        <w:spacing w:after="0" w:line="254" w:lineRule="auto"/>
        <w:rPr>
          <w:rFonts w:ascii="Arial" w:cs="Arial" w:eastAsia="Arial" w:hAnsi="Arial"/>
          <w:sz w:val="20"/>
          <w:szCs w:val="20"/>
          <w:b w:val="1"/>
          <w:bCs w:val="1"/>
          <w:color w:val="0076A8"/>
        </w:rPr>
      </w:pPr>
      <w:r>
        <w:rPr>
          <w:rFonts w:ascii="Arial" w:cs="Arial" w:eastAsia="Arial" w:hAnsi="Arial"/>
          <w:sz w:val="20"/>
          <w:szCs w:val="20"/>
          <w:color w:val="191919"/>
        </w:rPr>
        <w:t>If you are a participant in the Skyworks 401(k) Savings and Investment Plan (the “401(k) Plan”), you will receive an instruction card for the Skyworks shares you own through the 401(k) Plan. That instruction card will serve as a voting instruction card for the trustee of the 401(k) Plan, and your 401(k) Plan shares will be voted as you instruct.</w:t>
      </w:r>
    </w:p>
    <w:p>
      <w:pPr>
        <w:spacing w:after="0" w:line="188" w:lineRule="exact"/>
        <w:rPr>
          <w:rFonts w:ascii="Arial" w:cs="Arial" w:eastAsia="Arial" w:hAnsi="Arial"/>
          <w:sz w:val="20"/>
          <w:szCs w:val="20"/>
          <w:b w:val="1"/>
          <w:bCs w:val="1"/>
          <w:color w:val="0076A8"/>
        </w:rPr>
      </w:pPr>
    </w:p>
    <w:p>
      <w:pPr>
        <w:ind w:left="363" w:hanging="363"/>
        <w:spacing w:after="0"/>
        <w:tabs>
          <w:tab w:leader="none" w:pos="363" w:val="left"/>
        </w:tabs>
        <w:numPr>
          <w:ilvl w:val="0"/>
          <w:numId w:val="94"/>
        </w:numPr>
        <w:rPr>
          <w:rFonts w:ascii="Arial" w:cs="Arial" w:eastAsia="Arial" w:hAnsi="Arial"/>
          <w:sz w:val="20"/>
          <w:szCs w:val="20"/>
          <w:b w:val="1"/>
          <w:bCs w:val="1"/>
          <w:color w:val="0076A8"/>
        </w:rPr>
      </w:pPr>
      <w:r>
        <w:rPr>
          <w:rFonts w:ascii="Arial" w:cs="Arial" w:eastAsia="Arial" w:hAnsi="Arial"/>
          <w:sz w:val="20"/>
          <w:szCs w:val="20"/>
          <w:b w:val="1"/>
          <w:bCs w:val="1"/>
          <w:color w:val="0076A8"/>
        </w:rPr>
        <w:t>Can I change my vote after I have voted?</w:t>
      </w:r>
    </w:p>
    <w:p>
      <w:pPr>
        <w:spacing w:after="0" w:line="158" w:lineRule="exact"/>
        <w:rPr>
          <w:rFonts w:ascii="Arial" w:cs="Arial" w:eastAsia="Arial" w:hAnsi="Arial"/>
          <w:sz w:val="20"/>
          <w:szCs w:val="20"/>
          <w:b w:val="1"/>
          <w:bCs w:val="1"/>
          <w:color w:val="0076A8"/>
        </w:rPr>
      </w:pPr>
    </w:p>
    <w:p>
      <w:pPr>
        <w:ind w:left="363" w:right="180"/>
        <w:spacing w:after="0" w:line="253" w:lineRule="auto"/>
        <w:rPr>
          <w:rFonts w:ascii="Arial" w:cs="Arial" w:eastAsia="Arial" w:hAnsi="Arial"/>
          <w:sz w:val="20"/>
          <w:szCs w:val="20"/>
          <w:b w:val="1"/>
          <w:bCs w:val="1"/>
          <w:color w:val="0076A8"/>
        </w:rPr>
      </w:pPr>
      <w:r>
        <w:rPr>
          <w:rFonts w:ascii="Arial" w:cs="Arial" w:eastAsia="Arial" w:hAnsi="Arial"/>
          <w:sz w:val="20"/>
          <w:szCs w:val="20"/>
          <w:color w:val="191919"/>
        </w:rPr>
        <w:t>Any proxy given pursuant to this solicitation may be revoked by the person giving it at any time before it is voted at the Annual Meeting. Proxies may be revoked by (a) delivering to the Secretary of the Company, before the taking of the vote at the Annual Meeting, a written notice of revocation bearing a later date than the proxy, (b) duly completing a later-dated proxy relating to the same shares and delivering it to the Secretary of the Company before the taking of the vote at the Annual Meeting, or (c) attending the Annual Meeting online and voting (although virtual attendance at the Annual Meeting will not in and of itself constitute a revocation of a proxy). Any written notice of revocation or subsequent proxy should be delivered to the Company’s executive offices at Skyworks Solutions, Inc., 5260 California Avenue, Irvine, CA 92617, Attention: Secretary, before the taking of the vote at the Annual Meeting. If you vote your shares over the Internet prior to the Annual Meeting, only your latest Internet vote submitted prior to the Annual Meeting will be counted at the Annual Meeting.</w:t>
      </w:r>
    </w:p>
    <w:p>
      <w:pPr>
        <w:spacing w:after="0" w:line="206" w:lineRule="exact"/>
        <w:rPr>
          <w:rFonts w:ascii="Arial" w:cs="Arial" w:eastAsia="Arial" w:hAnsi="Arial"/>
          <w:sz w:val="20"/>
          <w:szCs w:val="20"/>
          <w:b w:val="1"/>
          <w:bCs w:val="1"/>
          <w:color w:val="0076A8"/>
        </w:rPr>
      </w:pPr>
    </w:p>
    <w:p>
      <w:pPr>
        <w:ind w:left="363" w:right="940" w:hanging="363"/>
        <w:spacing w:after="0" w:line="271" w:lineRule="auto"/>
        <w:tabs>
          <w:tab w:leader="none" w:pos="363" w:val="left"/>
        </w:tabs>
        <w:numPr>
          <w:ilvl w:val="0"/>
          <w:numId w:val="95"/>
        </w:numPr>
        <w:rPr>
          <w:rFonts w:ascii="Arial" w:cs="Arial" w:eastAsia="Arial" w:hAnsi="Arial"/>
          <w:sz w:val="20"/>
          <w:szCs w:val="20"/>
          <w:b w:val="1"/>
          <w:bCs w:val="1"/>
          <w:color w:val="0076A8"/>
        </w:rPr>
      </w:pPr>
      <w:r>
        <w:rPr>
          <w:rFonts w:ascii="Arial" w:cs="Arial" w:eastAsia="Arial" w:hAnsi="Arial"/>
          <w:sz w:val="20"/>
          <w:szCs w:val="20"/>
          <w:b w:val="1"/>
          <w:bCs w:val="1"/>
          <w:color w:val="0076A8"/>
        </w:rPr>
        <w:t>How do I virtually attend the Annual Meeting?</w:t>
      </w:r>
    </w:p>
    <w:p>
      <w:pPr>
        <w:spacing w:after="0" w:line="98" w:lineRule="exact"/>
        <w:rPr>
          <w:rFonts w:ascii="Arial" w:cs="Arial" w:eastAsia="Arial" w:hAnsi="Arial"/>
          <w:sz w:val="20"/>
          <w:szCs w:val="20"/>
          <w:b w:val="1"/>
          <w:bCs w:val="1"/>
          <w:color w:val="0076A8"/>
        </w:rPr>
      </w:pPr>
    </w:p>
    <w:p>
      <w:pPr>
        <w:ind w:left="363"/>
        <w:spacing w:after="0" w:line="273" w:lineRule="auto"/>
        <w:rPr>
          <w:rFonts w:ascii="Arial" w:cs="Arial" w:eastAsia="Arial" w:hAnsi="Arial"/>
          <w:sz w:val="20"/>
          <w:szCs w:val="20"/>
          <w:b w:val="1"/>
          <w:bCs w:val="1"/>
          <w:color w:val="0076A8"/>
        </w:rPr>
      </w:pPr>
      <w:r>
        <w:rPr>
          <w:rFonts w:ascii="Arial" w:cs="Arial" w:eastAsia="Arial" w:hAnsi="Arial"/>
          <w:sz w:val="19"/>
          <w:szCs w:val="19"/>
          <w:color w:val="191919"/>
        </w:rPr>
        <w:t>You are invited to attend the Annual Meeting online by visiting www.virtualshareholdermeeting.com/SWKS2022, where you will be able to listen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-460375</wp:posOffset>
            </wp:positionH>
            <wp:positionV relativeFrom="paragraph">
              <wp:posOffset>279400</wp:posOffset>
            </wp:positionV>
            <wp:extent cx="779780" cy="25717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79780" cy="25717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4303"/>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-3550920</wp:posOffset>
            </wp:positionH>
            <wp:positionV relativeFrom="paragraph">
              <wp:posOffset>177800</wp:posOffset>
            </wp:positionV>
            <wp:extent cx="6831965"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2">
            <w:col w:w="5140" w:space="437"/>
            <w:col w:w="4663"/>
          </w:cols>
          <w:pgMar w:left="580" w:top="132" w:right="1079" w:bottom="1440" w:gutter="0" w:footer="0" w:header="0"/>
        </w:sectPr>
      </w:pPr>
    </w:p>
    <w:bookmarkStart w:id="74" w:name="page75"/>
    <w:bookmarkEnd w:id="7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ectPr>
          <w:pgSz w:w="11900" w:h="16838" w:orient="portrait"/>
          <w:cols w:equalWidth="0" w:num="1">
            <w:col w:w="10060"/>
          </w:cols>
          <w:pgMar w:left="580" w:top="132" w:right="1259" w:bottom="1440" w:gutter="0" w:footer="0" w:header="0"/>
        </w:sectPr>
      </w:pPr>
    </w:p>
    <w:p>
      <w:pPr>
        <w:spacing w:after="0" w:line="200" w:lineRule="exact"/>
        <w:rPr>
          <w:sz w:val="20"/>
          <w:szCs w:val="20"/>
          <w:color w:val="auto"/>
        </w:rPr>
      </w:pPr>
    </w:p>
    <w:p>
      <w:pPr>
        <w:spacing w:after="0" w:line="291" w:lineRule="exact"/>
        <w:rPr>
          <w:sz w:val="20"/>
          <w:szCs w:val="20"/>
          <w:color w:val="auto"/>
        </w:rPr>
      </w:pPr>
    </w:p>
    <w:p>
      <w:pPr>
        <w:ind w:left="1020"/>
        <w:spacing w:after="0"/>
        <w:rPr>
          <w:sz w:val="20"/>
          <w:szCs w:val="20"/>
          <w:color w:val="auto"/>
        </w:rPr>
      </w:pPr>
      <w:r>
        <w:rPr>
          <w:rFonts w:ascii="Arial" w:cs="Arial" w:eastAsia="Arial" w:hAnsi="Arial"/>
          <w:sz w:val="20"/>
          <w:szCs w:val="20"/>
          <w:color w:val="191919"/>
        </w:rPr>
        <w:t>meeting live, submit questions, and vote. The</w:t>
      </w:r>
    </w:p>
    <w:p>
      <w:pPr>
        <w:spacing w:after="0" w:line="13" w:lineRule="exact"/>
        <w:rPr>
          <w:sz w:val="20"/>
          <w:szCs w:val="20"/>
          <w:color w:val="auto"/>
        </w:rPr>
      </w:pPr>
    </w:p>
    <w:p>
      <w:pPr>
        <w:ind w:left="1020"/>
        <w:spacing w:after="0"/>
        <w:rPr>
          <w:sz w:val="20"/>
          <w:szCs w:val="20"/>
          <w:color w:val="auto"/>
        </w:rPr>
      </w:pPr>
      <w:r>
        <w:rPr>
          <w:rFonts w:ascii="Arial" w:cs="Arial" w:eastAsia="Arial" w:hAnsi="Arial"/>
          <w:sz w:val="20"/>
          <w:szCs w:val="20"/>
          <w:color w:val="191919"/>
        </w:rPr>
        <w:t>meeting will begin at 11:00 a.m. Pacific</w:t>
      </w:r>
    </w:p>
    <w:p>
      <w:pPr>
        <w:spacing w:after="0" w:line="13" w:lineRule="exact"/>
        <w:rPr>
          <w:sz w:val="20"/>
          <w:szCs w:val="20"/>
          <w:color w:val="auto"/>
        </w:rPr>
      </w:pPr>
    </w:p>
    <w:p>
      <w:pPr>
        <w:ind w:left="1020"/>
        <w:spacing w:after="0"/>
        <w:rPr>
          <w:sz w:val="20"/>
          <w:szCs w:val="20"/>
          <w:color w:val="auto"/>
        </w:rPr>
      </w:pPr>
      <w:r>
        <w:rPr>
          <w:rFonts w:ascii="Arial" w:cs="Arial" w:eastAsia="Arial" w:hAnsi="Arial"/>
          <w:sz w:val="20"/>
          <w:szCs w:val="20"/>
          <w:color w:val="191919"/>
        </w:rPr>
        <w:t>Daylight Time. In order to participate in the</w:t>
      </w:r>
    </w:p>
    <w:p>
      <w:pPr>
        <w:spacing w:after="0" w:line="13" w:lineRule="exact"/>
        <w:rPr>
          <w:sz w:val="20"/>
          <w:szCs w:val="20"/>
          <w:color w:val="auto"/>
        </w:rPr>
      </w:pPr>
    </w:p>
    <w:p>
      <w:pPr>
        <w:ind w:left="1020"/>
        <w:spacing w:after="0"/>
        <w:rPr>
          <w:sz w:val="20"/>
          <w:szCs w:val="20"/>
          <w:color w:val="auto"/>
        </w:rPr>
      </w:pPr>
      <w:r>
        <w:rPr>
          <w:rFonts w:ascii="Arial" w:cs="Arial" w:eastAsia="Arial" w:hAnsi="Arial"/>
          <w:sz w:val="20"/>
          <w:szCs w:val="20"/>
          <w:color w:val="191919"/>
        </w:rPr>
        <w:t>meeting, you will need the multi-digit number</w:t>
      </w:r>
    </w:p>
    <w:p>
      <w:pPr>
        <w:spacing w:after="0" w:line="13" w:lineRule="exact"/>
        <w:rPr>
          <w:sz w:val="20"/>
          <w:szCs w:val="20"/>
          <w:color w:val="auto"/>
        </w:rPr>
      </w:pPr>
    </w:p>
    <w:p>
      <w:pPr>
        <w:ind w:left="1020"/>
        <w:spacing w:after="0"/>
        <w:rPr>
          <w:sz w:val="20"/>
          <w:szCs w:val="20"/>
          <w:color w:val="auto"/>
        </w:rPr>
      </w:pPr>
      <w:r>
        <w:rPr>
          <w:rFonts w:ascii="Arial" w:cs="Arial" w:eastAsia="Arial" w:hAnsi="Arial"/>
          <w:sz w:val="20"/>
          <w:szCs w:val="20"/>
          <w:color w:val="191919"/>
        </w:rPr>
        <w:t>included in your proxy card, voter instruction</w:t>
      </w:r>
    </w:p>
    <w:p>
      <w:pPr>
        <w:spacing w:after="0" w:line="13" w:lineRule="exact"/>
        <w:rPr>
          <w:sz w:val="20"/>
          <w:szCs w:val="20"/>
          <w:color w:val="auto"/>
        </w:rPr>
      </w:pPr>
    </w:p>
    <w:p>
      <w:pPr>
        <w:ind w:left="1020"/>
        <w:spacing w:after="0"/>
        <w:rPr>
          <w:sz w:val="20"/>
          <w:szCs w:val="20"/>
          <w:color w:val="auto"/>
        </w:rPr>
      </w:pPr>
      <w:r>
        <w:rPr>
          <w:rFonts w:ascii="Arial" w:cs="Arial" w:eastAsia="Arial" w:hAnsi="Arial"/>
          <w:sz w:val="20"/>
          <w:szCs w:val="20"/>
          <w:color w:val="191919"/>
        </w:rPr>
        <w:t>form, or notice. Instructions on how to attend</w:t>
      </w:r>
    </w:p>
    <w:p>
      <w:pPr>
        <w:spacing w:after="0" w:line="13" w:lineRule="exact"/>
        <w:rPr>
          <w:sz w:val="20"/>
          <w:szCs w:val="20"/>
          <w:color w:val="auto"/>
        </w:rPr>
      </w:pPr>
    </w:p>
    <w:p>
      <w:pPr>
        <w:ind w:left="1020"/>
        <w:spacing w:after="0"/>
        <w:rPr>
          <w:sz w:val="20"/>
          <w:szCs w:val="20"/>
          <w:color w:val="auto"/>
        </w:rPr>
      </w:pPr>
      <w:r>
        <w:rPr>
          <w:rFonts w:ascii="Arial" w:cs="Arial" w:eastAsia="Arial" w:hAnsi="Arial"/>
          <w:sz w:val="20"/>
          <w:szCs w:val="20"/>
          <w:color w:val="191919"/>
        </w:rPr>
        <w:t>and participate online, including how to</w:t>
      </w:r>
    </w:p>
    <w:p>
      <w:pPr>
        <w:spacing w:after="0" w:line="13" w:lineRule="exact"/>
        <w:rPr>
          <w:sz w:val="20"/>
          <w:szCs w:val="20"/>
          <w:color w:val="auto"/>
        </w:rPr>
      </w:pPr>
    </w:p>
    <w:p>
      <w:pPr>
        <w:ind w:left="1020"/>
        <w:spacing w:after="0"/>
        <w:rPr>
          <w:sz w:val="20"/>
          <w:szCs w:val="20"/>
          <w:color w:val="auto"/>
        </w:rPr>
      </w:pPr>
      <w:r>
        <w:rPr>
          <w:rFonts w:ascii="Arial" w:cs="Arial" w:eastAsia="Arial" w:hAnsi="Arial"/>
          <w:sz w:val="20"/>
          <w:szCs w:val="20"/>
          <w:color w:val="191919"/>
        </w:rPr>
        <w:t>demonstrate proof of stock ownership, will be</w:t>
      </w:r>
    </w:p>
    <w:p>
      <w:pPr>
        <w:spacing w:after="0" w:line="13" w:lineRule="exact"/>
        <w:rPr>
          <w:sz w:val="20"/>
          <w:szCs w:val="20"/>
          <w:color w:val="auto"/>
        </w:rPr>
      </w:pPr>
    </w:p>
    <w:p>
      <w:pPr>
        <w:ind w:left="1020"/>
        <w:spacing w:after="0"/>
        <w:rPr>
          <w:sz w:val="20"/>
          <w:szCs w:val="20"/>
          <w:color w:val="auto"/>
        </w:rPr>
      </w:pPr>
      <w:r>
        <w:rPr>
          <w:rFonts w:ascii="Arial" w:cs="Arial" w:eastAsia="Arial" w:hAnsi="Arial"/>
          <w:sz w:val="20"/>
          <w:szCs w:val="20"/>
          <w:color w:val="191919"/>
        </w:rPr>
        <w:t>posted at</w:t>
      </w:r>
    </w:p>
    <w:p>
      <w:pPr>
        <w:spacing w:after="0" w:line="13" w:lineRule="exact"/>
        <w:rPr>
          <w:sz w:val="20"/>
          <w:szCs w:val="20"/>
          <w:color w:val="auto"/>
        </w:rPr>
      </w:pPr>
    </w:p>
    <w:p>
      <w:pPr>
        <w:ind w:left="1020"/>
        <w:spacing w:after="0"/>
        <w:rPr>
          <w:sz w:val="20"/>
          <w:szCs w:val="20"/>
          <w:color w:val="auto"/>
        </w:rPr>
      </w:pPr>
      <w:r>
        <w:rPr>
          <w:rFonts w:ascii="Arial" w:cs="Arial" w:eastAsia="Arial" w:hAnsi="Arial"/>
          <w:sz w:val="19"/>
          <w:szCs w:val="19"/>
          <w:color w:val="191919"/>
        </w:rPr>
        <w:t>www.virtualshareholdermeeting.com/SWKS2022.</w:t>
      </w:r>
    </w:p>
    <w:p>
      <w:pPr>
        <w:spacing w:after="0" w:line="241" w:lineRule="exact"/>
        <w:rPr>
          <w:sz w:val="20"/>
          <w:szCs w:val="20"/>
          <w:color w:val="auto"/>
        </w:rPr>
      </w:pPr>
    </w:p>
    <w:p>
      <w:pPr>
        <w:ind w:left="1020"/>
        <w:spacing w:after="0"/>
        <w:rPr>
          <w:sz w:val="20"/>
          <w:szCs w:val="20"/>
          <w:color w:val="auto"/>
        </w:rPr>
      </w:pPr>
      <w:r>
        <w:rPr>
          <w:rFonts w:ascii="Arial" w:cs="Arial" w:eastAsia="Arial" w:hAnsi="Arial"/>
          <w:sz w:val="20"/>
          <w:szCs w:val="20"/>
          <w:color w:val="191919"/>
        </w:rPr>
        <w:t>Online check-in will begin at 10:45 a.m. Pacific</w:t>
      </w:r>
    </w:p>
    <w:p>
      <w:pPr>
        <w:spacing w:after="0" w:line="13" w:lineRule="exact"/>
        <w:rPr>
          <w:sz w:val="20"/>
          <w:szCs w:val="20"/>
          <w:color w:val="auto"/>
        </w:rPr>
      </w:pPr>
    </w:p>
    <w:p>
      <w:pPr>
        <w:ind w:left="1020"/>
        <w:spacing w:after="0"/>
        <w:rPr>
          <w:sz w:val="20"/>
          <w:szCs w:val="20"/>
          <w:color w:val="auto"/>
        </w:rPr>
      </w:pPr>
      <w:r>
        <w:rPr>
          <w:rFonts w:ascii="Arial" w:cs="Arial" w:eastAsia="Arial" w:hAnsi="Arial"/>
          <w:sz w:val="20"/>
          <w:szCs w:val="20"/>
          <w:color w:val="191919"/>
        </w:rPr>
        <w:t>Daylight Time on May 11, 2022, and you</w:t>
      </w:r>
    </w:p>
    <w:p>
      <w:pPr>
        <w:spacing w:after="0" w:line="13" w:lineRule="exact"/>
        <w:rPr>
          <w:sz w:val="20"/>
          <w:szCs w:val="20"/>
          <w:color w:val="auto"/>
        </w:rPr>
      </w:pPr>
    </w:p>
    <w:p>
      <w:pPr>
        <w:ind w:left="1020"/>
        <w:spacing w:after="0"/>
        <w:rPr>
          <w:sz w:val="20"/>
          <w:szCs w:val="20"/>
          <w:color w:val="auto"/>
        </w:rPr>
      </w:pPr>
      <w:r>
        <w:rPr>
          <w:rFonts w:ascii="Arial" w:cs="Arial" w:eastAsia="Arial" w:hAnsi="Arial"/>
          <w:sz w:val="20"/>
          <w:szCs w:val="20"/>
          <w:color w:val="191919"/>
        </w:rPr>
        <w:t>should allow ample time for the online check-in</w:t>
      </w:r>
    </w:p>
    <w:p>
      <w:pPr>
        <w:spacing w:after="0" w:line="13" w:lineRule="exact"/>
        <w:rPr>
          <w:sz w:val="20"/>
          <w:szCs w:val="20"/>
          <w:color w:val="auto"/>
        </w:rPr>
      </w:pPr>
    </w:p>
    <w:p>
      <w:pPr>
        <w:ind w:left="1020"/>
        <w:spacing w:after="0"/>
        <w:rPr>
          <w:sz w:val="20"/>
          <w:szCs w:val="20"/>
          <w:color w:val="auto"/>
        </w:rPr>
      </w:pPr>
      <w:r>
        <w:rPr>
          <w:rFonts w:ascii="Arial" w:cs="Arial" w:eastAsia="Arial" w:hAnsi="Arial"/>
          <w:sz w:val="20"/>
          <w:szCs w:val="20"/>
          <w:color w:val="191919"/>
        </w:rPr>
        <w:t>proceedings. We will have technicians</w:t>
      </w:r>
    </w:p>
    <w:p>
      <w:pPr>
        <w:spacing w:after="0" w:line="13" w:lineRule="exact"/>
        <w:rPr>
          <w:sz w:val="20"/>
          <w:szCs w:val="20"/>
          <w:color w:val="auto"/>
        </w:rPr>
      </w:pPr>
    </w:p>
    <w:p>
      <w:pPr>
        <w:ind w:left="1020"/>
        <w:spacing w:after="0"/>
        <w:rPr>
          <w:sz w:val="20"/>
          <w:szCs w:val="20"/>
          <w:color w:val="auto"/>
        </w:rPr>
      </w:pPr>
      <w:r>
        <w:rPr>
          <w:rFonts w:ascii="Arial" w:cs="Arial" w:eastAsia="Arial" w:hAnsi="Arial"/>
          <w:sz w:val="20"/>
          <w:szCs w:val="20"/>
          <w:color w:val="191919"/>
        </w:rPr>
        <w:t>standing by and ready to assist you with any</w:t>
      </w:r>
    </w:p>
    <w:p>
      <w:pPr>
        <w:spacing w:after="0" w:line="13" w:lineRule="exact"/>
        <w:rPr>
          <w:sz w:val="20"/>
          <w:szCs w:val="20"/>
          <w:color w:val="auto"/>
        </w:rPr>
      </w:pPr>
    </w:p>
    <w:p>
      <w:pPr>
        <w:ind w:left="1020"/>
        <w:spacing w:after="0"/>
        <w:rPr>
          <w:sz w:val="20"/>
          <w:szCs w:val="20"/>
          <w:color w:val="auto"/>
        </w:rPr>
      </w:pPr>
      <w:r>
        <w:rPr>
          <w:rFonts w:ascii="Arial" w:cs="Arial" w:eastAsia="Arial" w:hAnsi="Arial"/>
          <w:sz w:val="20"/>
          <w:szCs w:val="20"/>
          <w:color w:val="191919"/>
        </w:rPr>
        <w:t>technical difficulties you may have accessing</w:t>
      </w:r>
    </w:p>
    <w:p>
      <w:pPr>
        <w:spacing w:after="0" w:line="13" w:lineRule="exact"/>
        <w:rPr>
          <w:sz w:val="20"/>
          <w:szCs w:val="20"/>
          <w:color w:val="auto"/>
        </w:rPr>
      </w:pPr>
    </w:p>
    <w:p>
      <w:pPr>
        <w:ind w:left="1020"/>
        <w:spacing w:after="0"/>
        <w:rPr>
          <w:sz w:val="20"/>
          <w:szCs w:val="20"/>
          <w:color w:val="auto"/>
        </w:rPr>
      </w:pPr>
      <w:r>
        <w:rPr>
          <w:rFonts w:ascii="Arial" w:cs="Arial" w:eastAsia="Arial" w:hAnsi="Arial"/>
          <w:sz w:val="20"/>
          <w:szCs w:val="20"/>
          <w:color w:val="191919"/>
        </w:rPr>
        <w:t>the virtual meeting starting at 10:45 a.m.</w:t>
      </w:r>
    </w:p>
    <w:p>
      <w:pPr>
        <w:spacing w:after="0" w:line="13" w:lineRule="exact"/>
        <w:rPr>
          <w:sz w:val="20"/>
          <w:szCs w:val="20"/>
          <w:color w:val="auto"/>
        </w:rPr>
      </w:pPr>
    </w:p>
    <w:p>
      <w:pPr>
        <w:ind w:left="1020"/>
        <w:spacing w:after="0"/>
        <w:rPr>
          <w:sz w:val="20"/>
          <w:szCs w:val="20"/>
          <w:color w:val="auto"/>
        </w:rPr>
      </w:pPr>
      <w:r>
        <w:rPr>
          <w:rFonts w:ascii="Arial" w:cs="Arial" w:eastAsia="Arial" w:hAnsi="Arial"/>
          <w:sz w:val="20"/>
          <w:szCs w:val="20"/>
          <w:color w:val="191919"/>
        </w:rPr>
        <w:t>Pacific Daylight Time on May 11, 2022. If you</w:t>
      </w:r>
    </w:p>
    <w:p>
      <w:pPr>
        <w:spacing w:after="0" w:line="13" w:lineRule="exact"/>
        <w:rPr>
          <w:sz w:val="20"/>
          <w:szCs w:val="20"/>
          <w:color w:val="auto"/>
        </w:rPr>
      </w:pPr>
    </w:p>
    <w:p>
      <w:pPr>
        <w:ind w:left="1020"/>
        <w:spacing w:after="0"/>
        <w:rPr>
          <w:sz w:val="20"/>
          <w:szCs w:val="20"/>
          <w:color w:val="auto"/>
        </w:rPr>
      </w:pPr>
      <w:r>
        <w:rPr>
          <w:rFonts w:ascii="Arial" w:cs="Arial" w:eastAsia="Arial" w:hAnsi="Arial"/>
          <w:sz w:val="20"/>
          <w:szCs w:val="20"/>
          <w:color w:val="191919"/>
        </w:rPr>
        <w:t>encounter any difficulties accessing the virtual</w:t>
      </w:r>
    </w:p>
    <w:p>
      <w:pPr>
        <w:spacing w:after="0" w:line="13" w:lineRule="exact"/>
        <w:rPr>
          <w:sz w:val="20"/>
          <w:szCs w:val="20"/>
          <w:color w:val="auto"/>
        </w:rPr>
      </w:pPr>
    </w:p>
    <w:p>
      <w:pPr>
        <w:ind w:left="1020"/>
        <w:spacing w:after="0"/>
        <w:rPr>
          <w:sz w:val="20"/>
          <w:szCs w:val="20"/>
          <w:color w:val="auto"/>
        </w:rPr>
      </w:pPr>
      <w:r>
        <w:rPr>
          <w:rFonts w:ascii="Arial" w:cs="Arial" w:eastAsia="Arial" w:hAnsi="Arial"/>
          <w:sz w:val="20"/>
          <w:szCs w:val="20"/>
          <w:color w:val="191919"/>
        </w:rPr>
        <w:t>meeting during the check-in time or meeting</w:t>
      </w:r>
    </w:p>
    <w:p>
      <w:pPr>
        <w:spacing w:after="0" w:line="13" w:lineRule="exact"/>
        <w:rPr>
          <w:sz w:val="20"/>
          <w:szCs w:val="20"/>
          <w:color w:val="auto"/>
        </w:rPr>
      </w:pPr>
    </w:p>
    <w:p>
      <w:pPr>
        <w:ind w:left="1020"/>
        <w:spacing w:after="0"/>
        <w:rPr>
          <w:sz w:val="20"/>
          <w:szCs w:val="20"/>
          <w:color w:val="auto"/>
        </w:rPr>
      </w:pPr>
      <w:r>
        <w:rPr>
          <w:rFonts w:ascii="Arial" w:cs="Arial" w:eastAsia="Arial" w:hAnsi="Arial"/>
          <w:sz w:val="20"/>
          <w:szCs w:val="20"/>
          <w:color w:val="191919"/>
        </w:rPr>
        <w:t>time, please call the phone number that will be</w:t>
      </w:r>
    </w:p>
    <w:p>
      <w:pPr>
        <w:spacing w:after="0" w:line="13" w:lineRule="exact"/>
        <w:rPr>
          <w:sz w:val="20"/>
          <w:szCs w:val="20"/>
          <w:color w:val="auto"/>
        </w:rPr>
      </w:pPr>
    </w:p>
    <w:p>
      <w:pPr>
        <w:ind w:left="1020"/>
        <w:spacing w:after="0"/>
        <w:rPr>
          <w:sz w:val="20"/>
          <w:szCs w:val="20"/>
          <w:color w:val="auto"/>
        </w:rPr>
      </w:pPr>
      <w:r>
        <w:rPr>
          <w:rFonts w:ascii="Arial" w:cs="Arial" w:eastAsia="Arial" w:hAnsi="Arial"/>
          <w:sz w:val="20"/>
          <w:szCs w:val="20"/>
          <w:color w:val="191919"/>
        </w:rPr>
        <w:t>listed at that time at</w:t>
      </w:r>
    </w:p>
    <w:p>
      <w:pPr>
        <w:spacing w:after="0" w:line="13" w:lineRule="exact"/>
        <w:rPr>
          <w:sz w:val="20"/>
          <w:szCs w:val="20"/>
          <w:color w:val="auto"/>
        </w:rPr>
      </w:pPr>
    </w:p>
    <w:p>
      <w:pPr>
        <w:ind w:left="1020"/>
        <w:spacing w:after="0"/>
        <w:rPr>
          <w:sz w:val="20"/>
          <w:szCs w:val="20"/>
          <w:color w:val="auto"/>
        </w:rPr>
      </w:pPr>
      <w:r>
        <w:rPr>
          <w:rFonts w:ascii="Arial" w:cs="Arial" w:eastAsia="Arial" w:hAnsi="Arial"/>
          <w:sz w:val="19"/>
          <w:szCs w:val="19"/>
          <w:color w:val="191919"/>
        </w:rPr>
        <w:t>www.virtualshareholdermeeting.com/SWKS2022.</w:t>
      </w:r>
    </w:p>
    <w:p>
      <w:pPr>
        <w:spacing w:after="0" w:line="217" w:lineRule="exact"/>
        <w:rPr>
          <w:sz w:val="20"/>
          <w:szCs w:val="20"/>
          <w:color w:val="auto"/>
        </w:rPr>
      </w:pPr>
    </w:p>
    <w:p>
      <w:pPr>
        <w:ind w:left="1020" w:hanging="366"/>
        <w:spacing w:after="0"/>
        <w:tabs>
          <w:tab w:leader="none" w:pos="1020" w:val="left"/>
        </w:tabs>
        <w:numPr>
          <w:ilvl w:val="0"/>
          <w:numId w:val="96"/>
        </w:numPr>
        <w:rPr>
          <w:rFonts w:ascii="Arial" w:cs="Arial" w:eastAsia="Arial" w:hAnsi="Arial"/>
          <w:sz w:val="20"/>
          <w:szCs w:val="20"/>
          <w:b w:val="1"/>
          <w:bCs w:val="1"/>
          <w:color w:val="0076A8"/>
        </w:rPr>
      </w:pPr>
      <w:r>
        <w:rPr>
          <w:rFonts w:ascii="Arial" w:cs="Arial" w:eastAsia="Arial" w:hAnsi="Arial"/>
          <w:sz w:val="20"/>
          <w:szCs w:val="20"/>
          <w:b w:val="1"/>
          <w:bCs w:val="1"/>
          <w:color w:val="0076A8"/>
        </w:rPr>
        <w:t>If I vote by proxy, how will my vote be cast?</w:t>
      </w:r>
    </w:p>
    <w:p>
      <w:pPr>
        <w:spacing w:after="0" w:line="158" w:lineRule="exact"/>
        <w:rPr>
          <w:rFonts w:ascii="Arial" w:cs="Arial" w:eastAsia="Arial" w:hAnsi="Arial"/>
          <w:sz w:val="20"/>
          <w:szCs w:val="20"/>
          <w:b w:val="1"/>
          <w:bCs w:val="1"/>
          <w:color w:val="0076A8"/>
        </w:rPr>
      </w:pPr>
    </w:p>
    <w:p>
      <w:pPr>
        <w:ind w:left="1020" w:right="200"/>
        <w:spacing w:after="0" w:line="268" w:lineRule="auto"/>
        <w:rPr>
          <w:rFonts w:ascii="Arial" w:cs="Arial" w:eastAsia="Arial" w:hAnsi="Arial"/>
          <w:sz w:val="20"/>
          <w:szCs w:val="20"/>
          <w:b w:val="1"/>
          <w:bCs w:val="1"/>
          <w:color w:val="0076A8"/>
        </w:rPr>
      </w:pPr>
      <w:r>
        <w:rPr>
          <w:rFonts w:ascii="Arial" w:cs="Arial" w:eastAsia="Arial" w:hAnsi="Arial"/>
          <w:sz w:val="19"/>
          <w:szCs w:val="19"/>
          <w:color w:val="191919"/>
        </w:rPr>
        <w:t>The persons named as attorneys-in-fact in this Proxy Statement, Liam K. Griffin and Robert J. Terry, were selected by the Board and are officers of the Company. As attorneys-in-fact, Messrs. Griffin and Terry will vote any shares represented at the meeting by proxy. Each executed proxy card returned by a stockholder of record or proxy vote recorded via telephone or the Internet by a stockholder of record in the manner provided on the proxy card prior to the taking of the vote at the Annual Meeting will be voted. Where a choice has been specified in an executed proxy with respect to the matters to be acted upon at the Annual Meeting, the shares represented by the proxy will be voted in accordance with the choices specified.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4" w:lineRule="exact"/>
        <w:rPr>
          <w:sz w:val="20"/>
          <w:szCs w:val="20"/>
          <w:color w:val="auto"/>
        </w:rPr>
      </w:pPr>
    </w:p>
    <w:p>
      <w:pPr>
        <w:ind w:left="363" w:right="40" w:hanging="363"/>
        <w:spacing w:after="0" w:line="255" w:lineRule="auto"/>
        <w:tabs>
          <w:tab w:leader="none" w:pos="363" w:val="left"/>
        </w:tabs>
        <w:numPr>
          <w:ilvl w:val="0"/>
          <w:numId w:val="97"/>
        </w:numPr>
        <w:rPr>
          <w:rFonts w:ascii="Arial" w:cs="Arial" w:eastAsia="Arial" w:hAnsi="Arial"/>
          <w:sz w:val="20"/>
          <w:szCs w:val="20"/>
          <w:b w:val="1"/>
          <w:bCs w:val="1"/>
          <w:color w:val="0076A8"/>
        </w:rPr>
      </w:pPr>
      <w:r>
        <w:rPr>
          <w:rFonts w:ascii="Arial" w:cs="Arial" w:eastAsia="Arial" w:hAnsi="Arial"/>
          <w:sz w:val="20"/>
          <w:szCs w:val="20"/>
          <w:b w:val="1"/>
          <w:bCs w:val="1"/>
          <w:color w:val="0076A8"/>
        </w:rPr>
        <w:t>How will my shares be voted if I do not give specific voting instructions when I deliver my proxy?</w:t>
      </w:r>
    </w:p>
    <w:p>
      <w:pPr>
        <w:spacing w:after="0" w:line="127" w:lineRule="exact"/>
        <w:rPr>
          <w:rFonts w:ascii="Arial" w:cs="Arial" w:eastAsia="Arial" w:hAnsi="Arial"/>
          <w:sz w:val="20"/>
          <w:szCs w:val="20"/>
          <w:b w:val="1"/>
          <w:bCs w:val="1"/>
          <w:color w:val="0076A8"/>
        </w:rPr>
      </w:pPr>
    </w:p>
    <w:p>
      <w:pPr>
        <w:ind w:left="363" w:right="40"/>
        <w:spacing w:after="0" w:line="256" w:lineRule="auto"/>
        <w:rPr>
          <w:rFonts w:ascii="Arial" w:cs="Arial" w:eastAsia="Arial" w:hAnsi="Arial"/>
          <w:sz w:val="20"/>
          <w:szCs w:val="20"/>
          <w:b w:val="1"/>
          <w:bCs w:val="1"/>
          <w:color w:val="0076A8"/>
        </w:rPr>
      </w:pPr>
      <w:r>
        <w:rPr>
          <w:rFonts w:ascii="Arial" w:cs="Arial" w:eastAsia="Arial" w:hAnsi="Arial"/>
          <w:sz w:val="20"/>
          <w:szCs w:val="20"/>
          <w:color w:val="191919"/>
        </w:rPr>
        <w:t>If you are a stockholder of record and deliver a proxy but do not give specific voting instructions, then the proxy holders will vote your shares as recommended by the Board.</w:t>
      </w:r>
    </w:p>
    <w:p>
      <w:pPr>
        <w:spacing w:after="0" w:line="206" w:lineRule="exact"/>
        <w:rPr>
          <w:rFonts w:ascii="Arial" w:cs="Arial" w:eastAsia="Arial" w:hAnsi="Arial"/>
          <w:sz w:val="20"/>
          <w:szCs w:val="20"/>
          <w:b w:val="1"/>
          <w:bCs w:val="1"/>
          <w:color w:val="0076A8"/>
        </w:rPr>
      </w:pPr>
    </w:p>
    <w:p>
      <w:pPr>
        <w:ind w:left="363" w:right="40"/>
        <w:spacing w:after="0" w:line="253" w:lineRule="auto"/>
        <w:rPr>
          <w:rFonts w:ascii="Arial" w:cs="Arial" w:eastAsia="Arial" w:hAnsi="Arial"/>
          <w:sz w:val="20"/>
          <w:szCs w:val="20"/>
          <w:b w:val="1"/>
          <w:bCs w:val="1"/>
          <w:color w:val="0076A8"/>
        </w:rPr>
      </w:pPr>
      <w:r>
        <w:rPr>
          <w:rFonts w:ascii="Arial" w:cs="Arial" w:eastAsia="Arial" w:hAnsi="Arial"/>
          <w:sz w:val="20"/>
          <w:szCs w:val="20"/>
          <w:color w:val="191919"/>
        </w:rPr>
        <w:t xml:space="preserve">If your shares are held in “street name,” your broker (or other nominee) is required to vote those shares in accordance with your instructions. If you do not give instructions to your broker (or other nominee), your broker (or other nominee) will only be entitled to vote your shares with respect to “discretionary” matters, as described below, but will not be permitted to vote the shares with respect to “non-discretionary” matters. </w:t>
      </w:r>
      <w:r>
        <w:rPr>
          <w:rFonts w:ascii="Arial" w:cs="Arial" w:eastAsia="Arial" w:hAnsi="Arial"/>
          <w:sz w:val="20"/>
          <w:szCs w:val="20"/>
          <w:b w:val="1"/>
          <w:bCs w:val="1"/>
          <w:color w:val="191919"/>
        </w:rPr>
        <w:t>If you</w:t>
      </w:r>
      <w:r>
        <w:rPr>
          <w:rFonts w:ascii="Arial" w:cs="Arial" w:eastAsia="Arial" w:hAnsi="Arial"/>
          <w:sz w:val="20"/>
          <w:szCs w:val="20"/>
          <w:color w:val="191919"/>
        </w:rPr>
        <w:t xml:space="preserve"> </w:t>
      </w:r>
      <w:r>
        <w:rPr>
          <w:rFonts w:ascii="Arial" w:cs="Arial" w:eastAsia="Arial" w:hAnsi="Arial"/>
          <w:sz w:val="20"/>
          <w:szCs w:val="20"/>
          <w:b w:val="1"/>
          <w:bCs w:val="1"/>
          <w:color w:val="191919"/>
        </w:rPr>
        <w:t>beneficially own shares that are held in “street name” by your broker (or other nominee), we strongly encourage you to provide instructions to your broker (or other nominee) as to how to vote on the election of directors and all of the Proposals by signing, dating, and returning to your broker (or other nominee) the instruction card provided by your broker (or other nominee)</w:t>
      </w:r>
      <w:r>
        <w:rPr>
          <w:rFonts w:ascii="Arial" w:cs="Arial" w:eastAsia="Arial" w:hAnsi="Arial"/>
          <w:sz w:val="20"/>
          <w:szCs w:val="20"/>
          <w:color w:val="191919"/>
        </w:rPr>
        <w:t>.</w:t>
      </w:r>
    </w:p>
    <w:p>
      <w:pPr>
        <w:spacing w:after="0" w:line="227" w:lineRule="exact"/>
        <w:rPr>
          <w:rFonts w:ascii="Arial" w:cs="Arial" w:eastAsia="Arial" w:hAnsi="Arial"/>
          <w:sz w:val="20"/>
          <w:szCs w:val="20"/>
          <w:b w:val="1"/>
          <w:bCs w:val="1"/>
          <w:color w:val="0076A8"/>
        </w:rPr>
      </w:pPr>
    </w:p>
    <w:p>
      <w:pPr>
        <w:ind w:left="363" w:right="180"/>
        <w:spacing w:after="0" w:line="255" w:lineRule="auto"/>
        <w:rPr>
          <w:rFonts w:ascii="Arial" w:cs="Arial" w:eastAsia="Arial" w:hAnsi="Arial"/>
          <w:sz w:val="20"/>
          <w:szCs w:val="20"/>
          <w:b w:val="1"/>
          <w:bCs w:val="1"/>
          <w:color w:val="0076A8"/>
        </w:rPr>
      </w:pPr>
      <w:r>
        <w:rPr>
          <w:rFonts w:ascii="Arial" w:cs="Arial" w:eastAsia="Arial" w:hAnsi="Arial"/>
          <w:sz w:val="20"/>
          <w:szCs w:val="20"/>
          <w:color w:val="191919"/>
        </w:rPr>
        <w:t>If you are a participant in the 401(k) Plan, the trustee of the 401(k) Plan may not vote your 401(k) Plan shares if the trustee does not receive voting instructions from you by 11:59 p.m. Eastern Daylight Time on May 6, 2022, unless otherwise required by law.</w:t>
      </w:r>
    </w:p>
    <w:p>
      <w:pPr>
        <w:spacing w:after="0" w:line="170" w:lineRule="exact"/>
        <w:rPr>
          <w:rFonts w:ascii="Arial" w:cs="Arial" w:eastAsia="Arial" w:hAnsi="Arial"/>
          <w:sz w:val="20"/>
          <w:szCs w:val="20"/>
          <w:b w:val="1"/>
          <w:bCs w:val="1"/>
          <w:color w:val="0076A8"/>
        </w:rPr>
      </w:pPr>
    </w:p>
    <w:p>
      <w:pPr>
        <w:ind w:left="363" w:hanging="363"/>
        <w:spacing w:after="0"/>
        <w:tabs>
          <w:tab w:leader="none" w:pos="363" w:val="left"/>
        </w:tabs>
        <w:numPr>
          <w:ilvl w:val="0"/>
          <w:numId w:val="98"/>
        </w:numPr>
        <w:rPr>
          <w:rFonts w:ascii="Arial" w:cs="Arial" w:eastAsia="Arial" w:hAnsi="Arial"/>
          <w:sz w:val="20"/>
          <w:szCs w:val="20"/>
          <w:b w:val="1"/>
          <w:bCs w:val="1"/>
          <w:color w:val="0076A8"/>
        </w:rPr>
      </w:pPr>
      <w:r>
        <w:rPr>
          <w:rFonts w:ascii="Arial" w:cs="Arial" w:eastAsia="Arial" w:hAnsi="Arial"/>
          <w:sz w:val="20"/>
          <w:szCs w:val="20"/>
          <w:b w:val="1"/>
          <w:bCs w:val="1"/>
          <w:color w:val="0076A8"/>
        </w:rPr>
        <w:t>What is a “broker non-vote”?</w:t>
      </w:r>
    </w:p>
    <w:p>
      <w:pPr>
        <w:spacing w:after="0" w:line="172" w:lineRule="exact"/>
        <w:rPr>
          <w:rFonts w:ascii="Arial" w:cs="Arial" w:eastAsia="Arial" w:hAnsi="Arial"/>
          <w:sz w:val="20"/>
          <w:szCs w:val="20"/>
          <w:b w:val="1"/>
          <w:bCs w:val="1"/>
          <w:color w:val="0076A8"/>
        </w:rPr>
      </w:pPr>
    </w:p>
    <w:p>
      <w:pPr>
        <w:ind w:left="363" w:right="40"/>
        <w:spacing w:after="0" w:line="268" w:lineRule="auto"/>
        <w:rPr>
          <w:rFonts w:ascii="Arial" w:cs="Arial" w:eastAsia="Arial" w:hAnsi="Arial"/>
          <w:sz w:val="20"/>
          <w:szCs w:val="20"/>
          <w:b w:val="1"/>
          <w:bCs w:val="1"/>
          <w:color w:val="0076A8"/>
        </w:rPr>
      </w:pPr>
      <w:r>
        <w:rPr>
          <w:rFonts w:ascii="Arial" w:cs="Arial" w:eastAsia="Arial" w:hAnsi="Arial"/>
          <w:sz w:val="19"/>
          <w:szCs w:val="19"/>
          <w:color w:val="191919"/>
        </w:rPr>
        <w:t>A “broker non-vote” occurs when your broker (or other nominee) submits a proxy for your shares (because the broker (or other nominee) has either received instructions from you on one or more proposals, but not all, or has not received instructions from you but is entitled to vote on a particular “discretionary” matter) but does not indicate a vote “</w:t>
      </w:r>
      <w:r>
        <w:rPr>
          <w:rFonts w:ascii="Arial" w:cs="Arial" w:eastAsia="Arial" w:hAnsi="Arial"/>
          <w:sz w:val="19"/>
          <w:szCs w:val="19"/>
          <w:b w:val="1"/>
          <w:bCs w:val="1"/>
          <w:color w:val="191919"/>
        </w:rPr>
        <w:t>FOR</w:t>
      </w:r>
      <w:r>
        <w:rPr>
          <w:rFonts w:ascii="Arial" w:cs="Arial" w:eastAsia="Arial" w:hAnsi="Arial"/>
          <w:sz w:val="19"/>
          <w:szCs w:val="19"/>
          <w:color w:val="191919"/>
        </w:rPr>
        <w:t>” a particular proposal because the broker (or other nominee) either does not have authority to vote on that proposal and has not received voting instructions from you or has</w:t>
      </w:r>
    </w:p>
    <w:p>
      <w:pPr>
        <w:spacing w:after="0" w:line="200" w:lineRule="exact"/>
        <w:rPr>
          <w:sz w:val="20"/>
          <w:szCs w:val="20"/>
          <w:color w:val="auto"/>
        </w:rPr>
      </w:pPr>
    </w:p>
    <w:p>
      <w:pPr>
        <w:sectPr>
          <w:pgSz w:w="11900" w:h="16838" w:orient="portrait"/>
          <w:cols w:equalWidth="0" w:num="2">
            <w:col w:w="5320" w:space="257"/>
            <w:col w:w="4483"/>
          </w:cols>
          <w:pgMar w:left="580" w:top="132" w:right="1259" w:bottom="1440" w:gutter="0" w:footer="0" w:header="0"/>
          <w:type w:val="continuous"/>
        </w:sectPr>
      </w:pPr>
    </w:p>
    <w:p>
      <w:pPr>
        <w:spacing w:after="0" w:line="109" w:lineRule="exact"/>
        <w:rPr>
          <w:sz w:val="20"/>
          <w:szCs w:val="20"/>
          <w:color w:val="auto"/>
        </w:rPr>
      </w:pPr>
    </w:p>
    <w:p>
      <w:pPr>
        <w:ind w:left="660"/>
        <w:spacing w:after="0"/>
        <w:tabs>
          <w:tab w:leader="none" w:pos="4817" w:val="left"/>
        </w:tabs>
        <w:rPr>
          <w:sz w:val="20"/>
          <w:szCs w:val="20"/>
          <w:color w:val="auto"/>
        </w:rPr>
      </w:pPr>
      <w:r>
        <w:rPr>
          <w:rFonts w:ascii="Arial" w:cs="Arial" w:eastAsia="Arial" w:hAnsi="Arial"/>
          <w:sz w:val="16"/>
          <w:szCs w:val="16"/>
          <w:color w:val="auto"/>
        </w:rPr>
        <w:t>70</w:t>
      </w:r>
      <w:r>
        <w:rPr>
          <w:sz w:val="20"/>
          <w:szCs w:val="20"/>
          <w:color w:val="auto"/>
        </w:rPr>
        <w:tab/>
      </w:r>
      <w:r>
        <w:rPr>
          <w:sz w:val="1"/>
          <w:szCs w:val="1"/>
          <w:color w:val="auto"/>
        </w:rPr>
        <w:drawing>
          <wp:inline distT="0" distB="0" distL="0" distR="0">
            <wp:extent cx="779780" cy="257175"/>
            <wp:effectExtent l="0" t="0" r="0" b="0"/>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132" w:right="1259" w:bottom="1440" w:gutter="0" w:footer="0" w:header="0"/>
          <w:type w:val="continuous"/>
        </w:sectPr>
      </w:pPr>
    </w:p>
    <w:bookmarkStart w:id="75" w:name="page76"/>
    <w:bookmarkEnd w:id="7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91" w:lineRule="exact"/>
        <w:rPr>
          <w:sz w:val="20"/>
          <w:szCs w:val="20"/>
          <w:color w:val="auto"/>
        </w:rPr>
      </w:pPr>
    </w:p>
    <w:p>
      <w:pPr>
        <w:ind w:left="1020"/>
        <w:spacing w:after="0"/>
        <w:rPr>
          <w:sz w:val="20"/>
          <w:szCs w:val="20"/>
          <w:color w:val="auto"/>
        </w:rPr>
      </w:pPr>
      <w:r>
        <w:rPr>
          <w:rFonts w:ascii="Arial" w:cs="Arial" w:eastAsia="Arial" w:hAnsi="Arial"/>
          <w:sz w:val="20"/>
          <w:szCs w:val="20"/>
          <w:color w:val="191919"/>
        </w:rPr>
        <w:t>“discretionary” authority on the proposal but</w:t>
      </w:r>
    </w:p>
    <w:p>
      <w:pPr>
        <w:spacing w:after="0" w:line="13" w:lineRule="exact"/>
        <w:rPr>
          <w:sz w:val="20"/>
          <w:szCs w:val="20"/>
          <w:color w:val="auto"/>
        </w:rPr>
      </w:pPr>
    </w:p>
    <w:p>
      <w:pPr>
        <w:ind w:left="1020"/>
        <w:spacing w:after="0"/>
        <w:rPr>
          <w:sz w:val="20"/>
          <w:szCs w:val="20"/>
          <w:color w:val="auto"/>
        </w:rPr>
      </w:pPr>
      <w:r>
        <w:rPr>
          <w:rFonts w:ascii="Arial" w:cs="Arial" w:eastAsia="Arial" w:hAnsi="Arial"/>
          <w:sz w:val="20"/>
          <w:szCs w:val="20"/>
          <w:color w:val="191919"/>
        </w:rPr>
        <w:t>chooses not to exercise it. “Broker non-votes”</w:t>
      </w:r>
    </w:p>
    <w:p>
      <w:pPr>
        <w:spacing w:after="0" w:line="13" w:lineRule="exact"/>
        <w:rPr>
          <w:sz w:val="20"/>
          <w:szCs w:val="20"/>
          <w:color w:val="auto"/>
        </w:rPr>
      </w:pPr>
    </w:p>
    <w:p>
      <w:pPr>
        <w:ind w:left="1020"/>
        <w:spacing w:after="0"/>
        <w:rPr>
          <w:sz w:val="20"/>
          <w:szCs w:val="20"/>
          <w:color w:val="auto"/>
        </w:rPr>
      </w:pPr>
      <w:r>
        <w:rPr>
          <w:rFonts w:ascii="Arial" w:cs="Arial" w:eastAsia="Arial" w:hAnsi="Arial"/>
          <w:sz w:val="20"/>
          <w:szCs w:val="20"/>
          <w:color w:val="191919"/>
        </w:rPr>
        <w:t>are not counted to determine the number of</w:t>
      </w:r>
    </w:p>
    <w:p>
      <w:pPr>
        <w:spacing w:after="0" w:line="13" w:lineRule="exact"/>
        <w:rPr>
          <w:sz w:val="20"/>
          <w:szCs w:val="20"/>
          <w:color w:val="auto"/>
        </w:rPr>
      </w:pPr>
    </w:p>
    <w:p>
      <w:pPr>
        <w:ind w:left="1020"/>
        <w:spacing w:after="0"/>
        <w:rPr>
          <w:sz w:val="20"/>
          <w:szCs w:val="20"/>
          <w:color w:val="auto"/>
        </w:rPr>
      </w:pPr>
      <w:r>
        <w:rPr>
          <w:rFonts w:ascii="Arial" w:cs="Arial" w:eastAsia="Arial" w:hAnsi="Arial"/>
          <w:sz w:val="20"/>
          <w:szCs w:val="20"/>
          <w:color w:val="191919"/>
        </w:rPr>
        <w:t>votes present for the particular proposal, nor</w:t>
      </w:r>
    </w:p>
    <w:p>
      <w:pPr>
        <w:spacing w:after="0" w:line="7" w:lineRule="exact"/>
        <w:rPr>
          <w:sz w:val="20"/>
          <w:szCs w:val="20"/>
          <w:color w:val="auto"/>
        </w:rPr>
      </w:pPr>
    </w:p>
    <w:p>
      <w:pPr>
        <w:ind w:left="1020"/>
        <w:spacing w:after="0"/>
        <w:rPr>
          <w:sz w:val="20"/>
          <w:szCs w:val="20"/>
          <w:color w:val="auto"/>
        </w:rPr>
      </w:pPr>
      <w:r>
        <w:rPr>
          <w:rFonts w:ascii="Arial" w:cs="Arial" w:eastAsia="Arial" w:hAnsi="Arial"/>
          <w:sz w:val="20"/>
          <w:szCs w:val="20"/>
          <w:color w:val="191919"/>
        </w:rPr>
        <w:t>are they counted as votes “</w:t>
      </w:r>
      <w:r>
        <w:rPr>
          <w:rFonts w:ascii="Arial" w:cs="Arial" w:eastAsia="Arial" w:hAnsi="Arial"/>
          <w:sz w:val="20"/>
          <w:szCs w:val="20"/>
          <w:b w:val="1"/>
          <w:bCs w:val="1"/>
          <w:color w:val="000000"/>
        </w:rPr>
        <w:t>FOR</w:t>
      </w:r>
      <w:r>
        <w:rPr>
          <w:rFonts w:ascii="Arial" w:cs="Arial" w:eastAsia="Arial" w:hAnsi="Arial"/>
          <w:sz w:val="20"/>
          <w:szCs w:val="20"/>
          <w:color w:val="191919"/>
        </w:rPr>
        <w:t>” or</w:t>
      </w:r>
    </w:p>
    <w:p>
      <w:pPr>
        <w:spacing w:after="0" w:line="13" w:lineRule="exact"/>
        <w:rPr>
          <w:sz w:val="20"/>
          <w:szCs w:val="20"/>
          <w:color w:val="auto"/>
        </w:rPr>
      </w:pPr>
    </w:p>
    <w:p>
      <w:pPr>
        <w:ind w:left="1020"/>
        <w:spacing w:after="0"/>
        <w:rPr>
          <w:sz w:val="20"/>
          <w:szCs w:val="20"/>
          <w:color w:val="auto"/>
        </w:rPr>
      </w:pPr>
      <w:r>
        <w:rPr>
          <w:rFonts w:ascii="Arial" w:cs="Arial" w:eastAsia="Arial" w:hAnsi="Arial"/>
          <w:sz w:val="20"/>
          <w:szCs w:val="20"/>
          <w:color w:val="191919"/>
        </w:rPr>
        <w:t>“</w:t>
      </w:r>
      <w:r>
        <w:rPr>
          <w:rFonts w:ascii="Arial" w:cs="Arial" w:eastAsia="Arial" w:hAnsi="Arial"/>
          <w:sz w:val="20"/>
          <w:szCs w:val="20"/>
          <w:b w:val="1"/>
          <w:bCs w:val="1"/>
          <w:color w:val="000000"/>
        </w:rPr>
        <w:t>AGAINST</w:t>
      </w:r>
      <w:r>
        <w:rPr>
          <w:rFonts w:ascii="Arial" w:cs="Arial" w:eastAsia="Arial" w:hAnsi="Arial"/>
          <w:sz w:val="20"/>
          <w:szCs w:val="20"/>
          <w:color w:val="191919"/>
        </w:rPr>
        <w:t>” the proposal in question or as</w:t>
      </w:r>
    </w:p>
    <w:p>
      <w:pPr>
        <w:spacing w:after="0" w:line="19" w:lineRule="exact"/>
        <w:rPr>
          <w:sz w:val="20"/>
          <w:szCs w:val="20"/>
          <w:color w:val="auto"/>
        </w:rPr>
      </w:pPr>
    </w:p>
    <w:p>
      <w:pPr>
        <w:ind w:left="1020"/>
        <w:spacing w:after="0"/>
        <w:rPr>
          <w:sz w:val="20"/>
          <w:szCs w:val="20"/>
          <w:color w:val="auto"/>
        </w:rPr>
      </w:pPr>
      <w:r>
        <w:rPr>
          <w:rFonts w:ascii="Arial" w:cs="Arial" w:eastAsia="Arial" w:hAnsi="Arial"/>
          <w:sz w:val="20"/>
          <w:szCs w:val="20"/>
          <w:color w:val="191919"/>
        </w:rPr>
        <w:t>abstentions. We count “broker non-votes” for</w:t>
      </w:r>
    </w:p>
    <w:p>
      <w:pPr>
        <w:spacing w:after="0" w:line="13" w:lineRule="exact"/>
        <w:rPr>
          <w:sz w:val="20"/>
          <w:szCs w:val="20"/>
          <w:color w:val="auto"/>
        </w:rPr>
      </w:pPr>
    </w:p>
    <w:p>
      <w:pPr>
        <w:ind w:left="1020"/>
        <w:spacing w:after="0"/>
        <w:rPr>
          <w:sz w:val="20"/>
          <w:szCs w:val="20"/>
          <w:color w:val="auto"/>
        </w:rPr>
      </w:pPr>
      <w:r>
        <w:rPr>
          <w:rFonts w:ascii="Arial" w:cs="Arial" w:eastAsia="Arial" w:hAnsi="Arial"/>
          <w:sz w:val="20"/>
          <w:szCs w:val="20"/>
          <w:color w:val="191919"/>
        </w:rPr>
        <w:t>the purpose of determining a quorum for the</w:t>
      </w:r>
    </w:p>
    <w:p>
      <w:pPr>
        <w:spacing w:after="0" w:line="13" w:lineRule="exact"/>
        <w:rPr>
          <w:sz w:val="20"/>
          <w:szCs w:val="20"/>
          <w:color w:val="auto"/>
        </w:rPr>
      </w:pPr>
    </w:p>
    <w:p>
      <w:pPr>
        <w:ind w:left="1020"/>
        <w:spacing w:after="0"/>
        <w:rPr>
          <w:sz w:val="20"/>
          <w:szCs w:val="20"/>
          <w:color w:val="auto"/>
        </w:rPr>
      </w:pPr>
      <w:r>
        <w:rPr>
          <w:rFonts w:ascii="Arial" w:cs="Arial" w:eastAsia="Arial" w:hAnsi="Arial"/>
          <w:sz w:val="20"/>
          <w:szCs w:val="20"/>
          <w:color w:val="191919"/>
        </w:rPr>
        <w:t>Annual Meeting. If your shares are held in</w:t>
      </w:r>
    </w:p>
    <w:p>
      <w:pPr>
        <w:spacing w:after="0" w:line="13" w:lineRule="exact"/>
        <w:rPr>
          <w:sz w:val="20"/>
          <w:szCs w:val="20"/>
          <w:color w:val="auto"/>
        </w:rPr>
      </w:pPr>
    </w:p>
    <w:p>
      <w:pPr>
        <w:ind w:left="1020"/>
        <w:spacing w:after="0"/>
        <w:rPr>
          <w:sz w:val="20"/>
          <w:szCs w:val="20"/>
          <w:color w:val="auto"/>
        </w:rPr>
      </w:pPr>
      <w:r>
        <w:rPr>
          <w:rFonts w:ascii="Arial" w:cs="Arial" w:eastAsia="Arial" w:hAnsi="Arial"/>
          <w:sz w:val="20"/>
          <w:szCs w:val="20"/>
          <w:color w:val="191919"/>
        </w:rPr>
        <w:t>“street name” by your broker (or other</w:t>
      </w:r>
    </w:p>
    <w:p>
      <w:pPr>
        <w:spacing w:after="0" w:line="13" w:lineRule="exact"/>
        <w:rPr>
          <w:sz w:val="20"/>
          <w:szCs w:val="20"/>
          <w:color w:val="auto"/>
        </w:rPr>
      </w:pPr>
    </w:p>
    <w:p>
      <w:pPr>
        <w:ind w:left="1020"/>
        <w:spacing w:after="0"/>
        <w:rPr>
          <w:sz w:val="20"/>
          <w:szCs w:val="20"/>
          <w:color w:val="auto"/>
        </w:rPr>
      </w:pPr>
      <w:r>
        <w:rPr>
          <w:rFonts w:ascii="Arial" w:cs="Arial" w:eastAsia="Arial" w:hAnsi="Arial"/>
          <w:sz w:val="20"/>
          <w:szCs w:val="20"/>
          <w:color w:val="191919"/>
        </w:rPr>
        <w:t>nominee), please check the instruction card</w:t>
      </w:r>
    </w:p>
    <w:p>
      <w:pPr>
        <w:spacing w:after="0" w:line="13" w:lineRule="exact"/>
        <w:rPr>
          <w:sz w:val="20"/>
          <w:szCs w:val="20"/>
          <w:color w:val="auto"/>
        </w:rPr>
      </w:pPr>
    </w:p>
    <w:p>
      <w:pPr>
        <w:ind w:left="1020"/>
        <w:spacing w:after="0"/>
        <w:rPr>
          <w:sz w:val="20"/>
          <w:szCs w:val="20"/>
          <w:color w:val="auto"/>
        </w:rPr>
      </w:pPr>
      <w:r>
        <w:rPr>
          <w:rFonts w:ascii="Arial" w:cs="Arial" w:eastAsia="Arial" w:hAnsi="Arial"/>
          <w:sz w:val="20"/>
          <w:szCs w:val="20"/>
          <w:color w:val="191919"/>
        </w:rPr>
        <w:t>provided by your broker (or other nominee) or</w:t>
      </w:r>
    </w:p>
    <w:p>
      <w:pPr>
        <w:spacing w:after="0" w:line="13" w:lineRule="exact"/>
        <w:rPr>
          <w:sz w:val="20"/>
          <w:szCs w:val="20"/>
          <w:color w:val="auto"/>
        </w:rPr>
      </w:pPr>
    </w:p>
    <w:p>
      <w:pPr>
        <w:ind w:left="1020"/>
        <w:spacing w:after="0"/>
        <w:rPr>
          <w:sz w:val="20"/>
          <w:szCs w:val="20"/>
          <w:color w:val="auto"/>
        </w:rPr>
      </w:pPr>
      <w:r>
        <w:rPr>
          <w:rFonts w:ascii="Arial" w:cs="Arial" w:eastAsia="Arial" w:hAnsi="Arial"/>
          <w:sz w:val="20"/>
          <w:szCs w:val="20"/>
          <w:color w:val="191919"/>
        </w:rPr>
        <w:t>contact your broker (or other nominee) to</w:t>
      </w:r>
    </w:p>
    <w:p>
      <w:pPr>
        <w:spacing w:after="0" w:line="13" w:lineRule="exact"/>
        <w:rPr>
          <w:sz w:val="20"/>
          <w:szCs w:val="20"/>
          <w:color w:val="auto"/>
        </w:rPr>
      </w:pPr>
    </w:p>
    <w:p>
      <w:pPr>
        <w:ind w:left="1020"/>
        <w:spacing w:after="0"/>
        <w:rPr>
          <w:sz w:val="20"/>
          <w:szCs w:val="20"/>
          <w:color w:val="auto"/>
        </w:rPr>
      </w:pPr>
      <w:r>
        <w:rPr>
          <w:rFonts w:ascii="Arial" w:cs="Arial" w:eastAsia="Arial" w:hAnsi="Arial"/>
          <w:sz w:val="20"/>
          <w:szCs w:val="20"/>
          <w:color w:val="191919"/>
        </w:rPr>
        <w:t>determine whether you will be able to vote by</w:t>
      </w:r>
    </w:p>
    <w:p>
      <w:pPr>
        <w:spacing w:after="0" w:line="13" w:lineRule="exact"/>
        <w:rPr>
          <w:sz w:val="20"/>
          <w:szCs w:val="20"/>
          <w:color w:val="auto"/>
        </w:rPr>
      </w:pPr>
    </w:p>
    <w:p>
      <w:pPr>
        <w:ind w:left="1020"/>
        <w:spacing w:after="0"/>
        <w:rPr>
          <w:sz w:val="20"/>
          <w:szCs w:val="20"/>
          <w:color w:val="auto"/>
        </w:rPr>
      </w:pPr>
      <w:r>
        <w:rPr>
          <w:rFonts w:ascii="Arial" w:cs="Arial" w:eastAsia="Arial" w:hAnsi="Arial"/>
          <w:sz w:val="20"/>
          <w:szCs w:val="20"/>
          <w:color w:val="191919"/>
        </w:rPr>
        <w:t>telephone or via the Internet.</w:t>
      </w:r>
    </w:p>
    <w:p>
      <w:pPr>
        <w:spacing w:after="0" w:line="205" w:lineRule="exact"/>
        <w:rPr>
          <w:sz w:val="20"/>
          <w:szCs w:val="20"/>
          <w:color w:val="auto"/>
        </w:rPr>
      </w:pPr>
    </w:p>
    <w:p>
      <w:pPr>
        <w:ind w:left="1020" w:hanging="366"/>
        <w:spacing w:after="0"/>
        <w:tabs>
          <w:tab w:leader="none" w:pos="1020" w:val="left"/>
        </w:tabs>
        <w:numPr>
          <w:ilvl w:val="0"/>
          <w:numId w:val="99"/>
        </w:numPr>
        <w:rPr>
          <w:rFonts w:ascii="Arial" w:cs="Arial" w:eastAsia="Arial" w:hAnsi="Arial"/>
          <w:sz w:val="20"/>
          <w:szCs w:val="20"/>
          <w:b w:val="1"/>
          <w:bCs w:val="1"/>
          <w:color w:val="0076A8"/>
        </w:rPr>
      </w:pPr>
      <w:r>
        <w:rPr>
          <w:rFonts w:ascii="Arial" w:cs="Arial" w:eastAsia="Arial" w:hAnsi="Arial"/>
          <w:sz w:val="20"/>
          <w:szCs w:val="20"/>
          <w:b w:val="1"/>
          <w:bCs w:val="1"/>
          <w:color w:val="0076A8"/>
        </w:rPr>
        <w:t>What vote is required for each matter?</w:t>
      </w:r>
    </w:p>
    <w:p>
      <w:pPr>
        <w:spacing w:after="0" w:line="138" w:lineRule="exact"/>
        <w:rPr>
          <w:rFonts w:ascii="Arial" w:cs="Arial" w:eastAsia="Arial" w:hAnsi="Arial"/>
          <w:sz w:val="20"/>
          <w:szCs w:val="20"/>
          <w:b w:val="1"/>
          <w:bCs w:val="1"/>
          <w:color w:val="0076A8"/>
        </w:rPr>
      </w:pPr>
    </w:p>
    <w:p>
      <w:pPr>
        <w:ind w:left="1020" w:right="80"/>
        <w:spacing w:after="0" w:line="269" w:lineRule="auto"/>
        <w:rPr>
          <w:rFonts w:ascii="Arial" w:cs="Arial" w:eastAsia="Arial" w:hAnsi="Arial"/>
          <w:sz w:val="20"/>
          <w:szCs w:val="20"/>
          <w:b w:val="1"/>
          <w:bCs w:val="1"/>
          <w:color w:val="0076A8"/>
        </w:rPr>
      </w:pPr>
      <w:r>
        <w:rPr>
          <w:rFonts w:ascii="Arial" w:cs="Arial" w:eastAsia="Arial" w:hAnsi="Arial"/>
          <w:sz w:val="19"/>
          <w:szCs w:val="19"/>
          <w:i w:val="1"/>
          <w:iCs w:val="1"/>
          <w:color w:val="191919"/>
        </w:rPr>
        <w:t xml:space="preserve">Election of Directors. </w:t>
      </w:r>
      <w:r>
        <w:rPr>
          <w:rFonts w:ascii="Arial" w:cs="Arial" w:eastAsia="Arial" w:hAnsi="Arial"/>
          <w:sz w:val="19"/>
          <w:szCs w:val="19"/>
          <w:color w:val="191919"/>
        </w:rPr>
        <w:t>Pursuant to the</w:t>
      </w:r>
      <w:r>
        <w:rPr>
          <w:rFonts w:ascii="Arial" w:cs="Arial" w:eastAsia="Arial" w:hAnsi="Arial"/>
          <w:sz w:val="19"/>
          <w:szCs w:val="19"/>
          <w:i w:val="1"/>
          <w:iCs w:val="1"/>
          <w:color w:val="191919"/>
        </w:rPr>
        <w:t xml:space="preserve"> </w:t>
      </w:r>
      <w:r>
        <w:rPr>
          <w:rFonts w:ascii="Arial" w:cs="Arial" w:eastAsia="Arial" w:hAnsi="Arial"/>
          <w:sz w:val="19"/>
          <w:szCs w:val="19"/>
          <w:color w:val="191919"/>
        </w:rPr>
        <w:t>Company’s By-laws, a nominee will be elected to the Board if the votes cast “</w:t>
      </w:r>
      <w:r>
        <w:rPr>
          <w:rFonts w:ascii="Arial" w:cs="Arial" w:eastAsia="Arial" w:hAnsi="Arial"/>
          <w:sz w:val="19"/>
          <w:szCs w:val="19"/>
          <w:b w:val="1"/>
          <w:bCs w:val="1"/>
          <w:color w:val="191919"/>
        </w:rPr>
        <w:t>FOR</w:t>
      </w:r>
      <w:r>
        <w:rPr>
          <w:rFonts w:ascii="Arial" w:cs="Arial" w:eastAsia="Arial" w:hAnsi="Arial"/>
          <w:sz w:val="19"/>
          <w:szCs w:val="19"/>
          <w:color w:val="191919"/>
        </w:rPr>
        <w:t>” the nominee’s election at the Annual Meeting exceed the votes cast “</w:t>
      </w:r>
      <w:r>
        <w:rPr>
          <w:rFonts w:ascii="Arial" w:cs="Arial" w:eastAsia="Arial" w:hAnsi="Arial"/>
          <w:sz w:val="19"/>
          <w:szCs w:val="19"/>
          <w:b w:val="1"/>
          <w:bCs w:val="1"/>
          <w:color w:val="191919"/>
        </w:rPr>
        <w:t>AGAINST</w:t>
      </w:r>
      <w:r>
        <w:rPr>
          <w:rFonts w:ascii="Arial" w:cs="Arial" w:eastAsia="Arial" w:hAnsi="Arial"/>
          <w:sz w:val="19"/>
          <w:szCs w:val="19"/>
          <w:color w:val="191919"/>
        </w:rPr>
        <w:t>” the nominee’s election (as long as the only director nominees are those individuals set forth in this Proxy Statement). Abstentions and “broker non-votes” will not count as votes “</w:t>
      </w:r>
      <w:r>
        <w:rPr>
          <w:rFonts w:ascii="Arial" w:cs="Arial" w:eastAsia="Arial" w:hAnsi="Arial"/>
          <w:sz w:val="19"/>
          <w:szCs w:val="19"/>
          <w:b w:val="1"/>
          <w:bCs w:val="1"/>
          <w:color w:val="191919"/>
        </w:rPr>
        <w:t>FOR</w:t>
      </w:r>
      <w:r>
        <w:rPr>
          <w:rFonts w:ascii="Arial" w:cs="Arial" w:eastAsia="Arial" w:hAnsi="Arial"/>
          <w:sz w:val="19"/>
          <w:szCs w:val="19"/>
          <w:color w:val="191919"/>
        </w:rPr>
        <w:t>” or “</w:t>
      </w:r>
      <w:r>
        <w:rPr>
          <w:rFonts w:ascii="Arial" w:cs="Arial" w:eastAsia="Arial" w:hAnsi="Arial"/>
          <w:sz w:val="19"/>
          <w:szCs w:val="19"/>
          <w:b w:val="1"/>
          <w:bCs w:val="1"/>
          <w:color w:val="191919"/>
        </w:rPr>
        <w:t>AGAINST</w:t>
      </w:r>
      <w:r>
        <w:rPr>
          <w:rFonts w:ascii="Arial" w:cs="Arial" w:eastAsia="Arial" w:hAnsi="Arial"/>
          <w:sz w:val="19"/>
          <w:szCs w:val="19"/>
          <w:color w:val="191919"/>
        </w:rPr>
        <w:t xml:space="preserve">.” If the shares you own are held in “street name,” your broker (or other nominee), as the record holder of your shares, is required to vote your shares according to your instructions. Proposal 1 is </w:t>
      </w:r>
      <w:r>
        <w:rPr>
          <w:rFonts w:ascii="Arial" w:cs="Arial" w:eastAsia="Arial" w:hAnsi="Arial"/>
          <w:sz w:val="19"/>
          <w:szCs w:val="19"/>
          <w:i w:val="1"/>
          <w:iCs w:val="1"/>
          <w:color w:val="191919"/>
        </w:rPr>
        <w:t>not</w:t>
      </w:r>
      <w:r>
        <w:rPr>
          <w:rFonts w:ascii="Arial" w:cs="Arial" w:eastAsia="Arial" w:hAnsi="Arial"/>
          <w:sz w:val="19"/>
          <w:szCs w:val="19"/>
          <w:color w:val="191919"/>
        </w:rPr>
        <w:t xml:space="preserve"> considered to be a “discretionary” matter for certain brokers. </w:t>
      </w:r>
      <w:r>
        <w:rPr>
          <w:rFonts w:ascii="Arial" w:cs="Arial" w:eastAsia="Arial" w:hAnsi="Arial"/>
          <w:sz w:val="19"/>
          <w:szCs w:val="19"/>
          <w:b w:val="1"/>
          <w:bCs w:val="1"/>
          <w:color w:val="191919"/>
        </w:rPr>
        <w:t>If</w:t>
      </w:r>
      <w:r>
        <w:rPr>
          <w:rFonts w:ascii="Arial" w:cs="Arial" w:eastAsia="Arial" w:hAnsi="Arial"/>
          <w:sz w:val="19"/>
          <w:szCs w:val="19"/>
          <w:color w:val="191919"/>
        </w:rPr>
        <w:t xml:space="preserve"> </w:t>
      </w:r>
      <w:r>
        <w:rPr>
          <w:rFonts w:ascii="Arial" w:cs="Arial" w:eastAsia="Arial" w:hAnsi="Arial"/>
          <w:sz w:val="19"/>
          <w:szCs w:val="19"/>
          <w:b w:val="1"/>
          <w:bCs w:val="1"/>
          <w:color w:val="191919"/>
        </w:rPr>
        <w:t xml:space="preserve">you do not instruct your broker how to vote with respect to this item, your broker may not vote your shares with respect to the election of directors. </w:t>
      </w:r>
      <w:r>
        <w:rPr>
          <w:rFonts w:ascii="Arial" w:cs="Arial" w:eastAsia="Arial" w:hAnsi="Arial"/>
          <w:sz w:val="19"/>
          <w:szCs w:val="19"/>
          <w:color w:val="191919"/>
        </w:rPr>
        <w:t>In such case, a “broker</w:t>
      </w:r>
      <w:r>
        <w:rPr>
          <w:rFonts w:ascii="Arial" w:cs="Arial" w:eastAsia="Arial" w:hAnsi="Arial"/>
          <w:sz w:val="19"/>
          <w:szCs w:val="19"/>
          <w:b w:val="1"/>
          <w:bCs w:val="1"/>
          <w:color w:val="191919"/>
        </w:rPr>
        <w:t xml:space="preserve"> </w:t>
      </w:r>
      <w:r>
        <w:rPr>
          <w:rFonts w:ascii="Arial" w:cs="Arial" w:eastAsia="Arial" w:hAnsi="Arial"/>
          <w:sz w:val="19"/>
          <w:szCs w:val="19"/>
          <w:color w:val="191919"/>
        </w:rPr>
        <w:t>non-vote” may occur, which will have no effect on the outcome of Proposal 1.</w:t>
      </w:r>
    </w:p>
    <w:p>
      <w:pPr>
        <w:spacing w:after="0" w:line="200" w:lineRule="exact"/>
        <w:rPr>
          <w:rFonts w:ascii="Arial" w:cs="Arial" w:eastAsia="Arial" w:hAnsi="Arial"/>
          <w:sz w:val="20"/>
          <w:szCs w:val="20"/>
          <w:b w:val="1"/>
          <w:bCs w:val="1"/>
          <w:color w:val="0076A8"/>
        </w:rPr>
      </w:pPr>
    </w:p>
    <w:p>
      <w:pPr>
        <w:spacing w:after="0" w:line="221" w:lineRule="exact"/>
        <w:rPr>
          <w:rFonts w:ascii="Arial" w:cs="Arial" w:eastAsia="Arial" w:hAnsi="Arial"/>
          <w:sz w:val="20"/>
          <w:szCs w:val="20"/>
          <w:b w:val="1"/>
          <w:bCs w:val="1"/>
          <w:color w:val="0076A8"/>
        </w:rPr>
      </w:pPr>
    </w:p>
    <w:p>
      <w:pPr>
        <w:ind w:left="1020" w:right="80"/>
        <w:spacing w:after="0" w:line="257" w:lineRule="auto"/>
        <w:rPr>
          <w:rFonts w:ascii="Arial" w:cs="Arial" w:eastAsia="Arial" w:hAnsi="Arial"/>
          <w:sz w:val="20"/>
          <w:szCs w:val="20"/>
          <w:b w:val="1"/>
          <w:bCs w:val="1"/>
          <w:color w:val="0076A8"/>
        </w:rPr>
      </w:pPr>
      <w:r>
        <w:rPr>
          <w:rFonts w:ascii="Arial" w:cs="Arial" w:eastAsia="Arial" w:hAnsi="Arial"/>
          <w:sz w:val="20"/>
          <w:szCs w:val="20"/>
          <w:i w:val="1"/>
          <w:iCs w:val="1"/>
          <w:color w:val="191919"/>
        </w:rPr>
        <w:t xml:space="preserve">Ratification of Independent Registered Public Accounting Firm. </w:t>
      </w:r>
      <w:r>
        <w:rPr>
          <w:rFonts w:ascii="Arial" w:cs="Arial" w:eastAsia="Arial" w:hAnsi="Arial"/>
          <w:sz w:val="20"/>
          <w:szCs w:val="20"/>
          <w:color w:val="191919"/>
        </w:rPr>
        <w:t>The affirmative vote of a</w:t>
      </w:r>
      <w:r>
        <w:rPr>
          <w:rFonts w:ascii="Arial" w:cs="Arial" w:eastAsia="Arial" w:hAnsi="Arial"/>
          <w:sz w:val="20"/>
          <w:szCs w:val="20"/>
          <w:i w:val="1"/>
          <w:iCs w:val="1"/>
          <w:color w:val="191919"/>
        </w:rPr>
        <w:t xml:space="preserve"> </w:t>
      </w:r>
      <w:r>
        <w:rPr>
          <w:rFonts w:ascii="Arial" w:cs="Arial" w:eastAsia="Arial" w:hAnsi="Arial"/>
          <w:sz w:val="20"/>
          <w:szCs w:val="20"/>
          <w:color w:val="191919"/>
        </w:rPr>
        <w:t xml:space="preserve">majority of the shares present, or represented by proxy, at the Annual Meeting, and entitled to vote on such matter at the Annual Meeting, is required to approve Proposal 2. Proposal 2 involves a matter on which a broker (or other nominee) </w:t>
      </w:r>
      <w:r>
        <w:rPr>
          <w:rFonts w:ascii="Arial" w:cs="Arial" w:eastAsia="Arial" w:hAnsi="Arial"/>
          <w:sz w:val="20"/>
          <w:szCs w:val="20"/>
          <w:i w:val="1"/>
          <w:iCs w:val="1"/>
          <w:color w:val="191919"/>
        </w:rPr>
        <w:t>does</w:t>
      </w:r>
      <w:r>
        <w:rPr>
          <w:rFonts w:ascii="Arial" w:cs="Arial" w:eastAsia="Arial" w:hAnsi="Arial"/>
          <w:sz w:val="20"/>
          <w:szCs w:val="20"/>
          <w:color w:val="191919"/>
        </w:rPr>
        <w:t xml:space="preserve"> have “discretionary” authority to vote. </w:t>
      </w:r>
      <w:r>
        <w:rPr>
          <w:rFonts w:ascii="Arial" w:cs="Arial" w:eastAsia="Arial" w:hAnsi="Arial"/>
          <w:sz w:val="20"/>
          <w:szCs w:val="20"/>
          <w:b w:val="1"/>
          <w:bCs w:val="1"/>
          <w:color w:val="191919"/>
        </w:rPr>
        <w:t>If you do not instruct your broker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3080385</wp:posOffset>
            </wp:positionH>
            <wp:positionV relativeFrom="paragraph">
              <wp:posOffset>236220</wp:posOffset>
            </wp:positionV>
            <wp:extent cx="779780" cy="25717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79780" cy="25717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177800</wp:posOffset>
            </wp:positionV>
            <wp:extent cx="6831965"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line="278" w:lineRule="auto"/>
        <w:rPr>
          <w:sz w:val="20"/>
          <w:szCs w:val="20"/>
          <w:color w:val="auto"/>
        </w:rPr>
      </w:pPr>
      <w:r>
        <w:rPr>
          <w:rFonts w:ascii="Arial" w:cs="Arial" w:eastAsia="Arial" w:hAnsi="Arial"/>
          <w:sz w:val="19"/>
          <w:szCs w:val="19"/>
          <w:b w:val="1"/>
          <w:bCs w:val="1"/>
          <w:color w:val="191919"/>
        </w:rPr>
        <w:t xml:space="preserve">how to vote with respect to this item, your broker may still vote </w:t>
      </w:r>
      <w:r>
        <w:rPr>
          <w:rFonts w:ascii="Arial" w:cs="Arial" w:eastAsia="Arial" w:hAnsi="Arial"/>
          <w:sz w:val="19"/>
          <w:szCs w:val="19"/>
          <w:color w:val="000000"/>
        </w:rPr>
        <w:t>your shares with respect</w:t>
      </w:r>
      <w:r>
        <w:rPr>
          <w:rFonts w:ascii="Arial" w:cs="Arial" w:eastAsia="Arial" w:hAnsi="Arial"/>
          <w:sz w:val="19"/>
          <w:szCs w:val="19"/>
          <w:b w:val="1"/>
          <w:bCs w:val="1"/>
          <w:color w:val="191919"/>
        </w:rPr>
        <w:t xml:space="preserve"> </w:t>
      </w:r>
      <w:r>
        <w:rPr>
          <w:rFonts w:ascii="Arial" w:cs="Arial" w:eastAsia="Arial" w:hAnsi="Arial"/>
          <w:sz w:val="19"/>
          <w:szCs w:val="19"/>
          <w:color w:val="000000"/>
        </w:rPr>
        <w:t>to this proposal in its discretion. With respect to Proposal 2, a vote of “</w:t>
      </w:r>
      <w:r>
        <w:rPr>
          <w:rFonts w:ascii="Arial" w:cs="Arial" w:eastAsia="Arial" w:hAnsi="Arial"/>
          <w:sz w:val="19"/>
          <w:szCs w:val="19"/>
          <w:b w:val="1"/>
          <w:bCs w:val="1"/>
          <w:color w:val="191919"/>
        </w:rPr>
        <w:t>ABSTAIN</w:t>
      </w:r>
      <w:r>
        <w:rPr>
          <w:rFonts w:ascii="Arial" w:cs="Arial" w:eastAsia="Arial" w:hAnsi="Arial"/>
          <w:sz w:val="19"/>
          <w:szCs w:val="19"/>
          <w:color w:val="000000"/>
        </w:rPr>
        <w:t>” will have the same effect as a vote of “</w:t>
      </w:r>
      <w:r>
        <w:rPr>
          <w:rFonts w:ascii="Arial" w:cs="Arial" w:eastAsia="Arial" w:hAnsi="Arial"/>
          <w:sz w:val="19"/>
          <w:szCs w:val="19"/>
          <w:b w:val="1"/>
          <w:bCs w:val="1"/>
          <w:color w:val="191919"/>
        </w:rPr>
        <w:t>AGAINST</w:t>
      </w:r>
      <w:r>
        <w:rPr>
          <w:rFonts w:ascii="Arial" w:cs="Arial" w:eastAsia="Arial" w:hAnsi="Arial"/>
          <w:sz w:val="19"/>
          <w:szCs w:val="19"/>
          <w:color w:val="000000"/>
        </w:rPr>
        <w:t>.”</w:t>
      </w:r>
    </w:p>
    <w:p>
      <w:pPr>
        <w:spacing w:after="0" w:line="170" w:lineRule="exact"/>
        <w:rPr>
          <w:sz w:val="20"/>
          <w:szCs w:val="20"/>
          <w:color w:val="auto"/>
        </w:rPr>
      </w:pPr>
    </w:p>
    <w:p>
      <w:pPr>
        <w:ind w:right="20"/>
        <w:spacing w:after="0" w:line="255" w:lineRule="auto"/>
        <w:rPr>
          <w:sz w:val="20"/>
          <w:szCs w:val="20"/>
          <w:color w:val="auto"/>
        </w:rPr>
      </w:pPr>
      <w:r>
        <w:rPr>
          <w:rFonts w:ascii="Arial" w:cs="Arial" w:eastAsia="Arial" w:hAnsi="Arial"/>
          <w:sz w:val="20"/>
          <w:szCs w:val="20"/>
          <w:i w:val="1"/>
          <w:iCs w:val="1"/>
          <w:color w:val="191919"/>
        </w:rPr>
        <w:t xml:space="preserve">Say-on-Pay Vote; Stockholder Proposal. </w:t>
      </w:r>
      <w:r>
        <w:rPr>
          <w:rFonts w:ascii="Arial" w:cs="Arial" w:eastAsia="Arial" w:hAnsi="Arial"/>
          <w:sz w:val="20"/>
          <w:szCs w:val="20"/>
          <w:color w:val="191919"/>
        </w:rPr>
        <w:t>The</w:t>
      </w:r>
      <w:r>
        <w:rPr>
          <w:rFonts w:ascii="Arial" w:cs="Arial" w:eastAsia="Arial" w:hAnsi="Arial"/>
          <w:sz w:val="20"/>
          <w:szCs w:val="20"/>
          <w:i w:val="1"/>
          <w:iCs w:val="1"/>
          <w:color w:val="191919"/>
        </w:rPr>
        <w:t xml:space="preserve"> </w:t>
      </w:r>
      <w:r>
        <w:rPr>
          <w:rFonts w:ascii="Arial" w:cs="Arial" w:eastAsia="Arial" w:hAnsi="Arial"/>
          <w:sz w:val="20"/>
          <w:szCs w:val="20"/>
          <w:color w:val="191919"/>
        </w:rPr>
        <w:t xml:space="preserve">affirmative vote of a majority of the shares present online, or represented by proxy at the Annual Meeting, and entitled to vote on such matter at the Annual Meeting, is required to approve Proposals 3 and 8. Proposals 3 and 8 are </w:t>
      </w:r>
      <w:r>
        <w:rPr>
          <w:rFonts w:ascii="Arial" w:cs="Arial" w:eastAsia="Arial" w:hAnsi="Arial"/>
          <w:sz w:val="20"/>
          <w:szCs w:val="20"/>
          <w:i w:val="1"/>
          <w:iCs w:val="1"/>
          <w:color w:val="191919"/>
        </w:rPr>
        <w:t>not</w:t>
      </w:r>
      <w:r>
        <w:rPr>
          <w:rFonts w:ascii="Arial" w:cs="Arial" w:eastAsia="Arial" w:hAnsi="Arial"/>
          <w:sz w:val="20"/>
          <w:szCs w:val="20"/>
          <w:color w:val="191919"/>
        </w:rPr>
        <w:t xml:space="preserve"> considered to be “discretionary” matters for certain brokers. </w:t>
      </w:r>
      <w:r>
        <w:rPr>
          <w:rFonts w:ascii="Arial" w:cs="Arial" w:eastAsia="Arial" w:hAnsi="Arial"/>
          <w:sz w:val="20"/>
          <w:szCs w:val="20"/>
          <w:b w:val="1"/>
          <w:bCs w:val="1"/>
          <w:color w:val="191919"/>
        </w:rPr>
        <w:t>If you do not</w:t>
      </w:r>
      <w:r>
        <w:rPr>
          <w:rFonts w:ascii="Arial" w:cs="Arial" w:eastAsia="Arial" w:hAnsi="Arial"/>
          <w:sz w:val="20"/>
          <w:szCs w:val="20"/>
          <w:color w:val="191919"/>
        </w:rPr>
        <w:t xml:space="preserve"> </w:t>
      </w:r>
      <w:r>
        <w:rPr>
          <w:rFonts w:ascii="Arial" w:cs="Arial" w:eastAsia="Arial" w:hAnsi="Arial"/>
          <w:sz w:val="20"/>
          <w:szCs w:val="20"/>
          <w:b w:val="1"/>
          <w:bCs w:val="1"/>
          <w:color w:val="191919"/>
        </w:rPr>
        <w:t xml:space="preserve">instruct your broker how to vote with respect to these items, your broker may not vote your shares with respect to these proposals. </w:t>
      </w:r>
      <w:r>
        <w:rPr>
          <w:rFonts w:ascii="Arial" w:cs="Arial" w:eastAsia="Arial" w:hAnsi="Arial"/>
          <w:sz w:val="20"/>
          <w:szCs w:val="20"/>
          <w:color w:val="191919"/>
        </w:rPr>
        <w:t>In such case, a “broker non-vote”</w:t>
      </w:r>
      <w:r>
        <w:rPr>
          <w:rFonts w:ascii="Arial" w:cs="Arial" w:eastAsia="Arial" w:hAnsi="Arial"/>
          <w:sz w:val="20"/>
          <w:szCs w:val="20"/>
          <w:b w:val="1"/>
          <w:bCs w:val="1"/>
          <w:color w:val="191919"/>
        </w:rPr>
        <w:t xml:space="preserve"> </w:t>
      </w:r>
      <w:r>
        <w:rPr>
          <w:rFonts w:ascii="Arial" w:cs="Arial" w:eastAsia="Arial" w:hAnsi="Arial"/>
          <w:sz w:val="20"/>
          <w:szCs w:val="20"/>
          <w:color w:val="191919"/>
        </w:rPr>
        <w:t>may occur, which will have no effect on the outcome of Proposals 3 and 8. Votes that are marked “</w:t>
      </w:r>
      <w:r>
        <w:rPr>
          <w:rFonts w:ascii="Arial" w:cs="Arial" w:eastAsia="Arial" w:hAnsi="Arial"/>
          <w:sz w:val="20"/>
          <w:szCs w:val="20"/>
          <w:b w:val="1"/>
          <w:bCs w:val="1"/>
          <w:color w:val="191919"/>
        </w:rPr>
        <w:t>ABSTAIN</w:t>
      </w:r>
      <w:r>
        <w:rPr>
          <w:rFonts w:ascii="Arial" w:cs="Arial" w:eastAsia="Arial" w:hAnsi="Arial"/>
          <w:sz w:val="20"/>
          <w:szCs w:val="20"/>
          <w:color w:val="191919"/>
        </w:rPr>
        <w:t>” are counted as present and entitled to vote with respect to Proposals 3 and 8 and will have the same impact as a vote that is marked “</w:t>
      </w:r>
      <w:r>
        <w:rPr>
          <w:rFonts w:ascii="Arial" w:cs="Arial" w:eastAsia="Arial" w:hAnsi="Arial"/>
          <w:sz w:val="20"/>
          <w:szCs w:val="20"/>
          <w:b w:val="1"/>
          <w:bCs w:val="1"/>
          <w:color w:val="191919"/>
        </w:rPr>
        <w:t>AGAINST</w:t>
      </w:r>
      <w:r>
        <w:rPr>
          <w:rFonts w:ascii="Arial" w:cs="Arial" w:eastAsia="Arial" w:hAnsi="Arial"/>
          <w:sz w:val="20"/>
          <w:szCs w:val="20"/>
          <w:color w:val="191919"/>
        </w:rPr>
        <w:t>” for purposes of Proposals 3 and 8.</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i w:val="1"/>
          <w:iCs w:val="1"/>
          <w:color w:val="191919"/>
        </w:rPr>
        <w:t>Approval of Amendments to the Company’s</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i w:val="1"/>
          <w:iCs w:val="1"/>
          <w:color w:val="191919"/>
        </w:rPr>
        <w:t>Restated Certificate of Incorporation.</w:t>
      </w:r>
    </w:p>
    <w:p>
      <w:pPr>
        <w:spacing w:after="0" w:line="19" w:lineRule="exact"/>
        <w:rPr>
          <w:sz w:val="20"/>
          <w:szCs w:val="20"/>
          <w:color w:val="auto"/>
        </w:rPr>
      </w:pPr>
    </w:p>
    <w:p>
      <w:pPr>
        <w:spacing w:after="0"/>
        <w:rPr>
          <w:sz w:val="20"/>
          <w:szCs w:val="20"/>
          <w:color w:val="auto"/>
        </w:rPr>
      </w:pPr>
      <w:r>
        <w:rPr>
          <w:rFonts w:ascii="Arial" w:cs="Arial" w:eastAsia="Arial" w:hAnsi="Arial"/>
          <w:sz w:val="20"/>
          <w:szCs w:val="20"/>
          <w:color w:val="191919"/>
        </w:rPr>
        <w:t>Approval of Proposals 4, 5, 6, and 7 requires</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191919"/>
        </w:rPr>
        <w:t>the affirmative vote of the holders of at least</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191919"/>
        </w:rPr>
        <w:t>the following percentages of the shares of our</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191919"/>
        </w:rPr>
        <w:t>outstanding common stock, respectively: 80%,</w:t>
      </w:r>
    </w:p>
    <w:p>
      <w:pPr>
        <w:spacing w:after="0" w:line="7" w:lineRule="exact"/>
        <w:rPr>
          <w:sz w:val="20"/>
          <w:szCs w:val="20"/>
          <w:color w:val="auto"/>
        </w:rPr>
      </w:pPr>
    </w:p>
    <w:p>
      <w:pPr>
        <w:spacing w:after="0"/>
        <w:rPr>
          <w:sz w:val="20"/>
          <w:szCs w:val="20"/>
          <w:color w:val="auto"/>
        </w:rPr>
      </w:pPr>
      <w:r>
        <w:rPr>
          <w:rFonts w:ascii="Arial" w:cs="Arial" w:eastAsia="Arial" w:hAnsi="Arial"/>
          <w:sz w:val="20"/>
          <w:szCs w:val="20"/>
          <w:color w:val="191919"/>
        </w:rPr>
        <w:t xml:space="preserve">90%, 80%, and 80%. Proposals 4-7 are </w:t>
      </w:r>
      <w:r>
        <w:rPr>
          <w:rFonts w:ascii="Arial" w:cs="Arial" w:eastAsia="Arial" w:hAnsi="Arial"/>
          <w:sz w:val="20"/>
          <w:szCs w:val="20"/>
          <w:i w:val="1"/>
          <w:iCs w:val="1"/>
          <w:color w:val="191919"/>
        </w:rPr>
        <w:t>not</w:t>
      </w:r>
    </w:p>
    <w:p>
      <w:pPr>
        <w:spacing w:after="0" w:line="19" w:lineRule="exact"/>
        <w:rPr>
          <w:sz w:val="20"/>
          <w:szCs w:val="20"/>
          <w:color w:val="auto"/>
        </w:rPr>
      </w:pPr>
    </w:p>
    <w:p>
      <w:pPr>
        <w:spacing w:after="0"/>
        <w:rPr>
          <w:sz w:val="20"/>
          <w:szCs w:val="20"/>
          <w:color w:val="auto"/>
        </w:rPr>
      </w:pPr>
      <w:r>
        <w:rPr>
          <w:rFonts w:ascii="Arial" w:cs="Arial" w:eastAsia="Arial" w:hAnsi="Arial"/>
          <w:sz w:val="20"/>
          <w:szCs w:val="20"/>
          <w:color w:val="191919"/>
        </w:rPr>
        <w:t>considered to be “discretionary” matters for</w:t>
      </w:r>
    </w:p>
    <w:p>
      <w:pPr>
        <w:spacing w:after="0" w:line="7" w:lineRule="exact"/>
        <w:rPr>
          <w:sz w:val="20"/>
          <w:szCs w:val="20"/>
          <w:color w:val="auto"/>
        </w:rPr>
      </w:pPr>
    </w:p>
    <w:p>
      <w:pPr>
        <w:spacing w:after="0"/>
        <w:rPr>
          <w:sz w:val="20"/>
          <w:szCs w:val="20"/>
          <w:color w:val="auto"/>
        </w:rPr>
      </w:pPr>
      <w:r>
        <w:rPr>
          <w:rFonts w:ascii="Arial" w:cs="Arial" w:eastAsia="Arial" w:hAnsi="Arial"/>
          <w:sz w:val="20"/>
          <w:szCs w:val="20"/>
          <w:color w:val="191919"/>
        </w:rPr>
        <w:t xml:space="preserve">certain brokers. </w:t>
      </w:r>
      <w:r>
        <w:rPr>
          <w:rFonts w:ascii="Arial" w:cs="Arial" w:eastAsia="Arial" w:hAnsi="Arial"/>
          <w:sz w:val="20"/>
          <w:szCs w:val="20"/>
          <w:b w:val="1"/>
          <w:bCs w:val="1"/>
          <w:color w:val="191919"/>
        </w:rPr>
        <w:t>If you do not instruct your</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b w:val="1"/>
          <w:bCs w:val="1"/>
          <w:color w:val="191919"/>
        </w:rPr>
        <w:t>broker how to vote with respect to one or</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b w:val="1"/>
          <w:bCs w:val="1"/>
          <w:color w:val="191919"/>
        </w:rPr>
        <w:t>more of these items, your broker may not</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b w:val="1"/>
          <w:bCs w:val="1"/>
          <w:color w:val="191919"/>
        </w:rPr>
        <w:t>vote your shares with respect to such</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b w:val="1"/>
          <w:bCs w:val="1"/>
          <w:color w:val="191919"/>
        </w:rPr>
        <w:t xml:space="preserve">proposals. </w:t>
      </w:r>
      <w:r>
        <w:rPr>
          <w:rFonts w:ascii="Arial" w:cs="Arial" w:eastAsia="Arial" w:hAnsi="Arial"/>
          <w:sz w:val="20"/>
          <w:szCs w:val="20"/>
          <w:color w:val="191919"/>
        </w:rPr>
        <w:t>In such case, a “broker non-vote”</w:t>
      </w:r>
    </w:p>
    <w:p>
      <w:pPr>
        <w:spacing w:after="0" w:line="19" w:lineRule="exact"/>
        <w:rPr>
          <w:sz w:val="20"/>
          <w:szCs w:val="20"/>
          <w:color w:val="auto"/>
        </w:rPr>
      </w:pPr>
    </w:p>
    <w:p>
      <w:pPr>
        <w:spacing w:after="0"/>
        <w:rPr>
          <w:sz w:val="20"/>
          <w:szCs w:val="20"/>
          <w:color w:val="auto"/>
        </w:rPr>
      </w:pPr>
      <w:r>
        <w:rPr>
          <w:rFonts w:ascii="Arial" w:cs="Arial" w:eastAsia="Arial" w:hAnsi="Arial"/>
          <w:sz w:val="20"/>
          <w:szCs w:val="20"/>
          <w:color w:val="191919"/>
        </w:rPr>
        <w:t>may occur, which will have the same effect as</w:t>
      </w:r>
    </w:p>
    <w:p>
      <w:pPr>
        <w:spacing w:after="0" w:line="7" w:lineRule="exact"/>
        <w:rPr>
          <w:sz w:val="20"/>
          <w:szCs w:val="20"/>
          <w:color w:val="auto"/>
        </w:rPr>
      </w:pPr>
    </w:p>
    <w:p>
      <w:pPr>
        <w:spacing w:after="0"/>
        <w:rPr>
          <w:sz w:val="20"/>
          <w:szCs w:val="20"/>
          <w:color w:val="auto"/>
        </w:rPr>
      </w:pPr>
      <w:r>
        <w:rPr>
          <w:rFonts w:ascii="Arial" w:cs="Arial" w:eastAsia="Arial" w:hAnsi="Arial"/>
          <w:sz w:val="20"/>
          <w:szCs w:val="20"/>
          <w:color w:val="191919"/>
        </w:rPr>
        <w:t>a vote that is marked “</w:t>
      </w:r>
      <w:r>
        <w:rPr>
          <w:rFonts w:ascii="Arial" w:cs="Arial" w:eastAsia="Arial" w:hAnsi="Arial"/>
          <w:sz w:val="20"/>
          <w:szCs w:val="20"/>
          <w:b w:val="1"/>
          <w:bCs w:val="1"/>
          <w:color w:val="191919"/>
        </w:rPr>
        <w:t>AGAINST</w:t>
      </w:r>
      <w:r>
        <w:rPr>
          <w:rFonts w:ascii="Arial" w:cs="Arial" w:eastAsia="Arial" w:hAnsi="Arial"/>
          <w:sz w:val="20"/>
          <w:szCs w:val="20"/>
          <w:color w:val="191919"/>
        </w:rPr>
        <w:t>” for purposes</w:t>
      </w:r>
    </w:p>
    <w:p>
      <w:pPr>
        <w:spacing w:after="0" w:line="19" w:lineRule="exact"/>
        <w:rPr>
          <w:sz w:val="20"/>
          <w:szCs w:val="20"/>
          <w:color w:val="auto"/>
        </w:rPr>
      </w:pPr>
    </w:p>
    <w:p>
      <w:pPr>
        <w:spacing w:after="0"/>
        <w:rPr>
          <w:sz w:val="20"/>
          <w:szCs w:val="20"/>
          <w:color w:val="auto"/>
        </w:rPr>
      </w:pPr>
      <w:r>
        <w:rPr>
          <w:rFonts w:ascii="Arial" w:cs="Arial" w:eastAsia="Arial" w:hAnsi="Arial"/>
          <w:sz w:val="20"/>
          <w:szCs w:val="20"/>
          <w:color w:val="191919"/>
        </w:rPr>
        <w:t>of such proposal. Votes that are marked</w:t>
      </w:r>
    </w:p>
    <w:p>
      <w:pPr>
        <w:spacing w:after="0" w:line="7" w:lineRule="exact"/>
        <w:rPr>
          <w:sz w:val="20"/>
          <w:szCs w:val="20"/>
          <w:color w:val="auto"/>
        </w:rPr>
      </w:pPr>
    </w:p>
    <w:p>
      <w:pPr>
        <w:spacing w:after="0"/>
        <w:rPr>
          <w:sz w:val="20"/>
          <w:szCs w:val="20"/>
          <w:color w:val="auto"/>
        </w:rPr>
      </w:pPr>
      <w:r>
        <w:rPr>
          <w:rFonts w:ascii="Arial" w:cs="Arial" w:eastAsia="Arial" w:hAnsi="Arial"/>
          <w:sz w:val="20"/>
          <w:szCs w:val="20"/>
          <w:color w:val="191919"/>
        </w:rPr>
        <w:t>“</w:t>
      </w:r>
      <w:r>
        <w:rPr>
          <w:rFonts w:ascii="Arial" w:cs="Arial" w:eastAsia="Arial" w:hAnsi="Arial"/>
          <w:sz w:val="20"/>
          <w:szCs w:val="20"/>
          <w:b w:val="1"/>
          <w:bCs w:val="1"/>
          <w:color w:val="191919"/>
        </w:rPr>
        <w:t>ABSTAIN</w:t>
      </w:r>
      <w:r>
        <w:rPr>
          <w:rFonts w:ascii="Arial" w:cs="Arial" w:eastAsia="Arial" w:hAnsi="Arial"/>
          <w:sz w:val="20"/>
          <w:szCs w:val="20"/>
          <w:color w:val="191919"/>
        </w:rPr>
        <w:t>” as to any of Proposals 4-7 are</w:t>
      </w:r>
    </w:p>
    <w:p>
      <w:pPr>
        <w:spacing w:after="0" w:line="19" w:lineRule="exact"/>
        <w:rPr>
          <w:sz w:val="20"/>
          <w:szCs w:val="20"/>
          <w:color w:val="auto"/>
        </w:rPr>
      </w:pPr>
    </w:p>
    <w:p>
      <w:pPr>
        <w:spacing w:after="0"/>
        <w:rPr>
          <w:sz w:val="20"/>
          <w:szCs w:val="20"/>
          <w:color w:val="auto"/>
        </w:rPr>
      </w:pPr>
      <w:r>
        <w:rPr>
          <w:rFonts w:ascii="Arial" w:cs="Arial" w:eastAsia="Arial" w:hAnsi="Arial"/>
          <w:sz w:val="20"/>
          <w:szCs w:val="20"/>
          <w:color w:val="191919"/>
        </w:rPr>
        <w:t>counted as present and entitled to vote with</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191919"/>
        </w:rPr>
        <w:t>respect to such proposal and will have the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191919"/>
        </w:rPr>
        <w:t>same impact as a vote that is marked</w:t>
      </w:r>
    </w:p>
    <w:p>
      <w:pPr>
        <w:spacing w:after="0" w:line="7" w:lineRule="exact"/>
        <w:rPr>
          <w:sz w:val="20"/>
          <w:szCs w:val="20"/>
          <w:color w:val="auto"/>
        </w:rPr>
      </w:pPr>
    </w:p>
    <w:p>
      <w:pPr>
        <w:spacing w:after="0"/>
        <w:rPr>
          <w:sz w:val="20"/>
          <w:szCs w:val="20"/>
          <w:color w:val="auto"/>
        </w:rPr>
      </w:pPr>
      <w:r>
        <w:rPr>
          <w:rFonts w:ascii="Arial" w:cs="Arial" w:eastAsia="Arial" w:hAnsi="Arial"/>
          <w:sz w:val="20"/>
          <w:szCs w:val="20"/>
          <w:color w:val="191919"/>
        </w:rPr>
        <w:t>“</w:t>
      </w:r>
      <w:r>
        <w:rPr>
          <w:rFonts w:ascii="Arial" w:cs="Arial" w:eastAsia="Arial" w:hAnsi="Arial"/>
          <w:sz w:val="20"/>
          <w:szCs w:val="20"/>
          <w:b w:val="1"/>
          <w:bCs w:val="1"/>
          <w:color w:val="191919"/>
        </w:rPr>
        <w:t>AGAINST</w:t>
      </w:r>
      <w:r>
        <w:rPr>
          <w:rFonts w:ascii="Arial" w:cs="Arial" w:eastAsia="Arial" w:hAnsi="Arial"/>
          <w:sz w:val="20"/>
          <w:szCs w:val="20"/>
          <w:color w:val="191919"/>
        </w:rPr>
        <w:t>” for purposes of such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940"/>
        <w:spacing w:after="0"/>
        <w:rPr>
          <w:sz w:val="20"/>
          <w:szCs w:val="20"/>
          <w:color w:val="auto"/>
        </w:rPr>
      </w:pPr>
      <w:r>
        <w:rPr>
          <w:rFonts w:ascii="Arial" w:cs="Arial" w:eastAsia="Arial" w:hAnsi="Arial"/>
          <w:sz w:val="16"/>
          <w:szCs w:val="16"/>
          <w:color w:val="auto"/>
        </w:rPr>
        <w:t>71</w:t>
      </w:r>
    </w:p>
    <w:p>
      <w:pPr>
        <w:sectPr>
          <w:pgSz w:w="11900" w:h="16838" w:orient="portrait"/>
          <w:cols w:equalWidth="0" w:num="2">
            <w:col w:w="5220" w:space="720"/>
            <w:col w:w="4120"/>
          </w:cols>
          <w:pgMar w:left="580" w:top="132" w:right="1259" w:bottom="1440" w:gutter="0" w:footer="0" w:header="0"/>
        </w:sectPr>
      </w:pPr>
    </w:p>
    <w:bookmarkStart w:id="76" w:name="page77"/>
    <w:bookmarkEnd w:id="7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375" w:lineRule="exact"/>
        <w:rPr>
          <w:sz w:val="20"/>
          <w:szCs w:val="20"/>
          <w:color w:val="auto"/>
        </w:rPr>
      </w:pPr>
    </w:p>
    <w:p>
      <w:pPr>
        <w:ind w:left="1020" w:right="460" w:hanging="366"/>
        <w:spacing w:after="0" w:line="271" w:lineRule="auto"/>
        <w:tabs>
          <w:tab w:leader="none" w:pos="1020" w:val="left"/>
        </w:tabs>
        <w:numPr>
          <w:ilvl w:val="0"/>
          <w:numId w:val="100"/>
        </w:numPr>
        <w:rPr>
          <w:rFonts w:ascii="Arial" w:cs="Arial" w:eastAsia="Arial" w:hAnsi="Arial"/>
          <w:sz w:val="20"/>
          <w:szCs w:val="20"/>
          <w:b w:val="1"/>
          <w:bCs w:val="1"/>
          <w:color w:val="0076A8"/>
        </w:rPr>
      </w:pPr>
      <w:r>
        <w:rPr>
          <w:rFonts w:ascii="Arial" w:cs="Arial" w:eastAsia="Arial" w:hAnsi="Arial"/>
          <w:sz w:val="20"/>
          <w:szCs w:val="20"/>
          <w:b w:val="1"/>
          <w:bCs w:val="1"/>
          <w:color w:val="0076A8"/>
        </w:rPr>
        <w:t>How does the Board recommend that I vote?</w:t>
      </w:r>
    </w:p>
    <w:p>
      <w:pPr>
        <w:spacing w:after="0" w:line="98" w:lineRule="exact"/>
        <w:rPr>
          <w:rFonts w:ascii="Arial" w:cs="Arial" w:eastAsia="Arial" w:hAnsi="Arial"/>
          <w:sz w:val="20"/>
          <w:szCs w:val="20"/>
          <w:b w:val="1"/>
          <w:bCs w:val="1"/>
          <w:color w:val="0076A8"/>
        </w:rPr>
      </w:pPr>
    </w:p>
    <w:p>
      <w:pPr>
        <w:ind w:left="1020"/>
        <w:spacing w:after="0"/>
        <w:rPr>
          <w:rFonts w:ascii="Arial" w:cs="Arial" w:eastAsia="Arial" w:hAnsi="Arial"/>
          <w:sz w:val="20"/>
          <w:szCs w:val="20"/>
          <w:b w:val="1"/>
          <w:bCs w:val="1"/>
          <w:color w:val="0076A8"/>
        </w:rPr>
      </w:pPr>
      <w:r>
        <w:rPr>
          <w:rFonts w:ascii="Arial" w:cs="Arial" w:eastAsia="Arial" w:hAnsi="Arial"/>
          <w:sz w:val="20"/>
          <w:szCs w:val="20"/>
          <w:color w:val="191919"/>
        </w:rPr>
        <w:t>The Board recommends that you vote:</w:t>
      </w:r>
    </w:p>
    <w:p>
      <w:pPr>
        <w:spacing w:after="0" w:line="205" w:lineRule="exact"/>
        <w:rPr>
          <w:rFonts w:ascii="Arial" w:cs="Arial" w:eastAsia="Arial" w:hAnsi="Arial"/>
          <w:sz w:val="20"/>
          <w:szCs w:val="20"/>
          <w:b w:val="1"/>
          <w:bCs w:val="1"/>
          <w:color w:val="0076A8"/>
        </w:rPr>
      </w:pPr>
    </w:p>
    <w:p>
      <w:pPr>
        <w:ind w:left="1020" w:right="140"/>
        <w:spacing w:after="0" w:line="286" w:lineRule="auto"/>
        <w:rPr>
          <w:rFonts w:ascii="Arial" w:cs="Arial" w:eastAsia="Arial" w:hAnsi="Arial"/>
          <w:sz w:val="20"/>
          <w:szCs w:val="20"/>
          <w:b w:val="1"/>
          <w:bCs w:val="1"/>
          <w:color w:val="0076A8"/>
        </w:rPr>
      </w:pPr>
      <w:r>
        <w:rPr>
          <w:rFonts w:ascii="Arial" w:cs="Arial" w:eastAsia="Arial" w:hAnsi="Arial"/>
          <w:sz w:val="20"/>
          <w:szCs w:val="20"/>
          <w:b w:val="1"/>
          <w:bCs w:val="1"/>
          <w:color w:val="191919"/>
        </w:rPr>
        <w:t xml:space="preserve">FOR </w:t>
      </w:r>
      <w:r>
        <w:rPr>
          <w:rFonts w:ascii="Arial" w:cs="Arial" w:eastAsia="Arial" w:hAnsi="Arial"/>
          <w:sz w:val="20"/>
          <w:szCs w:val="20"/>
          <w:color w:val="191919"/>
        </w:rPr>
        <w:t>the election of each of the eight director</w:t>
      </w:r>
      <w:r>
        <w:rPr>
          <w:rFonts w:ascii="Arial" w:cs="Arial" w:eastAsia="Arial" w:hAnsi="Arial"/>
          <w:sz w:val="20"/>
          <w:szCs w:val="20"/>
          <w:b w:val="1"/>
          <w:bCs w:val="1"/>
          <w:color w:val="191919"/>
        </w:rPr>
        <w:t xml:space="preserve"> </w:t>
      </w:r>
      <w:r>
        <w:rPr>
          <w:rFonts w:ascii="Arial" w:cs="Arial" w:eastAsia="Arial" w:hAnsi="Arial"/>
          <w:sz w:val="20"/>
          <w:szCs w:val="20"/>
          <w:color w:val="191919"/>
        </w:rPr>
        <w:t>nominees (Proposal 1).</w:t>
      </w:r>
    </w:p>
    <w:p>
      <w:pPr>
        <w:spacing w:after="0" w:line="153" w:lineRule="exact"/>
        <w:rPr>
          <w:rFonts w:ascii="Arial" w:cs="Arial" w:eastAsia="Arial" w:hAnsi="Arial"/>
          <w:sz w:val="20"/>
          <w:szCs w:val="20"/>
          <w:b w:val="1"/>
          <w:bCs w:val="1"/>
          <w:color w:val="0076A8"/>
        </w:rPr>
      </w:pPr>
    </w:p>
    <w:p>
      <w:pPr>
        <w:ind w:left="1020" w:right="140"/>
        <w:spacing w:after="0" w:line="264" w:lineRule="auto"/>
        <w:rPr>
          <w:rFonts w:ascii="Arial" w:cs="Arial" w:eastAsia="Arial" w:hAnsi="Arial"/>
          <w:sz w:val="20"/>
          <w:szCs w:val="20"/>
          <w:b w:val="1"/>
          <w:bCs w:val="1"/>
          <w:color w:val="0076A8"/>
        </w:rPr>
      </w:pPr>
      <w:r>
        <w:rPr>
          <w:rFonts w:ascii="Arial" w:cs="Arial" w:eastAsia="Arial" w:hAnsi="Arial"/>
          <w:sz w:val="20"/>
          <w:szCs w:val="20"/>
          <w:b w:val="1"/>
          <w:bCs w:val="1"/>
          <w:color w:val="191919"/>
        </w:rPr>
        <w:t xml:space="preserve">FOR </w:t>
      </w:r>
      <w:r>
        <w:rPr>
          <w:rFonts w:ascii="Arial" w:cs="Arial" w:eastAsia="Arial" w:hAnsi="Arial"/>
          <w:sz w:val="20"/>
          <w:szCs w:val="20"/>
          <w:color w:val="191919"/>
        </w:rPr>
        <w:t>the ratification of the selection of KPMG</w:t>
      </w:r>
      <w:r>
        <w:rPr>
          <w:rFonts w:ascii="Arial" w:cs="Arial" w:eastAsia="Arial" w:hAnsi="Arial"/>
          <w:sz w:val="20"/>
          <w:szCs w:val="20"/>
          <w:b w:val="1"/>
          <w:bCs w:val="1"/>
          <w:color w:val="191919"/>
        </w:rPr>
        <w:t xml:space="preserve"> </w:t>
      </w:r>
      <w:r>
        <w:rPr>
          <w:rFonts w:ascii="Arial" w:cs="Arial" w:eastAsia="Arial" w:hAnsi="Arial"/>
          <w:sz w:val="20"/>
          <w:szCs w:val="20"/>
          <w:color w:val="191919"/>
        </w:rPr>
        <w:t>LLP as our independent registered public accounting firm for fiscal year 2022 (Proposal 2).</w:t>
      </w:r>
    </w:p>
    <w:p>
      <w:pPr>
        <w:spacing w:after="0" w:line="176" w:lineRule="exact"/>
        <w:rPr>
          <w:rFonts w:ascii="Arial" w:cs="Arial" w:eastAsia="Arial" w:hAnsi="Arial"/>
          <w:sz w:val="20"/>
          <w:szCs w:val="20"/>
          <w:b w:val="1"/>
          <w:bCs w:val="1"/>
          <w:color w:val="0076A8"/>
        </w:rPr>
      </w:pPr>
    </w:p>
    <w:p>
      <w:pPr>
        <w:ind w:left="1020" w:right="40"/>
        <w:spacing w:after="0" w:line="259" w:lineRule="auto"/>
        <w:rPr>
          <w:rFonts w:ascii="Arial" w:cs="Arial" w:eastAsia="Arial" w:hAnsi="Arial"/>
          <w:sz w:val="20"/>
          <w:szCs w:val="20"/>
          <w:b w:val="1"/>
          <w:bCs w:val="1"/>
          <w:color w:val="0076A8"/>
        </w:rPr>
      </w:pPr>
      <w:r>
        <w:rPr>
          <w:rFonts w:ascii="Arial" w:cs="Arial" w:eastAsia="Arial" w:hAnsi="Arial"/>
          <w:sz w:val="20"/>
          <w:szCs w:val="20"/>
          <w:b w:val="1"/>
          <w:bCs w:val="1"/>
          <w:color w:val="191919"/>
        </w:rPr>
        <w:t xml:space="preserve">FOR </w:t>
      </w:r>
      <w:r>
        <w:rPr>
          <w:rFonts w:ascii="Arial" w:cs="Arial" w:eastAsia="Arial" w:hAnsi="Arial"/>
          <w:sz w:val="20"/>
          <w:szCs w:val="20"/>
          <w:color w:val="191919"/>
        </w:rPr>
        <w:t>the approval, on a non-binding basis, of</w:t>
      </w:r>
      <w:r>
        <w:rPr>
          <w:rFonts w:ascii="Arial" w:cs="Arial" w:eastAsia="Arial" w:hAnsi="Arial"/>
          <w:sz w:val="20"/>
          <w:szCs w:val="20"/>
          <w:b w:val="1"/>
          <w:bCs w:val="1"/>
          <w:color w:val="191919"/>
        </w:rPr>
        <w:t xml:space="preserve"> </w:t>
      </w:r>
      <w:r>
        <w:rPr>
          <w:rFonts w:ascii="Arial" w:cs="Arial" w:eastAsia="Arial" w:hAnsi="Arial"/>
          <w:sz w:val="20"/>
          <w:szCs w:val="20"/>
          <w:color w:val="191919"/>
        </w:rPr>
        <w:t>the compensation of our Named Executive Officers, as described above under “</w:t>
      </w:r>
      <w:r>
        <w:rPr>
          <w:rFonts w:ascii="Arial" w:cs="Arial" w:eastAsia="Arial" w:hAnsi="Arial"/>
          <w:sz w:val="20"/>
          <w:szCs w:val="20"/>
          <w:i w:val="1"/>
          <w:iCs w:val="1"/>
          <w:color w:val="191919"/>
        </w:rPr>
        <w:t>Compensation Discussion and Analysis</w:t>
      </w:r>
      <w:r>
        <w:rPr>
          <w:rFonts w:ascii="Arial" w:cs="Arial" w:eastAsia="Arial" w:hAnsi="Arial"/>
          <w:sz w:val="20"/>
          <w:szCs w:val="20"/>
          <w:color w:val="191919"/>
        </w:rPr>
        <w:t>,” and in the executive compensation tables and accompanying narrative disclosures (Proposal 3).</w:t>
      </w:r>
    </w:p>
    <w:p>
      <w:pPr>
        <w:spacing w:after="0" w:line="179" w:lineRule="exact"/>
        <w:rPr>
          <w:rFonts w:ascii="Arial" w:cs="Arial" w:eastAsia="Arial" w:hAnsi="Arial"/>
          <w:sz w:val="20"/>
          <w:szCs w:val="20"/>
          <w:b w:val="1"/>
          <w:bCs w:val="1"/>
          <w:color w:val="0076A8"/>
        </w:rPr>
      </w:pPr>
    </w:p>
    <w:p>
      <w:pPr>
        <w:ind w:left="1020" w:right="560"/>
        <w:spacing w:after="0" w:line="269" w:lineRule="auto"/>
        <w:rPr>
          <w:rFonts w:ascii="Arial" w:cs="Arial" w:eastAsia="Arial" w:hAnsi="Arial"/>
          <w:sz w:val="20"/>
          <w:szCs w:val="20"/>
          <w:b w:val="1"/>
          <w:bCs w:val="1"/>
          <w:color w:val="0076A8"/>
        </w:rPr>
      </w:pPr>
      <w:r>
        <w:rPr>
          <w:rFonts w:ascii="Arial" w:cs="Arial" w:eastAsia="Arial" w:hAnsi="Arial"/>
          <w:sz w:val="20"/>
          <w:szCs w:val="20"/>
          <w:b w:val="1"/>
          <w:bCs w:val="1"/>
          <w:color w:val="191919"/>
        </w:rPr>
        <w:t xml:space="preserve">FOR </w:t>
      </w:r>
      <w:r>
        <w:rPr>
          <w:rFonts w:ascii="Arial" w:cs="Arial" w:eastAsia="Arial" w:hAnsi="Arial"/>
          <w:sz w:val="20"/>
          <w:szCs w:val="20"/>
          <w:color w:val="191919"/>
        </w:rPr>
        <w:t>the approval of amendments to the</w:t>
      </w:r>
      <w:r>
        <w:rPr>
          <w:rFonts w:ascii="Arial" w:cs="Arial" w:eastAsia="Arial" w:hAnsi="Arial"/>
          <w:sz w:val="20"/>
          <w:szCs w:val="20"/>
          <w:b w:val="1"/>
          <w:bCs w:val="1"/>
          <w:color w:val="191919"/>
        </w:rPr>
        <w:t xml:space="preserve"> </w:t>
      </w:r>
      <w:r>
        <w:rPr>
          <w:rFonts w:ascii="Arial" w:cs="Arial" w:eastAsia="Arial" w:hAnsi="Arial"/>
          <w:sz w:val="20"/>
          <w:szCs w:val="20"/>
          <w:color w:val="191919"/>
        </w:rPr>
        <w:t>Company’s Restated Certificate of Incorporation (Proposals 4-7).</w:t>
      </w:r>
    </w:p>
    <w:p>
      <w:pPr>
        <w:spacing w:after="0" w:line="171" w:lineRule="exact"/>
        <w:rPr>
          <w:rFonts w:ascii="Arial" w:cs="Arial" w:eastAsia="Arial" w:hAnsi="Arial"/>
          <w:sz w:val="20"/>
          <w:szCs w:val="20"/>
          <w:b w:val="1"/>
          <w:bCs w:val="1"/>
          <w:color w:val="0076A8"/>
        </w:rPr>
      </w:pPr>
    </w:p>
    <w:p>
      <w:pPr>
        <w:ind w:left="1020" w:right="20"/>
        <w:spacing w:after="0" w:line="290" w:lineRule="auto"/>
        <w:rPr>
          <w:rFonts w:ascii="Arial" w:cs="Arial" w:eastAsia="Arial" w:hAnsi="Arial"/>
          <w:sz w:val="20"/>
          <w:szCs w:val="20"/>
          <w:b w:val="1"/>
          <w:bCs w:val="1"/>
          <w:color w:val="0076A8"/>
        </w:rPr>
      </w:pPr>
      <w:r>
        <w:rPr>
          <w:rFonts w:ascii="Arial" w:cs="Arial" w:eastAsia="Arial" w:hAnsi="Arial"/>
          <w:sz w:val="19"/>
          <w:szCs w:val="19"/>
          <w:b w:val="1"/>
          <w:bCs w:val="1"/>
          <w:color w:val="191919"/>
        </w:rPr>
        <w:t xml:space="preserve">AGAINST </w:t>
      </w:r>
      <w:r>
        <w:rPr>
          <w:rFonts w:ascii="Arial" w:cs="Arial" w:eastAsia="Arial" w:hAnsi="Arial"/>
          <w:sz w:val="19"/>
          <w:szCs w:val="19"/>
          <w:color w:val="191919"/>
        </w:rPr>
        <w:t>the approval, on a non-binding</w:t>
      </w:r>
      <w:r>
        <w:rPr>
          <w:rFonts w:ascii="Arial" w:cs="Arial" w:eastAsia="Arial" w:hAnsi="Arial"/>
          <w:sz w:val="19"/>
          <w:szCs w:val="19"/>
          <w:b w:val="1"/>
          <w:bCs w:val="1"/>
          <w:color w:val="191919"/>
        </w:rPr>
        <w:t xml:space="preserve"> </w:t>
      </w:r>
      <w:r>
        <w:rPr>
          <w:rFonts w:ascii="Arial" w:cs="Arial" w:eastAsia="Arial" w:hAnsi="Arial"/>
          <w:sz w:val="19"/>
          <w:szCs w:val="19"/>
          <w:color w:val="191919"/>
        </w:rPr>
        <w:t>basis, of a stockholder proposal regarding our stockholder special meeting right (Proposal 8).</w:t>
      </w:r>
    </w:p>
    <w:p>
      <w:pPr>
        <w:spacing w:after="0" w:line="112" w:lineRule="exact"/>
        <w:rPr>
          <w:rFonts w:ascii="Arial" w:cs="Arial" w:eastAsia="Arial" w:hAnsi="Arial"/>
          <w:sz w:val="20"/>
          <w:szCs w:val="20"/>
          <w:b w:val="1"/>
          <w:bCs w:val="1"/>
          <w:color w:val="0076A8"/>
        </w:rPr>
      </w:pPr>
    </w:p>
    <w:p>
      <w:pPr>
        <w:ind w:left="1020" w:right="580" w:hanging="366"/>
        <w:spacing w:after="0" w:line="271" w:lineRule="auto"/>
        <w:tabs>
          <w:tab w:leader="none" w:pos="1020" w:val="left"/>
        </w:tabs>
        <w:numPr>
          <w:ilvl w:val="0"/>
          <w:numId w:val="101"/>
        </w:numPr>
        <w:rPr>
          <w:rFonts w:ascii="Arial" w:cs="Arial" w:eastAsia="Arial" w:hAnsi="Arial"/>
          <w:sz w:val="20"/>
          <w:szCs w:val="20"/>
          <w:b w:val="1"/>
          <w:bCs w:val="1"/>
          <w:color w:val="0076A8"/>
        </w:rPr>
      </w:pPr>
      <w:r>
        <w:rPr>
          <w:rFonts w:ascii="Arial" w:cs="Arial" w:eastAsia="Arial" w:hAnsi="Arial"/>
          <w:sz w:val="20"/>
          <w:szCs w:val="20"/>
          <w:b w:val="1"/>
          <w:bCs w:val="1"/>
          <w:color w:val="0076A8"/>
        </w:rPr>
        <w:t>How will the votes cast at our Annual Meeting be counted?</w:t>
      </w:r>
    </w:p>
    <w:p>
      <w:pPr>
        <w:spacing w:after="0" w:line="112" w:lineRule="exact"/>
        <w:rPr>
          <w:rFonts w:ascii="Arial" w:cs="Arial" w:eastAsia="Arial" w:hAnsi="Arial"/>
          <w:sz w:val="20"/>
          <w:szCs w:val="20"/>
          <w:b w:val="1"/>
          <w:bCs w:val="1"/>
          <w:color w:val="0076A8"/>
        </w:rPr>
      </w:pPr>
    </w:p>
    <w:p>
      <w:pPr>
        <w:ind w:left="1020"/>
        <w:spacing w:after="0" w:line="255" w:lineRule="auto"/>
        <w:rPr>
          <w:rFonts w:ascii="Arial" w:cs="Arial" w:eastAsia="Arial" w:hAnsi="Arial"/>
          <w:sz w:val="20"/>
          <w:szCs w:val="20"/>
          <w:b w:val="1"/>
          <w:bCs w:val="1"/>
          <w:color w:val="0076A8"/>
        </w:rPr>
      </w:pPr>
      <w:r>
        <w:rPr>
          <w:rFonts w:ascii="Arial" w:cs="Arial" w:eastAsia="Arial" w:hAnsi="Arial"/>
          <w:sz w:val="20"/>
          <w:szCs w:val="20"/>
          <w:color w:val="191919"/>
        </w:rPr>
        <w:t>Broadridge Financial Solutions, Inc., and our independent inspector of elections will tabulate the votes at the Annual Meeting. The vote on each matter submitted to stockholders will be tabulated separately.</w:t>
      </w:r>
    </w:p>
    <w:p>
      <w:pPr>
        <w:spacing w:after="0" w:line="144" w:lineRule="exact"/>
        <w:rPr>
          <w:rFonts w:ascii="Arial" w:cs="Arial" w:eastAsia="Arial" w:hAnsi="Arial"/>
          <w:sz w:val="20"/>
          <w:szCs w:val="20"/>
          <w:b w:val="1"/>
          <w:bCs w:val="1"/>
          <w:color w:val="0076A8"/>
        </w:rPr>
      </w:pPr>
    </w:p>
    <w:p>
      <w:pPr>
        <w:ind w:left="1020" w:right="240" w:hanging="366"/>
        <w:spacing w:after="0" w:line="271" w:lineRule="auto"/>
        <w:tabs>
          <w:tab w:leader="none" w:pos="1020" w:val="left"/>
        </w:tabs>
        <w:numPr>
          <w:ilvl w:val="0"/>
          <w:numId w:val="102"/>
        </w:numPr>
        <w:rPr>
          <w:rFonts w:ascii="Arial" w:cs="Arial" w:eastAsia="Arial" w:hAnsi="Arial"/>
          <w:sz w:val="20"/>
          <w:szCs w:val="20"/>
          <w:b w:val="1"/>
          <w:bCs w:val="1"/>
          <w:color w:val="0076A8"/>
        </w:rPr>
      </w:pPr>
      <w:r>
        <w:rPr>
          <w:rFonts w:ascii="Arial" w:cs="Arial" w:eastAsia="Arial" w:hAnsi="Arial"/>
          <w:sz w:val="20"/>
          <w:szCs w:val="20"/>
          <w:b w:val="1"/>
          <w:bCs w:val="1"/>
          <w:color w:val="0076A8"/>
        </w:rPr>
        <w:t>Where can I find the voting results of our Annual Meeting?</w:t>
      </w:r>
    </w:p>
    <w:p>
      <w:pPr>
        <w:spacing w:after="0" w:line="98" w:lineRule="exact"/>
        <w:rPr>
          <w:rFonts w:ascii="Arial" w:cs="Arial" w:eastAsia="Arial" w:hAnsi="Arial"/>
          <w:sz w:val="20"/>
          <w:szCs w:val="20"/>
          <w:b w:val="1"/>
          <w:bCs w:val="1"/>
          <w:color w:val="0076A8"/>
        </w:rPr>
      </w:pPr>
    </w:p>
    <w:p>
      <w:pPr>
        <w:jc w:val="both"/>
        <w:ind w:left="1020" w:right="40"/>
        <w:spacing w:after="0" w:line="271" w:lineRule="auto"/>
        <w:rPr>
          <w:rFonts w:ascii="Arial" w:cs="Arial" w:eastAsia="Arial" w:hAnsi="Arial"/>
          <w:sz w:val="20"/>
          <w:szCs w:val="20"/>
          <w:b w:val="1"/>
          <w:bCs w:val="1"/>
          <w:color w:val="0076A8"/>
        </w:rPr>
      </w:pPr>
      <w:r>
        <w:rPr>
          <w:rFonts w:ascii="Arial" w:cs="Arial" w:eastAsia="Arial" w:hAnsi="Arial"/>
          <w:sz w:val="19"/>
          <w:szCs w:val="19"/>
          <w:color w:val="191919"/>
        </w:rPr>
        <w:t>We expect to announce the preliminary voting results at our Annual Meeting. The final voting results will be reported in a Current Report on Form 8-K that will be filed with the SEC within four business days after the end of our Annual Meeting and will be posted on our website.</w:t>
      </w:r>
    </w:p>
    <w:p>
      <w:pPr>
        <w:spacing w:after="0" w:line="129" w:lineRule="exact"/>
        <w:rPr>
          <w:rFonts w:ascii="Arial" w:cs="Arial" w:eastAsia="Arial" w:hAnsi="Arial"/>
          <w:sz w:val="20"/>
          <w:szCs w:val="20"/>
          <w:b w:val="1"/>
          <w:bCs w:val="1"/>
          <w:color w:val="0076A8"/>
        </w:rPr>
      </w:pPr>
    </w:p>
    <w:p>
      <w:pPr>
        <w:ind w:left="1020" w:hanging="366"/>
        <w:spacing w:after="0"/>
        <w:tabs>
          <w:tab w:leader="none" w:pos="1020" w:val="left"/>
        </w:tabs>
        <w:numPr>
          <w:ilvl w:val="0"/>
          <w:numId w:val="103"/>
        </w:numPr>
        <w:rPr>
          <w:rFonts w:ascii="Arial" w:cs="Arial" w:eastAsia="Arial" w:hAnsi="Arial"/>
          <w:sz w:val="20"/>
          <w:szCs w:val="20"/>
          <w:b w:val="1"/>
          <w:bCs w:val="1"/>
          <w:color w:val="0076A8"/>
        </w:rPr>
      </w:pPr>
      <w:r>
        <w:rPr>
          <w:rFonts w:ascii="Arial" w:cs="Arial" w:eastAsia="Arial" w:hAnsi="Arial"/>
          <w:sz w:val="20"/>
          <w:szCs w:val="20"/>
          <w:b w:val="1"/>
          <w:bCs w:val="1"/>
          <w:color w:val="0076A8"/>
        </w:rPr>
        <w:t>Will my vote be kept confidential?</w:t>
      </w:r>
    </w:p>
    <w:p>
      <w:pPr>
        <w:spacing w:after="0" w:line="172" w:lineRule="exact"/>
        <w:rPr>
          <w:rFonts w:ascii="Arial" w:cs="Arial" w:eastAsia="Arial" w:hAnsi="Arial"/>
          <w:sz w:val="20"/>
          <w:szCs w:val="20"/>
          <w:b w:val="1"/>
          <w:bCs w:val="1"/>
          <w:color w:val="0076A8"/>
        </w:rPr>
      </w:pPr>
    </w:p>
    <w:p>
      <w:pPr>
        <w:ind w:left="1020"/>
        <w:spacing w:after="0"/>
        <w:rPr>
          <w:rFonts w:ascii="Arial" w:cs="Arial" w:eastAsia="Arial" w:hAnsi="Arial"/>
          <w:sz w:val="20"/>
          <w:szCs w:val="20"/>
          <w:b w:val="1"/>
          <w:bCs w:val="1"/>
          <w:color w:val="0076A8"/>
        </w:rPr>
      </w:pPr>
      <w:r>
        <w:rPr>
          <w:rFonts w:ascii="Arial" w:cs="Arial" w:eastAsia="Arial" w:hAnsi="Arial"/>
          <w:sz w:val="19"/>
          <w:szCs w:val="19"/>
          <w:color w:val="191919"/>
        </w:rPr>
        <w:t>Yes. We will keep your vote confidential unless</w:t>
      </w:r>
    </w:p>
    <w:p>
      <w:pPr>
        <w:spacing w:after="0" w:line="24" w:lineRule="exact"/>
        <w:rPr>
          <w:rFonts w:ascii="Arial" w:cs="Arial" w:eastAsia="Arial" w:hAnsi="Arial"/>
          <w:sz w:val="20"/>
          <w:szCs w:val="20"/>
          <w:b w:val="1"/>
          <w:bCs w:val="1"/>
          <w:color w:val="0076A8"/>
        </w:rPr>
      </w:pPr>
    </w:p>
    <w:p>
      <w:pPr>
        <w:ind w:left="1020"/>
        <w:spacing w:after="0"/>
        <w:rPr>
          <w:rFonts w:ascii="Arial" w:cs="Arial" w:eastAsia="Arial" w:hAnsi="Arial"/>
          <w:sz w:val="20"/>
          <w:szCs w:val="20"/>
          <w:b w:val="1"/>
          <w:bCs w:val="1"/>
          <w:color w:val="0076A8"/>
        </w:rPr>
      </w:pPr>
      <w:r>
        <w:rPr>
          <w:rFonts w:ascii="Arial" w:cs="Arial" w:eastAsia="Arial" w:hAnsi="Arial"/>
          <w:sz w:val="20"/>
          <w:szCs w:val="20"/>
          <w:color w:val="191919"/>
        </w:rPr>
        <w:t>(1) we are required by law to disclose</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363" w:right="200"/>
        <w:spacing w:after="0" w:line="254" w:lineRule="auto"/>
        <w:rPr>
          <w:sz w:val="20"/>
          <w:szCs w:val="20"/>
          <w:color w:val="auto"/>
        </w:rPr>
      </w:pPr>
      <w:r>
        <w:rPr>
          <w:rFonts w:ascii="Arial" w:cs="Arial" w:eastAsia="Arial" w:hAnsi="Arial"/>
          <w:sz w:val="20"/>
          <w:szCs w:val="20"/>
          <w:color w:val="191919"/>
        </w:rPr>
        <w:t>your vote (including in connection with the pursuit or defense of a legal or administrative action or proceeding), or (2) there is a contested election for the Board. The inspector of elections will forward any written comments that you make on the proxy card to management without providing your name, unless you expressly request on your proxy card that your name be disclosed.</w:t>
      </w:r>
    </w:p>
    <w:p>
      <w:pPr>
        <w:spacing w:after="0" w:line="148" w:lineRule="exact"/>
        <w:rPr>
          <w:sz w:val="20"/>
          <w:szCs w:val="20"/>
          <w:color w:val="auto"/>
        </w:rPr>
      </w:pPr>
    </w:p>
    <w:p>
      <w:pPr>
        <w:ind w:left="363" w:right="560" w:hanging="363"/>
        <w:spacing w:after="0" w:line="271" w:lineRule="auto"/>
        <w:tabs>
          <w:tab w:leader="none" w:pos="363" w:val="left"/>
        </w:tabs>
        <w:numPr>
          <w:ilvl w:val="0"/>
          <w:numId w:val="104"/>
        </w:numPr>
        <w:rPr>
          <w:rFonts w:ascii="Arial" w:cs="Arial" w:eastAsia="Arial" w:hAnsi="Arial"/>
          <w:sz w:val="20"/>
          <w:szCs w:val="20"/>
          <w:b w:val="1"/>
          <w:bCs w:val="1"/>
          <w:color w:val="0076A8"/>
        </w:rPr>
      </w:pPr>
      <w:r>
        <w:rPr>
          <w:rFonts w:ascii="Arial" w:cs="Arial" w:eastAsia="Arial" w:hAnsi="Arial"/>
          <w:sz w:val="20"/>
          <w:szCs w:val="20"/>
          <w:b w:val="1"/>
          <w:bCs w:val="1"/>
          <w:color w:val="0076A8"/>
        </w:rPr>
        <w:t>What is the quorum requirement for our Annual Meeting?</w:t>
      </w:r>
    </w:p>
    <w:p>
      <w:pPr>
        <w:spacing w:after="0" w:line="98" w:lineRule="exact"/>
        <w:rPr>
          <w:rFonts w:ascii="Arial" w:cs="Arial" w:eastAsia="Arial" w:hAnsi="Arial"/>
          <w:sz w:val="20"/>
          <w:szCs w:val="20"/>
          <w:b w:val="1"/>
          <w:bCs w:val="1"/>
          <w:color w:val="0076A8"/>
        </w:rPr>
      </w:pPr>
    </w:p>
    <w:p>
      <w:pPr>
        <w:ind w:left="363" w:right="200"/>
        <w:spacing w:after="0" w:line="253" w:lineRule="auto"/>
        <w:rPr>
          <w:rFonts w:ascii="Arial" w:cs="Arial" w:eastAsia="Arial" w:hAnsi="Arial"/>
          <w:sz w:val="20"/>
          <w:szCs w:val="20"/>
          <w:b w:val="1"/>
          <w:bCs w:val="1"/>
          <w:color w:val="0076A8"/>
        </w:rPr>
      </w:pPr>
      <w:r>
        <w:rPr>
          <w:rFonts w:ascii="Arial" w:cs="Arial" w:eastAsia="Arial" w:hAnsi="Arial"/>
          <w:sz w:val="20"/>
          <w:szCs w:val="20"/>
          <w:color w:val="191919"/>
        </w:rPr>
        <w:t>The holders of a majority of the issued and outstanding stock of the Company present either in person or by proxy at the Annual Meeting constitute a quorum for the transaction of business at the Annual Meeting. Shares present virtually during the Annual Meeting will be considered shares of common stock represented in person at the meeting. Shares that abstain from voting on any proposal and “broker non-votes” will be counted as shares that are present for purposes of determining whether a quorum exists at the Annual Meeting. If a “broker non-vote” occurs with respect to any shares of the Company’s common stock on any matter, then those shares will be treated as not present and not entitled to vote with respect to that matter (even though those shares are considered entitled to vote for purposes of determining whether a quorum exists because they are entitled to vote on other matters) and will not be voted.</w:t>
      </w:r>
    </w:p>
    <w:p>
      <w:pPr>
        <w:spacing w:after="0" w:line="177" w:lineRule="exact"/>
        <w:rPr>
          <w:rFonts w:ascii="Arial" w:cs="Arial" w:eastAsia="Arial" w:hAnsi="Arial"/>
          <w:sz w:val="20"/>
          <w:szCs w:val="20"/>
          <w:b w:val="1"/>
          <w:bCs w:val="1"/>
          <w:color w:val="0076A8"/>
        </w:rPr>
      </w:pPr>
    </w:p>
    <w:p>
      <w:pPr>
        <w:ind w:left="363" w:right="420" w:hanging="363"/>
        <w:spacing w:after="0" w:line="271" w:lineRule="auto"/>
        <w:tabs>
          <w:tab w:leader="none" w:pos="363" w:val="left"/>
        </w:tabs>
        <w:numPr>
          <w:ilvl w:val="0"/>
          <w:numId w:val="105"/>
        </w:numPr>
        <w:rPr>
          <w:rFonts w:ascii="Arial" w:cs="Arial" w:eastAsia="Arial" w:hAnsi="Arial"/>
          <w:sz w:val="20"/>
          <w:szCs w:val="20"/>
          <w:b w:val="1"/>
          <w:bCs w:val="1"/>
          <w:color w:val="0076A8"/>
        </w:rPr>
      </w:pPr>
      <w:r>
        <w:rPr>
          <w:rFonts w:ascii="Arial" w:cs="Arial" w:eastAsia="Arial" w:hAnsi="Arial"/>
          <w:sz w:val="20"/>
          <w:szCs w:val="20"/>
          <w:b w:val="1"/>
          <w:bCs w:val="1"/>
          <w:color w:val="0076A8"/>
        </w:rPr>
        <w:t>How do I submit a question at the Annual Meeting?</w:t>
      </w:r>
    </w:p>
    <w:p>
      <w:pPr>
        <w:spacing w:after="0" w:line="98" w:lineRule="exact"/>
        <w:rPr>
          <w:rFonts w:ascii="Arial" w:cs="Arial" w:eastAsia="Arial" w:hAnsi="Arial"/>
          <w:sz w:val="20"/>
          <w:szCs w:val="20"/>
          <w:b w:val="1"/>
          <w:bCs w:val="1"/>
          <w:color w:val="0076A8"/>
        </w:rPr>
      </w:pPr>
    </w:p>
    <w:p>
      <w:pPr>
        <w:ind w:left="363"/>
        <w:spacing w:after="0" w:line="269" w:lineRule="auto"/>
        <w:rPr>
          <w:rFonts w:ascii="Arial" w:cs="Arial" w:eastAsia="Arial" w:hAnsi="Arial"/>
          <w:sz w:val="20"/>
          <w:szCs w:val="20"/>
          <w:b w:val="1"/>
          <w:bCs w:val="1"/>
          <w:color w:val="0076A8"/>
        </w:rPr>
      </w:pPr>
      <w:r>
        <w:rPr>
          <w:rFonts w:ascii="Arial" w:cs="Arial" w:eastAsia="Arial" w:hAnsi="Arial"/>
          <w:sz w:val="19"/>
          <w:szCs w:val="19"/>
          <w:color w:val="191919"/>
        </w:rPr>
        <w:t>If you wish to submit a question, beginning at 10:45 a.m. Pacific Daylight Time on May 11, 2022, you may log into the virtual meeting platform at www.virtualshareholdermeeting.com/SWKS2022, type your question into the “Submit a Question” field, and click “Submit.” Our virtual meeting will be governed by our Annual Meeting Rules of Conduct which will include rules on permissible topics for stockholder questions and will be posted at www.virtualshareholdermeeting.com/SWKS2022.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-469265</wp:posOffset>
            </wp:positionH>
            <wp:positionV relativeFrom="paragraph">
              <wp:posOffset>530225</wp:posOffset>
            </wp:positionV>
            <wp:extent cx="779780" cy="25717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7978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283"/>
        <w:spacing w:after="0"/>
        <w:rPr>
          <w:sz w:val="20"/>
          <w:szCs w:val="20"/>
          <w:color w:val="auto"/>
        </w:rPr>
      </w:pPr>
      <w:r>
        <w:rPr>
          <w:rFonts w:ascii="Arial" w:cs="Arial" w:eastAsia="Arial" w:hAnsi="Arial"/>
          <w:sz w:val="16"/>
          <w:szCs w:val="16"/>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-3550920</wp:posOffset>
            </wp:positionH>
            <wp:positionV relativeFrom="paragraph">
              <wp:posOffset>177800</wp:posOffset>
            </wp:positionV>
            <wp:extent cx="6831965"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2">
            <w:col w:w="5100" w:space="477"/>
            <w:col w:w="4663"/>
          </w:cols>
          <w:pgMar w:left="580" w:top="131" w:right="1079" w:bottom="1440" w:gutter="0" w:footer="0" w:header="0"/>
        </w:sectPr>
      </w:pPr>
    </w:p>
    <w:bookmarkStart w:id="77" w:name="page78"/>
    <w:bookmarkEnd w:id="7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91" w:lineRule="exact"/>
        <w:rPr>
          <w:sz w:val="20"/>
          <w:szCs w:val="20"/>
          <w:color w:val="auto"/>
        </w:rPr>
      </w:pPr>
    </w:p>
    <w:p>
      <w:pPr>
        <w:ind w:left="1020" w:right="100"/>
        <w:spacing w:after="0" w:line="254" w:lineRule="auto"/>
        <w:rPr>
          <w:sz w:val="20"/>
          <w:szCs w:val="20"/>
          <w:color w:val="auto"/>
        </w:rPr>
      </w:pPr>
      <w:r>
        <w:rPr>
          <w:rFonts w:ascii="Arial" w:cs="Arial" w:eastAsia="Arial" w:hAnsi="Arial"/>
          <w:sz w:val="20"/>
          <w:szCs w:val="20"/>
          <w:color w:val="191919"/>
        </w:rPr>
        <w:t>Questions received from stockholders during the virtual Annual Meeting that are deemed appropriate under our Annual Meeting Rules of Conduct will be posted, along with the Company’s responses, on the Investor Relations portion of the Company’s website at www.skyworksinc.com as soon as practicable following the Annual Meeting.</w:t>
      </w:r>
    </w:p>
    <w:p>
      <w:pPr>
        <w:spacing w:after="0" w:line="121" w:lineRule="exact"/>
        <w:rPr>
          <w:sz w:val="20"/>
          <w:szCs w:val="20"/>
          <w:color w:val="auto"/>
        </w:rPr>
      </w:pPr>
    </w:p>
    <w:p>
      <w:pPr>
        <w:ind w:left="1020" w:right="220" w:hanging="366"/>
        <w:spacing w:after="0" w:line="255" w:lineRule="auto"/>
        <w:tabs>
          <w:tab w:leader="none" w:pos="1020" w:val="left"/>
        </w:tabs>
        <w:numPr>
          <w:ilvl w:val="0"/>
          <w:numId w:val="106"/>
        </w:numPr>
        <w:rPr>
          <w:rFonts w:ascii="Arial" w:cs="Arial" w:eastAsia="Arial" w:hAnsi="Arial"/>
          <w:sz w:val="20"/>
          <w:szCs w:val="20"/>
          <w:b w:val="1"/>
          <w:bCs w:val="1"/>
          <w:color w:val="0076A8"/>
        </w:rPr>
      </w:pPr>
      <w:r>
        <w:rPr>
          <w:rFonts w:ascii="Arial" w:cs="Arial" w:eastAsia="Arial" w:hAnsi="Arial"/>
          <w:sz w:val="20"/>
          <w:szCs w:val="20"/>
          <w:b w:val="1"/>
          <w:bCs w:val="1"/>
          <w:color w:val="0076A8"/>
        </w:rPr>
        <w:t>When will Skyworks next hold an advisory vote on the frequency of “say-on-pay” votes?</w:t>
      </w:r>
    </w:p>
    <w:p>
      <w:pPr>
        <w:spacing w:after="0" w:line="60" w:lineRule="exact"/>
        <w:rPr>
          <w:rFonts w:ascii="Arial" w:cs="Arial" w:eastAsia="Arial" w:hAnsi="Arial"/>
          <w:sz w:val="20"/>
          <w:szCs w:val="20"/>
          <w:b w:val="1"/>
          <w:bCs w:val="1"/>
          <w:color w:val="0076A8"/>
        </w:rPr>
      </w:pPr>
    </w:p>
    <w:p>
      <w:pPr>
        <w:ind w:left="1020" w:right="100"/>
        <w:spacing w:after="0" w:line="255" w:lineRule="auto"/>
        <w:rPr>
          <w:rFonts w:ascii="Arial" w:cs="Arial" w:eastAsia="Arial" w:hAnsi="Arial"/>
          <w:sz w:val="20"/>
          <w:szCs w:val="20"/>
          <w:b w:val="1"/>
          <w:bCs w:val="1"/>
          <w:color w:val="0076A8"/>
        </w:rPr>
      </w:pPr>
      <w:r>
        <w:rPr>
          <w:rFonts w:ascii="Arial" w:cs="Arial" w:eastAsia="Arial" w:hAnsi="Arial"/>
          <w:sz w:val="20"/>
          <w:szCs w:val="20"/>
          <w:color w:val="191919"/>
        </w:rPr>
        <w:t>Skyworks currently conducts an annual “say-on-pay” vote. The next advisory vote on the frequency of “say-on-pay” votes is expected to be held at our 2023 Annual Meeting of Stockholders.</w:t>
      </w:r>
    </w:p>
    <w:p>
      <w:pPr>
        <w:spacing w:after="0" w:line="104" w:lineRule="exact"/>
        <w:rPr>
          <w:rFonts w:ascii="Arial" w:cs="Arial" w:eastAsia="Arial" w:hAnsi="Arial"/>
          <w:sz w:val="20"/>
          <w:szCs w:val="20"/>
          <w:b w:val="1"/>
          <w:bCs w:val="1"/>
          <w:color w:val="0076A8"/>
        </w:rPr>
      </w:pPr>
    </w:p>
    <w:p>
      <w:pPr>
        <w:ind w:left="1020" w:hanging="366"/>
        <w:spacing w:after="0"/>
        <w:tabs>
          <w:tab w:leader="none" w:pos="1020" w:val="left"/>
        </w:tabs>
        <w:numPr>
          <w:ilvl w:val="0"/>
          <w:numId w:val="107"/>
        </w:numPr>
        <w:rPr>
          <w:rFonts w:ascii="Arial" w:cs="Arial" w:eastAsia="Arial" w:hAnsi="Arial"/>
          <w:sz w:val="20"/>
          <w:szCs w:val="20"/>
          <w:b w:val="1"/>
          <w:bCs w:val="1"/>
          <w:color w:val="0076A8"/>
        </w:rPr>
      </w:pPr>
      <w:r>
        <w:rPr>
          <w:rFonts w:ascii="Arial" w:cs="Arial" w:eastAsia="Arial" w:hAnsi="Arial"/>
          <w:sz w:val="20"/>
          <w:szCs w:val="20"/>
          <w:b w:val="1"/>
          <w:bCs w:val="1"/>
          <w:color w:val="0076A8"/>
        </w:rPr>
        <w:t>What is “householding”?</w:t>
      </w:r>
    </w:p>
    <w:p>
      <w:pPr>
        <w:spacing w:after="0" w:line="118" w:lineRule="exact"/>
        <w:rPr>
          <w:rFonts w:ascii="Arial" w:cs="Arial" w:eastAsia="Arial" w:hAnsi="Arial"/>
          <w:sz w:val="20"/>
          <w:szCs w:val="20"/>
          <w:b w:val="1"/>
          <w:bCs w:val="1"/>
          <w:color w:val="0076A8"/>
        </w:rPr>
      </w:pPr>
    </w:p>
    <w:p>
      <w:pPr>
        <w:ind w:left="1020" w:right="220"/>
        <w:spacing w:after="0" w:line="269" w:lineRule="auto"/>
        <w:rPr>
          <w:rFonts w:ascii="Arial" w:cs="Arial" w:eastAsia="Arial" w:hAnsi="Arial"/>
          <w:sz w:val="20"/>
          <w:szCs w:val="20"/>
          <w:b w:val="1"/>
          <w:bCs w:val="1"/>
          <w:color w:val="0076A8"/>
        </w:rPr>
      </w:pPr>
      <w:r>
        <w:rPr>
          <w:rFonts w:ascii="Arial" w:cs="Arial" w:eastAsia="Arial" w:hAnsi="Arial"/>
          <w:sz w:val="19"/>
          <w:szCs w:val="19"/>
          <w:color w:val="191919"/>
        </w:rPr>
        <w:t>Some brokers (or other nominees) may be participating in the practice of “householding” proxy statements and annual reports. This means that only one copy of this Proxy Statement and our Annual Report may have been sent to multiple stockholders in your household. If you are a stockholder and your household or address has received only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3080385</wp:posOffset>
            </wp:positionH>
            <wp:positionV relativeFrom="paragraph">
              <wp:posOffset>3747135</wp:posOffset>
            </wp:positionV>
            <wp:extent cx="779780" cy="25717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79780" cy="2571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660"/>
        <w:spacing w:after="0" w:line="253" w:lineRule="auto"/>
        <w:rPr>
          <w:sz w:val="20"/>
          <w:szCs w:val="20"/>
          <w:color w:val="auto"/>
        </w:rPr>
      </w:pPr>
      <w:r>
        <w:rPr>
          <w:rFonts w:ascii="Arial" w:cs="Arial" w:eastAsia="Arial" w:hAnsi="Arial"/>
          <w:sz w:val="20"/>
          <w:szCs w:val="20"/>
          <w:color w:val="191919"/>
        </w:rPr>
        <w:t>Annual Report and one Proxy Statement, the Company will promptly deliver a separate copy of the Annual Report and the Proxy Statement to you, upon your written request to Skyworks Solutions, Inc., 5260 California Avenue, Irvine, CA 92617, Attention: Investor Relations, or oral request to Investor Relations at (949) 231-3433. If you would like to receive separate copies of our Annual Report and Proxy Statement in the future, you should direct such request to your broker (or other nominee). Even if your household or address has received only one Annual Report and one Proxy Statement, a separate proxy card should have been provided for each stockholder account. Each individual proxy card should be signed, dated, and returned in the postage-prepaid envelope (or completed and submitted by telephone or via the Internet, as described on the proxy card). If your household has received multiple copies of our Annual Report and Proxy Statement, you can request the delivery of single copies in the future by contacting your broker (or other nominee), or the Company at the address or telephone number above.</w:t>
      </w:r>
    </w:p>
    <w:p>
      <w:pPr>
        <w:spacing w:after="0" w:line="391" w:lineRule="exact"/>
        <w:rPr>
          <w:sz w:val="20"/>
          <w:szCs w:val="20"/>
          <w:color w:val="auto"/>
        </w:rPr>
      </w:pPr>
    </w:p>
    <w:p>
      <w:pPr>
        <w:sectPr>
          <w:pgSz w:w="11900" w:h="16838" w:orient="portrait"/>
          <w:cols w:equalWidth="0" w:num="2">
            <w:col w:w="5220" w:space="720"/>
            <w:col w:w="4780"/>
          </w:cols>
          <w:pgMar w:left="580" w:top="131" w:right="5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860" w:type="dxa"/>
            <w:vAlign w:val="bottom"/>
          </w:tcPr>
          <w:p>
            <w:pPr>
              <w:ind w:left="660"/>
              <w:spacing w:after="0"/>
              <w:rPr>
                <w:sz w:val="20"/>
                <w:szCs w:val="20"/>
                <w:color w:val="auto"/>
              </w:rPr>
            </w:pPr>
            <w:r>
              <w:rPr>
                <w:rFonts w:ascii="Arial" w:cs="Arial" w:eastAsia="Arial" w:hAnsi="Arial"/>
                <w:sz w:val="16"/>
                <w:szCs w:val="16"/>
                <w:color w:val="auto"/>
              </w:rPr>
              <w:t>Proxy Statement</w:t>
            </w:r>
          </w:p>
        </w:tc>
        <w:tc>
          <w:tcPr>
            <w:tcW w:w="4860" w:type="dxa"/>
            <w:vAlign w:val="bottom"/>
          </w:tcPr>
          <w:p>
            <w:pPr>
              <w:jc w:val="right"/>
              <w:ind w:right="579"/>
              <w:spacing w:after="0"/>
              <w:rPr>
                <w:sz w:val="20"/>
                <w:szCs w:val="20"/>
                <w:color w:val="auto"/>
              </w:rPr>
            </w:pPr>
            <w:r>
              <w:rPr>
                <w:rFonts w:ascii="Arial" w:cs="Arial" w:eastAsia="Arial" w:hAnsi="Arial"/>
                <w:sz w:val="16"/>
                <w:szCs w:val="16"/>
                <w:color w:val="auto"/>
              </w:rPr>
              <w:t>73</w:t>
            </w:r>
          </w:p>
        </w:tc>
      </w:tr>
      <w:tr>
        <w:trPr>
          <w:trHeight w:val="296"/>
        </w:trPr>
        <w:tc>
          <w:tcPr>
            <w:tcW w:w="5860" w:type="dxa"/>
            <w:vAlign w:val="bottom"/>
            <w:tcBorders>
              <w:bottom w:val="single" w:sz="8" w:color="9A9A9A"/>
            </w:tcBorders>
          </w:tcPr>
          <w:p>
            <w:pPr>
              <w:spacing w:after="0"/>
              <w:rPr>
                <w:sz w:val="24"/>
                <w:szCs w:val="24"/>
                <w:color w:val="auto"/>
              </w:rPr>
            </w:pPr>
          </w:p>
        </w:tc>
        <w:tc>
          <w:tcPr>
            <w:tcW w:w="4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type w:val="continuous"/>
        </w:sectPr>
      </w:pPr>
    </w:p>
    <w:bookmarkStart w:id="78" w:name="page79"/>
    <w:bookmarkEnd w:id="7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353" w:lineRule="exact"/>
        <w:rPr>
          <w:sz w:val="20"/>
          <w:szCs w:val="20"/>
          <w:color w:val="auto"/>
        </w:rPr>
      </w:pPr>
    </w:p>
    <w:p>
      <w:pPr>
        <w:ind w:left="660"/>
        <w:spacing w:after="0"/>
        <w:rPr>
          <w:sz w:val="20"/>
          <w:szCs w:val="20"/>
          <w:color w:val="auto"/>
        </w:rPr>
      </w:pPr>
      <w:r>
        <w:rPr>
          <w:rFonts w:ascii="Arial" w:cs="Arial" w:eastAsia="Arial" w:hAnsi="Arial"/>
          <w:sz w:val="32"/>
          <w:szCs w:val="32"/>
          <w:b w:val="1"/>
          <w:bCs w:val="1"/>
          <w:color w:val="0076A8"/>
        </w:rPr>
        <w:t>OTHER PROPOSED ACTION</w:t>
      </w:r>
    </w:p>
    <w:p>
      <w:pPr>
        <w:spacing w:after="0" w:line="137" w:lineRule="exact"/>
        <w:rPr>
          <w:sz w:val="20"/>
          <w:szCs w:val="20"/>
          <w:color w:val="auto"/>
        </w:rPr>
      </w:pPr>
    </w:p>
    <w:p>
      <w:pPr>
        <w:ind w:left="660"/>
        <w:spacing w:after="0" w:line="273" w:lineRule="auto"/>
        <w:rPr>
          <w:sz w:val="20"/>
          <w:szCs w:val="20"/>
          <w:color w:val="auto"/>
        </w:rPr>
      </w:pPr>
      <w:r>
        <w:rPr>
          <w:rFonts w:ascii="Arial" w:cs="Arial" w:eastAsia="Arial" w:hAnsi="Arial"/>
          <w:sz w:val="19"/>
          <w:szCs w:val="19"/>
          <w:color w:val="191919"/>
        </w:rPr>
        <w:t>As of the date of this Proxy Statement, the directors know of no other business that is expected to come before the Annual Meeting. However, if any other business should be properly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257" w:lineRule="auto"/>
        <w:rPr>
          <w:sz w:val="20"/>
          <w:szCs w:val="20"/>
          <w:color w:val="auto"/>
        </w:rPr>
      </w:pPr>
      <w:r>
        <w:rPr>
          <w:rFonts w:ascii="Arial" w:cs="Arial" w:eastAsia="Arial" w:hAnsi="Arial"/>
          <w:sz w:val="20"/>
          <w:szCs w:val="20"/>
          <w:color w:val="191919"/>
        </w:rPr>
        <w:t>presented to the Annual Meeting, the persons named as proxies will vote in accordance with their judgment with respect to such matters.</w:t>
      </w:r>
    </w:p>
    <w:p>
      <w:pPr>
        <w:spacing w:after="0" w:line="430" w:lineRule="exact"/>
        <w:rPr>
          <w:sz w:val="20"/>
          <w:szCs w:val="20"/>
          <w:color w:val="auto"/>
        </w:rPr>
      </w:pPr>
    </w:p>
    <w:p>
      <w:pPr>
        <w:sectPr>
          <w:pgSz w:w="11900" w:h="16838" w:orient="portrait"/>
          <w:cols w:equalWidth="0" w:num="2">
            <w:col w:w="5040" w:space="540"/>
            <w:col w:w="4480"/>
          </w:cols>
          <w:pgMar w:left="580" w:top="131" w:right="1259" w:bottom="1440" w:gutter="0" w:footer="0" w:header="0"/>
        </w:sectPr>
      </w:pPr>
    </w:p>
    <w:p>
      <w:pPr>
        <w:ind w:left="660"/>
        <w:spacing w:after="0"/>
        <w:rPr>
          <w:sz w:val="20"/>
          <w:szCs w:val="20"/>
          <w:color w:val="auto"/>
        </w:rPr>
      </w:pPr>
      <w:r>
        <w:rPr>
          <w:rFonts w:ascii="Arial" w:cs="Arial" w:eastAsia="Arial" w:hAnsi="Arial"/>
          <w:sz w:val="32"/>
          <w:szCs w:val="32"/>
          <w:b w:val="1"/>
          <w:bCs w:val="1"/>
          <w:color w:val="0076A8"/>
        </w:rPr>
        <w:t>OTHER MATTERS</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28"/>
          <w:szCs w:val="28"/>
          <w:b w:val="1"/>
          <w:bCs w:val="1"/>
          <w:color w:val="auto"/>
        </w:rPr>
        <w:t>Solicitation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95250</wp:posOffset>
            </wp:positionV>
            <wp:extent cx="597471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974715" cy="8255"/>
                    </a:xfrm>
                    <a:prstGeom prst="rect">
                      <a:avLst/>
                    </a:prstGeom>
                    <a:noFill/>
                  </pic:spPr>
                </pic:pic>
              </a:graphicData>
            </a:graphic>
          </wp:anchor>
        </w:drawing>
      </w:r>
    </w:p>
    <w:p>
      <w:pPr>
        <w:sectPr>
          <w:pgSz w:w="11900" w:h="16838" w:orient="portrait"/>
          <w:cols w:equalWidth="0" w:num="1">
            <w:col w:w="10060"/>
          </w:cols>
          <w:pgMar w:left="580" w:top="131" w:right="1259" w:bottom="1440" w:gutter="0" w:footer="0" w:header="0"/>
          <w:type w:val="continuous"/>
        </w:sectPr>
      </w:pPr>
    </w:p>
    <w:p>
      <w:pPr>
        <w:spacing w:after="0" w:line="268" w:lineRule="exact"/>
        <w:rPr>
          <w:sz w:val="20"/>
          <w:szCs w:val="20"/>
          <w:color w:val="auto"/>
        </w:rPr>
      </w:pPr>
    </w:p>
    <w:p>
      <w:pPr>
        <w:ind w:left="660"/>
        <w:spacing w:after="0" w:line="269" w:lineRule="auto"/>
        <w:rPr>
          <w:sz w:val="20"/>
          <w:szCs w:val="20"/>
          <w:color w:val="auto"/>
        </w:rPr>
      </w:pPr>
      <w:r>
        <w:rPr>
          <w:rFonts w:ascii="Arial" w:cs="Arial" w:eastAsia="Arial" w:hAnsi="Arial"/>
          <w:sz w:val="19"/>
          <w:szCs w:val="19"/>
          <w:color w:val="191919"/>
        </w:rPr>
        <w:t>Skyworks will bear the expenses of the preparation of the proxy materials and the solicitation by the Board of proxies. Proxies may be solicited on behalf of the Company in person or by telephone, e-mail, facsimile, or other electronic means by directors, officers, or employees of the Company, who will receive no additional compensation for any such services. We have retained D.F. King &amp; Co. to assist in the solicitation of proxies, at a</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color w:val="191919"/>
        </w:rPr>
        <w:t>total cost to the Company of approximately</w:t>
      </w:r>
    </w:p>
    <w:p>
      <w:pPr>
        <w:spacing w:after="0" w:line="13" w:lineRule="exact"/>
        <w:rPr>
          <w:sz w:val="20"/>
          <w:szCs w:val="20"/>
          <w:color w:val="auto"/>
        </w:rPr>
      </w:pPr>
    </w:p>
    <w:p>
      <w:pPr>
        <w:ind w:right="20"/>
        <w:spacing w:after="0" w:line="254" w:lineRule="auto"/>
        <w:rPr>
          <w:sz w:val="20"/>
          <w:szCs w:val="20"/>
          <w:color w:val="auto"/>
        </w:rPr>
      </w:pPr>
      <w:r>
        <w:rPr>
          <w:rFonts w:ascii="Arial" w:cs="Arial" w:eastAsia="Arial" w:hAnsi="Arial"/>
          <w:sz w:val="20"/>
          <w:szCs w:val="20"/>
          <w:color w:val="191919"/>
        </w:rPr>
        <w:t>$30,000 to $50,000. This increase in expense from prior years results from the Company’s decision to solicit stockholder votes for the Annual Meeting more actively than it has done so in the past, as described above under “</w:t>
      </w:r>
      <w:r>
        <w:rPr>
          <w:rFonts w:ascii="Arial" w:cs="Arial" w:eastAsia="Arial" w:hAnsi="Arial"/>
          <w:sz w:val="20"/>
          <w:szCs w:val="20"/>
          <w:i w:val="1"/>
          <w:iCs w:val="1"/>
          <w:color w:val="000000"/>
        </w:rPr>
        <w:t>Introduction to Proposals</w:t>
      </w:r>
      <w:r>
        <w:rPr>
          <w:rFonts w:ascii="Arial" w:cs="Arial" w:eastAsia="Arial" w:hAnsi="Arial"/>
          <w:sz w:val="20"/>
          <w:szCs w:val="20"/>
          <w:color w:val="191919"/>
        </w:rPr>
        <w:t xml:space="preserve"> </w:t>
      </w:r>
      <w:r>
        <w:rPr>
          <w:rFonts w:ascii="Arial" w:cs="Arial" w:eastAsia="Arial" w:hAnsi="Arial"/>
          <w:sz w:val="20"/>
          <w:szCs w:val="20"/>
          <w:i w:val="1"/>
          <w:iCs w:val="1"/>
          <w:color w:val="000000"/>
        </w:rPr>
        <w:t>4-7: Elimination of Supermajority Vote Provisions from Our Charter</w:t>
      </w:r>
      <w:r>
        <w:rPr>
          <w:rFonts w:ascii="Arial" w:cs="Arial" w:eastAsia="Arial" w:hAnsi="Arial"/>
          <w:sz w:val="20"/>
          <w:szCs w:val="20"/>
          <w:color w:val="191919"/>
        </w:rPr>
        <w:t>.”</w:t>
      </w:r>
    </w:p>
    <w:p>
      <w:pPr>
        <w:spacing w:after="0" w:line="447" w:lineRule="exact"/>
        <w:rPr>
          <w:sz w:val="20"/>
          <w:szCs w:val="20"/>
          <w:color w:val="auto"/>
        </w:rPr>
      </w:pPr>
    </w:p>
    <w:p>
      <w:pPr>
        <w:sectPr>
          <w:pgSz w:w="11900" w:h="16838" w:orient="portrait"/>
          <w:cols w:equalWidth="0" w:num="2">
            <w:col w:w="5120" w:space="460"/>
            <w:col w:w="4480"/>
          </w:cols>
          <w:pgMar w:left="580" w:top="131" w:right="1259" w:bottom="1440" w:gutter="0" w:footer="0" w:header="0"/>
          <w:type w:val="continuous"/>
        </w:sectPr>
      </w:pPr>
    </w:p>
    <w:p>
      <w:pPr>
        <w:ind w:left="660"/>
        <w:spacing w:after="0"/>
        <w:rPr>
          <w:sz w:val="20"/>
          <w:szCs w:val="20"/>
          <w:color w:val="auto"/>
        </w:rPr>
      </w:pPr>
      <w:r>
        <w:rPr>
          <w:rFonts w:ascii="Arial" w:cs="Arial" w:eastAsia="Arial" w:hAnsi="Arial"/>
          <w:sz w:val="28"/>
          <w:szCs w:val="28"/>
          <w:b w:val="1"/>
          <w:bCs w:val="1"/>
          <w:color w:val="auto"/>
        </w:rPr>
        <w:t>Electronic Delivery of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86995</wp:posOffset>
            </wp:positionV>
            <wp:extent cx="5974715"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974715" cy="8890"/>
                    </a:xfrm>
                    <a:prstGeom prst="rect">
                      <a:avLst/>
                    </a:prstGeom>
                    <a:noFill/>
                  </pic:spPr>
                </pic:pic>
              </a:graphicData>
            </a:graphic>
          </wp:anchor>
        </w:drawing>
      </w:r>
    </w:p>
    <w:p>
      <w:pPr>
        <w:sectPr>
          <w:pgSz w:w="11900" w:h="16838" w:orient="portrait"/>
          <w:cols w:equalWidth="0" w:num="1">
            <w:col w:w="10060"/>
          </w:cols>
          <w:pgMar w:left="580" w:top="131" w:right="1259" w:bottom="1440" w:gutter="0" w:footer="0" w:header="0"/>
          <w:type w:val="continuous"/>
        </w:sectPr>
      </w:pPr>
    </w:p>
    <w:p>
      <w:pPr>
        <w:spacing w:after="0" w:line="255" w:lineRule="exact"/>
        <w:rPr>
          <w:sz w:val="20"/>
          <w:szCs w:val="20"/>
          <w:color w:val="auto"/>
        </w:rPr>
      </w:pPr>
    </w:p>
    <w:p>
      <w:pPr>
        <w:ind w:left="660"/>
        <w:spacing w:after="0" w:line="254" w:lineRule="auto"/>
        <w:rPr>
          <w:sz w:val="20"/>
          <w:szCs w:val="20"/>
          <w:color w:val="auto"/>
        </w:rPr>
      </w:pPr>
      <w:r>
        <w:rPr>
          <w:rFonts w:ascii="Arial" w:cs="Arial" w:eastAsia="Arial" w:hAnsi="Arial"/>
          <w:sz w:val="20"/>
          <w:szCs w:val="20"/>
          <w:color w:val="191919"/>
        </w:rPr>
        <w:t>We are able to distribute our Annual Report and this Proxy Statement to our stockholders in a fast and efficient manner via the Internet. This reduces the amount of paper delivered to a stockholder’s address. Stockholders may elect to view all future annual reports, proxy statements, and notices on the Internet instead of receiving them by mail. You may make this election when</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ind w:right="20"/>
        <w:spacing w:after="0" w:line="269" w:lineRule="auto"/>
        <w:rPr>
          <w:sz w:val="20"/>
          <w:szCs w:val="20"/>
          <w:color w:val="auto"/>
        </w:rPr>
      </w:pPr>
      <w:r>
        <w:rPr>
          <w:rFonts w:ascii="Arial" w:cs="Arial" w:eastAsia="Arial" w:hAnsi="Arial"/>
          <w:sz w:val="19"/>
          <w:szCs w:val="19"/>
          <w:color w:val="191919"/>
        </w:rPr>
        <w:t>voting your proxy this year. Simply follow the instructions to vote via the Internet to register your consent. Your election to view proxy materials online is perpetual unless you revoke it later. Future proxy cards will contain the Internet website address and instructions to view the materials. You will continue to have the option to vote your shares by telephone, mail, or via the Internet.</w:t>
      </w:r>
    </w:p>
    <w:p>
      <w:pPr>
        <w:spacing w:after="0" w:line="191" w:lineRule="exact"/>
        <w:rPr>
          <w:sz w:val="20"/>
          <w:szCs w:val="20"/>
          <w:color w:val="auto"/>
        </w:rPr>
      </w:pPr>
    </w:p>
    <w:p>
      <w:pPr>
        <w:sectPr>
          <w:pgSz w:w="11900" w:h="16838" w:orient="portrait"/>
          <w:cols w:equalWidth="0" w:num="2">
            <w:col w:w="5060" w:space="520"/>
            <w:col w:w="4480"/>
          </w:cols>
          <w:pgMar w:left="580" w:top="131" w:right="1259" w:bottom="1440" w:gutter="0" w:footer="0" w:header="0"/>
          <w:type w:val="continuous"/>
        </w:sectPr>
      </w:pPr>
    </w:p>
    <w:p>
      <w:pPr>
        <w:ind w:left="660"/>
        <w:spacing w:after="0"/>
        <w:rPr>
          <w:sz w:val="20"/>
          <w:szCs w:val="20"/>
          <w:color w:val="auto"/>
        </w:rPr>
      </w:pPr>
      <w:r>
        <w:rPr>
          <w:rFonts w:ascii="Arial" w:cs="Arial" w:eastAsia="Arial" w:hAnsi="Arial"/>
          <w:sz w:val="28"/>
          <w:szCs w:val="28"/>
          <w:b w:val="1"/>
          <w:bCs w:val="1"/>
          <w:color w:val="auto"/>
        </w:rPr>
        <w:t>Annual Report on Form 10-K and Stockholder List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86995</wp:posOffset>
            </wp:positionV>
            <wp:extent cx="5974715"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974715" cy="8890"/>
                    </a:xfrm>
                    <a:prstGeom prst="rect">
                      <a:avLst/>
                    </a:prstGeom>
                    <a:noFill/>
                  </pic:spPr>
                </pic:pic>
              </a:graphicData>
            </a:graphic>
          </wp:anchor>
        </w:drawing>
      </w:r>
    </w:p>
    <w:p>
      <w:pPr>
        <w:sectPr>
          <w:pgSz w:w="11900" w:h="16838" w:orient="portrait"/>
          <w:cols w:equalWidth="0" w:num="1">
            <w:col w:w="10060"/>
          </w:cols>
          <w:pgMar w:left="580" w:top="131" w:right="1259" w:bottom="1440" w:gutter="0" w:footer="0" w:header="0"/>
          <w:type w:val="continuous"/>
        </w:sectPr>
      </w:pPr>
    </w:p>
    <w:p>
      <w:pPr>
        <w:spacing w:after="0" w:line="255" w:lineRule="exact"/>
        <w:rPr>
          <w:sz w:val="20"/>
          <w:szCs w:val="20"/>
          <w:color w:val="auto"/>
        </w:rPr>
      </w:pPr>
    </w:p>
    <w:p>
      <w:pPr>
        <w:ind w:left="660"/>
        <w:spacing w:after="0" w:line="254" w:lineRule="auto"/>
        <w:rPr>
          <w:sz w:val="20"/>
          <w:szCs w:val="20"/>
          <w:color w:val="auto"/>
        </w:rPr>
      </w:pPr>
      <w:r>
        <w:rPr>
          <w:rFonts w:ascii="Arial" w:cs="Arial" w:eastAsia="Arial" w:hAnsi="Arial"/>
          <w:sz w:val="20"/>
          <w:szCs w:val="20"/>
          <w:color w:val="191919"/>
        </w:rPr>
        <w:t>A copy of our 2021 Annual Report accompanies this Proxy Statement. You also may obtain, free of charge, a copy of the Company’s Annual Report on Form 10-K for fiscal year 2021, as filed with the SEC, via the Company’s website at www.skyworksinc.com, or upon written request addressed to Investor Relations:</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0"/>
          <w:szCs w:val="20"/>
          <w:color w:val="191919"/>
        </w:rPr>
        <w:t>Skyworks Solutions, Inc.</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20"/>
          <w:szCs w:val="20"/>
          <w:color w:val="191919"/>
        </w:rPr>
        <w:t>5260 California Avenue</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20"/>
          <w:szCs w:val="20"/>
          <w:color w:val="191919"/>
        </w:rPr>
        <w:t>Irvine, CA 92617</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ind w:right="100"/>
        <w:spacing w:after="0" w:line="272" w:lineRule="auto"/>
        <w:rPr>
          <w:sz w:val="20"/>
          <w:szCs w:val="20"/>
          <w:color w:val="auto"/>
        </w:rPr>
      </w:pPr>
      <w:r>
        <w:rPr>
          <w:rFonts w:ascii="Arial" w:cs="Arial" w:eastAsia="Arial" w:hAnsi="Arial"/>
          <w:sz w:val="19"/>
          <w:szCs w:val="19"/>
          <w:color w:val="191919"/>
        </w:rPr>
        <w:t>A list of stockholders of record as of March 17, 2022, will be available for inspection during ordinary business hours at our executive offices in Irvine, CA, from April 29, 2022, to May 11, 2022, as well as online during our Annual Meeting.</w:t>
      </w:r>
    </w:p>
    <w:p>
      <w:pPr>
        <w:spacing w:after="0" w:line="1594" w:lineRule="exact"/>
        <w:rPr>
          <w:sz w:val="20"/>
          <w:szCs w:val="20"/>
          <w:color w:val="auto"/>
        </w:rPr>
      </w:pPr>
    </w:p>
    <w:p>
      <w:pPr>
        <w:sectPr>
          <w:pgSz w:w="11900" w:h="16838" w:orient="portrait"/>
          <w:cols w:equalWidth="0" w:num="2">
            <w:col w:w="5140" w:space="440"/>
            <w:col w:w="4480"/>
          </w:cols>
          <w:pgMar w:left="580" w:top="131" w:right="1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660"/>
        <w:spacing w:after="0"/>
        <w:tabs>
          <w:tab w:leader="none" w:pos="4817" w:val="left"/>
        </w:tabs>
        <w:rPr>
          <w:sz w:val="20"/>
          <w:szCs w:val="20"/>
          <w:color w:val="auto"/>
        </w:rPr>
      </w:pPr>
      <w:r>
        <w:rPr>
          <w:rFonts w:ascii="Arial" w:cs="Arial" w:eastAsia="Arial" w:hAnsi="Arial"/>
          <w:sz w:val="16"/>
          <w:szCs w:val="16"/>
          <w:color w:val="auto"/>
        </w:rPr>
        <w:t>74</w:t>
      </w:r>
      <w:r>
        <w:rPr>
          <w:sz w:val="20"/>
          <w:szCs w:val="20"/>
          <w:color w:val="auto"/>
        </w:rPr>
        <w:tab/>
      </w:r>
      <w:r>
        <w:rPr>
          <w:sz w:val="1"/>
          <w:szCs w:val="1"/>
          <w:color w:val="auto"/>
        </w:rPr>
        <w:drawing>
          <wp:inline distT="0" distB="0" distL="0" distR="0">
            <wp:extent cx="779780" cy="257175"/>
            <wp:effectExtent l="0" t="0" r="0" b="0"/>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131" w:right="1259" w:bottom="1440" w:gutter="0" w:footer="0" w:header="0"/>
          <w:type w:val="continuous"/>
        </w:sectPr>
      </w:pPr>
    </w:p>
    <w:bookmarkStart w:id="79" w:name="page80"/>
    <w:bookmarkEnd w:id="7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363" w:lineRule="exact"/>
        <w:rPr>
          <w:sz w:val="20"/>
          <w:szCs w:val="20"/>
          <w:color w:val="auto"/>
        </w:rPr>
      </w:pPr>
    </w:p>
    <w:p>
      <w:pPr>
        <w:jc w:val="right"/>
        <w:ind w:right="6920"/>
        <w:spacing w:after="0"/>
        <w:rPr>
          <w:sz w:val="20"/>
          <w:szCs w:val="20"/>
          <w:color w:val="auto"/>
        </w:rPr>
      </w:pPr>
      <w:r>
        <w:rPr>
          <w:rFonts w:ascii="Arial" w:cs="Arial" w:eastAsia="Arial" w:hAnsi="Arial"/>
          <w:sz w:val="29"/>
          <w:szCs w:val="29"/>
          <w:b w:val="1"/>
          <w:bCs w:val="1"/>
          <w:color w:val="auto"/>
        </w:rPr>
        <w:t>Stockholder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79375</wp:posOffset>
            </wp:positionV>
            <wp:extent cx="597471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974715" cy="825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p>
      <w:pPr>
        <w:spacing w:after="0" w:line="243" w:lineRule="exact"/>
        <w:rPr>
          <w:sz w:val="20"/>
          <w:szCs w:val="20"/>
          <w:color w:val="auto"/>
        </w:rPr>
      </w:pPr>
    </w:p>
    <w:p>
      <w:pPr>
        <w:ind w:left="660"/>
        <w:spacing w:after="0" w:line="254" w:lineRule="auto"/>
        <w:rPr>
          <w:sz w:val="20"/>
          <w:szCs w:val="20"/>
          <w:color w:val="auto"/>
        </w:rPr>
      </w:pPr>
      <w:r>
        <w:rPr>
          <w:rFonts w:ascii="Arial" w:cs="Arial" w:eastAsia="Arial" w:hAnsi="Arial"/>
          <w:sz w:val="20"/>
          <w:szCs w:val="20"/>
          <w:color w:val="191919"/>
        </w:rPr>
        <w:t>Proposals to be considered for inclusion in the proxy materials for the Company’s 2023 Annual Meeting of Stockholders pursuant to Rule 14a-8 under the Exchange Act must meet the requirements of Rule 14a-8 and be delivered in writing to the General Counsel and Secretary of the Company at its executive offices at 5260 California Avenue, Irvine, CA 92617, no later than November 25, 2022. The submission of a stockholder proposal does not guarantee that it will be included in the proxy materials for the Company’s 2023 Annual Meeting.</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ind w:right="680"/>
        <w:spacing w:after="0" w:line="254" w:lineRule="auto"/>
        <w:rPr>
          <w:sz w:val="20"/>
          <w:szCs w:val="20"/>
          <w:color w:val="auto"/>
        </w:rPr>
      </w:pPr>
      <w:r>
        <w:rPr>
          <w:rFonts w:ascii="Arial" w:cs="Arial" w:eastAsia="Arial" w:hAnsi="Arial"/>
          <w:sz w:val="20"/>
          <w:szCs w:val="20"/>
          <w:color w:val="191919"/>
        </w:rPr>
        <w:t>Meeting is first made by the Company. A proposal that is submitted outside of these time periods will not be considered to be timely and, pursuant to Rule 14a-4(c)(1) under the Exchange Act and if a stockholder properly brings the proposal before the meeting, the proxies that management solicits for that meeting will have “discretionary” authority to vote on the stockholder’s proposal. Even if a stockholder makes timely notification, the proxies may still exercise “discretionary” authority in accordance with the SEC’s proxy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162560</wp:posOffset>
            </wp:positionV>
            <wp:extent cx="2846070" cy="31286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846070" cy="3128645"/>
                    </a:xfrm>
                    <a:prstGeom prst="rect">
                      <a:avLst/>
                    </a:prstGeom>
                    <a:noFill/>
                  </pic:spPr>
                </pic:pic>
              </a:graphicData>
            </a:graphic>
          </wp:anchor>
        </w:drawing>
      </w:r>
    </w:p>
    <w:p>
      <w:pPr>
        <w:spacing w:after="0" w:line="414" w:lineRule="exact"/>
        <w:rPr>
          <w:sz w:val="20"/>
          <w:szCs w:val="20"/>
          <w:color w:val="auto"/>
        </w:rPr>
      </w:pPr>
    </w:p>
    <w:p>
      <w:pPr>
        <w:sectPr>
          <w:pgSz w:w="11900" w:h="16838" w:orient="portrait"/>
          <w:cols w:equalWidth="0" w:num="2">
            <w:col w:w="5100" w:space="480"/>
            <w:col w:w="5140"/>
          </w:cols>
          <w:pgMar w:left="580" w:top="131" w:right="599" w:bottom="1440" w:gutter="0" w:footer="0" w:header="0"/>
          <w:type w:val="continuous"/>
        </w:sectPr>
      </w:pPr>
    </w:p>
    <w:p>
      <w:pPr>
        <w:spacing w:after="0" w:line="40" w:lineRule="exact"/>
        <w:rPr>
          <w:sz w:val="20"/>
          <w:szCs w:val="20"/>
          <w:color w:val="auto"/>
        </w:rPr>
      </w:pPr>
    </w:p>
    <w:p>
      <w:pPr>
        <w:ind w:left="660"/>
        <w:spacing w:after="0" w:line="253" w:lineRule="auto"/>
        <w:rPr>
          <w:sz w:val="20"/>
          <w:szCs w:val="20"/>
          <w:color w:val="auto"/>
        </w:rPr>
      </w:pPr>
      <w:r>
        <w:rPr>
          <w:rFonts w:ascii="Arial" w:cs="Arial" w:eastAsia="Arial" w:hAnsi="Arial"/>
          <w:sz w:val="20"/>
          <w:szCs w:val="20"/>
          <w:color w:val="191919"/>
        </w:rPr>
        <w:t>According to the applicable provisions of our By-laws, if a stockholder wishes to present a proposal at our 2023 Annual Meeting outside the processes of Rule 14a-8, with such proposal not to be considered for inclusion in the proxy materials for such meeting, then the stockholder must give written notice to the Secretary of the Company at the address noted above no earlier than the close of business on January 11, 2023, and no later than the close of business on February 10, 2023. In the event that the 2023 Annual Meeting is held more than thirty (30) days before or after the first anniversary of the Company’s 2022 Annual Meeting, then the required notice must be delivered in writing to the Secretary of the Company at the address above no earlier than 120 days prior to the date of the 2023 Annual Meeting and no later than the later of 90 days prior to the 2023 Annual Meeting or the 10th day following the day on which the public announcement of the date of the 2023 Annual</w:t>
      </w:r>
    </w:p>
    <w:p>
      <w:pPr>
        <w:spacing w:after="0" w:line="20" w:lineRule="exact"/>
        <w:rPr>
          <w:sz w:val="20"/>
          <w:szCs w:val="20"/>
          <w:color w:val="auto"/>
        </w:rPr>
      </w:pPr>
      <w:r>
        <w:rPr>
          <w:sz w:val="20"/>
          <w:szCs w:val="20"/>
          <w:color w:val="auto"/>
        </w:rPr>
        <w:br w:type="column"/>
      </w:r>
    </w:p>
    <w:p>
      <w:pPr>
        <w:jc w:val="both"/>
        <w:ind w:left="1" w:right="880"/>
        <w:spacing w:after="0" w:line="284" w:lineRule="auto"/>
        <w:rPr>
          <w:sz w:val="20"/>
          <w:szCs w:val="20"/>
          <w:color w:val="auto"/>
        </w:rPr>
      </w:pPr>
      <w:r>
        <w:rPr>
          <w:rFonts w:ascii="Arial" w:cs="Arial" w:eastAsia="Arial" w:hAnsi="Arial"/>
          <w:sz w:val="20"/>
          <w:szCs w:val="20"/>
          <w:color w:val="0076A8"/>
        </w:rPr>
        <w:t>Our Board encourages stockholders to attend the Annual Meeting online. Whether or not you plan to attend, you are urged to submit a proxy promptly in one of the following ways:</w:t>
      </w:r>
    </w:p>
    <w:p>
      <w:pPr>
        <w:spacing w:after="0" w:line="140" w:lineRule="exact"/>
        <w:rPr>
          <w:sz w:val="20"/>
          <w:szCs w:val="20"/>
          <w:color w:val="auto"/>
        </w:rPr>
      </w:pPr>
    </w:p>
    <w:p>
      <w:pPr>
        <w:ind w:left="201" w:right="940" w:hanging="201"/>
        <w:spacing w:after="0" w:line="285" w:lineRule="auto"/>
        <w:tabs>
          <w:tab w:leader="none" w:pos="201" w:val="left"/>
        </w:tabs>
        <w:numPr>
          <w:ilvl w:val="0"/>
          <w:numId w:val="108"/>
        </w:numPr>
        <w:rPr>
          <w:rFonts w:ascii="Arial" w:cs="Arial" w:eastAsia="Arial" w:hAnsi="Arial"/>
          <w:sz w:val="20"/>
          <w:szCs w:val="20"/>
          <w:color w:val="0076A8"/>
        </w:rPr>
      </w:pPr>
      <w:r>
        <w:rPr>
          <w:rFonts w:ascii="Arial" w:cs="Arial" w:eastAsia="Arial" w:hAnsi="Arial"/>
          <w:sz w:val="20"/>
          <w:szCs w:val="20"/>
          <w:color w:val="0076A8"/>
        </w:rPr>
        <w:t>by completing and submitting your proxy via the Internet by visiting the website address listed on the proxy card;</w:t>
      </w:r>
    </w:p>
    <w:p>
      <w:pPr>
        <w:spacing w:after="0" w:line="31" w:lineRule="exact"/>
        <w:rPr>
          <w:rFonts w:ascii="Arial" w:cs="Arial" w:eastAsia="Arial" w:hAnsi="Arial"/>
          <w:sz w:val="20"/>
          <w:szCs w:val="20"/>
          <w:color w:val="0076A8"/>
        </w:rPr>
      </w:pPr>
    </w:p>
    <w:p>
      <w:pPr>
        <w:ind w:left="201" w:right="1100" w:hanging="201"/>
        <w:spacing w:after="0" w:line="285" w:lineRule="auto"/>
        <w:tabs>
          <w:tab w:leader="none" w:pos="201" w:val="left"/>
        </w:tabs>
        <w:numPr>
          <w:ilvl w:val="0"/>
          <w:numId w:val="108"/>
        </w:numPr>
        <w:rPr>
          <w:rFonts w:ascii="Arial" w:cs="Arial" w:eastAsia="Arial" w:hAnsi="Arial"/>
          <w:sz w:val="20"/>
          <w:szCs w:val="20"/>
          <w:color w:val="0076A8"/>
        </w:rPr>
      </w:pPr>
      <w:r>
        <w:rPr>
          <w:rFonts w:ascii="Arial" w:cs="Arial" w:eastAsia="Arial" w:hAnsi="Arial"/>
          <w:sz w:val="20"/>
          <w:szCs w:val="20"/>
          <w:color w:val="0076A8"/>
        </w:rPr>
        <w:t>by completing and submitting your proxy using the toll-free telephone number listed on the proxy card; or</w:t>
      </w:r>
    </w:p>
    <w:p>
      <w:pPr>
        <w:spacing w:after="0" w:line="31" w:lineRule="exact"/>
        <w:rPr>
          <w:rFonts w:ascii="Arial" w:cs="Arial" w:eastAsia="Arial" w:hAnsi="Arial"/>
          <w:sz w:val="20"/>
          <w:szCs w:val="20"/>
          <w:color w:val="0076A8"/>
        </w:rPr>
      </w:pPr>
    </w:p>
    <w:p>
      <w:pPr>
        <w:ind w:left="201" w:right="920" w:hanging="201"/>
        <w:spacing w:after="0" w:line="306" w:lineRule="auto"/>
        <w:tabs>
          <w:tab w:leader="none" w:pos="201" w:val="left"/>
        </w:tabs>
        <w:numPr>
          <w:ilvl w:val="0"/>
          <w:numId w:val="108"/>
        </w:numPr>
        <w:rPr>
          <w:rFonts w:ascii="Arial" w:cs="Arial" w:eastAsia="Arial" w:hAnsi="Arial"/>
          <w:sz w:val="19"/>
          <w:szCs w:val="19"/>
          <w:color w:val="0076A8"/>
        </w:rPr>
      </w:pPr>
      <w:r>
        <w:rPr>
          <w:rFonts w:ascii="Arial" w:cs="Arial" w:eastAsia="Arial" w:hAnsi="Arial"/>
          <w:sz w:val="19"/>
          <w:szCs w:val="19"/>
          <w:color w:val="0076A8"/>
        </w:rPr>
        <w:t>by completing, signing, and dating the proxy card and returning it in the postage-prepaid envelope provided for that purpose.</w:t>
      </w:r>
    </w:p>
    <w:p>
      <w:pPr>
        <w:spacing w:after="0" w:line="123" w:lineRule="exact"/>
        <w:rPr>
          <w:sz w:val="20"/>
          <w:szCs w:val="20"/>
          <w:color w:val="auto"/>
        </w:rPr>
      </w:pPr>
    </w:p>
    <w:p>
      <w:pPr>
        <w:jc w:val="both"/>
        <w:ind w:left="1" w:right="1540"/>
        <w:spacing w:after="0" w:line="306" w:lineRule="auto"/>
        <w:rPr>
          <w:sz w:val="20"/>
          <w:szCs w:val="20"/>
          <w:color w:val="auto"/>
        </w:rPr>
      </w:pPr>
      <w:r>
        <w:rPr>
          <w:rFonts w:ascii="Arial" w:cs="Arial" w:eastAsia="Arial" w:hAnsi="Arial"/>
          <w:sz w:val="19"/>
          <w:szCs w:val="19"/>
          <w:color w:val="0076A8"/>
        </w:rPr>
        <w:t>A prompt response will greatly facilitate arrangements for the meeting and your cooperation will be appreciated.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-563245</wp:posOffset>
            </wp:positionH>
            <wp:positionV relativeFrom="paragraph">
              <wp:posOffset>2506345</wp:posOffset>
            </wp:positionV>
            <wp:extent cx="779780" cy="25717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79780" cy="257175"/>
                    </a:xfrm>
                    <a:prstGeom prst="rect">
                      <a:avLst/>
                    </a:prstGeom>
                    <a:noFill/>
                  </pic:spPr>
                </pic:pic>
              </a:graphicData>
            </a:graphic>
          </wp:anchor>
        </w:drawing>
      </w:r>
    </w:p>
    <w:p>
      <w:pPr>
        <w:spacing w:after="0" w:line="607" w:lineRule="exact"/>
        <w:rPr>
          <w:sz w:val="20"/>
          <w:szCs w:val="20"/>
          <w:color w:val="auto"/>
        </w:rPr>
      </w:pPr>
    </w:p>
    <w:p>
      <w:pPr>
        <w:sectPr>
          <w:pgSz w:w="11900" w:h="16838" w:orient="portrait"/>
          <w:cols w:equalWidth="0" w:num="2">
            <w:col w:w="5100" w:space="639"/>
            <w:col w:w="4981"/>
          </w:cols>
          <w:pgMar w:left="580" w:top="131" w:right="5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860" w:type="dxa"/>
            <w:vAlign w:val="bottom"/>
          </w:tcPr>
          <w:p>
            <w:pPr>
              <w:ind w:left="660"/>
              <w:spacing w:after="0"/>
              <w:rPr>
                <w:sz w:val="20"/>
                <w:szCs w:val="20"/>
                <w:color w:val="auto"/>
              </w:rPr>
            </w:pPr>
            <w:r>
              <w:rPr>
                <w:rFonts w:ascii="Arial" w:cs="Arial" w:eastAsia="Arial" w:hAnsi="Arial"/>
                <w:sz w:val="16"/>
                <w:szCs w:val="16"/>
                <w:color w:val="auto"/>
              </w:rPr>
              <w:t>Proxy Statement</w:t>
            </w:r>
          </w:p>
        </w:tc>
        <w:tc>
          <w:tcPr>
            <w:tcW w:w="4860" w:type="dxa"/>
            <w:vAlign w:val="bottom"/>
          </w:tcPr>
          <w:p>
            <w:pPr>
              <w:jc w:val="right"/>
              <w:ind w:right="579"/>
              <w:spacing w:after="0"/>
              <w:rPr>
                <w:sz w:val="20"/>
                <w:szCs w:val="20"/>
                <w:color w:val="auto"/>
              </w:rPr>
            </w:pPr>
            <w:r>
              <w:rPr>
                <w:rFonts w:ascii="Arial" w:cs="Arial" w:eastAsia="Arial" w:hAnsi="Arial"/>
                <w:sz w:val="16"/>
                <w:szCs w:val="16"/>
                <w:color w:val="auto"/>
              </w:rPr>
              <w:t>75</w:t>
            </w:r>
          </w:p>
        </w:tc>
      </w:tr>
      <w:tr>
        <w:trPr>
          <w:trHeight w:val="296"/>
        </w:trPr>
        <w:tc>
          <w:tcPr>
            <w:tcW w:w="5860" w:type="dxa"/>
            <w:vAlign w:val="bottom"/>
            <w:tcBorders>
              <w:bottom w:val="single" w:sz="8" w:color="9A9A9A"/>
            </w:tcBorders>
          </w:tcPr>
          <w:p>
            <w:pPr>
              <w:spacing w:after="0"/>
              <w:rPr>
                <w:sz w:val="24"/>
                <w:szCs w:val="24"/>
                <w:color w:val="auto"/>
              </w:rPr>
            </w:pPr>
          </w:p>
        </w:tc>
        <w:tc>
          <w:tcPr>
            <w:tcW w:w="4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type w:val="continuous"/>
        </w:sectPr>
      </w:pPr>
    </w:p>
    <w:bookmarkStart w:id="80" w:name="page81"/>
    <w:bookmarkEnd w:id="8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57150</wp:posOffset>
            </wp:positionV>
            <wp:extent cx="6480810" cy="41148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480810" cy="411480"/>
                    </a:xfrm>
                    <a:prstGeom prst="rect">
                      <a:avLst/>
                    </a:prstGeom>
                    <a:noFill/>
                  </pic:spPr>
                </pic:pic>
              </a:graphicData>
            </a:graphic>
          </wp:anchor>
        </w:drawing>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25"/>
          <w:szCs w:val="25"/>
          <w:b w:val="1"/>
          <w:bCs w:val="1"/>
          <w:color w:val="FFFFFF"/>
        </w:rPr>
        <w:t>Appendix A:</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60" w:right="1120"/>
        <w:spacing w:after="0" w:line="268" w:lineRule="auto"/>
        <w:rPr>
          <w:sz w:val="20"/>
          <w:szCs w:val="20"/>
          <w:color w:val="auto"/>
        </w:rPr>
      </w:pPr>
      <w:r>
        <w:rPr>
          <w:rFonts w:ascii="Arial" w:cs="Arial" w:eastAsia="Arial" w:hAnsi="Arial"/>
          <w:sz w:val="32"/>
          <w:szCs w:val="32"/>
          <w:b w:val="1"/>
          <w:bCs w:val="1"/>
          <w:color w:val="0076A8"/>
        </w:rPr>
        <w:t>PROVISIONS OF CHARTER SUBJECT TO POTENTIAL AMENDMENT</w:t>
      </w:r>
    </w:p>
    <w:p>
      <w:pPr>
        <w:spacing w:after="0" w:line="149" w:lineRule="exact"/>
        <w:rPr>
          <w:sz w:val="20"/>
          <w:szCs w:val="20"/>
          <w:color w:val="auto"/>
        </w:rPr>
      </w:pPr>
    </w:p>
    <w:p>
      <w:pPr>
        <w:ind w:left="660" w:right="60"/>
        <w:spacing w:after="0" w:line="267" w:lineRule="auto"/>
        <w:rPr>
          <w:sz w:val="20"/>
          <w:szCs w:val="20"/>
          <w:color w:val="auto"/>
        </w:rPr>
      </w:pPr>
      <w:r>
        <w:rPr>
          <w:rFonts w:ascii="Arial" w:cs="Arial" w:eastAsia="Arial" w:hAnsi="Arial"/>
          <w:sz w:val="20"/>
          <w:szCs w:val="20"/>
          <w:color w:val="191919"/>
        </w:rPr>
        <w:t xml:space="preserve">The following provisions of our Charter are those implicated by Proposals 4-7. In this </w:t>
      </w:r>
      <w:r>
        <w:rPr>
          <w:rFonts w:ascii="Arial" w:cs="Arial" w:eastAsia="Arial" w:hAnsi="Arial"/>
          <w:sz w:val="20"/>
          <w:szCs w:val="20"/>
          <w:i w:val="1"/>
          <w:iCs w:val="1"/>
          <w:color w:val="191919"/>
        </w:rPr>
        <w:t>Appendix A</w:t>
      </w:r>
      <w:r>
        <w:rPr>
          <w:rFonts w:ascii="Arial" w:cs="Arial" w:eastAsia="Arial" w:hAnsi="Arial"/>
          <w:sz w:val="20"/>
          <w:szCs w:val="20"/>
          <w:color w:val="191919"/>
        </w:rPr>
        <w:t>, deletions and additions that would be effected by the proposed amendments are indicated by strikethroughs and underlining, respectively:</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SEVENTH:</w:t>
      </w:r>
    </w:p>
    <w:p>
      <w:pPr>
        <w:spacing w:after="0" w:line="167" w:lineRule="exact"/>
        <w:rPr>
          <w:sz w:val="20"/>
          <w:szCs w:val="20"/>
          <w:color w:val="auto"/>
        </w:rPr>
      </w:pPr>
    </w:p>
    <w:p>
      <w:pPr>
        <w:ind w:left="660" w:hanging="6"/>
        <w:spacing w:after="0" w:line="255" w:lineRule="auto"/>
        <w:tabs>
          <w:tab w:leader="none" w:pos="1095" w:val="left"/>
        </w:tabs>
        <w:numPr>
          <w:ilvl w:val="0"/>
          <w:numId w:val="109"/>
        </w:numPr>
        <w:rPr>
          <w:rFonts w:ascii="Arial" w:cs="Arial" w:eastAsia="Arial" w:hAnsi="Arial"/>
          <w:sz w:val="20"/>
          <w:szCs w:val="20"/>
          <w:color w:val="auto"/>
        </w:rPr>
      </w:pPr>
      <w:r>
        <w:rPr>
          <w:rFonts w:ascii="Arial" w:cs="Arial" w:eastAsia="Arial" w:hAnsi="Arial"/>
          <w:sz w:val="20"/>
          <w:szCs w:val="20"/>
          <w:color w:val="auto"/>
        </w:rPr>
        <w:t>The business and affairs of the Corporation shall be managed by or under the direction of the Board of Directors. The number of directors shall be fixed from time to time exclusively by the Board of Directors pursuant to a resolution adopted by a majority of the total number of authorized directors (whether or not there exist any vacancies in previously authorized directorships at the time any such resolution is presented to the Board of Directors for adoption).</w:t>
      </w:r>
    </w:p>
    <w:p>
      <w:pPr>
        <w:spacing w:after="0" w:line="209" w:lineRule="exact"/>
        <w:rPr>
          <w:rFonts w:ascii="Arial" w:cs="Arial" w:eastAsia="Arial" w:hAnsi="Arial"/>
          <w:sz w:val="20"/>
          <w:szCs w:val="20"/>
          <w:color w:val="auto"/>
        </w:rPr>
      </w:pPr>
    </w:p>
    <w:p>
      <w:pPr>
        <w:ind w:left="660" w:hanging="6"/>
        <w:spacing w:after="0" w:line="254" w:lineRule="auto"/>
        <w:tabs>
          <w:tab w:leader="none" w:pos="1095" w:val="left"/>
        </w:tabs>
        <w:numPr>
          <w:ilvl w:val="0"/>
          <w:numId w:val="109"/>
        </w:numPr>
        <w:rPr>
          <w:rFonts w:ascii="Arial" w:cs="Arial" w:eastAsia="Arial" w:hAnsi="Arial"/>
          <w:sz w:val="20"/>
          <w:szCs w:val="20"/>
          <w:color w:val="auto"/>
        </w:rPr>
      </w:pPr>
      <w:r>
        <w:rPr>
          <w:rFonts w:ascii="Arial" w:cs="Arial" w:eastAsia="Arial" w:hAnsi="Arial"/>
          <w:sz w:val="20"/>
          <w:szCs w:val="20"/>
          <w:color w:val="auto"/>
        </w:rPr>
        <w:t>Except as otherwise provided by law and except as hereinafter otherwise provided for filling vacancies, the directors of the Corporation shall be elected at each annual meeting of stockholders. Each director so elected shall hold office until the annual meeting of stockholders following the annual meeting at which such director was elected and until a successor is duly elected and qualified, or until such director’s earlier death, resignation or removal. The terms of office of each director serving the Corporation as of immediately prior to the effectiveness of the filing of this Certificate of Amendment under the General Corporation Law of the State of Delaware (the “Effective Time”) whose term of office did not expire at the 2011 annual meeting of stockholders of the Corporation shall nonetheless expire at the Effective Time, such that the directors elected at the 2011 annual meeting of stockholders of the Corporation effective upon the Effective Time to succeed such directors shall commence their term of office at the Effective Time, for a term expiring at the next annual meeting of stockholders, with each such director to hold office until his or her successor shall have been duly elected and qualified.</w:t>
      </w:r>
    </w:p>
    <w:p>
      <w:pPr>
        <w:spacing w:after="0" w:line="211" w:lineRule="exact"/>
        <w:rPr>
          <w:rFonts w:ascii="Arial" w:cs="Arial" w:eastAsia="Arial" w:hAnsi="Arial"/>
          <w:sz w:val="20"/>
          <w:szCs w:val="20"/>
          <w:color w:val="auto"/>
        </w:rPr>
      </w:pPr>
    </w:p>
    <w:p>
      <w:pPr>
        <w:ind w:left="660" w:hanging="6"/>
        <w:spacing w:after="0" w:line="255" w:lineRule="auto"/>
        <w:tabs>
          <w:tab w:leader="none" w:pos="1095" w:val="left"/>
        </w:tabs>
        <w:numPr>
          <w:ilvl w:val="0"/>
          <w:numId w:val="109"/>
        </w:numPr>
        <w:rPr>
          <w:rFonts w:ascii="Arial" w:cs="Arial" w:eastAsia="Arial" w:hAnsi="Arial"/>
          <w:sz w:val="20"/>
          <w:szCs w:val="20"/>
          <w:color w:val="auto"/>
        </w:rPr>
      </w:pPr>
      <w:r>
        <w:rPr>
          <w:rFonts w:ascii="Arial" w:cs="Arial" w:eastAsia="Arial" w:hAnsi="Arial"/>
          <w:sz w:val="20"/>
          <w:szCs w:val="20"/>
          <w:color w:val="auto"/>
        </w:rPr>
        <w:t>Vacancies resulting from any increase in the authorized number of directors or any vacancies in the Board of Directors resulting from death, resignation, retirement, disqualification, removal from office or other cause may be filled only by a majority vote of the directors then in office, though less than a quorum, or by a sole remaining director and directors so chosen shall hold office for a term expiring at the next annual meeting of stockholders to occur following their election. No decrease in the number of authorized directors shall shorten the term of any incumbent director.</w:t>
      </w:r>
    </w:p>
    <w:p>
      <w:pPr>
        <w:spacing w:after="0" w:line="207" w:lineRule="exact"/>
        <w:rPr>
          <w:rFonts w:ascii="Arial" w:cs="Arial" w:eastAsia="Arial" w:hAnsi="Arial"/>
          <w:sz w:val="20"/>
          <w:szCs w:val="20"/>
          <w:color w:val="auto"/>
        </w:rPr>
      </w:pPr>
    </w:p>
    <w:p>
      <w:pPr>
        <w:ind w:left="660" w:right="40" w:hanging="6"/>
        <w:spacing w:after="0" w:line="255" w:lineRule="auto"/>
        <w:tabs>
          <w:tab w:leader="none" w:pos="1095" w:val="left"/>
        </w:tabs>
        <w:numPr>
          <w:ilvl w:val="0"/>
          <w:numId w:val="109"/>
        </w:numPr>
        <w:rPr>
          <w:rFonts w:ascii="Arial" w:cs="Arial" w:eastAsia="Arial" w:hAnsi="Arial"/>
          <w:sz w:val="20"/>
          <w:szCs w:val="20"/>
          <w:color w:val="auto"/>
        </w:rPr>
      </w:pPr>
      <w:r>
        <w:rPr>
          <w:rFonts w:ascii="Arial" w:cs="Arial" w:eastAsia="Arial" w:hAnsi="Arial"/>
          <w:sz w:val="20"/>
          <w:szCs w:val="20"/>
          <w:color w:val="auto"/>
        </w:rPr>
        <w:t>Subject to the rights of the holders of any series of Preferred Stock or any other series or class of stock, as provided herein or in any Preferred Stock Designation, to elect additional directors under specific circumstances, any director may be removed from office at any time, with or without cause by the affirmative vote of the holders of at least a majority of the shares of all classes of stock of the Corporation entitled to vote for the election of directors, considered for the purposes of this Article Seventh as one class of stock.</w:t>
      </w:r>
    </w:p>
    <w:p>
      <w:pPr>
        <w:spacing w:after="0" w:line="207" w:lineRule="exact"/>
        <w:rPr>
          <w:rFonts w:ascii="Arial" w:cs="Arial" w:eastAsia="Arial" w:hAnsi="Arial"/>
          <w:sz w:val="20"/>
          <w:szCs w:val="20"/>
          <w:color w:val="auto"/>
        </w:rPr>
      </w:pPr>
    </w:p>
    <w:p>
      <w:pPr>
        <w:ind w:left="660" w:right="60" w:hanging="6"/>
        <w:spacing w:after="0" w:line="255" w:lineRule="auto"/>
        <w:tabs>
          <w:tab w:leader="none" w:pos="1095" w:val="left"/>
        </w:tabs>
        <w:numPr>
          <w:ilvl w:val="0"/>
          <w:numId w:val="109"/>
        </w:numPr>
        <w:rPr>
          <w:rFonts w:ascii="Arial" w:cs="Arial" w:eastAsia="Arial" w:hAnsi="Arial"/>
          <w:sz w:val="20"/>
          <w:szCs w:val="20"/>
          <w:color w:val="auto"/>
        </w:rPr>
      </w:pPr>
      <w:r>
        <w:rPr>
          <w:rFonts w:ascii="Arial" w:cs="Arial" w:eastAsia="Arial" w:hAnsi="Arial"/>
          <w:sz w:val="20"/>
          <w:szCs w:val="20"/>
          <w:color w:val="auto"/>
        </w:rPr>
        <w:t>No director of the Corporation shall be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under Section 174 of the Delaware General Corporation Law, or (iv) for any transaction from which the director derived an improper personal benefit. No repeal or modification of this paragraph, directly or by adoption of an inconsistent provision</w:t>
      </w:r>
    </w:p>
    <w:p>
      <w:pPr>
        <w:spacing w:after="0" w:line="245" w:lineRule="exact"/>
        <w:rPr>
          <w:sz w:val="20"/>
          <w:szCs w:val="20"/>
          <w:color w:val="auto"/>
        </w:rPr>
      </w:pPr>
    </w:p>
    <w:p>
      <w:pPr>
        <w:ind w:left="660"/>
        <w:spacing w:after="0"/>
        <w:tabs>
          <w:tab w:leader="none" w:pos="4709" w:val="left"/>
        </w:tabs>
        <w:rPr>
          <w:sz w:val="20"/>
          <w:szCs w:val="20"/>
          <w:color w:val="auto"/>
        </w:rPr>
      </w:pPr>
      <w:r>
        <w:rPr>
          <w:rFonts w:ascii="Arial" w:cs="Arial" w:eastAsia="Arial" w:hAnsi="Arial"/>
          <w:sz w:val="16"/>
          <w:szCs w:val="16"/>
          <w:color w:val="auto"/>
        </w:rPr>
        <w:t>76</w:t>
      </w:r>
      <w:r>
        <w:rPr>
          <w:sz w:val="20"/>
          <w:szCs w:val="20"/>
          <w:color w:val="auto"/>
        </w:rPr>
        <w:tab/>
      </w:r>
      <w:r>
        <w:rPr>
          <w:sz w:val="1"/>
          <w:szCs w:val="1"/>
          <w:color w:val="auto"/>
        </w:rPr>
        <w:drawing>
          <wp:inline distT="0" distB="0" distL="0" distR="0">
            <wp:extent cx="779780" cy="257175"/>
            <wp:effectExtent l="0" t="0" r="0" b="0"/>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131" w:right="1259" w:bottom="1440" w:gutter="0" w:footer="0" w:header="0"/>
        </w:sectPr>
      </w:pPr>
    </w:p>
    <w:bookmarkStart w:id="81" w:name="page82"/>
    <w:bookmarkEnd w:id="8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399" w:lineRule="exact"/>
        <w:rPr>
          <w:sz w:val="20"/>
          <w:szCs w:val="20"/>
          <w:color w:val="auto"/>
        </w:rPr>
      </w:pPr>
    </w:p>
    <w:p>
      <w:pPr>
        <w:ind w:left="660" w:right="860"/>
        <w:spacing w:after="0" w:line="243" w:lineRule="auto"/>
        <w:rPr>
          <w:sz w:val="20"/>
          <w:szCs w:val="20"/>
          <w:color w:val="auto"/>
        </w:rPr>
      </w:pPr>
      <w:r>
        <w:rPr>
          <w:rFonts w:ascii="Arial" w:cs="Arial" w:eastAsia="Arial" w:hAnsi="Arial"/>
          <w:sz w:val="20"/>
          <w:szCs w:val="20"/>
          <w:color w:val="auto"/>
        </w:rPr>
        <w:t>of this Certificate of Incorporation, by the stockholders of the Corporation shall be effective with respect to any cause of action, suit, claim or other matter that, but for this paragraph, would accrue or arise prior to such repeal or modification.</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TENTH:</w:t>
      </w:r>
    </w:p>
    <w:p>
      <w:pPr>
        <w:spacing w:after="0" w:line="140" w:lineRule="exact"/>
        <w:rPr>
          <w:sz w:val="20"/>
          <w:szCs w:val="20"/>
          <w:color w:val="auto"/>
        </w:rPr>
      </w:pPr>
    </w:p>
    <w:p>
      <w:pPr>
        <w:ind w:left="660" w:right="700" w:hanging="6"/>
        <w:spacing w:after="0" w:line="262" w:lineRule="auto"/>
        <w:tabs>
          <w:tab w:leader="none" w:pos="1095" w:val="left"/>
        </w:tabs>
        <w:numPr>
          <w:ilvl w:val="0"/>
          <w:numId w:val="110"/>
        </w:numPr>
        <w:rPr>
          <w:rFonts w:ascii="Arial" w:cs="Arial" w:eastAsia="Arial" w:hAnsi="Arial"/>
          <w:sz w:val="19"/>
          <w:szCs w:val="19"/>
          <w:color w:val="auto"/>
        </w:rPr>
      </w:pPr>
      <w:r>
        <w:rPr>
          <w:rFonts w:ascii="Arial" w:cs="Arial" w:eastAsia="Arial" w:hAnsi="Arial"/>
          <w:sz w:val="19"/>
          <w:szCs w:val="19"/>
          <w:color w:val="auto"/>
        </w:rPr>
        <w:t>AMENDMENT OF CERTIFICATE OF INCORPORATION. The corporation reserves the right to amend, alter, change or repeal any provision contained in this Certificate of Incorporation, in the manner hereafter set forth, and all rights conferred upon stockholders herein are granted subject to this reservation.</w:t>
      </w:r>
    </w:p>
    <w:p>
      <w:pPr>
        <w:spacing w:after="0" w:line="188" w:lineRule="exact"/>
        <w:rPr>
          <w:rFonts w:ascii="Arial" w:cs="Arial" w:eastAsia="Arial" w:hAnsi="Arial"/>
          <w:sz w:val="19"/>
          <w:szCs w:val="19"/>
          <w:color w:val="auto"/>
        </w:rPr>
      </w:pPr>
    </w:p>
    <w:p>
      <w:pPr>
        <w:ind w:left="1380" w:right="840" w:hanging="366"/>
        <w:spacing w:after="0" w:line="257" w:lineRule="auto"/>
        <w:tabs>
          <w:tab w:leader="none" w:pos="1380" w:val="left"/>
        </w:tabs>
        <w:numPr>
          <w:ilvl w:val="1"/>
          <w:numId w:val="110"/>
        </w:numPr>
        <w:rPr>
          <w:rFonts w:ascii="Arial" w:cs="Arial" w:eastAsia="Arial" w:hAnsi="Arial"/>
          <w:sz w:val="20"/>
          <w:szCs w:val="20"/>
          <w:color w:val="auto"/>
        </w:rPr>
      </w:pPr>
      <w:r>
        <w:rPr>
          <w:rFonts w:ascii="Arial" w:cs="Arial" w:eastAsia="Arial" w:hAnsi="Arial"/>
          <w:sz w:val="20"/>
          <w:szCs w:val="20"/>
          <w:color w:val="auto"/>
        </w:rPr>
        <w:t>Except as provided in paragraphs 1(B) and (2) of this Article Tenth and in Article Eleventh, any provision of this Certificate of Incorporation may be amended, altered, changed or repealed in the manner now or hereafter prescribed by the statutes of the State of Delaware.</w:t>
      </w:r>
    </w:p>
    <w:p>
      <w:pPr>
        <w:spacing w:after="0" w:line="179" w:lineRule="exact"/>
        <w:rPr>
          <w:rFonts w:ascii="Arial" w:cs="Arial" w:eastAsia="Arial" w:hAnsi="Arial"/>
          <w:sz w:val="20"/>
          <w:szCs w:val="20"/>
          <w:color w:val="auto"/>
        </w:rPr>
      </w:pPr>
    </w:p>
    <w:p>
      <w:pPr>
        <w:ind w:left="1380" w:right="780" w:hanging="366"/>
        <w:spacing w:after="0" w:line="254" w:lineRule="auto"/>
        <w:tabs>
          <w:tab w:leader="none" w:pos="1380" w:val="left"/>
        </w:tabs>
        <w:numPr>
          <w:ilvl w:val="1"/>
          <w:numId w:val="110"/>
        </w:numPr>
        <w:rPr>
          <w:rFonts w:ascii="Arial" w:cs="Arial" w:eastAsia="Arial" w:hAnsi="Arial"/>
          <w:sz w:val="20"/>
          <w:szCs w:val="20"/>
          <w:color w:val="auto"/>
        </w:rPr>
      </w:pPr>
      <w:r>
        <w:rPr>
          <w:rFonts w:ascii="Arial" w:cs="Arial" w:eastAsia="Arial" w:hAnsi="Arial"/>
          <w:sz w:val="20"/>
          <w:szCs w:val="20"/>
          <w:color w:val="auto"/>
        </w:rPr>
        <w:t>Notwithstanding any of the provisions of this Certificate of Incorporation or any provision of law which might otherwise permit a lesser vote or no vote, but in addition to any affirmative vote of holders of any particular class or series of stock of the Corporation required by law or this Certificate of Incorporation, the affirmative vote of the holders of at least the following percentages of the shares of all classes of stock of the Corporation entitled to vote for the election of directors, considered for this purpose as one class of stock, shall be required to amend, alter, change or repeal, or to adopt any provisions inconsistent with, the indicated provisions of this Certificate of Incorporation:</w:t>
      </w:r>
    </w:p>
    <w:p>
      <w:pPr>
        <w:spacing w:after="0" w:line="145" w:lineRule="exact"/>
        <w:rPr>
          <w:rFonts w:ascii="Arial" w:cs="Arial" w:eastAsia="Arial" w:hAnsi="Arial"/>
          <w:sz w:val="20"/>
          <w:szCs w:val="20"/>
          <w:color w:val="auto"/>
        </w:rPr>
      </w:pPr>
    </w:p>
    <w:p>
      <w:pPr>
        <w:ind w:left="1740" w:hanging="366"/>
        <w:spacing w:after="0"/>
        <w:tabs>
          <w:tab w:leader="none" w:pos="1740" w:val="left"/>
        </w:tabs>
        <w:numPr>
          <w:ilvl w:val="2"/>
          <w:numId w:val="110"/>
        </w:numPr>
        <w:rPr>
          <w:rFonts w:ascii="Arial" w:cs="Arial" w:eastAsia="Arial" w:hAnsi="Arial"/>
          <w:sz w:val="20"/>
          <w:szCs w:val="20"/>
          <w:color w:val="auto"/>
        </w:rPr>
      </w:pPr>
      <w:r>
        <w:rPr>
          <w:rFonts w:ascii="Arial" w:cs="Arial" w:eastAsia="Arial" w:hAnsi="Arial"/>
          <w:sz w:val="20"/>
          <w:szCs w:val="20"/>
          <w:color w:val="auto"/>
          <w:strike w:val="1"/>
        </w:rPr>
        <w:t>80%</w:t>
      </w:r>
      <w:r>
        <w:rPr>
          <w:rFonts w:ascii="Arial" w:cs="Arial" w:eastAsia="Arial" w:hAnsi="Arial"/>
          <w:sz w:val="20"/>
          <w:szCs w:val="20"/>
          <w:color w:val="auto"/>
        </w:rPr>
        <w:t xml:space="preserve"> </w:t>
      </w:r>
      <w:r>
        <w:rPr>
          <w:rFonts w:ascii="Arial" w:cs="Arial" w:eastAsia="Arial" w:hAnsi="Arial"/>
          <w:sz w:val="30"/>
          <w:szCs w:val="30"/>
          <w:color w:val="auto"/>
          <w:vertAlign w:val="superscript"/>
        </w:rPr>
        <w:t>(1)</w:t>
      </w:r>
      <w:r>
        <w:rPr>
          <w:rFonts w:ascii="Arial" w:cs="Arial" w:eastAsia="Arial" w:hAnsi="Arial"/>
          <w:sz w:val="20"/>
          <w:szCs w:val="20"/>
          <w:color w:val="auto"/>
        </w:rPr>
        <w:t xml:space="preserve"> in the case of Article Seventh </w:t>
      </w:r>
      <w:r>
        <w:rPr>
          <w:rFonts w:ascii="Arial" w:cs="Arial" w:eastAsia="Arial" w:hAnsi="Arial"/>
          <w:sz w:val="20"/>
          <w:szCs w:val="20"/>
          <w:color w:val="auto"/>
          <w:strike w:val="1"/>
        </w:rPr>
        <w:t>or</w:t>
      </w:r>
      <w:r>
        <w:rPr>
          <w:rFonts w:ascii="Arial" w:cs="Arial" w:eastAsia="Arial" w:hAnsi="Arial"/>
          <w:sz w:val="20"/>
          <w:szCs w:val="20"/>
          <w:u w:val="single" w:color="auto"/>
          <w:color w:val="auto"/>
        </w:rPr>
        <w:t>and</w:t>
      </w:r>
      <w:r>
        <w:rPr>
          <w:rFonts w:ascii="Arial" w:cs="Arial" w:eastAsia="Arial" w:hAnsi="Arial"/>
          <w:sz w:val="20"/>
          <w:szCs w:val="20"/>
          <w:color w:val="auto"/>
        </w:rPr>
        <w:t xml:space="preserve"> </w:t>
      </w:r>
      <w:r>
        <w:rPr>
          <w:rFonts w:ascii="Arial" w:cs="Arial" w:eastAsia="Arial" w:hAnsi="Arial"/>
          <w:sz w:val="30"/>
          <w:szCs w:val="30"/>
          <w:color w:val="auto"/>
          <w:vertAlign w:val="superscript"/>
        </w:rPr>
        <w:t>(2)</w:t>
      </w:r>
      <w:r>
        <w:rPr>
          <w:rFonts w:ascii="Arial" w:cs="Arial" w:eastAsia="Arial" w:hAnsi="Arial"/>
          <w:sz w:val="20"/>
          <w:szCs w:val="20"/>
          <w:color w:val="auto"/>
        </w:rPr>
        <w:t xml:space="preserve"> in the case of Article Thirteenth; and</w:t>
      </w:r>
    </w:p>
    <w:p>
      <w:pPr>
        <w:spacing w:after="0" w:line="100" w:lineRule="exact"/>
        <w:rPr>
          <w:rFonts w:ascii="Arial" w:cs="Arial" w:eastAsia="Arial" w:hAnsi="Arial"/>
          <w:sz w:val="20"/>
          <w:szCs w:val="20"/>
          <w:color w:val="auto"/>
        </w:rPr>
      </w:pPr>
    </w:p>
    <w:p>
      <w:pPr>
        <w:ind w:left="1740" w:hanging="366"/>
        <w:spacing w:after="0"/>
        <w:tabs>
          <w:tab w:leader="none" w:pos="1740" w:val="left"/>
        </w:tabs>
        <w:numPr>
          <w:ilvl w:val="2"/>
          <w:numId w:val="110"/>
        </w:numPr>
        <w:rPr>
          <w:rFonts w:ascii="Arial" w:cs="Arial" w:eastAsia="Arial" w:hAnsi="Arial"/>
          <w:sz w:val="20"/>
          <w:szCs w:val="20"/>
          <w:color w:val="auto"/>
        </w:rPr>
      </w:pPr>
      <w:r>
        <w:rPr>
          <w:rFonts w:ascii="Arial" w:cs="Arial" w:eastAsia="Arial" w:hAnsi="Arial"/>
          <w:sz w:val="20"/>
          <w:szCs w:val="20"/>
          <w:color w:val="auto"/>
          <w:strike w:val="1"/>
        </w:rPr>
        <w:t>90%</w:t>
      </w:r>
      <w:r>
        <w:rPr>
          <w:rFonts w:ascii="Arial" w:cs="Arial" w:eastAsia="Arial" w:hAnsi="Arial"/>
          <w:sz w:val="20"/>
          <w:szCs w:val="20"/>
          <w:color w:val="auto"/>
        </w:rPr>
        <w:t xml:space="preserve"> </w:t>
      </w:r>
      <w:r>
        <w:rPr>
          <w:rFonts w:ascii="Arial" w:cs="Arial" w:eastAsia="Arial" w:hAnsi="Arial"/>
          <w:sz w:val="30"/>
          <w:szCs w:val="30"/>
          <w:color w:val="auto"/>
          <w:vertAlign w:val="superscript"/>
        </w:rPr>
        <w:t>(3)</w:t>
      </w:r>
      <w:r>
        <w:rPr>
          <w:rFonts w:ascii="Arial" w:cs="Arial" w:eastAsia="Arial" w:hAnsi="Arial"/>
          <w:sz w:val="20"/>
          <w:szCs w:val="20"/>
          <w:color w:val="auto"/>
        </w:rPr>
        <w:t xml:space="preserve"> in the case of Article Twelfth.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1352550</wp:posOffset>
            </wp:positionH>
            <wp:positionV relativeFrom="paragraph">
              <wp:posOffset>-353695</wp:posOffset>
            </wp:positionV>
            <wp:extent cx="6286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2865" cy="8890"/>
                    </a:xfrm>
                    <a:prstGeom prst="rect">
                      <a:avLst/>
                    </a:prstGeom>
                    <a:noFill/>
                  </pic:spPr>
                </pic:pic>
              </a:graphicData>
            </a:graphic>
          </wp:anchor>
        </w:drawing>
        <w:drawing>
          <wp:anchor simplePos="0" relativeHeight="251657728" behindDoc="1" locked="0" layoutInCell="0" allowOverlap="1">
            <wp:simplePos x="0" y="0"/>
            <wp:positionH relativeFrom="column">
              <wp:posOffset>3696335</wp:posOffset>
            </wp:positionH>
            <wp:positionV relativeFrom="paragraph">
              <wp:posOffset>-353695</wp:posOffset>
            </wp:positionV>
            <wp:extent cx="78232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82320" cy="8890"/>
                    </a:xfrm>
                    <a:prstGeom prst="rect">
                      <a:avLst/>
                    </a:prstGeom>
                    <a:noFill/>
                  </pic:spPr>
                </pic:pic>
              </a:graphicData>
            </a:graphic>
          </wp:anchor>
        </w:drawing>
        <w:drawing>
          <wp:anchor simplePos="0" relativeHeight="251657728" behindDoc="1" locked="0" layoutInCell="0" allowOverlap="1">
            <wp:simplePos x="0" y="0"/>
            <wp:positionH relativeFrom="column">
              <wp:posOffset>1352550</wp:posOffset>
            </wp:positionH>
            <wp:positionV relativeFrom="paragraph">
              <wp:posOffset>-70485</wp:posOffset>
            </wp:positionV>
            <wp:extent cx="6286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2865" cy="8255"/>
                    </a:xfrm>
                    <a:prstGeom prst="rect">
                      <a:avLst/>
                    </a:prstGeom>
                    <a:noFill/>
                  </pic:spPr>
                </pic:pic>
              </a:graphicData>
            </a:graphic>
          </wp:anchor>
        </w:drawing>
      </w:r>
    </w:p>
    <w:p>
      <w:pPr>
        <w:spacing w:after="0" w:line="134" w:lineRule="exact"/>
        <w:rPr>
          <w:sz w:val="20"/>
          <w:szCs w:val="20"/>
          <w:color w:val="auto"/>
        </w:rPr>
      </w:pPr>
    </w:p>
    <w:p>
      <w:pPr>
        <w:ind w:left="660" w:right="760"/>
        <w:spacing w:after="0" w:line="241" w:lineRule="auto"/>
        <w:rPr>
          <w:sz w:val="20"/>
          <w:szCs w:val="20"/>
          <w:color w:val="auto"/>
        </w:rPr>
      </w:pPr>
      <w:r>
        <w:rPr>
          <w:rFonts w:ascii="Arial" w:cs="Arial" w:eastAsia="Arial" w:hAnsi="Arial"/>
          <w:sz w:val="20"/>
          <w:szCs w:val="20"/>
          <w:color w:val="191919"/>
        </w:rPr>
        <w:t>The foregoing paragraphs 1(B)(i) and (ii) of this Article Tenth may not be amended so as to alter the stockholder vote required by either such paragraph or to adopt any provisions inconsistent with these provisions, except by an amendment that is itself approved by the affirmative vote of the holders of at least the percentage of all shares of all classes of stock of the Corporation as is required to amend the provision or provisions of this Certificate of Incorporation to which such amendment relates.</w:t>
      </w:r>
    </w:p>
    <w:p>
      <w:pPr>
        <w:spacing w:after="0" w:line="209" w:lineRule="exact"/>
        <w:rPr>
          <w:sz w:val="20"/>
          <w:szCs w:val="20"/>
          <w:color w:val="auto"/>
        </w:rPr>
      </w:pPr>
    </w:p>
    <w:p>
      <w:pPr>
        <w:ind w:left="660" w:right="700" w:hanging="6"/>
        <w:spacing w:after="0"/>
        <w:tabs>
          <w:tab w:leader="none" w:pos="1095" w:val="left"/>
        </w:tabs>
        <w:numPr>
          <w:ilvl w:val="0"/>
          <w:numId w:val="111"/>
        </w:numPr>
        <w:rPr>
          <w:rFonts w:ascii="Arial" w:cs="Arial" w:eastAsia="Arial" w:hAnsi="Arial"/>
          <w:sz w:val="20"/>
          <w:szCs w:val="20"/>
          <w:color w:val="auto"/>
        </w:rPr>
      </w:pPr>
      <w:r>
        <w:rPr>
          <w:rFonts w:ascii="Arial" w:cs="Arial" w:eastAsia="Arial" w:hAnsi="Arial"/>
          <w:sz w:val="20"/>
          <w:szCs w:val="20"/>
          <w:color w:val="auto"/>
        </w:rPr>
        <w:t>BY-LAWS. The Board of Directors is expressly authorized to adopt, alter, amend and repeal the By-laws of the Corporation, in any manner not inconsistent with the laws of the State of Delaware or of the Certificate of Incorporation of the Corporation, subject to the power of the holders of capital stock of the Corporation to adopt, alter or repeal the By-laws made by the Board of Directors; provided, that any such adoption, amendment or repeal by stockholders shall require the affirmative vote of the holders of at least a majority of the shares of all classes of stock of the Corporation entitled to vote for the election of directors, considered for this purpose as one class of stock. This paragraph 2 of Article Tenth may not be amended so as to alter the stockholder vote specified hereby, nor may any provisions inconsistent with these provisions be adopted, except by an amendment that is itself approved by the affirmative vote of the holders of at least a majority of the shares of all classes of stock of the Corporation entitled to vote for the election of directors, considered for this purpose as one class of stock.</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ELEVENTH:</w:t>
      </w:r>
    </w:p>
    <w:p>
      <w:pPr>
        <w:spacing w:after="0" w:line="154" w:lineRule="exact"/>
        <w:rPr>
          <w:sz w:val="20"/>
          <w:szCs w:val="20"/>
          <w:color w:val="auto"/>
        </w:rPr>
      </w:pPr>
    </w:p>
    <w:p>
      <w:pPr>
        <w:ind w:left="660" w:right="1100" w:hanging="6"/>
        <w:spacing w:after="0" w:line="272" w:lineRule="auto"/>
        <w:tabs>
          <w:tab w:leader="none" w:pos="1095" w:val="left"/>
        </w:tabs>
        <w:numPr>
          <w:ilvl w:val="0"/>
          <w:numId w:val="112"/>
        </w:numPr>
        <w:rPr>
          <w:rFonts w:ascii="Arial" w:cs="Arial" w:eastAsia="Arial" w:hAnsi="Arial"/>
          <w:sz w:val="19"/>
          <w:szCs w:val="19"/>
          <w:color w:val="auto"/>
        </w:rPr>
      </w:pPr>
      <w:r>
        <w:rPr>
          <w:rFonts w:ascii="Arial" w:cs="Arial" w:eastAsia="Arial" w:hAnsi="Arial"/>
          <w:sz w:val="19"/>
          <w:szCs w:val="19"/>
          <w:color w:val="auto"/>
        </w:rPr>
        <w:t xml:space="preserve">Except as set forth in paragraph 2 of this Article Eleventh, the affirmative vote or consent of the holders of </w:t>
      </w:r>
      <w:r>
        <w:rPr>
          <w:rFonts w:ascii="Arial" w:cs="Arial" w:eastAsia="Arial" w:hAnsi="Arial"/>
          <w:sz w:val="19"/>
          <w:szCs w:val="19"/>
          <w:color w:val="auto"/>
          <w:strike w:val="1"/>
        </w:rPr>
        <w:t>80%</w:t>
      </w:r>
      <w:r>
        <w:rPr>
          <w:rFonts w:ascii="Arial" w:cs="Arial" w:eastAsia="Arial" w:hAnsi="Arial"/>
          <w:sz w:val="19"/>
          <w:szCs w:val="19"/>
          <w:u w:val="single" w:color="auto"/>
          <w:color w:val="auto"/>
        </w:rPr>
        <w:t>at least a majority</w:t>
      </w:r>
      <w:r>
        <w:rPr>
          <w:rFonts w:ascii="Arial" w:cs="Arial" w:eastAsia="Arial" w:hAnsi="Arial"/>
          <w:sz w:val="19"/>
          <w:szCs w:val="19"/>
          <w:color w:val="auto"/>
        </w:rPr>
        <w:t xml:space="preserve"> of the shares of all classes of stock of the Corporation entitled to vote</w:t>
      </w:r>
    </w:p>
    <w:p>
      <w:pPr>
        <w:spacing w:after="0" w:line="65" w:lineRule="exact"/>
        <w:rPr>
          <w:rFonts w:ascii="Arial" w:cs="Arial" w:eastAsia="Arial" w:hAnsi="Arial"/>
          <w:sz w:val="19"/>
          <w:szCs w:val="19"/>
          <w:color w:val="auto"/>
        </w:rPr>
      </w:pPr>
    </w:p>
    <w:p>
      <w:pPr>
        <w:ind w:left="1080" w:hanging="354"/>
        <w:spacing w:after="0"/>
        <w:tabs>
          <w:tab w:leader="none" w:pos="1080" w:val="left"/>
        </w:tabs>
        <w:numPr>
          <w:ilvl w:val="1"/>
          <w:numId w:val="112"/>
        </w:numPr>
        <w:rPr>
          <w:rFonts w:ascii="Arial" w:cs="Arial" w:eastAsia="Arial" w:hAnsi="Arial"/>
          <w:sz w:val="25"/>
          <w:szCs w:val="25"/>
          <w:i w:val="1"/>
          <w:iCs w:val="1"/>
          <w:color w:val="191919"/>
          <w:vertAlign w:val="superscript"/>
        </w:rPr>
      </w:pPr>
      <w:r>
        <w:rPr>
          <w:rFonts w:ascii="Arial" w:cs="Arial" w:eastAsia="Arial" w:hAnsi="Arial"/>
          <w:sz w:val="16"/>
          <w:szCs w:val="16"/>
          <w:i w:val="1"/>
          <w:iCs w:val="1"/>
          <w:color w:val="191919"/>
        </w:rPr>
        <w:t>If Proposal 6 is approved, insert “a majority”; otherwise retain current threshold of 80%.</w:t>
      </w:r>
    </w:p>
    <w:p>
      <w:pPr>
        <w:spacing w:after="0" w:line="21" w:lineRule="exact"/>
        <w:rPr>
          <w:rFonts w:ascii="Arial" w:cs="Arial" w:eastAsia="Arial" w:hAnsi="Arial"/>
          <w:sz w:val="25"/>
          <w:szCs w:val="25"/>
          <w:i w:val="1"/>
          <w:iCs w:val="1"/>
          <w:color w:val="191919"/>
          <w:vertAlign w:val="superscript"/>
        </w:rPr>
      </w:pPr>
    </w:p>
    <w:p>
      <w:pPr>
        <w:ind w:left="1080" w:hanging="354"/>
        <w:spacing w:after="0" w:line="184" w:lineRule="auto"/>
        <w:tabs>
          <w:tab w:leader="none" w:pos="1080" w:val="left"/>
        </w:tabs>
        <w:numPr>
          <w:ilvl w:val="1"/>
          <w:numId w:val="112"/>
        </w:numPr>
        <w:rPr>
          <w:rFonts w:ascii="Arial" w:cs="Arial" w:eastAsia="Arial" w:hAnsi="Arial"/>
          <w:sz w:val="22"/>
          <w:szCs w:val="22"/>
          <w:i w:val="1"/>
          <w:iCs w:val="1"/>
          <w:color w:val="191919"/>
          <w:vertAlign w:val="superscript"/>
        </w:rPr>
      </w:pPr>
      <w:r>
        <w:rPr>
          <w:rFonts w:ascii="Arial" w:cs="Arial" w:eastAsia="Arial" w:hAnsi="Arial"/>
          <w:sz w:val="14"/>
          <w:szCs w:val="14"/>
          <w:i w:val="1"/>
          <w:iCs w:val="1"/>
          <w:color w:val="191919"/>
        </w:rPr>
        <w:t>If Proposal 7 is approved, insert “a majority”; otherwise retain current threshold of 80%.</w:t>
      </w:r>
    </w:p>
    <w:p>
      <w:pPr>
        <w:spacing w:after="0" w:line="8" w:lineRule="exact"/>
        <w:rPr>
          <w:rFonts w:ascii="Arial" w:cs="Arial" w:eastAsia="Arial" w:hAnsi="Arial"/>
          <w:sz w:val="22"/>
          <w:szCs w:val="22"/>
          <w:i w:val="1"/>
          <w:iCs w:val="1"/>
          <w:color w:val="191919"/>
          <w:vertAlign w:val="superscript"/>
        </w:rPr>
      </w:pPr>
    </w:p>
    <w:p>
      <w:pPr>
        <w:ind w:left="1080" w:hanging="354"/>
        <w:spacing w:after="0" w:line="184" w:lineRule="auto"/>
        <w:tabs>
          <w:tab w:leader="none" w:pos="1080" w:val="left"/>
        </w:tabs>
        <w:numPr>
          <w:ilvl w:val="1"/>
          <w:numId w:val="112"/>
        </w:numPr>
        <w:rPr>
          <w:rFonts w:ascii="Arial" w:cs="Arial" w:eastAsia="Arial" w:hAnsi="Arial"/>
          <w:sz w:val="22"/>
          <w:szCs w:val="22"/>
          <w:i w:val="1"/>
          <w:iCs w:val="1"/>
          <w:color w:val="191919"/>
          <w:vertAlign w:val="superscript"/>
        </w:rPr>
      </w:pPr>
      <w:r>
        <w:rPr>
          <w:rFonts w:ascii="Arial" w:cs="Arial" w:eastAsia="Arial" w:hAnsi="Arial"/>
          <w:sz w:val="14"/>
          <w:szCs w:val="14"/>
          <w:i w:val="1"/>
          <w:iCs w:val="1"/>
          <w:color w:val="191919"/>
        </w:rPr>
        <w:t>If Proposal 5 is approved, insert “a majority”; otherwise retain current threshold of 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-440690</wp:posOffset>
            </wp:positionV>
            <wp:extent cx="123444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34440" cy="8890"/>
                    </a:xfrm>
                    <a:prstGeom prst="rect">
                      <a:avLst/>
                    </a:prstGeom>
                    <a:noFill/>
                  </pic:spPr>
                </pic:pic>
              </a:graphicData>
            </a:graphic>
          </wp:anchor>
        </w:drawing>
        <w:drawing>
          <wp:anchor simplePos="0" relativeHeight="251657728" behindDoc="1" locked="0" layoutInCell="0" allowOverlap="1">
            <wp:simplePos x="0" y="0"/>
            <wp:positionH relativeFrom="column">
              <wp:posOffset>3011805</wp:posOffset>
            </wp:positionH>
            <wp:positionV relativeFrom="paragraph">
              <wp:posOffset>235585</wp:posOffset>
            </wp:positionV>
            <wp:extent cx="779780" cy="25717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79780" cy="25717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80" w:type="dxa"/>
            <w:vAlign w:val="bottom"/>
          </w:tcPr>
          <w:p>
            <w:pPr>
              <w:ind w:left="660"/>
              <w:spacing w:after="0"/>
              <w:rPr>
                <w:sz w:val="20"/>
                <w:szCs w:val="20"/>
                <w:color w:val="auto"/>
              </w:rPr>
            </w:pPr>
            <w:r>
              <w:rPr>
                <w:rFonts w:ascii="Arial" w:cs="Arial" w:eastAsia="Arial" w:hAnsi="Arial"/>
                <w:sz w:val="16"/>
                <w:szCs w:val="16"/>
                <w:color w:val="auto"/>
              </w:rPr>
              <w:t>Appendix A</w:t>
            </w:r>
          </w:p>
        </w:tc>
        <w:tc>
          <w:tcPr>
            <w:tcW w:w="5040" w:type="dxa"/>
            <w:vAlign w:val="bottom"/>
          </w:tcPr>
          <w:p>
            <w:pPr>
              <w:jc w:val="right"/>
              <w:ind w:right="579"/>
              <w:spacing w:after="0"/>
              <w:rPr>
                <w:sz w:val="20"/>
                <w:szCs w:val="20"/>
                <w:color w:val="auto"/>
              </w:rPr>
            </w:pPr>
            <w:r>
              <w:rPr>
                <w:rFonts w:ascii="Arial" w:cs="Arial" w:eastAsia="Arial" w:hAnsi="Arial"/>
                <w:sz w:val="16"/>
                <w:szCs w:val="16"/>
                <w:color w:val="auto"/>
              </w:rPr>
              <w:t>77</w:t>
            </w:r>
          </w:p>
        </w:tc>
      </w:tr>
      <w:tr>
        <w:trPr>
          <w:trHeight w:val="296"/>
        </w:trPr>
        <w:tc>
          <w:tcPr>
            <w:tcW w:w="5680" w:type="dxa"/>
            <w:vAlign w:val="bottom"/>
            <w:tcBorders>
              <w:bottom w:val="single" w:sz="8" w:color="9A9A9A"/>
            </w:tcBorders>
          </w:tcPr>
          <w:p>
            <w:pPr>
              <w:spacing w:after="0"/>
              <w:rPr>
                <w:sz w:val="24"/>
                <w:szCs w:val="24"/>
                <w:color w:val="auto"/>
              </w:rPr>
            </w:pPr>
          </w:p>
        </w:tc>
        <w:tc>
          <w:tcPr>
            <w:tcW w:w="5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82" w:name="page83"/>
    <w:bookmarkEnd w:id="8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399" w:lineRule="exact"/>
        <w:rPr>
          <w:sz w:val="20"/>
          <w:szCs w:val="20"/>
          <w:color w:val="auto"/>
        </w:rPr>
      </w:pPr>
    </w:p>
    <w:p>
      <w:pPr>
        <w:ind w:left="660" w:right="20"/>
        <w:spacing w:after="0" w:line="254" w:lineRule="auto"/>
        <w:rPr>
          <w:sz w:val="20"/>
          <w:szCs w:val="20"/>
          <w:color w:val="auto"/>
        </w:rPr>
      </w:pPr>
      <w:r>
        <w:rPr>
          <w:rFonts w:ascii="Arial" w:cs="Arial" w:eastAsia="Arial" w:hAnsi="Arial"/>
          <w:sz w:val="19"/>
          <w:szCs w:val="19"/>
          <w:color w:val="auto"/>
        </w:rPr>
        <w:t>for the election of directors, considered for the purposes of this Article as one class, shall be required (a) for the adoption of any agreement for the merger or consolidation of the Corporation with or into any Other Corporation (as hereinafter defined), or (b) to authorize any sale, lease, exchange, mortgage, pledge or other disposition of all, or substantially all of the assets of the Corporation or any Subsidiary (as hereinafter defined) to any Other Corporation, or (c) to authorize the issuance or transfer by the Corporation of any Substantial Amount (as hereinafter defined) of securities of the Corporation in exchange for the securities or assets of any Other Corporation. Such affirmative vote or consent shall be in addition to the vote or consent of the holders of the stock of the Corporation otherwise required by law, the Certificate of Incorporation of the Corporation or any agreement or contract to which the Corporation is a party.</w:t>
      </w:r>
    </w:p>
    <w:p>
      <w:pPr>
        <w:spacing w:after="0" w:line="200" w:lineRule="exact"/>
        <w:rPr>
          <w:sz w:val="20"/>
          <w:szCs w:val="20"/>
          <w:color w:val="auto"/>
        </w:rPr>
      </w:pPr>
    </w:p>
    <w:p>
      <w:pPr>
        <w:ind w:left="660" w:hanging="6"/>
        <w:spacing w:after="0"/>
        <w:tabs>
          <w:tab w:leader="none" w:pos="1095" w:val="left"/>
        </w:tabs>
        <w:numPr>
          <w:ilvl w:val="0"/>
          <w:numId w:val="113"/>
        </w:numPr>
        <w:rPr>
          <w:rFonts w:ascii="Arial" w:cs="Arial" w:eastAsia="Arial" w:hAnsi="Arial"/>
          <w:sz w:val="20"/>
          <w:szCs w:val="20"/>
          <w:color w:val="auto"/>
        </w:rPr>
      </w:pPr>
      <w:r>
        <w:rPr>
          <w:rFonts w:ascii="Arial" w:cs="Arial" w:eastAsia="Arial" w:hAnsi="Arial"/>
          <w:sz w:val="20"/>
          <w:szCs w:val="20"/>
          <w:color w:val="auto"/>
        </w:rPr>
        <w:t>The provisions of paragraph 1 of this Article Eleventh shall not be applicable to any transaction described therein if such transaction is approved by resolution of the Board of Directors of the Corporation; provided that a majority of the members of the Board of Directors voting for the approval of such transaction were duly elected and acting members of the Board of Directors prior to the time any such Other Corporation may have become a Beneficial Owner (as hereinafter defined) of 5% or more of the shares of stock of the Corporation entitled to vote for the election of directors.</w:t>
      </w:r>
    </w:p>
    <w:p>
      <w:pPr>
        <w:spacing w:after="0" w:line="213" w:lineRule="exact"/>
        <w:rPr>
          <w:rFonts w:ascii="Arial" w:cs="Arial" w:eastAsia="Arial" w:hAnsi="Arial"/>
          <w:sz w:val="20"/>
          <w:szCs w:val="20"/>
          <w:color w:val="auto"/>
        </w:rPr>
      </w:pPr>
    </w:p>
    <w:p>
      <w:pPr>
        <w:ind w:left="660" w:hanging="6"/>
        <w:spacing w:after="0" w:line="241" w:lineRule="auto"/>
        <w:tabs>
          <w:tab w:leader="none" w:pos="1095" w:val="left"/>
        </w:tabs>
        <w:numPr>
          <w:ilvl w:val="0"/>
          <w:numId w:val="113"/>
        </w:numPr>
        <w:rPr>
          <w:rFonts w:ascii="Arial" w:cs="Arial" w:eastAsia="Arial" w:hAnsi="Arial"/>
          <w:sz w:val="20"/>
          <w:szCs w:val="20"/>
          <w:color w:val="auto"/>
        </w:rPr>
      </w:pPr>
      <w:r>
        <w:rPr>
          <w:rFonts w:ascii="Arial" w:cs="Arial" w:eastAsia="Arial" w:hAnsi="Arial"/>
          <w:sz w:val="20"/>
          <w:szCs w:val="20"/>
          <w:color w:val="auto"/>
        </w:rPr>
        <w:t>For the purposes of paragraph 2 of this Article, the Board of Directors shall have the power and duty to determine for the purposes of this Article Eleventh, on the basis of information known to such Board, if and when any Other Corporation is the Beneficial Owner of 5% or more of the outstanding shares of stock of the Corporation entitled to vote for the election of directors. Any such determination shall be conclusive and binding for all purposes of this Article Eleventh.</w:t>
      </w:r>
    </w:p>
    <w:p>
      <w:pPr>
        <w:spacing w:after="0" w:line="222" w:lineRule="exact"/>
        <w:rPr>
          <w:rFonts w:ascii="Arial" w:cs="Arial" w:eastAsia="Arial" w:hAnsi="Arial"/>
          <w:sz w:val="20"/>
          <w:szCs w:val="20"/>
          <w:color w:val="auto"/>
        </w:rPr>
      </w:pPr>
    </w:p>
    <w:p>
      <w:pPr>
        <w:ind w:left="1080" w:hanging="426"/>
        <w:spacing w:after="0"/>
        <w:tabs>
          <w:tab w:leader="none" w:pos="1080" w:val="left"/>
        </w:tabs>
        <w:numPr>
          <w:ilvl w:val="0"/>
          <w:numId w:val="113"/>
        </w:numPr>
        <w:rPr>
          <w:rFonts w:ascii="Arial" w:cs="Arial" w:eastAsia="Arial" w:hAnsi="Arial"/>
          <w:sz w:val="20"/>
          <w:szCs w:val="20"/>
          <w:color w:val="auto"/>
        </w:rPr>
      </w:pPr>
      <w:r>
        <w:rPr>
          <w:rFonts w:ascii="Arial" w:cs="Arial" w:eastAsia="Arial" w:hAnsi="Arial"/>
          <w:sz w:val="20"/>
          <w:szCs w:val="20"/>
          <w:color w:val="auto"/>
        </w:rPr>
        <w:t>As used in this Article Eleventh, the following terms shall have the meanings indicated:</w:t>
      </w:r>
    </w:p>
    <w:p>
      <w:pPr>
        <w:spacing w:after="0" w:line="216" w:lineRule="exact"/>
        <w:rPr>
          <w:sz w:val="20"/>
          <w:szCs w:val="20"/>
          <w:color w:val="auto"/>
        </w:rPr>
      </w:pPr>
    </w:p>
    <w:p>
      <w:pPr>
        <w:ind w:left="660" w:right="560"/>
        <w:spacing w:after="0" w:line="246" w:lineRule="auto"/>
        <w:rPr>
          <w:sz w:val="20"/>
          <w:szCs w:val="20"/>
          <w:color w:val="auto"/>
        </w:rPr>
      </w:pPr>
      <w:r>
        <w:rPr>
          <w:rFonts w:ascii="Arial" w:cs="Arial" w:eastAsia="Arial" w:hAnsi="Arial"/>
          <w:sz w:val="20"/>
          <w:szCs w:val="20"/>
          <w:color w:val="auto"/>
        </w:rPr>
        <w:t>“Other Corporation” means any person, firm, corporation or other entity, other than a subsidiary of the Corporation.</w:t>
      </w:r>
    </w:p>
    <w:p>
      <w:pPr>
        <w:spacing w:after="0" w:line="204" w:lineRule="exact"/>
        <w:rPr>
          <w:sz w:val="20"/>
          <w:szCs w:val="20"/>
          <w:color w:val="auto"/>
        </w:rPr>
      </w:pPr>
    </w:p>
    <w:p>
      <w:pPr>
        <w:ind w:left="660" w:right="120"/>
        <w:spacing w:after="0" w:line="246" w:lineRule="auto"/>
        <w:rPr>
          <w:sz w:val="20"/>
          <w:szCs w:val="20"/>
          <w:color w:val="auto"/>
        </w:rPr>
      </w:pPr>
      <w:r>
        <w:rPr>
          <w:rFonts w:ascii="Arial" w:cs="Arial" w:eastAsia="Arial" w:hAnsi="Arial"/>
          <w:sz w:val="20"/>
          <w:szCs w:val="20"/>
          <w:color w:val="auto"/>
        </w:rPr>
        <w:t>“Subsidiary” means any corporation in which the Corporation owns, directly or indirectly, more than 50% of the voting securities.</w:t>
      </w:r>
    </w:p>
    <w:p>
      <w:pPr>
        <w:spacing w:after="0" w:line="217" w:lineRule="exact"/>
        <w:rPr>
          <w:sz w:val="20"/>
          <w:szCs w:val="20"/>
          <w:color w:val="auto"/>
        </w:rPr>
      </w:pPr>
    </w:p>
    <w:p>
      <w:pPr>
        <w:ind w:left="660" w:right="80"/>
        <w:spacing w:after="0" w:line="261" w:lineRule="auto"/>
        <w:rPr>
          <w:sz w:val="20"/>
          <w:szCs w:val="20"/>
          <w:color w:val="auto"/>
        </w:rPr>
      </w:pPr>
      <w:r>
        <w:rPr>
          <w:rFonts w:ascii="Arial" w:cs="Arial" w:eastAsia="Arial" w:hAnsi="Arial"/>
          <w:sz w:val="20"/>
          <w:szCs w:val="20"/>
          <w:color w:val="auto"/>
        </w:rPr>
        <w:t>“Substantial Amount” means any securities of the Corporation having a then fair market value of more than $500,000.</w:t>
      </w:r>
    </w:p>
    <w:p>
      <w:pPr>
        <w:spacing w:after="0" w:line="202" w:lineRule="exact"/>
        <w:rPr>
          <w:sz w:val="20"/>
          <w:szCs w:val="20"/>
          <w:color w:val="auto"/>
        </w:rPr>
      </w:pPr>
    </w:p>
    <w:p>
      <w:pPr>
        <w:ind w:left="660" w:right="140"/>
        <w:spacing w:after="0" w:line="255" w:lineRule="auto"/>
        <w:rPr>
          <w:sz w:val="20"/>
          <w:szCs w:val="20"/>
          <w:color w:val="auto"/>
        </w:rPr>
      </w:pPr>
      <w:r>
        <w:rPr>
          <w:rFonts w:ascii="Arial" w:cs="Arial" w:eastAsia="Arial" w:hAnsi="Arial"/>
          <w:sz w:val="20"/>
          <w:szCs w:val="20"/>
          <w:color w:val="auto"/>
        </w:rPr>
        <w:t>An Other Corporation (as defined above) shall be deemed to be the “Beneficial Owner” of stock if such Other Corporation or any “affiliate” or “associate” of such Other Corporation (as those terms are defined in Rule 12b-2 promulgated under the Securities Exchange Act of 1934 (15 U.S.C. 78 aaa et seq.), as amended from time to time), directly or indirectly, controls the voting of such stock or has any options, warrants, conversion or other rights to acquire such stock.</w:t>
      </w:r>
    </w:p>
    <w:p>
      <w:pPr>
        <w:spacing w:after="0" w:line="209" w:lineRule="exact"/>
        <w:rPr>
          <w:sz w:val="20"/>
          <w:szCs w:val="20"/>
          <w:color w:val="auto"/>
        </w:rPr>
      </w:pPr>
    </w:p>
    <w:p>
      <w:pPr>
        <w:ind w:left="660" w:right="280" w:hanging="6"/>
        <w:spacing w:after="0" w:line="253" w:lineRule="auto"/>
        <w:tabs>
          <w:tab w:leader="none" w:pos="1095" w:val="left"/>
        </w:tabs>
        <w:numPr>
          <w:ilvl w:val="0"/>
          <w:numId w:val="114"/>
        </w:numPr>
        <w:rPr>
          <w:rFonts w:ascii="Arial" w:cs="Arial" w:eastAsia="Arial" w:hAnsi="Arial"/>
          <w:sz w:val="20"/>
          <w:szCs w:val="20"/>
          <w:color w:val="auto"/>
        </w:rPr>
      </w:pPr>
      <w:r>
        <w:rPr>
          <w:rFonts w:ascii="Arial" w:cs="Arial" w:eastAsia="Arial" w:hAnsi="Arial"/>
          <w:sz w:val="20"/>
          <w:szCs w:val="20"/>
          <w:color w:val="auto"/>
        </w:rPr>
        <w:t xml:space="preserve">This Article Eleventh may not be amended, revised or revoked, in whole or in part, except by the affirmative vote or consent of the holders of </w:t>
      </w:r>
      <w:r>
        <w:rPr>
          <w:rFonts w:ascii="Arial" w:cs="Arial" w:eastAsia="Arial" w:hAnsi="Arial"/>
          <w:sz w:val="20"/>
          <w:szCs w:val="20"/>
          <w:color w:val="auto"/>
          <w:strike w:val="1"/>
        </w:rPr>
        <w:t>80%</w:t>
      </w:r>
      <w:r>
        <w:rPr>
          <w:rFonts w:ascii="Arial" w:cs="Arial" w:eastAsia="Arial" w:hAnsi="Arial"/>
          <w:sz w:val="20"/>
          <w:szCs w:val="20"/>
          <w:u w:val="single" w:color="auto"/>
          <w:color w:val="auto"/>
        </w:rPr>
        <w:t>at least a majority</w:t>
      </w:r>
      <w:r>
        <w:rPr>
          <w:rFonts w:ascii="Arial" w:cs="Arial" w:eastAsia="Arial" w:hAnsi="Arial"/>
          <w:sz w:val="20"/>
          <w:szCs w:val="20"/>
          <w:color w:val="auto"/>
        </w:rPr>
        <w:t xml:space="preserve"> of the shares of all classes of stock of the Corporation entitled to vote for the election of directors, considered for the purposes of this</w:t>
      </w:r>
    </w:p>
    <w:p>
      <w:pPr>
        <w:spacing w:after="0" w:line="1"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Article Eleventh as one class of stock.</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TWELFTH:</w:t>
      </w:r>
    </w:p>
    <w:p>
      <w:pPr>
        <w:spacing w:after="0" w:line="154" w:lineRule="exact"/>
        <w:rPr>
          <w:sz w:val="20"/>
          <w:szCs w:val="20"/>
          <w:color w:val="auto"/>
        </w:rPr>
      </w:pPr>
    </w:p>
    <w:p>
      <w:pPr>
        <w:ind w:left="1080" w:hanging="426"/>
        <w:spacing w:after="0"/>
        <w:tabs>
          <w:tab w:leader="none" w:pos="1080" w:val="left"/>
        </w:tabs>
        <w:numPr>
          <w:ilvl w:val="0"/>
          <w:numId w:val="115"/>
        </w:numPr>
        <w:rPr>
          <w:rFonts w:ascii="Arial" w:cs="Arial" w:eastAsia="Arial" w:hAnsi="Arial"/>
          <w:sz w:val="20"/>
          <w:szCs w:val="20"/>
          <w:color w:val="auto"/>
        </w:rPr>
      </w:pPr>
      <w:r>
        <w:rPr>
          <w:rFonts w:ascii="Arial" w:cs="Arial" w:eastAsia="Arial" w:hAnsi="Arial"/>
          <w:sz w:val="20"/>
          <w:szCs w:val="20"/>
          <w:color w:val="auto"/>
        </w:rPr>
        <w:t>The following definitions shall apply for the purpose of this Article Twelfth only:</w:t>
      </w:r>
    </w:p>
    <w:p>
      <w:pPr>
        <w:spacing w:after="0" w:line="229" w:lineRule="exact"/>
        <w:rPr>
          <w:rFonts w:ascii="Arial" w:cs="Arial" w:eastAsia="Arial" w:hAnsi="Arial"/>
          <w:sz w:val="20"/>
          <w:szCs w:val="20"/>
          <w:color w:val="auto"/>
        </w:rPr>
      </w:pPr>
    </w:p>
    <w:p>
      <w:pPr>
        <w:ind w:left="1380" w:right="680" w:hanging="366"/>
        <w:spacing w:after="0" w:line="261" w:lineRule="auto"/>
        <w:tabs>
          <w:tab w:leader="none" w:pos="1380" w:val="left"/>
        </w:tabs>
        <w:numPr>
          <w:ilvl w:val="1"/>
          <w:numId w:val="115"/>
        </w:numPr>
        <w:rPr>
          <w:rFonts w:ascii="Arial" w:cs="Arial" w:eastAsia="Arial" w:hAnsi="Arial"/>
          <w:sz w:val="20"/>
          <w:szCs w:val="20"/>
          <w:color w:val="auto"/>
        </w:rPr>
      </w:pPr>
      <w:r>
        <w:rPr>
          <w:rFonts w:ascii="Arial" w:cs="Arial" w:eastAsia="Arial" w:hAnsi="Arial"/>
          <w:sz w:val="20"/>
          <w:szCs w:val="20"/>
          <w:color w:val="auto"/>
        </w:rPr>
        <w:t>“Announcement Date” shall mean the date of first public announcement of the proposal of a Business Combination.</w:t>
      </w:r>
    </w:p>
    <w:p>
      <w:pPr>
        <w:spacing w:after="0" w:line="320" w:lineRule="exact"/>
        <w:rPr>
          <w:sz w:val="20"/>
          <w:szCs w:val="20"/>
          <w:color w:val="auto"/>
        </w:rPr>
      </w:pPr>
    </w:p>
    <w:p>
      <w:pPr>
        <w:ind w:left="660"/>
        <w:spacing w:after="0"/>
        <w:tabs>
          <w:tab w:leader="none" w:pos="4709" w:val="left"/>
        </w:tabs>
        <w:rPr>
          <w:sz w:val="20"/>
          <w:szCs w:val="20"/>
          <w:color w:val="auto"/>
        </w:rPr>
      </w:pPr>
      <w:r>
        <w:rPr>
          <w:rFonts w:ascii="Arial" w:cs="Arial" w:eastAsia="Arial" w:hAnsi="Arial"/>
          <w:sz w:val="16"/>
          <w:szCs w:val="16"/>
          <w:color w:val="auto"/>
        </w:rPr>
        <w:t>78</w:t>
      </w:r>
      <w:r>
        <w:rPr>
          <w:sz w:val="20"/>
          <w:szCs w:val="20"/>
          <w:color w:val="auto"/>
        </w:rPr>
        <w:tab/>
      </w:r>
      <w:r>
        <w:rPr>
          <w:sz w:val="1"/>
          <w:szCs w:val="1"/>
          <w:color w:val="auto"/>
        </w:rPr>
        <w:drawing>
          <wp:inline distT="0" distB="0" distL="0" distR="0">
            <wp:extent cx="779780" cy="257175"/>
            <wp:effectExtent l="0" t="0" r="0" b="0"/>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131" w:right="1259" w:bottom="1440" w:gutter="0" w:footer="0" w:header="0"/>
        </w:sectPr>
      </w:pPr>
    </w:p>
    <w:bookmarkStart w:id="83" w:name="page84"/>
    <w:bookmarkEnd w:id="8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380" w:hanging="366"/>
        <w:spacing w:after="0"/>
        <w:tabs>
          <w:tab w:leader="none" w:pos="1380" w:val="left"/>
        </w:tabs>
        <w:numPr>
          <w:ilvl w:val="0"/>
          <w:numId w:val="116"/>
        </w:numPr>
        <w:rPr>
          <w:rFonts w:ascii="Arial" w:cs="Arial" w:eastAsia="Arial" w:hAnsi="Arial"/>
          <w:sz w:val="20"/>
          <w:szCs w:val="20"/>
          <w:color w:val="auto"/>
        </w:rPr>
      </w:pPr>
      <w:r>
        <w:rPr>
          <w:rFonts w:ascii="Arial" w:cs="Arial" w:eastAsia="Arial" w:hAnsi="Arial"/>
          <w:sz w:val="20"/>
          <w:szCs w:val="20"/>
          <w:color w:val="auto"/>
        </w:rPr>
        <w:t>“Business Combination” shall mean:</w:t>
      </w:r>
    </w:p>
    <w:p>
      <w:pPr>
        <w:spacing w:after="0" w:line="229" w:lineRule="exact"/>
        <w:rPr>
          <w:rFonts w:ascii="Arial" w:cs="Arial" w:eastAsia="Arial" w:hAnsi="Arial"/>
          <w:sz w:val="20"/>
          <w:szCs w:val="20"/>
          <w:color w:val="auto"/>
        </w:rPr>
      </w:pPr>
    </w:p>
    <w:p>
      <w:pPr>
        <w:ind w:left="1740" w:right="780" w:hanging="366"/>
        <w:spacing w:after="0" w:line="257" w:lineRule="auto"/>
        <w:tabs>
          <w:tab w:leader="none" w:pos="1740" w:val="left"/>
        </w:tabs>
        <w:numPr>
          <w:ilvl w:val="1"/>
          <w:numId w:val="116"/>
        </w:numPr>
        <w:rPr>
          <w:rFonts w:ascii="Arial" w:cs="Arial" w:eastAsia="Arial" w:hAnsi="Arial"/>
          <w:sz w:val="20"/>
          <w:szCs w:val="20"/>
          <w:color w:val="auto"/>
        </w:rPr>
      </w:pPr>
      <w:r>
        <w:rPr>
          <w:rFonts w:ascii="Arial" w:cs="Arial" w:eastAsia="Arial" w:hAnsi="Arial"/>
          <w:sz w:val="20"/>
          <w:szCs w:val="20"/>
          <w:color w:val="auto"/>
        </w:rPr>
        <w:t>any merger or consolidation of the Corporation or any Subsidiary with (a) any Related Person, or (b) any other corporation (whether or not itself a Related Person) which is, or after such merger or consolidation would be, an Affiliate of a Related Person; or</w:t>
      </w:r>
    </w:p>
    <w:p>
      <w:pPr>
        <w:spacing w:after="0" w:line="206" w:lineRule="exact"/>
        <w:rPr>
          <w:rFonts w:ascii="Arial" w:cs="Arial" w:eastAsia="Arial" w:hAnsi="Arial"/>
          <w:sz w:val="20"/>
          <w:szCs w:val="20"/>
          <w:color w:val="auto"/>
        </w:rPr>
      </w:pPr>
    </w:p>
    <w:p>
      <w:pPr>
        <w:ind w:left="1740" w:right="680" w:hanging="366"/>
        <w:spacing w:after="0" w:line="256" w:lineRule="auto"/>
        <w:tabs>
          <w:tab w:leader="none" w:pos="1740" w:val="left"/>
        </w:tabs>
        <w:numPr>
          <w:ilvl w:val="1"/>
          <w:numId w:val="116"/>
        </w:numPr>
        <w:rPr>
          <w:rFonts w:ascii="Arial" w:cs="Arial" w:eastAsia="Arial" w:hAnsi="Arial"/>
          <w:sz w:val="20"/>
          <w:szCs w:val="20"/>
          <w:color w:val="auto"/>
        </w:rPr>
      </w:pPr>
      <w:r>
        <w:rPr>
          <w:rFonts w:ascii="Arial" w:cs="Arial" w:eastAsia="Arial" w:hAnsi="Arial"/>
          <w:sz w:val="20"/>
          <w:szCs w:val="20"/>
          <w:color w:val="auto"/>
        </w:rPr>
        <w:t>any sale, lease, exchange, mortgage, pledge, transfer or other disposition (in one transaction or a series of transactions) to or with any Related Person or any Affiliate of any Related Person of any assets of the Corporation or any Subsidiary having an aggregate Fair Market Value of $500,000 or more; or</w:t>
      </w:r>
    </w:p>
    <w:p>
      <w:pPr>
        <w:spacing w:after="0" w:line="206" w:lineRule="exact"/>
        <w:rPr>
          <w:rFonts w:ascii="Arial" w:cs="Arial" w:eastAsia="Arial" w:hAnsi="Arial"/>
          <w:sz w:val="20"/>
          <w:szCs w:val="20"/>
          <w:color w:val="auto"/>
        </w:rPr>
      </w:pPr>
    </w:p>
    <w:p>
      <w:pPr>
        <w:ind w:left="1740" w:right="780" w:hanging="366"/>
        <w:spacing w:after="0" w:line="256" w:lineRule="auto"/>
        <w:tabs>
          <w:tab w:leader="none" w:pos="1740" w:val="left"/>
        </w:tabs>
        <w:numPr>
          <w:ilvl w:val="1"/>
          <w:numId w:val="116"/>
        </w:numPr>
        <w:rPr>
          <w:rFonts w:ascii="Arial" w:cs="Arial" w:eastAsia="Arial" w:hAnsi="Arial"/>
          <w:sz w:val="20"/>
          <w:szCs w:val="20"/>
          <w:color w:val="auto"/>
        </w:rPr>
      </w:pPr>
      <w:r>
        <w:rPr>
          <w:rFonts w:ascii="Arial" w:cs="Arial" w:eastAsia="Arial" w:hAnsi="Arial"/>
          <w:sz w:val="20"/>
          <w:szCs w:val="20"/>
          <w:color w:val="auto"/>
        </w:rPr>
        <w:t>the issuance or transfer by the Corporation or any Subsidiary (in one transaction or a series of transactions) of any securities of the Corporation or any Subsidiary to any Related Person or any Affiliate of any Related Person in exchange for cash, securities or other property (or a combination thereof) having an aggregate Fair Market Value of $500,000 or more; or</w:t>
      </w:r>
    </w:p>
    <w:p>
      <w:pPr>
        <w:spacing w:after="0" w:line="206" w:lineRule="exact"/>
        <w:rPr>
          <w:rFonts w:ascii="Arial" w:cs="Arial" w:eastAsia="Arial" w:hAnsi="Arial"/>
          <w:sz w:val="20"/>
          <w:szCs w:val="20"/>
          <w:color w:val="auto"/>
        </w:rPr>
      </w:pPr>
    </w:p>
    <w:p>
      <w:pPr>
        <w:ind w:left="1740" w:right="1180" w:hanging="366"/>
        <w:spacing w:after="0" w:line="287" w:lineRule="auto"/>
        <w:tabs>
          <w:tab w:leader="none" w:pos="1740" w:val="left"/>
        </w:tabs>
        <w:numPr>
          <w:ilvl w:val="1"/>
          <w:numId w:val="116"/>
        </w:numPr>
        <w:rPr>
          <w:rFonts w:ascii="Arial" w:cs="Arial" w:eastAsia="Arial" w:hAnsi="Arial"/>
          <w:sz w:val="19"/>
          <w:szCs w:val="19"/>
          <w:color w:val="auto"/>
        </w:rPr>
      </w:pPr>
      <w:r>
        <w:rPr>
          <w:rFonts w:ascii="Arial" w:cs="Arial" w:eastAsia="Arial" w:hAnsi="Arial"/>
          <w:sz w:val="19"/>
          <w:szCs w:val="19"/>
          <w:color w:val="auto"/>
        </w:rPr>
        <w:t>the adoption of any plan or proposal for the liquidation or dissolution of the Corporation proposed by or on behalf of any Related Person or any Affiliate of any Related Person; or</w:t>
      </w:r>
    </w:p>
    <w:p>
      <w:pPr>
        <w:spacing w:after="0" w:line="192" w:lineRule="exact"/>
        <w:rPr>
          <w:rFonts w:ascii="Arial" w:cs="Arial" w:eastAsia="Arial" w:hAnsi="Arial"/>
          <w:sz w:val="19"/>
          <w:szCs w:val="19"/>
          <w:color w:val="auto"/>
        </w:rPr>
      </w:pPr>
    </w:p>
    <w:p>
      <w:pPr>
        <w:ind w:left="1740" w:right="920" w:hanging="366"/>
        <w:spacing w:after="0" w:line="254" w:lineRule="auto"/>
        <w:tabs>
          <w:tab w:leader="none" w:pos="1740" w:val="left"/>
        </w:tabs>
        <w:numPr>
          <w:ilvl w:val="1"/>
          <w:numId w:val="116"/>
        </w:numPr>
        <w:rPr>
          <w:rFonts w:ascii="Arial" w:cs="Arial" w:eastAsia="Arial" w:hAnsi="Arial"/>
          <w:sz w:val="20"/>
          <w:szCs w:val="20"/>
          <w:color w:val="auto"/>
        </w:rPr>
      </w:pPr>
      <w:r>
        <w:rPr>
          <w:rFonts w:ascii="Arial" w:cs="Arial" w:eastAsia="Arial" w:hAnsi="Arial"/>
          <w:sz w:val="20"/>
          <w:szCs w:val="20"/>
          <w:color w:val="auto"/>
        </w:rPr>
        <w:t>any reclassification of securities (including any reverse stock split), or recapitalization of the Corporation, or any merger or consolidation of the Corporation with any of its Subsidiaries or any other transaction (whether or not with or into or otherwise involving the Related Person) which has the effect, directly or indirectly, of increasing the proportionate share of the outstanding shares of any class of equity or convertible securities of the Corporation or any Subsidiary which is directly or indirectly owned by any Related Person or any Affiliate of any Related Person.</w:t>
      </w:r>
    </w:p>
    <w:p>
      <w:pPr>
        <w:spacing w:after="0" w:line="213" w:lineRule="exact"/>
        <w:rPr>
          <w:rFonts w:ascii="Arial" w:cs="Arial" w:eastAsia="Arial" w:hAnsi="Arial"/>
          <w:sz w:val="20"/>
          <w:szCs w:val="20"/>
          <w:color w:val="auto"/>
        </w:rPr>
      </w:pPr>
    </w:p>
    <w:p>
      <w:pPr>
        <w:ind w:left="1380" w:right="800" w:hanging="366"/>
        <w:spacing w:after="0" w:line="255" w:lineRule="auto"/>
        <w:tabs>
          <w:tab w:leader="none" w:pos="1380" w:val="left"/>
        </w:tabs>
        <w:numPr>
          <w:ilvl w:val="0"/>
          <w:numId w:val="116"/>
        </w:numPr>
        <w:rPr>
          <w:rFonts w:ascii="Arial" w:cs="Arial" w:eastAsia="Arial" w:hAnsi="Arial"/>
          <w:sz w:val="20"/>
          <w:szCs w:val="20"/>
          <w:color w:val="auto"/>
        </w:rPr>
      </w:pPr>
      <w:r>
        <w:rPr>
          <w:rFonts w:ascii="Arial" w:cs="Arial" w:eastAsia="Arial" w:hAnsi="Arial"/>
          <w:sz w:val="20"/>
          <w:szCs w:val="20"/>
          <w:color w:val="auto"/>
        </w:rPr>
        <w:t>“Consideration Received” shall mean the amount of cash and the Fair Market Value, as of the Consummation Date, of consideration other than cash received by the stockholder. In the event of any Business Combination in which the Corporation survives, the consideration other than cash shall include shares of any class of outstanding Voting Stock retained by the holders of such shares.</w:t>
      </w:r>
    </w:p>
    <w:p>
      <w:pPr>
        <w:spacing w:after="0" w:line="209" w:lineRule="exact"/>
        <w:rPr>
          <w:rFonts w:ascii="Arial" w:cs="Arial" w:eastAsia="Arial" w:hAnsi="Arial"/>
          <w:sz w:val="20"/>
          <w:szCs w:val="20"/>
          <w:color w:val="auto"/>
        </w:rPr>
      </w:pPr>
    </w:p>
    <w:p>
      <w:pPr>
        <w:ind w:left="1380" w:hanging="366"/>
        <w:spacing w:after="0"/>
        <w:tabs>
          <w:tab w:leader="none" w:pos="1380" w:val="left"/>
        </w:tabs>
        <w:numPr>
          <w:ilvl w:val="0"/>
          <w:numId w:val="116"/>
        </w:numPr>
        <w:rPr>
          <w:rFonts w:ascii="Arial" w:cs="Arial" w:eastAsia="Arial" w:hAnsi="Arial"/>
          <w:sz w:val="20"/>
          <w:szCs w:val="20"/>
          <w:color w:val="auto"/>
        </w:rPr>
      </w:pPr>
      <w:r>
        <w:rPr>
          <w:rFonts w:ascii="Arial" w:cs="Arial" w:eastAsia="Arial" w:hAnsi="Arial"/>
          <w:sz w:val="20"/>
          <w:szCs w:val="20"/>
          <w:color w:val="auto"/>
        </w:rPr>
        <w:t>“Consummation Date” shall mean the date upon which the Business Combination is consummated.</w:t>
      </w:r>
    </w:p>
    <w:p>
      <w:pPr>
        <w:spacing w:after="0" w:line="229" w:lineRule="exact"/>
        <w:rPr>
          <w:rFonts w:ascii="Arial" w:cs="Arial" w:eastAsia="Arial" w:hAnsi="Arial"/>
          <w:sz w:val="20"/>
          <w:szCs w:val="20"/>
          <w:color w:val="auto"/>
        </w:rPr>
      </w:pPr>
    </w:p>
    <w:p>
      <w:pPr>
        <w:ind w:left="1380" w:right="800" w:hanging="366"/>
        <w:spacing w:after="0" w:line="255" w:lineRule="auto"/>
        <w:tabs>
          <w:tab w:leader="none" w:pos="1380" w:val="left"/>
        </w:tabs>
        <w:numPr>
          <w:ilvl w:val="0"/>
          <w:numId w:val="116"/>
        </w:numPr>
        <w:rPr>
          <w:rFonts w:ascii="Arial" w:cs="Arial" w:eastAsia="Arial" w:hAnsi="Arial"/>
          <w:sz w:val="20"/>
          <w:szCs w:val="20"/>
          <w:color w:val="auto"/>
        </w:rPr>
      </w:pPr>
      <w:r>
        <w:rPr>
          <w:rFonts w:ascii="Arial" w:cs="Arial" w:eastAsia="Arial" w:hAnsi="Arial"/>
          <w:sz w:val="20"/>
          <w:szCs w:val="20"/>
          <w:color w:val="auto"/>
        </w:rPr>
        <w:t>“Continuing Director” shall mean any member of the Board of Directors of the Corporation who is unaffiliated with the Related Person and who was a member of the Board of Directors prior to the time that the Related Person became a Related Person, and any successor of a Continuing Director who is unaffiliated with the Related Person and is recommended to succeed a Continuing Director by a majority of the Continuing Directors then on the Board of Directors.</w:t>
      </w:r>
    </w:p>
    <w:p>
      <w:pPr>
        <w:spacing w:after="0" w:line="209" w:lineRule="exact"/>
        <w:rPr>
          <w:rFonts w:ascii="Arial" w:cs="Arial" w:eastAsia="Arial" w:hAnsi="Arial"/>
          <w:sz w:val="20"/>
          <w:szCs w:val="20"/>
          <w:color w:val="auto"/>
        </w:rPr>
      </w:pPr>
    </w:p>
    <w:p>
      <w:pPr>
        <w:ind w:left="1380" w:hanging="366"/>
        <w:spacing w:after="0"/>
        <w:tabs>
          <w:tab w:leader="none" w:pos="1380" w:val="left"/>
        </w:tabs>
        <w:numPr>
          <w:ilvl w:val="0"/>
          <w:numId w:val="116"/>
        </w:numPr>
        <w:rPr>
          <w:rFonts w:ascii="Arial" w:cs="Arial" w:eastAsia="Arial" w:hAnsi="Arial"/>
          <w:sz w:val="20"/>
          <w:szCs w:val="20"/>
          <w:color w:val="auto"/>
        </w:rPr>
      </w:pPr>
      <w:r>
        <w:rPr>
          <w:rFonts w:ascii="Arial" w:cs="Arial" w:eastAsia="Arial" w:hAnsi="Arial"/>
          <w:sz w:val="20"/>
          <w:szCs w:val="20"/>
          <w:color w:val="auto"/>
        </w:rPr>
        <w:t>“Determination Date” shall mean the date upon which a Related Person became a Related Person.</w:t>
      </w:r>
    </w:p>
    <w:p>
      <w:pPr>
        <w:spacing w:after="0" w:line="229" w:lineRule="exact"/>
        <w:rPr>
          <w:rFonts w:ascii="Arial" w:cs="Arial" w:eastAsia="Arial" w:hAnsi="Arial"/>
          <w:sz w:val="20"/>
          <w:szCs w:val="20"/>
          <w:color w:val="auto"/>
        </w:rPr>
      </w:pPr>
    </w:p>
    <w:p>
      <w:pPr>
        <w:ind w:left="1380" w:hanging="366"/>
        <w:spacing w:after="0"/>
        <w:tabs>
          <w:tab w:leader="none" w:pos="1380" w:val="left"/>
        </w:tabs>
        <w:numPr>
          <w:ilvl w:val="0"/>
          <w:numId w:val="116"/>
        </w:numPr>
        <w:rPr>
          <w:rFonts w:ascii="Arial" w:cs="Arial" w:eastAsia="Arial" w:hAnsi="Arial"/>
          <w:sz w:val="20"/>
          <w:szCs w:val="20"/>
          <w:color w:val="auto"/>
        </w:rPr>
      </w:pPr>
      <w:r>
        <w:rPr>
          <w:rFonts w:ascii="Arial" w:cs="Arial" w:eastAsia="Arial" w:hAnsi="Arial"/>
          <w:sz w:val="20"/>
          <w:szCs w:val="20"/>
          <w:color w:val="auto"/>
        </w:rPr>
        <w:t>“Exchange Act” shall mean the Securities Exchange Act of 1934 as in effect on May 1, 1983.</w:t>
      </w:r>
    </w:p>
    <w:p>
      <w:pPr>
        <w:spacing w:after="0" w:line="229" w:lineRule="exact"/>
        <w:rPr>
          <w:rFonts w:ascii="Arial" w:cs="Arial" w:eastAsia="Arial" w:hAnsi="Arial"/>
          <w:sz w:val="20"/>
          <w:szCs w:val="20"/>
          <w:color w:val="auto"/>
        </w:rPr>
      </w:pPr>
    </w:p>
    <w:p>
      <w:pPr>
        <w:ind w:left="1380" w:right="660" w:hanging="366"/>
        <w:spacing w:after="0" w:line="255" w:lineRule="auto"/>
        <w:tabs>
          <w:tab w:leader="none" w:pos="1380" w:val="left"/>
        </w:tabs>
        <w:numPr>
          <w:ilvl w:val="0"/>
          <w:numId w:val="116"/>
        </w:numPr>
        <w:rPr>
          <w:rFonts w:ascii="Arial" w:cs="Arial" w:eastAsia="Arial" w:hAnsi="Arial"/>
          <w:sz w:val="20"/>
          <w:szCs w:val="20"/>
          <w:color w:val="auto"/>
        </w:rPr>
      </w:pPr>
      <w:r>
        <w:rPr>
          <w:rFonts w:ascii="Arial" w:cs="Arial" w:eastAsia="Arial" w:hAnsi="Arial"/>
          <w:sz w:val="20"/>
          <w:szCs w:val="20"/>
          <w:color w:val="auto"/>
        </w:rPr>
        <w:t>“Fair Market Value” shall mean: (i) in the case of stock, the highest closing sale price during the 30-day period immediately preceding the date in question of a share of such stock on the principal United States securities exchange registered under the Exchange Act on which such stock is listed, or, if such stock is not listed on any such exchange, the highest closing bid quotation with respect to a share of such stock during the 30-day period preceding the date in question 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3011805</wp:posOffset>
            </wp:positionH>
            <wp:positionV relativeFrom="paragraph">
              <wp:posOffset>229235</wp:posOffset>
            </wp:positionV>
            <wp:extent cx="779780" cy="25717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79780" cy="257175"/>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80" w:type="dxa"/>
            <w:vAlign w:val="bottom"/>
          </w:tcPr>
          <w:p>
            <w:pPr>
              <w:ind w:left="660"/>
              <w:spacing w:after="0"/>
              <w:rPr>
                <w:sz w:val="20"/>
                <w:szCs w:val="20"/>
                <w:color w:val="auto"/>
              </w:rPr>
            </w:pPr>
            <w:r>
              <w:rPr>
                <w:rFonts w:ascii="Arial" w:cs="Arial" w:eastAsia="Arial" w:hAnsi="Arial"/>
                <w:sz w:val="16"/>
                <w:szCs w:val="16"/>
                <w:color w:val="auto"/>
              </w:rPr>
              <w:t>Appendix A</w:t>
            </w:r>
          </w:p>
        </w:tc>
        <w:tc>
          <w:tcPr>
            <w:tcW w:w="5040" w:type="dxa"/>
            <w:vAlign w:val="bottom"/>
          </w:tcPr>
          <w:p>
            <w:pPr>
              <w:jc w:val="right"/>
              <w:ind w:right="579"/>
              <w:spacing w:after="0"/>
              <w:rPr>
                <w:sz w:val="20"/>
                <w:szCs w:val="20"/>
                <w:color w:val="auto"/>
              </w:rPr>
            </w:pPr>
            <w:r>
              <w:rPr>
                <w:rFonts w:ascii="Arial" w:cs="Arial" w:eastAsia="Arial" w:hAnsi="Arial"/>
                <w:sz w:val="16"/>
                <w:szCs w:val="16"/>
                <w:color w:val="auto"/>
              </w:rPr>
              <w:t>79</w:t>
            </w:r>
          </w:p>
        </w:tc>
      </w:tr>
      <w:tr>
        <w:trPr>
          <w:trHeight w:val="297"/>
        </w:trPr>
        <w:tc>
          <w:tcPr>
            <w:tcW w:w="5680" w:type="dxa"/>
            <w:vAlign w:val="bottom"/>
            <w:tcBorders>
              <w:bottom w:val="single" w:sz="8" w:color="9A9A9A"/>
            </w:tcBorders>
          </w:tcPr>
          <w:p>
            <w:pPr>
              <w:spacing w:after="0"/>
              <w:rPr>
                <w:sz w:val="24"/>
                <w:szCs w:val="24"/>
                <w:color w:val="auto"/>
              </w:rPr>
            </w:pPr>
          </w:p>
        </w:tc>
        <w:tc>
          <w:tcPr>
            <w:tcW w:w="5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84" w:name="page85"/>
    <w:bookmarkEnd w:id="8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380" w:right="100"/>
        <w:spacing w:after="0" w:line="255" w:lineRule="auto"/>
        <w:rPr>
          <w:sz w:val="20"/>
          <w:szCs w:val="20"/>
          <w:color w:val="auto"/>
        </w:rPr>
      </w:pPr>
      <w:r>
        <w:rPr>
          <w:rFonts w:ascii="Arial" w:cs="Arial" w:eastAsia="Arial" w:hAnsi="Arial"/>
          <w:sz w:val="20"/>
          <w:szCs w:val="20"/>
          <w:color w:val="auto"/>
        </w:rPr>
        <w:t>National Association of Securities Dealers, Inc. Automated Quotations System or any system then in use or, if no such quotations are available, the fair market value on the date in question of a share of such stock as determined by the Board of Directors in good faith; and (ii) in the case of property other than cash or stock, the fair market value of such property on the date in question as determined by the Board of Directors in good faith.</w:t>
      </w:r>
    </w:p>
    <w:p>
      <w:pPr>
        <w:spacing w:after="0" w:line="209" w:lineRule="exact"/>
        <w:rPr>
          <w:sz w:val="20"/>
          <w:szCs w:val="20"/>
          <w:color w:val="auto"/>
        </w:rPr>
      </w:pPr>
    </w:p>
    <w:p>
      <w:pPr>
        <w:ind w:left="1380" w:right="40" w:hanging="366"/>
        <w:spacing w:after="0" w:line="254" w:lineRule="auto"/>
        <w:tabs>
          <w:tab w:leader="none" w:pos="1380" w:val="left"/>
        </w:tabs>
        <w:numPr>
          <w:ilvl w:val="1"/>
          <w:numId w:val="117"/>
        </w:numPr>
        <w:rPr>
          <w:rFonts w:ascii="Arial" w:cs="Arial" w:eastAsia="Arial" w:hAnsi="Arial"/>
          <w:sz w:val="20"/>
          <w:szCs w:val="20"/>
          <w:color w:val="auto"/>
        </w:rPr>
      </w:pPr>
      <w:r>
        <w:rPr>
          <w:rFonts w:ascii="Arial" w:cs="Arial" w:eastAsia="Arial" w:hAnsi="Arial"/>
          <w:sz w:val="20"/>
          <w:szCs w:val="20"/>
          <w:color w:val="auto"/>
        </w:rPr>
        <w:t>“Related Person” shall mean any individual, firm, corporation or other entity (other than the Corporation or any Subsidiary) which, together with its Affiliates and Associates (as such terms are defined in Rule 12b-2 under the Exchange Act) and with any other individual, firm, corporation or other entity (other than the Corporation or any Subsidiary) with which it or they have any agreement, arrangement or understanding with respect to acquiring, holding or disposing of Voting Stock, beneficially owns (as defined in Rule 13d-3 of the Exchange Act, except that such term shall include any Voting Stock which such person has the right to acquire, whether or not such right may be exercised within 60 days), directly or indirectly, more than twenty percent of the voting power of the outstanding Voting Stock.</w:t>
      </w:r>
    </w:p>
    <w:p>
      <w:pPr>
        <w:spacing w:after="0" w:line="212" w:lineRule="exact"/>
        <w:rPr>
          <w:rFonts w:ascii="Arial" w:cs="Arial" w:eastAsia="Arial" w:hAnsi="Arial"/>
          <w:sz w:val="20"/>
          <w:szCs w:val="20"/>
          <w:color w:val="auto"/>
        </w:rPr>
      </w:pPr>
    </w:p>
    <w:p>
      <w:pPr>
        <w:ind w:left="1380" w:right="480" w:hanging="366"/>
        <w:spacing w:after="0" w:line="261" w:lineRule="auto"/>
        <w:tabs>
          <w:tab w:leader="none" w:pos="1380" w:val="left"/>
        </w:tabs>
        <w:numPr>
          <w:ilvl w:val="1"/>
          <w:numId w:val="117"/>
        </w:numPr>
        <w:rPr>
          <w:rFonts w:ascii="Arial" w:cs="Arial" w:eastAsia="Arial" w:hAnsi="Arial"/>
          <w:sz w:val="20"/>
          <w:szCs w:val="20"/>
          <w:color w:val="auto"/>
        </w:rPr>
      </w:pPr>
      <w:r>
        <w:rPr>
          <w:rFonts w:ascii="Arial" w:cs="Arial" w:eastAsia="Arial" w:hAnsi="Arial"/>
          <w:sz w:val="20"/>
          <w:szCs w:val="20"/>
          <w:color w:val="auto"/>
        </w:rPr>
        <w:t>“Subsidiary” shall mean any corporation in which a majority of the capital stock entitled to vote generally in the election of directors is owned, directly or indirectly, by the Corporation.</w:t>
      </w:r>
    </w:p>
    <w:p>
      <w:pPr>
        <w:spacing w:after="0" w:line="201" w:lineRule="exact"/>
        <w:rPr>
          <w:rFonts w:ascii="Arial" w:cs="Arial" w:eastAsia="Arial" w:hAnsi="Arial"/>
          <w:sz w:val="20"/>
          <w:szCs w:val="20"/>
          <w:color w:val="auto"/>
        </w:rPr>
      </w:pPr>
    </w:p>
    <w:p>
      <w:pPr>
        <w:ind w:left="1380" w:right="140" w:hanging="366"/>
        <w:spacing w:after="0" w:line="261" w:lineRule="auto"/>
        <w:tabs>
          <w:tab w:leader="none" w:pos="1380" w:val="left"/>
        </w:tabs>
        <w:numPr>
          <w:ilvl w:val="1"/>
          <w:numId w:val="117"/>
        </w:numPr>
        <w:rPr>
          <w:rFonts w:ascii="Arial" w:cs="Arial" w:eastAsia="Arial" w:hAnsi="Arial"/>
          <w:sz w:val="20"/>
          <w:szCs w:val="20"/>
          <w:color w:val="auto"/>
        </w:rPr>
      </w:pPr>
      <w:r>
        <w:rPr>
          <w:rFonts w:ascii="Arial" w:cs="Arial" w:eastAsia="Arial" w:hAnsi="Arial"/>
          <w:sz w:val="20"/>
          <w:szCs w:val="20"/>
          <w:color w:val="auto"/>
        </w:rPr>
        <w:t>“Voting Stock” shall mean all of the then outstanding shares of the capital stock of the Corporation entitled to vote generally in the election of directors.</w:t>
      </w:r>
    </w:p>
    <w:p>
      <w:pPr>
        <w:spacing w:after="0" w:line="201" w:lineRule="exact"/>
        <w:rPr>
          <w:rFonts w:ascii="Arial" w:cs="Arial" w:eastAsia="Arial" w:hAnsi="Arial"/>
          <w:sz w:val="20"/>
          <w:szCs w:val="20"/>
          <w:color w:val="auto"/>
        </w:rPr>
      </w:pPr>
    </w:p>
    <w:p>
      <w:pPr>
        <w:ind w:left="660" w:right="260" w:hanging="6"/>
        <w:spacing w:after="0" w:line="256" w:lineRule="auto"/>
        <w:tabs>
          <w:tab w:leader="none" w:pos="1095" w:val="left"/>
        </w:tabs>
        <w:numPr>
          <w:ilvl w:val="0"/>
          <w:numId w:val="118"/>
        </w:numPr>
        <w:rPr>
          <w:rFonts w:ascii="Arial" w:cs="Arial" w:eastAsia="Arial" w:hAnsi="Arial"/>
          <w:sz w:val="20"/>
          <w:szCs w:val="20"/>
          <w:color w:val="auto"/>
        </w:rPr>
      </w:pPr>
      <w:r>
        <w:rPr>
          <w:rFonts w:ascii="Arial" w:cs="Arial" w:eastAsia="Arial" w:hAnsi="Arial"/>
          <w:sz w:val="20"/>
          <w:szCs w:val="20"/>
          <w:color w:val="auto"/>
        </w:rPr>
        <w:t xml:space="preserve">In addition to the affirmative vote otherwise required by law or any provision of this Certificate of Incorporation (including without limitation Article Eleventh), except as otherwise provided in paragraph 3, any Business Combination shall require the affirmative vote of the holders of </w:t>
      </w:r>
      <w:r>
        <w:rPr>
          <w:rFonts w:ascii="Arial" w:cs="Arial" w:eastAsia="Arial" w:hAnsi="Arial"/>
          <w:sz w:val="20"/>
          <w:szCs w:val="20"/>
          <w:color w:val="auto"/>
          <w:strike w:val="1"/>
        </w:rPr>
        <w:t>90%</w:t>
      </w:r>
      <w:r>
        <w:rPr>
          <w:rFonts w:ascii="Arial" w:cs="Arial" w:eastAsia="Arial" w:hAnsi="Arial"/>
          <w:sz w:val="20"/>
          <w:szCs w:val="20"/>
          <w:u w:val="single" w:color="auto"/>
          <w:color w:val="auto"/>
        </w:rPr>
        <w:t>at least a majority</w:t>
      </w:r>
      <w:r>
        <w:rPr>
          <w:rFonts w:ascii="Arial" w:cs="Arial" w:eastAsia="Arial" w:hAnsi="Arial"/>
          <w:sz w:val="20"/>
          <w:szCs w:val="20"/>
          <w:color w:val="auto"/>
        </w:rPr>
        <w:t xml:space="preserve"> of all Voting Stock, voting together as a single class.</w:t>
      </w:r>
    </w:p>
    <w:p>
      <w:pPr>
        <w:spacing w:after="0" w:line="207" w:lineRule="exact"/>
        <w:rPr>
          <w:sz w:val="20"/>
          <w:szCs w:val="20"/>
          <w:color w:val="auto"/>
        </w:rPr>
      </w:pPr>
    </w:p>
    <w:p>
      <w:pPr>
        <w:ind w:left="660" w:right="60"/>
        <w:spacing w:after="0" w:line="255" w:lineRule="auto"/>
        <w:rPr>
          <w:sz w:val="20"/>
          <w:szCs w:val="20"/>
          <w:color w:val="auto"/>
        </w:rPr>
      </w:pPr>
      <w:r>
        <w:rPr>
          <w:rFonts w:ascii="Arial" w:cs="Arial" w:eastAsia="Arial" w:hAnsi="Arial"/>
          <w:sz w:val="20"/>
          <w:szCs w:val="20"/>
          <w:color w:val="auto"/>
        </w:rPr>
        <w:t>Such affirmative vote shall be required notwithstanding any other provision of this Certificate of Incorporation or any provision of law or of any agreement with any national securities exchange which might otherwise permit a lesser vote or no vote, and such affirmative vote shall be required in addition to any affirmative vote of the holders of any particular class or series of the Voting Stock required by law or by this Certificate of Incorporation.</w:t>
      </w:r>
    </w:p>
    <w:p>
      <w:pPr>
        <w:spacing w:after="0" w:line="209" w:lineRule="exact"/>
        <w:rPr>
          <w:sz w:val="20"/>
          <w:szCs w:val="20"/>
          <w:color w:val="auto"/>
        </w:rPr>
      </w:pPr>
    </w:p>
    <w:p>
      <w:pPr>
        <w:ind w:left="660" w:right="40" w:hanging="6"/>
        <w:spacing w:after="0" w:line="254" w:lineRule="auto"/>
        <w:tabs>
          <w:tab w:leader="none" w:pos="1095" w:val="left"/>
        </w:tabs>
        <w:numPr>
          <w:ilvl w:val="0"/>
          <w:numId w:val="119"/>
        </w:numPr>
        <w:rPr>
          <w:rFonts w:ascii="Arial" w:cs="Arial" w:eastAsia="Arial" w:hAnsi="Arial"/>
          <w:sz w:val="20"/>
          <w:szCs w:val="20"/>
          <w:color w:val="auto"/>
        </w:rPr>
      </w:pPr>
      <w:r>
        <w:rPr>
          <w:rFonts w:ascii="Arial" w:cs="Arial" w:eastAsia="Arial" w:hAnsi="Arial"/>
          <w:sz w:val="20"/>
          <w:szCs w:val="20"/>
          <w:color w:val="auto"/>
        </w:rPr>
        <w:t>The provisions of paragraph 2 of this Article Twelfth shall not be applicable to any particular Business Combination, and such Business Combination shall require only such affirmative vote as is required by law, any other provision of this Certificate of Incorporation (including Article Eleventh), or any agreement with any national securities exchange, if, in the case of a Business Combination that does not involve any Consideration Received by the stockholders of the Corporation, solely in their respective capacities as stockholders of the Corporation, the condition specified in the following paragraph A is met, or, in the case of any other Business Combination, the conditions specified in either of the following paragraphs A and B are met:</w:t>
      </w:r>
    </w:p>
    <w:p>
      <w:pPr>
        <w:spacing w:after="0" w:line="212" w:lineRule="exact"/>
        <w:rPr>
          <w:rFonts w:ascii="Arial" w:cs="Arial" w:eastAsia="Arial" w:hAnsi="Arial"/>
          <w:sz w:val="20"/>
          <w:szCs w:val="20"/>
          <w:color w:val="auto"/>
        </w:rPr>
      </w:pPr>
    </w:p>
    <w:p>
      <w:pPr>
        <w:ind w:left="1380" w:right="80" w:hanging="366"/>
        <w:spacing w:after="0" w:line="257" w:lineRule="auto"/>
        <w:tabs>
          <w:tab w:leader="none" w:pos="1380" w:val="left"/>
        </w:tabs>
        <w:numPr>
          <w:ilvl w:val="1"/>
          <w:numId w:val="119"/>
        </w:numPr>
        <w:rPr>
          <w:rFonts w:ascii="Arial" w:cs="Arial" w:eastAsia="Arial" w:hAnsi="Arial"/>
          <w:sz w:val="20"/>
          <w:szCs w:val="20"/>
          <w:color w:val="auto"/>
        </w:rPr>
      </w:pPr>
      <w:r>
        <w:rPr>
          <w:rFonts w:ascii="Arial" w:cs="Arial" w:eastAsia="Arial" w:hAnsi="Arial"/>
          <w:sz w:val="20"/>
          <w:szCs w:val="20"/>
          <w:color w:val="auto"/>
        </w:rPr>
        <w:t>The Business Combination shall have been approved by a majority of the Continuing Directors, it being understood that this condition shall not be capable of satisfaction unless there is at least one Continuing Director.</w:t>
      </w:r>
    </w:p>
    <w:p>
      <w:pPr>
        <w:spacing w:after="0" w:line="206" w:lineRule="exact"/>
        <w:rPr>
          <w:rFonts w:ascii="Arial" w:cs="Arial" w:eastAsia="Arial" w:hAnsi="Arial"/>
          <w:sz w:val="20"/>
          <w:szCs w:val="20"/>
          <w:color w:val="auto"/>
        </w:rPr>
      </w:pPr>
    </w:p>
    <w:p>
      <w:pPr>
        <w:ind w:left="1380" w:hanging="366"/>
        <w:spacing w:after="0"/>
        <w:tabs>
          <w:tab w:leader="none" w:pos="1380" w:val="left"/>
        </w:tabs>
        <w:numPr>
          <w:ilvl w:val="1"/>
          <w:numId w:val="119"/>
        </w:numPr>
        <w:rPr>
          <w:rFonts w:ascii="Arial" w:cs="Arial" w:eastAsia="Arial" w:hAnsi="Arial"/>
          <w:sz w:val="20"/>
          <w:szCs w:val="20"/>
          <w:color w:val="auto"/>
        </w:rPr>
      </w:pPr>
      <w:r>
        <w:rPr>
          <w:rFonts w:ascii="Arial" w:cs="Arial" w:eastAsia="Arial" w:hAnsi="Arial"/>
          <w:sz w:val="20"/>
          <w:szCs w:val="20"/>
          <w:color w:val="auto"/>
        </w:rPr>
        <w:t>All of the following conditions shall have been met:</w:t>
      </w:r>
    </w:p>
    <w:p>
      <w:pPr>
        <w:spacing w:after="0" w:line="229" w:lineRule="exact"/>
        <w:rPr>
          <w:rFonts w:ascii="Arial" w:cs="Arial" w:eastAsia="Arial" w:hAnsi="Arial"/>
          <w:sz w:val="20"/>
          <w:szCs w:val="20"/>
          <w:color w:val="auto"/>
        </w:rPr>
      </w:pPr>
    </w:p>
    <w:p>
      <w:pPr>
        <w:ind w:left="1740" w:right="160" w:hanging="366"/>
        <w:spacing w:after="0" w:line="277" w:lineRule="auto"/>
        <w:tabs>
          <w:tab w:leader="none" w:pos="1740" w:val="left"/>
        </w:tabs>
        <w:numPr>
          <w:ilvl w:val="2"/>
          <w:numId w:val="119"/>
        </w:numPr>
        <w:rPr>
          <w:rFonts w:ascii="Arial" w:cs="Arial" w:eastAsia="Arial" w:hAnsi="Arial"/>
          <w:sz w:val="19"/>
          <w:szCs w:val="19"/>
          <w:color w:val="auto"/>
        </w:rPr>
      </w:pPr>
      <w:r>
        <w:rPr>
          <w:rFonts w:ascii="Arial" w:cs="Arial" w:eastAsia="Arial" w:hAnsi="Arial"/>
          <w:sz w:val="19"/>
          <w:szCs w:val="19"/>
          <w:color w:val="auto"/>
        </w:rPr>
        <w:t>The form of the Consideration Received by holders of shares of a particular class of outstanding Voting Stock shall be in cash or in the same form as the Related Person has paid for shares of such class of Voting Stock within the two-year period ending on and including</w:t>
      </w:r>
    </w:p>
    <w:p>
      <w:pPr>
        <w:spacing w:after="0" w:line="293" w:lineRule="exact"/>
        <w:rPr>
          <w:sz w:val="20"/>
          <w:szCs w:val="20"/>
          <w:color w:val="auto"/>
        </w:rPr>
      </w:pPr>
    </w:p>
    <w:p>
      <w:pPr>
        <w:ind w:left="660"/>
        <w:spacing w:after="0"/>
        <w:tabs>
          <w:tab w:leader="none" w:pos="4709" w:val="left"/>
        </w:tabs>
        <w:rPr>
          <w:sz w:val="20"/>
          <w:szCs w:val="20"/>
          <w:color w:val="auto"/>
        </w:rPr>
      </w:pPr>
      <w:r>
        <w:rPr>
          <w:rFonts w:ascii="Arial" w:cs="Arial" w:eastAsia="Arial" w:hAnsi="Arial"/>
          <w:sz w:val="16"/>
          <w:szCs w:val="16"/>
          <w:color w:val="auto"/>
        </w:rPr>
        <w:t>80</w:t>
      </w:r>
      <w:r>
        <w:rPr>
          <w:sz w:val="20"/>
          <w:szCs w:val="20"/>
          <w:color w:val="auto"/>
        </w:rPr>
        <w:tab/>
      </w:r>
      <w:r>
        <w:rPr>
          <w:sz w:val="1"/>
          <w:szCs w:val="1"/>
          <w:color w:val="auto"/>
        </w:rPr>
        <w:drawing>
          <wp:inline distT="0" distB="0" distL="0" distR="0">
            <wp:extent cx="779780" cy="257175"/>
            <wp:effectExtent l="0" t="0" r="0" b="0"/>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116205</wp:posOffset>
            </wp:positionV>
            <wp:extent cx="6831965"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131" w:right="1259" w:bottom="1440" w:gutter="0" w:footer="0" w:header="0"/>
        </w:sectPr>
      </w:pPr>
    </w:p>
    <w:bookmarkStart w:id="85" w:name="page86"/>
    <w:bookmarkEnd w:id="8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399" w:lineRule="exact"/>
        <w:rPr>
          <w:sz w:val="20"/>
          <w:szCs w:val="20"/>
          <w:color w:val="auto"/>
        </w:rPr>
      </w:pPr>
    </w:p>
    <w:p>
      <w:pPr>
        <w:ind w:left="1740" w:right="680"/>
        <w:spacing w:after="0" w:line="241" w:lineRule="auto"/>
        <w:rPr>
          <w:sz w:val="20"/>
          <w:szCs w:val="20"/>
          <w:color w:val="auto"/>
        </w:rPr>
      </w:pPr>
      <w:r>
        <w:rPr>
          <w:rFonts w:ascii="Arial" w:cs="Arial" w:eastAsia="Arial" w:hAnsi="Arial"/>
          <w:sz w:val="20"/>
          <w:szCs w:val="20"/>
          <w:color w:val="auto"/>
        </w:rPr>
        <w:t>the Determination Date. If, within such two-year period, the Related Person has paid for shares of any class of Voting Stock with varying forms of consideration, the form of Consideration Received per share by holders of shares of such class of Voting Stock shall be either cash or the form used to acquire the largest number of shares of such class of Voting Stock acquired by the Related Person within such two-year period.</w:t>
      </w:r>
    </w:p>
    <w:p>
      <w:pPr>
        <w:spacing w:after="0" w:line="222" w:lineRule="exact"/>
        <w:rPr>
          <w:sz w:val="20"/>
          <w:szCs w:val="20"/>
          <w:color w:val="auto"/>
        </w:rPr>
      </w:pPr>
    </w:p>
    <w:p>
      <w:pPr>
        <w:ind w:left="1740" w:right="720" w:hanging="366"/>
        <w:spacing w:after="0" w:line="255" w:lineRule="auto"/>
        <w:tabs>
          <w:tab w:leader="none" w:pos="1740" w:val="left"/>
        </w:tabs>
        <w:numPr>
          <w:ilvl w:val="0"/>
          <w:numId w:val="120"/>
        </w:numPr>
        <w:rPr>
          <w:rFonts w:ascii="Arial" w:cs="Arial" w:eastAsia="Arial" w:hAnsi="Arial"/>
          <w:sz w:val="20"/>
          <w:szCs w:val="20"/>
          <w:color w:val="auto"/>
        </w:rPr>
      </w:pPr>
      <w:r>
        <w:rPr>
          <w:rFonts w:ascii="Arial" w:cs="Arial" w:eastAsia="Arial" w:hAnsi="Arial"/>
          <w:sz w:val="20"/>
          <w:szCs w:val="20"/>
          <w:color w:val="auto"/>
        </w:rPr>
        <w:t>The aggregate amount of Consideration Received per share by holders of each class of Voting Stock in such Business Combination shall be at least equal to the higher of the following (it being intended that the requirements of this paragraph B(ii) shall be required to be met with respect to every such class of Voting Stock outstanding, whether or not the Related Person has previously acquired any shares of that particular class of Voting Stock):</w:t>
      </w:r>
    </w:p>
    <w:p>
      <w:pPr>
        <w:spacing w:after="0" w:line="195" w:lineRule="exact"/>
        <w:rPr>
          <w:rFonts w:ascii="Arial" w:cs="Arial" w:eastAsia="Arial" w:hAnsi="Arial"/>
          <w:sz w:val="20"/>
          <w:szCs w:val="20"/>
          <w:color w:val="auto"/>
        </w:rPr>
      </w:pPr>
    </w:p>
    <w:p>
      <w:pPr>
        <w:ind w:left="2100" w:right="760" w:hanging="366"/>
        <w:spacing w:after="0" w:line="255" w:lineRule="auto"/>
        <w:tabs>
          <w:tab w:leader="none" w:pos="2100" w:val="left"/>
        </w:tabs>
        <w:numPr>
          <w:ilvl w:val="1"/>
          <w:numId w:val="120"/>
        </w:numPr>
        <w:rPr>
          <w:rFonts w:ascii="Arial" w:cs="Arial" w:eastAsia="Arial" w:hAnsi="Arial"/>
          <w:sz w:val="20"/>
          <w:szCs w:val="20"/>
          <w:color w:val="auto"/>
        </w:rPr>
      </w:pPr>
      <w:r>
        <w:rPr>
          <w:rFonts w:ascii="Arial" w:cs="Arial" w:eastAsia="Arial" w:hAnsi="Arial"/>
          <w:sz w:val="20"/>
          <w:szCs w:val="20"/>
          <w:color w:val="auto"/>
        </w:rPr>
        <w:t>(if applicable) the highest per share price (including any brokerage commissions, transfer taxes and soliciting dealers’ fees) paid by the Related Person for any shares of that class of Voting Stock acquired by it within the two-year period immediately prior to the Announcement Date or in the transaction in which it became a Related Person, whichever is higher; or</w:t>
      </w:r>
    </w:p>
    <w:p>
      <w:pPr>
        <w:spacing w:after="0" w:line="209" w:lineRule="exact"/>
        <w:rPr>
          <w:rFonts w:ascii="Arial" w:cs="Arial" w:eastAsia="Arial" w:hAnsi="Arial"/>
          <w:sz w:val="20"/>
          <w:szCs w:val="20"/>
          <w:color w:val="auto"/>
        </w:rPr>
      </w:pPr>
    </w:p>
    <w:p>
      <w:pPr>
        <w:ind w:left="2100" w:right="760" w:hanging="366"/>
        <w:spacing w:after="0" w:line="273" w:lineRule="auto"/>
        <w:tabs>
          <w:tab w:leader="none" w:pos="2100" w:val="left"/>
        </w:tabs>
        <w:numPr>
          <w:ilvl w:val="1"/>
          <w:numId w:val="120"/>
        </w:numPr>
        <w:rPr>
          <w:rFonts w:ascii="Arial" w:cs="Arial" w:eastAsia="Arial" w:hAnsi="Arial"/>
          <w:sz w:val="19"/>
          <w:szCs w:val="19"/>
          <w:color w:val="auto"/>
        </w:rPr>
      </w:pPr>
      <w:r>
        <w:rPr>
          <w:rFonts w:ascii="Arial" w:cs="Arial" w:eastAsia="Arial" w:hAnsi="Arial"/>
          <w:sz w:val="19"/>
          <w:szCs w:val="19"/>
          <w:color w:val="auto"/>
        </w:rPr>
        <w:t>the Fair Market Value per share of such class of Voting Stock on the Announcement Date; or in the case of any class of preferred stock, the highest preferential amount per share to which the holders of shares of such class of Voting Stock are entitled in the event of any voluntary or involuntary liquidation, dissolution or winding up of the Corporation.</w:t>
      </w:r>
    </w:p>
    <w:p>
      <w:pPr>
        <w:spacing w:after="0" w:line="194" w:lineRule="exact"/>
        <w:rPr>
          <w:sz w:val="20"/>
          <w:szCs w:val="20"/>
          <w:color w:val="auto"/>
        </w:rPr>
      </w:pPr>
    </w:p>
    <w:p>
      <w:pPr>
        <w:ind w:left="1740" w:right="700" w:hanging="366"/>
        <w:spacing w:after="0" w:line="254" w:lineRule="auto"/>
        <w:tabs>
          <w:tab w:leader="none" w:pos="1740" w:val="left"/>
        </w:tabs>
        <w:numPr>
          <w:ilvl w:val="0"/>
          <w:numId w:val="121"/>
        </w:numPr>
        <w:rPr>
          <w:rFonts w:ascii="Arial" w:cs="Arial" w:eastAsia="Arial" w:hAnsi="Arial"/>
          <w:sz w:val="20"/>
          <w:szCs w:val="20"/>
          <w:color w:val="auto"/>
        </w:rPr>
      </w:pPr>
      <w:r>
        <w:rPr>
          <w:rFonts w:ascii="Arial" w:cs="Arial" w:eastAsia="Arial" w:hAnsi="Arial"/>
          <w:sz w:val="20"/>
          <w:szCs w:val="20"/>
          <w:color w:val="auto"/>
        </w:rPr>
        <w:t>After such Related Person has become a Related Person and prior to the consummation of such Business Combination: (a) except as approved by a majority of the Continuing Directors, there shall have been no failure to declare and pay at the regular date therefor any full quarterly dividends (whether or not cumulative) on any outstanding preferred stock; (b) there shall have been (I) no reduction in the annual rate of dividends paid on the Common Stock (except as necessary to reflect any subdivision of the Common Stock), except as approved by a majority of the Continuing Directors, and (II) an increase in such annual rate of dividends as necessary to reflect any reclassification (including any reverse stock split), recapitalization, reorganization or any similar transaction which has the effect of reducing the number of outstanding shares of the Common Stock, unless the failure so to increase such annual rate is approved by a majority of the Continuing Directors; and (c) such Related Person shall have not become the beneficial owner of any newly issued share of Voting Stock directly or indirectly from the Corporation except as part of the transaction which results in such Related Person becoming a Related Person.</w:t>
      </w:r>
    </w:p>
    <w:p>
      <w:pPr>
        <w:spacing w:after="0" w:line="210" w:lineRule="exact"/>
        <w:rPr>
          <w:rFonts w:ascii="Arial" w:cs="Arial" w:eastAsia="Arial" w:hAnsi="Arial"/>
          <w:sz w:val="20"/>
          <w:szCs w:val="20"/>
          <w:color w:val="auto"/>
        </w:rPr>
      </w:pPr>
    </w:p>
    <w:p>
      <w:pPr>
        <w:ind w:left="1740" w:right="680" w:hanging="366"/>
        <w:spacing w:after="0" w:line="255" w:lineRule="auto"/>
        <w:tabs>
          <w:tab w:leader="none" w:pos="1740" w:val="left"/>
        </w:tabs>
        <w:numPr>
          <w:ilvl w:val="0"/>
          <w:numId w:val="121"/>
        </w:numPr>
        <w:rPr>
          <w:rFonts w:ascii="Arial" w:cs="Arial" w:eastAsia="Arial" w:hAnsi="Arial"/>
          <w:sz w:val="20"/>
          <w:szCs w:val="20"/>
          <w:color w:val="auto"/>
        </w:rPr>
      </w:pPr>
      <w:r>
        <w:rPr>
          <w:rFonts w:ascii="Arial" w:cs="Arial" w:eastAsia="Arial" w:hAnsi="Arial"/>
          <w:sz w:val="20"/>
          <w:szCs w:val="20"/>
          <w:color w:val="auto"/>
        </w:rPr>
        <w:t>After such Related Person has become a Related Person, such Related Person shall not have received the benefit, directly or indirectly (except proportionately, solely in such Related Person’s capacity as a stockholder of the Corporation), of any loans, advances, guarantees, pledges or other financial assistance or any tax credits or other tax advantages provided by the Corporation, whether in anticipation of or in connection with such Business Combination or otherwise.</w:t>
      </w:r>
    </w:p>
    <w:p>
      <w:pPr>
        <w:spacing w:after="0" w:line="207" w:lineRule="exact"/>
        <w:rPr>
          <w:rFonts w:ascii="Arial" w:cs="Arial" w:eastAsia="Arial" w:hAnsi="Arial"/>
          <w:sz w:val="20"/>
          <w:szCs w:val="20"/>
          <w:color w:val="auto"/>
        </w:rPr>
      </w:pPr>
    </w:p>
    <w:p>
      <w:pPr>
        <w:ind w:left="1740" w:right="700" w:hanging="366"/>
        <w:spacing w:after="0" w:line="255" w:lineRule="auto"/>
        <w:tabs>
          <w:tab w:leader="none" w:pos="1740" w:val="left"/>
        </w:tabs>
        <w:numPr>
          <w:ilvl w:val="0"/>
          <w:numId w:val="121"/>
        </w:numPr>
        <w:rPr>
          <w:rFonts w:ascii="Arial" w:cs="Arial" w:eastAsia="Arial" w:hAnsi="Arial"/>
          <w:sz w:val="20"/>
          <w:szCs w:val="20"/>
          <w:color w:val="auto"/>
        </w:rPr>
      </w:pPr>
      <w:r>
        <w:rPr>
          <w:rFonts w:ascii="Arial" w:cs="Arial" w:eastAsia="Arial" w:hAnsi="Arial"/>
          <w:sz w:val="20"/>
          <w:szCs w:val="20"/>
          <w:color w:val="auto"/>
        </w:rPr>
        <w:t>A proxy or information statement describing the proposed Business Combination and complying with the requirements of the Exchange Act and the rules and regulations thereunder (or any subsequent provisions replacing such act, rules or regulations) shall be mailed to all stockholders of the Corporation at least 30 days prior to the consummation of such Business Combination (whether or not such proxy or information statement is required to be mailed pursuant to the Exchange Act or subsequent provisions). Such proxy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3011805</wp:posOffset>
            </wp:positionH>
            <wp:positionV relativeFrom="paragraph">
              <wp:posOffset>228600</wp:posOffset>
            </wp:positionV>
            <wp:extent cx="779780" cy="25717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79780" cy="257175"/>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80" w:type="dxa"/>
            <w:vAlign w:val="bottom"/>
          </w:tcPr>
          <w:p>
            <w:pPr>
              <w:ind w:left="660"/>
              <w:spacing w:after="0"/>
              <w:rPr>
                <w:sz w:val="20"/>
                <w:szCs w:val="20"/>
                <w:color w:val="auto"/>
              </w:rPr>
            </w:pPr>
            <w:r>
              <w:rPr>
                <w:rFonts w:ascii="Arial" w:cs="Arial" w:eastAsia="Arial" w:hAnsi="Arial"/>
                <w:sz w:val="16"/>
                <w:szCs w:val="16"/>
                <w:color w:val="auto"/>
              </w:rPr>
              <w:t>Appendix A</w:t>
            </w:r>
          </w:p>
        </w:tc>
        <w:tc>
          <w:tcPr>
            <w:tcW w:w="5040" w:type="dxa"/>
            <w:vAlign w:val="bottom"/>
          </w:tcPr>
          <w:p>
            <w:pPr>
              <w:jc w:val="right"/>
              <w:ind w:right="579"/>
              <w:spacing w:after="0"/>
              <w:rPr>
                <w:sz w:val="20"/>
                <w:szCs w:val="20"/>
                <w:color w:val="auto"/>
              </w:rPr>
            </w:pPr>
            <w:r>
              <w:rPr>
                <w:rFonts w:ascii="Arial" w:cs="Arial" w:eastAsia="Arial" w:hAnsi="Arial"/>
                <w:sz w:val="16"/>
                <w:szCs w:val="16"/>
                <w:color w:val="auto"/>
              </w:rPr>
              <w:t>81</w:t>
            </w:r>
          </w:p>
        </w:tc>
      </w:tr>
      <w:tr>
        <w:trPr>
          <w:trHeight w:val="297"/>
        </w:trPr>
        <w:tc>
          <w:tcPr>
            <w:tcW w:w="5680" w:type="dxa"/>
            <w:vAlign w:val="bottom"/>
            <w:tcBorders>
              <w:bottom w:val="single" w:sz="8" w:color="9A9A9A"/>
            </w:tcBorders>
          </w:tcPr>
          <w:p>
            <w:pPr>
              <w:spacing w:after="0"/>
              <w:rPr>
                <w:sz w:val="24"/>
                <w:szCs w:val="24"/>
                <w:color w:val="auto"/>
              </w:rPr>
            </w:pPr>
          </w:p>
        </w:tc>
        <w:tc>
          <w:tcPr>
            <w:tcW w:w="5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86" w:name="page87"/>
    <w:bookmarkEnd w:id="8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740" w:right="140"/>
        <w:spacing w:after="0" w:line="277" w:lineRule="auto"/>
        <w:rPr>
          <w:sz w:val="20"/>
          <w:szCs w:val="20"/>
          <w:color w:val="auto"/>
        </w:rPr>
      </w:pPr>
      <w:r>
        <w:rPr>
          <w:rFonts w:ascii="Arial" w:cs="Arial" w:eastAsia="Arial" w:hAnsi="Arial"/>
          <w:sz w:val="19"/>
          <w:szCs w:val="19"/>
          <w:color w:val="auto"/>
        </w:rPr>
        <w:t>information statement shall contain on the front thereof, prominently displayed, any recommendation as to the advisability or inadvisability of the Business Combination which the Continuing Directors, or any of them, may have furnished in writing to the Board of Directors.</w:t>
      </w:r>
    </w:p>
    <w:p>
      <w:pPr>
        <w:spacing w:after="0" w:line="188" w:lineRule="exact"/>
        <w:rPr>
          <w:sz w:val="20"/>
          <w:szCs w:val="20"/>
          <w:color w:val="auto"/>
        </w:rPr>
      </w:pPr>
    </w:p>
    <w:p>
      <w:pPr>
        <w:ind w:left="660" w:right="200" w:hanging="6"/>
        <w:spacing w:after="0" w:line="266" w:lineRule="auto"/>
        <w:tabs>
          <w:tab w:leader="none" w:pos="1095" w:val="left"/>
        </w:tabs>
        <w:numPr>
          <w:ilvl w:val="0"/>
          <w:numId w:val="122"/>
        </w:numPr>
        <w:rPr>
          <w:rFonts w:ascii="Arial" w:cs="Arial" w:eastAsia="Arial" w:hAnsi="Arial"/>
          <w:sz w:val="19"/>
          <w:szCs w:val="19"/>
          <w:color w:val="auto"/>
        </w:rPr>
      </w:pPr>
      <w:r>
        <w:rPr>
          <w:rFonts w:ascii="Arial" w:cs="Arial" w:eastAsia="Arial" w:hAnsi="Arial"/>
          <w:sz w:val="19"/>
          <w:szCs w:val="19"/>
          <w:color w:val="auto"/>
        </w:rPr>
        <w:t>A majority of the total number of authorized directors (whether or not there exist any vacancies in previously authorized directorships at the time any determination is to be made by the Board of Directors) shall have the power and duty to determine, on the basis of information known to them after reasonable inquiry, all facts necessary to determine compliance with this Article Twelfth including, without limitation,</w:t>
      </w:r>
    </w:p>
    <w:p>
      <w:pPr>
        <w:spacing w:after="0" w:line="3" w:lineRule="exact"/>
        <w:rPr>
          <w:rFonts w:ascii="Arial" w:cs="Arial" w:eastAsia="Arial" w:hAnsi="Arial"/>
          <w:sz w:val="19"/>
          <w:szCs w:val="19"/>
          <w:color w:val="auto"/>
        </w:rPr>
      </w:pPr>
    </w:p>
    <w:p>
      <w:pPr>
        <w:ind w:left="660" w:right="220"/>
        <w:spacing w:after="0" w:line="255" w:lineRule="auto"/>
        <w:rPr>
          <w:rFonts w:ascii="Arial" w:cs="Arial" w:eastAsia="Arial" w:hAnsi="Arial"/>
          <w:sz w:val="19"/>
          <w:szCs w:val="19"/>
          <w:color w:val="auto"/>
        </w:rPr>
      </w:pPr>
      <w:r>
        <w:rPr>
          <w:rFonts w:ascii="Arial" w:cs="Arial" w:eastAsia="Arial" w:hAnsi="Arial"/>
          <w:sz w:val="20"/>
          <w:szCs w:val="20"/>
          <w:color w:val="auto"/>
        </w:rPr>
        <w:t>(1) whether a person is a Related Person, (2) the number of shares of Voting Stock beneficially owned by any person, (3) whether the applicable conditions set forth in paragraph (2) of Section C have been met with respect to any Business Combination, and (4) whether the assets which are the subject of any Business Combination or the Consideration Received for the issuance or transfer of securities by the Corporation or any Subsidiary in any Business Combination have an aggregate Fair Market Value of $500,000 or more.</w:t>
      </w:r>
    </w:p>
    <w:p>
      <w:pPr>
        <w:spacing w:after="0" w:line="207" w:lineRule="exact"/>
        <w:rPr>
          <w:rFonts w:ascii="Arial" w:cs="Arial" w:eastAsia="Arial" w:hAnsi="Arial"/>
          <w:sz w:val="19"/>
          <w:szCs w:val="19"/>
          <w:color w:val="auto"/>
        </w:rPr>
      </w:pPr>
    </w:p>
    <w:p>
      <w:pPr>
        <w:ind w:left="660" w:right="380" w:hanging="6"/>
        <w:spacing w:after="0" w:line="261" w:lineRule="auto"/>
        <w:tabs>
          <w:tab w:leader="none" w:pos="1095" w:val="left"/>
        </w:tabs>
        <w:numPr>
          <w:ilvl w:val="0"/>
          <w:numId w:val="122"/>
        </w:numPr>
        <w:rPr>
          <w:rFonts w:ascii="Arial" w:cs="Arial" w:eastAsia="Arial" w:hAnsi="Arial"/>
          <w:sz w:val="20"/>
          <w:szCs w:val="20"/>
          <w:color w:val="auto"/>
        </w:rPr>
      </w:pPr>
      <w:r>
        <w:rPr>
          <w:rFonts w:ascii="Arial" w:cs="Arial" w:eastAsia="Arial" w:hAnsi="Arial"/>
          <w:sz w:val="20"/>
          <w:szCs w:val="20"/>
          <w:color w:val="auto"/>
        </w:rPr>
        <w:t>Nothing contained in this Article Twelfth shall be construed to relieve any Related Person from any fiduciary obligation imposed by law.</w:t>
      </w:r>
    </w:p>
    <w:p>
      <w:pPr>
        <w:spacing w:after="0" w:line="178" w:lineRule="exact"/>
        <w:rPr>
          <w:sz w:val="20"/>
          <w:szCs w:val="20"/>
          <w:color w:val="auto"/>
        </w:rPr>
      </w:pPr>
    </w:p>
    <w:p>
      <w:pPr>
        <w:jc w:val="both"/>
        <w:ind w:left="660" w:right="160"/>
        <w:spacing w:after="0" w:line="269" w:lineRule="auto"/>
        <w:rPr>
          <w:sz w:val="20"/>
          <w:szCs w:val="20"/>
          <w:color w:val="auto"/>
        </w:rPr>
      </w:pPr>
      <w:r>
        <w:rPr>
          <w:rFonts w:ascii="Arial" w:cs="Arial" w:eastAsia="Arial" w:hAnsi="Arial"/>
          <w:sz w:val="20"/>
          <w:szCs w:val="20"/>
          <w:b w:val="1"/>
          <w:bCs w:val="1"/>
          <w:color w:val="191919"/>
        </w:rPr>
        <w:t xml:space="preserve">THIRTEENTH: </w:t>
      </w:r>
      <w:r>
        <w:rPr>
          <w:rFonts w:ascii="Arial" w:cs="Arial" w:eastAsia="Arial" w:hAnsi="Arial"/>
          <w:sz w:val="20"/>
          <w:szCs w:val="20"/>
          <w:color w:val="191919"/>
        </w:rPr>
        <w:t>Any action required or permitted to be taken by the stockholders of the Corporation must</w:t>
      </w:r>
      <w:r>
        <w:rPr>
          <w:rFonts w:ascii="Arial" w:cs="Arial" w:eastAsia="Arial" w:hAnsi="Arial"/>
          <w:sz w:val="20"/>
          <w:szCs w:val="20"/>
          <w:b w:val="1"/>
          <w:bCs w:val="1"/>
          <w:color w:val="191919"/>
        </w:rPr>
        <w:t xml:space="preserve"> </w:t>
      </w:r>
      <w:r>
        <w:rPr>
          <w:rFonts w:ascii="Arial" w:cs="Arial" w:eastAsia="Arial" w:hAnsi="Arial"/>
          <w:sz w:val="20"/>
          <w:szCs w:val="20"/>
          <w:color w:val="191919"/>
        </w:rPr>
        <w:t>be effected at an annual or special meeting of stockholders of the Corporation and may not be effected by any consent in writing by such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660"/>
        <w:spacing w:after="0"/>
        <w:tabs>
          <w:tab w:leader="none" w:pos="4709" w:val="left"/>
        </w:tabs>
        <w:rPr>
          <w:sz w:val="20"/>
          <w:szCs w:val="20"/>
          <w:color w:val="auto"/>
        </w:rPr>
      </w:pPr>
      <w:r>
        <w:rPr>
          <w:rFonts w:ascii="Arial" w:cs="Arial" w:eastAsia="Arial" w:hAnsi="Arial"/>
          <w:sz w:val="16"/>
          <w:szCs w:val="16"/>
          <w:color w:val="auto"/>
        </w:rPr>
        <w:t>82</w:t>
      </w:r>
      <w:r>
        <w:rPr>
          <w:sz w:val="20"/>
          <w:szCs w:val="20"/>
          <w:color w:val="auto"/>
        </w:rPr>
        <w:tab/>
      </w:r>
      <w:r>
        <w:rPr>
          <w:sz w:val="1"/>
          <w:szCs w:val="1"/>
          <w:color w:val="auto"/>
        </w:rPr>
        <w:drawing>
          <wp:inline distT="0" distB="0" distL="0" distR="0">
            <wp:extent cx="779780" cy="257175"/>
            <wp:effectExtent l="0" t="0" r="0" b="0"/>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131" w:right="1259" w:bottom="1440" w:gutter="0" w:footer="0" w:header="0"/>
        </w:sectPr>
      </w:pPr>
    </w:p>
    <w:bookmarkStart w:id="87" w:name="page88"/>
    <w:bookmarkEnd w:id="8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57150</wp:posOffset>
            </wp:positionV>
            <wp:extent cx="6480810" cy="41148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480810" cy="411480"/>
                    </a:xfrm>
                    <a:prstGeom prst="rect">
                      <a:avLst/>
                    </a:prstGeom>
                    <a:noFill/>
                  </pic:spPr>
                </pic:pic>
              </a:graphicData>
            </a:graphic>
          </wp:anchor>
        </w:drawing>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25"/>
          <w:szCs w:val="25"/>
          <w:b w:val="1"/>
          <w:bCs w:val="1"/>
          <w:color w:val="FFFFFF"/>
        </w:rPr>
        <w:t>Appendix B:</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60" w:right="860"/>
        <w:spacing w:after="0" w:line="268" w:lineRule="auto"/>
        <w:rPr>
          <w:sz w:val="20"/>
          <w:szCs w:val="20"/>
          <w:color w:val="auto"/>
        </w:rPr>
      </w:pPr>
      <w:r>
        <w:rPr>
          <w:rFonts w:ascii="Arial" w:cs="Arial" w:eastAsia="Arial" w:hAnsi="Arial"/>
          <w:sz w:val="32"/>
          <w:szCs w:val="32"/>
          <w:b w:val="1"/>
          <w:bCs w:val="1"/>
          <w:color w:val="0076A8"/>
        </w:rPr>
        <w:t>UNAUDITED RECONCILIATIONS OF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118110</wp:posOffset>
            </wp:positionV>
            <wp:extent cx="5974715" cy="63436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974715" cy="63436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GAAP 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-142875</wp:posOffset>
            </wp:positionV>
            <wp:extent cx="5974715" cy="15430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974715" cy="154305"/>
                    </a:xfrm>
                    <a:prstGeom prst="rect">
                      <a:avLst/>
                    </a:prstGeom>
                    <a:noFill/>
                  </pic:spPr>
                </pic:pic>
              </a:graphicData>
            </a:graphic>
          </wp:anchor>
        </w:drawing>
      </w:r>
    </w:p>
    <w:p>
      <w:pPr>
        <w:spacing w:after="0" w:line="3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Share-based compensation expense(a)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10795</wp:posOffset>
            </wp:positionV>
            <wp:extent cx="5974715" cy="15430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974715" cy="154305"/>
                    </a:xfrm>
                    <a:prstGeom prst="rect">
                      <a:avLst/>
                    </a:prstGeom>
                    <a:noFill/>
                  </pic:spPr>
                </pic:pic>
              </a:graphicData>
            </a:graphic>
          </wp:anchor>
        </w:drawing>
      </w:r>
    </w:p>
    <w:p>
      <w:pPr>
        <w:spacing w:after="0" w:line="3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Acquisition-related expenses</w:t>
      </w:r>
    </w:p>
    <w:p>
      <w:pPr>
        <w:spacing w:after="0" w:line="5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Amortization of acquisition-related intangibles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10795</wp:posOffset>
            </wp:positionV>
            <wp:extent cx="5974715" cy="15430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974715" cy="154305"/>
                    </a:xfrm>
                    <a:prstGeom prst="rect">
                      <a:avLst/>
                    </a:prstGeom>
                    <a:noFill/>
                  </pic:spPr>
                </pic:pic>
              </a:graphicData>
            </a:graphic>
          </wp:anchor>
        </w:drawing>
      </w:r>
    </w:p>
    <w:p>
      <w:pPr>
        <w:spacing w:after="0" w:line="3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Settlements, gains, losses, and impairments</w:t>
      </w:r>
    </w:p>
    <w:p>
      <w:pPr>
        <w:spacing w:after="0" w:line="5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Restructuring and other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27940</wp:posOffset>
            </wp:positionV>
            <wp:extent cx="5974715" cy="24003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974715" cy="240030"/>
                    </a:xfrm>
                    <a:prstGeom prst="rect">
                      <a:avLst/>
                    </a:prstGeom>
                    <a:noFill/>
                  </pic:spPr>
                </pic:pic>
              </a:graphicData>
            </a:graphic>
          </wp:anchor>
        </w:drawing>
      </w:r>
    </w:p>
    <w:p>
      <w:pPr>
        <w:spacing w:after="0" w:line="154"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Non-GAAP operating income</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6"/>
          <w:szCs w:val="16"/>
          <w:color w:val="auto"/>
        </w:rPr>
        <w:t>GAAP operating margin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10795</wp:posOffset>
            </wp:positionV>
            <wp:extent cx="5974715" cy="15430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5974715" cy="154305"/>
                    </a:xfrm>
                    <a:prstGeom prst="rect">
                      <a:avLst/>
                    </a:prstGeom>
                    <a:noFill/>
                  </pic:spPr>
                </pic:pic>
              </a:graphicData>
            </a:graphic>
          </wp:anchor>
        </w:drawing>
      </w:r>
    </w:p>
    <w:p>
      <w:pPr>
        <w:spacing w:after="0" w:line="53" w:lineRule="exact"/>
        <w:rPr>
          <w:sz w:val="20"/>
          <w:szCs w:val="20"/>
          <w:color w:val="auto"/>
        </w:rPr>
      </w:pPr>
    </w:p>
    <w:p>
      <w:pPr>
        <w:ind w:left="700"/>
        <w:spacing w:after="0"/>
        <w:rPr>
          <w:sz w:val="20"/>
          <w:szCs w:val="20"/>
          <w:color w:val="auto"/>
        </w:rPr>
      </w:pPr>
      <w:r>
        <w:rPr>
          <w:rFonts w:ascii="Arial" w:cs="Arial" w:eastAsia="Arial" w:hAnsi="Arial"/>
          <w:sz w:val="16"/>
          <w:szCs w:val="16"/>
          <w:color w:val="auto"/>
        </w:rPr>
        <w:t>Non-GAAP operating margin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139065</wp:posOffset>
            </wp:positionV>
            <wp:extent cx="5974715" cy="3257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5974715" cy="3257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ind w:left="300"/>
        <w:spacing w:after="0"/>
        <w:rPr>
          <w:sz w:val="20"/>
          <w:szCs w:val="20"/>
          <w:color w:val="auto"/>
        </w:rPr>
      </w:pPr>
      <w:r>
        <w:rPr>
          <w:rFonts w:ascii="Arial" w:cs="Arial" w:eastAsia="Arial" w:hAnsi="Arial"/>
          <w:sz w:val="18"/>
          <w:szCs w:val="18"/>
          <w:color w:val="FFFFFF"/>
        </w:rPr>
        <w:t>Year Ended</w:t>
      </w:r>
    </w:p>
    <w:p>
      <w:pPr>
        <w:spacing w:after="0" w:line="77" w:lineRule="exact"/>
        <w:rPr>
          <w:sz w:val="20"/>
          <w:szCs w:val="20"/>
          <w:color w:val="auto"/>
        </w:rPr>
      </w:pPr>
    </w:p>
    <w:p>
      <w:pPr>
        <w:ind w:left="280"/>
        <w:spacing w:after="0"/>
        <w:rPr>
          <w:sz w:val="20"/>
          <w:szCs w:val="20"/>
          <w:color w:val="auto"/>
        </w:rPr>
      </w:pPr>
      <w:r>
        <w:rPr>
          <w:rFonts w:ascii="Arial" w:cs="Arial" w:eastAsia="Arial" w:hAnsi="Arial"/>
          <w:sz w:val="18"/>
          <w:szCs w:val="18"/>
          <w:color w:val="FFFFFF"/>
        </w:rPr>
        <w:t>Oct. 1, 2021</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8"/>
          <w:szCs w:val="18"/>
          <w:color w:val="FFFFFF"/>
        </w:rPr>
        <w:t>(In millions, except</w:t>
      </w:r>
    </w:p>
    <w:p>
      <w:pPr>
        <w:spacing w:after="0"/>
        <w:rPr>
          <w:sz w:val="20"/>
          <w:szCs w:val="20"/>
          <w:color w:val="auto"/>
        </w:rPr>
      </w:pPr>
      <w:r>
        <w:rPr>
          <w:rFonts w:ascii="Arial" w:cs="Arial" w:eastAsia="Arial" w:hAnsi="Arial"/>
          <w:sz w:val="17"/>
          <w:szCs w:val="17"/>
          <w:color w:val="FFFFFF"/>
        </w:rPr>
        <w:t>per share amounts)</w:t>
      </w:r>
    </w:p>
    <w:p>
      <w:pPr>
        <w:spacing w:after="0" w:line="64" w:lineRule="exact"/>
        <w:rPr>
          <w:sz w:val="20"/>
          <w:szCs w:val="20"/>
          <w:color w:val="auto"/>
        </w:rPr>
      </w:pPr>
    </w:p>
    <w:p>
      <w:pPr>
        <w:jc w:val="right"/>
        <w:ind w:right="1180"/>
        <w:spacing w:after="0"/>
        <w:rPr>
          <w:sz w:val="20"/>
          <w:szCs w:val="20"/>
          <w:color w:val="auto"/>
        </w:rPr>
      </w:pPr>
      <w:r>
        <w:rPr>
          <w:rFonts w:ascii="Arial" w:cs="Arial" w:eastAsia="Arial" w:hAnsi="Arial"/>
          <w:sz w:val="16"/>
          <w:szCs w:val="16"/>
          <w:color w:val="auto"/>
        </w:rPr>
        <w:t>1,612.7</w:t>
      </w:r>
    </w:p>
    <w:p>
      <w:pPr>
        <w:spacing w:after="0" w:line="59" w:lineRule="exact"/>
        <w:rPr>
          <w:sz w:val="20"/>
          <w:szCs w:val="20"/>
          <w:color w:val="auto"/>
        </w:rPr>
      </w:pPr>
    </w:p>
    <w:p>
      <w:pPr>
        <w:jc w:val="right"/>
        <w:ind w:right="1180"/>
        <w:spacing w:after="0"/>
        <w:rPr>
          <w:sz w:val="20"/>
          <w:szCs w:val="20"/>
          <w:color w:val="auto"/>
        </w:rPr>
      </w:pPr>
      <w:r>
        <w:rPr>
          <w:rFonts w:ascii="Arial" w:cs="Arial" w:eastAsia="Arial" w:hAnsi="Arial"/>
          <w:sz w:val="16"/>
          <w:szCs w:val="16"/>
          <w:color w:val="auto"/>
        </w:rPr>
        <w:t>191.9</w:t>
      </w:r>
    </w:p>
    <w:p>
      <w:pPr>
        <w:spacing w:after="0" w:line="59" w:lineRule="exact"/>
        <w:rPr>
          <w:sz w:val="20"/>
          <w:szCs w:val="20"/>
          <w:color w:val="auto"/>
        </w:rPr>
      </w:pPr>
    </w:p>
    <w:p>
      <w:pPr>
        <w:jc w:val="right"/>
        <w:ind w:right="1180"/>
        <w:spacing w:after="0"/>
        <w:rPr>
          <w:sz w:val="20"/>
          <w:szCs w:val="20"/>
          <w:color w:val="auto"/>
        </w:rPr>
      </w:pPr>
      <w:r>
        <w:rPr>
          <w:rFonts w:ascii="Arial" w:cs="Arial" w:eastAsia="Arial" w:hAnsi="Arial"/>
          <w:sz w:val="16"/>
          <w:szCs w:val="16"/>
          <w:color w:val="auto"/>
        </w:rPr>
        <w:t>60.2</w:t>
      </w:r>
    </w:p>
    <w:p>
      <w:pPr>
        <w:spacing w:after="0" w:line="59" w:lineRule="exact"/>
        <w:rPr>
          <w:sz w:val="20"/>
          <w:szCs w:val="20"/>
          <w:color w:val="auto"/>
        </w:rPr>
      </w:pPr>
    </w:p>
    <w:p>
      <w:pPr>
        <w:jc w:val="right"/>
        <w:ind w:right="1180"/>
        <w:spacing w:after="0"/>
        <w:rPr>
          <w:sz w:val="20"/>
          <w:szCs w:val="20"/>
          <w:color w:val="auto"/>
        </w:rPr>
      </w:pPr>
      <w:r>
        <w:rPr>
          <w:rFonts w:ascii="Arial" w:cs="Arial" w:eastAsia="Arial" w:hAnsi="Arial"/>
          <w:sz w:val="16"/>
          <w:szCs w:val="16"/>
          <w:color w:val="auto"/>
        </w:rPr>
        <w:t>75.6</w:t>
      </w:r>
    </w:p>
    <w:p>
      <w:pPr>
        <w:spacing w:after="0" w:line="59" w:lineRule="exact"/>
        <w:rPr>
          <w:sz w:val="20"/>
          <w:szCs w:val="20"/>
          <w:color w:val="auto"/>
        </w:rPr>
      </w:pPr>
    </w:p>
    <w:p>
      <w:pPr>
        <w:jc w:val="right"/>
        <w:ind w:right="1180"/>
        <w:spacing w:after="0"/>
        <w:rPr>
          <w:sz w:val="20"/>
          <w:szCs w:val="20"/>
          <w:color w:val="auto"/>
        </w:rPr>
      </w:pPr>
      <w:r>
        <w:rPr>
          <w:rFonts w:ascii="Arial" w:cs="Arial" w:eastAsia="Arial" w:hAnsi="Arial"/>
          <w:sz w:val="16"/>
          <w:szCs w:val="16"/>
          <w:color w:val="auto"/>
        </w:rPr>
        <w:t>10.9</w:t>
      </w:r>
    </w:p>
    <w:p>
      <w:pPr>
        <w:spacing w:after="0" w:line="86" w:lineRule="exact"/>
        <w:rPr>
          <w:sz w:val="20"/>
          <w:szCs w:val="20"/>
          <w:color w:val="auto"/>
        </w:rPr>
      </w:pPr>
    </w:p>
    <w:p>
      <w:pPr>
        <w:jc w:val="right"/>
        <w:ind w:right="1180"/>
        <w:spacing w:after="0"/>
        <w:rPr>
          <w:sz w:val="20"/>
          <w:szCs w:val="20"/>
          <w:color w:val="auto"/>
        </w:rPr>
      </w:pPr>
      <w:r>
        <w:rPr>
          <w:rFonts w:ascii="Arial" w:cs="Arial" w:eastAsia="Arial" w:hAnsi="Arial"/>
          <w:sz w:val="16"/>
          <w:szCs w:val="16"/>
          <w:color w:val="auto"/>
        </w:rPr>
        <w:t>1.8</w:t>
      </w:r>
    </w:p>
    <w:p>
      <w:pPr>
        <w:spacing w:after="0" w:line="134" w:lineRule="exact"/>
        <w:rPr>
          <w:sz w:val="20"/>
          <w:szCs w:val="20"/>
          <w:color w:val="auto"/>
        </w:rPr>
      </w:pPr>
    </w:p>
    <w:p>
      <w:pPr>
        <w:jc w:val="right"/>
        <w:ind w:right="1180"/>
        <w:spacing w:after="0"/>
        <w:rPr>
          <w:sz w:val="20"/>
          <w:szCs w:val="20"/>
          <w:color w:val="auto"/>
        </w:rPr>
      </w:pPr>
      <w:r>
        <w:rPr>
          <w:rFonts w:ascii="Arial" w:cs="Arial" w:eastAsia="Arial" w:hAnsi="Arial"/>
          <w:sz w:val="16"/>
          <w:szCs w:val="16"/>
          <w:b w:val="1"/>
          <w:bCs w:val="1"/>
          <w:color w:val="auto"/>
        </w:rPr>
        <w:t>$ 1,953.1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57785</wp:posOffset>
            </wp:positionV>
            <wp:extent cx="1114425"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114425" cy="8890"/>
                    </a:xfrm>
                    <a:prstGeom prst="rect">
                      <a:avLst/>
                    </a:prstGeom>
                    <a:noFill/>
                  </pic:spPr>
                </pic:pic>
              </a:graphicData>
            </a:graphic>
          </wp:anchor>
        </w:drawing>
      </w:r>
    </w:p>
    <w:p>
      <w:pPr>
        <w:spacing w:after="0" w:line="181" w:lineRule="exact"/>
        <w:rPr>
          <w:sz w:val="20"/>
          <w:szCs w:val="20"/>
          <w:color w:val="auto"/>
        </w:rPr>
      </w:pPr>
    </w:p>
    <w:p>
      <w:pPr>
        <w:ind w:left="780"/>
        <w:spacing w:after="0"/>
        <w:rPr>
          <w:sz w:val="20"/>
          <w:szCs w:val="20"/>
          <w:color w:val="auto"/>
        </w:rPr>
      </w:pPr>
      <w:r>
        <w:rPr>
          <w:rFonts w:ascii="Arial" w:cs="Arial" w:eastAsia="Arial" w:hAnsi="Arial"/>
          <w:sz w:val="16"/>
          <w:szCs w:val="16"/>
          <w:color w:val="auto"/>
        </w:rPr>
        <w:t>31.6%</w:t>
      </w:r>
    </w:p>
    <w:p>
      <w:pPr>
        <w:spacing w:after="0" w:line="73" w:lineRule="exact"/>
        <w:rPr>
          <w:sz w:val="20"/>
          <w:szCs w:val="20"/>
          <w:color w:val="auto"/>
        </w:rPr>
      </w:pPr>
    </w:p>
    <w:p>
      <w:pPr>
        <w:ind w:left="780"/>
        <w:spacing w:after="0"/>
        <w:rPr>
          <w:sz w:val="20"/>
          <w:szCs w:val="20"/>
          <w:color w:val="auto"/>
        </w:rPr>
      </w:pPr>
      <w:r>
        <w:rPr>
          <w:rFonts w:ascii="Arial" w:cs="Arial" w:eastAsia="Arial" w:hAnsi="Arial"/>
          <w:sz w:val="16"/>
          <w:szCs w:val="16"/>
          <w:color w:val="auto"/>
        </w:rPr>
        <w:t>38.2%</w:t>
      </w:r>
    </w:p>
    <w:p>
      <w:pPr>
        <w:spacing w:after="0" w:line="200" w:lineRule="exact"/>
        <w:rPr>
          <w:sz w:val="20"/>
          <w:szCs w:val="20"/>
          <w:color w:val="auto"/>
        </w:rPr>
      </w:pPr>
    </w:p>
    <w:p>
      <w:pPr>
        <w:sectPr>
          <w:pgSz w:w="11900" w:h="16838" w:orient="portrait"/>
          <w:cols w:equalWidth="0" w:num="2">
            <w:col w:w="7720" w:space="720"/>
            <w:col w:w="2280"/>
          </w:cols>
          <w:pgMar w:left="580" w:top="131" w:right="599" w:bottom="1440" w:gutter="0" w:footer="0" w:header="0"/>
          <w:type w:val="continuous"/>
        </w:sectPr>
      </w:pPr>
    </w:p>
    <w:p>
      <w:pPr>
        <w:spacing w:after="0" w:line="59" w:lineRule="exact"/>
        <w:rPr>
          <w:sz w:val="20"/>
          <w:szCs w:val="20"/>
          <w:color w:val="auto"/>
        </w:rPr>
      </w:pPr>
    </w:p>
    <w:p>
      <w:pPr>
        <w:jc w:val="center"/>
        <w:ind w:left="3440"/>
        <w:spacing w:after="0"/>
        <w:rPr>
          <w:sz w:val="20"/>
          <w:szCs w:val="20"/>
          <w:color w:val="auto"/>
        </w:rPr>
      </w:pPr>
      <w:r>
        <w:rPr>
          <w:rFonts w:ascii="Arial" w:cs="Arial" w:eastAsia="Arial" w:hAnsi="Arial"/>
          <w:sz w:val="18"/>
          <w:szCs w:val="18"/>
          <w:color w:val="FFFFFF"/>
        </w:rPr>
        <w:t>Year Ended</w:t>
      </w:r>
    </w:p>
    <w:p>
      <w:pPr>
        <w:spacing w:after="0" w:line="77" w:lineRule="exact"/>
        <w:rPr>
          <w:sz w:val="20"/>
          <w:szCs w:val="20"/>
          <w:color w:val="auto"/>
        </w:rPr>
      </w:pPr>
    </w:p>
    <w:p>
      <w:pPr>
        <w:jc w:val="center"/>
        <w:ind w:left="3400"/>
        <w:spacing w:after="0"/>
        <w:rPr>
          <w:sz w:val="20"/>
          <w:szCs w:val="20"/>
          <w:color w:val="auto"/>
        </w:rPr>
      </w:pPr>
      <w:r>
        <w:rPr>
          <w:rFonts w:ascii="Arial" w:cs="Arial" w:eastAsia="Arial" w:hAnsi="Arial"/>
          <w:sz w:val="18"/>
          <w:szCs w:val="18"/>
          <w:color w:val="FFFFFF"/>
        </w:rPr>
        <w:t>Oct. 1, 2021 Oct. 2, 2020 Sep. 28, 2018* Oct. 2, 2015* Sep. 28,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-10160</wp:posOffset>
            </wp:positionV>
            <wp:extent cx="5974715" cy="15430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5974715" cy="15430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type w:val="continuous"/>
        </w:sectPr>
      </w:pPr>
    </w:p>
    <w:p>
      <w:pPr>
        <w:spacing w:after="0" w:line="2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GAAP net income per share, diluted</w:t>
      </w:r>
    </w:p>
    <w:p>
      <w:pPr>
        <w:spacing w:after="0" w:line="5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Share-based compensation expense(a)</w:t>
      </w:r>
    </w:p>
    <w:p>
      <w:pPr>
        <w:spacing w:after="0" w:line="5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Acquisition-related expenses (benefit)</w:t>
      </w:r>
    </w:p>
    <w:p>
      <w:pPr>
        <w:spacing w:after="0" w:line="5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Amortization of acquisition-related intangibles</w:t>
      </w:r>
    </w:p>
    <w:p>
      <w:pPr>
        <w:spacing w:after="0" w:line="5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Settlements, gains, losses, and impairments</w:t>
      </w:r>
    </w:p>
    <w:p>
      <w:pPr>
        <w:spacing w:after="0" w:line="5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Restructuring and other charges</w:t>
      </w:r>
    </w:p>
    <w:p>
      <w:pPr>
        <w:spacing w:after="0" w:line="5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Deferred executive compensation benefit</w:t>
      </w:r>
    </w:p>
    <w:p>
      <w:pPr>
        <w:spacing w:after="0" w:line="5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Interest expense on seller-financed debt</w:t>
      </w:r>
    </w:p>
    <w:p>
      <w:pPr>
        <w:spacing w:after="0" w:line="5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Tax adjustments(b)</w:t>
      </w:r>
    </w:p>
    <w:p>
      <w:pPr>
        <w:spacing w:after="0" w:line="147"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Non-GAAP net income per share, diluted</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39"/>
              <w:spacing w:after="0"/>
              <w:rPr>
                <w:sz w:val="20"/>
                <w:szCs w:val="20"/>
                <w:color w:val="auto"/>
              </w:rPr>
            </w:pPr>
            <w:r>
              <w:rPr>
                <w:rFonts w:ascii="Arial" w:cs="Arial" w:eastAsia="Arial" w:hAnsi="Arial"/>
                <w:sz w:val="16"/>
                <w:szCs w:val="16"/>
                <w:color w:val="auto"/>
              </w:rPr>
              <w:t>8.97</w:t>
            </w:r>
          </w:p>
        </w:tc>
        <w:tc>
          <w:tcPr>
            <w:tcW w:w="1120" w:type="dxa"/>
            <w:vAlign w:val="bottom"/>
          </w:tcPr>
          <w:p>
            <w:pPr>
              <w:jc w:val="right"/>
              <w:ind w:right="319"/>
              <w:spacing w:after="0"/>
              <w:rPr>
                <w:sz w:val="20"/>
                <w:szCs w:val="20"/>
                <w:color w:val="auto"/>
              </w:rPr>
            </w:pPr>
            <w:r>
              <w:rPr>
                <w:rFonts w:ascii="Arial" w:cs="Arial" w:eastAsia="Arial" w:hAnsi="Arial"/>
                <w:sz w:val="16"/>
                <w:szCs w:val="16"/>
                <w:color w:val="auto"/>
              </w:rPr>
              <w:t>$ 4.80</w:t>
            </w:r>
          </w:p>
        </w:tc>
        <w:tc>
          <w:tcPr>
            <w:tcW w:w="1220" w:type="dxa"/>
            <w:vAlign w:val="bottom"/>
          </w:tcPr>
          <w:p>
            <w:pPr>
              <w:jc w:val="right"/>
              <w:ind w:right="339"/>
              <w:spacing w:after="0"/>
              <w:rPr>
                <w:sz w:val="20"/>
                <w:szCs w:val="20"/>
                <w:color w:val="auto"/>
              </w:rPr>
            </w:pPr>
            <w:r>
              <w:rPr>
                <w:rFonts w:ascii="Arial" w:cs="Arial" w:eastAsia="Arial" w:hAnsi="Arial"/>
                <w:sz w:val="16"/>
                <w:szCs w:val="16"/>
                <w:color w:val="auto"/>
              </w:rPr>
              <w:t>$ 5.01</w:t>
            </w:r>
          </w:p>
        </w:tc>
        <w:tc>
          <w:tcPr>
            <w:tcW w:w="1200" w:type="dxa"/>
            <w:vAlign w:val="bottom"/>
          </w:tcPr>
          <w:p>
            <w:pPr>
              <w:jc w:val="right"/>
              <w:ind w:right="319"/>
              <w:spacing w:after="0"/>
              <w:rPr>
                <w:sz w:val="20"/>
                <w:szCs w:val="20"/>
                <w:color w:val="auto"/>
              </w:rPr>
            </w:pPr>
            <w:r>
              <w:rPr>
                <w:rFonts w:ascii="Arial" w:cs="Arial" w:eastAsia="Arial" w:hAnsi="Arial"/>
                <w:sz w:val="16"/>
                <w:szCs w:val="16"/>
                <w:color w:val="auto"/>
              </w:rPr>
              <w:t>$ 4.10</w:t>
            </w:r>
          </w:p>
        </w:tc>
        <w:tc>
          <w:tcPr>
            <w:tcW w:w="1300" w:type="dxa"/>
            <w:vAlign w:val="bottom"/>
          </w:tcPr>
          <w:p>
            <w:pPr>
              <w:jc w:val="right"/>
              <w:ind w:right="399"/>
              <w:spacing w:after="0"/>
              <w:rPr>
                <w:sz w:val="20"/>
                <w:szCs w:val="20"/>
                <w:color w:val="auto"/>
              </w:rPr>
            </w:pPr>
            <w:r>
              <w:rPr>
                <w:rFonts w:ascii="Arial" w:cs="Arial" w:eastAsia="Arial" w:hAnsi="Arial"/>
                <w:sz w:val="16"/>
                <w:szCs w:val="16"/>
                <w:color w:val="auto"/>
              </w:rPr>
              <w:t>$ 1.05</w:t>
            </w:r>
          </w:p>
        </w:tc>
      </w:tr>
      <w:tr>
        <w:trPr>
          <w:trHeight w:val="243"/>
        </w:trPr>
        <w:tc>
          <w:tcPr>
            <w:tcW w:w="360" w:type="dxa"/>
            <w:vAlign w:val="bottom"/>
          </w:tcPr>
          <w:p>
            <w:pPr>
              <w:spacing w:after="0"/>
              <w:rPr>
                <w:sz w:val="21"/>
                <w:szCs w:val="21"/>
                <w:color w:val="auto"/>
              </w:rPr>
            </w:pPr>
          </w:p>
        </w:tc>
        <w:tc>
          <w:tcPr>
            <w:tcW w:w="720" w:type="dxa"/>
            <w:vAlign w:val="bottom"/>
          </w:tcPr>
          <w:p>
            <w:pPr>
              <w:jc w:val="right"/>
              <w:ind w:right="239"/>
              <w:spacing w:after="0"/>
              <w:rPr>
                <w:sz w:val="20"/>
                <w:szCs w:val="20"/>
                <w:color w:val="auto"/>
              </w:rPr>
            </w:pPr>
            <w:r>
              <w:rPr>
                <w:rFonts w:ascii="Arial" w:cs="Arial" w:eastAsia="Arial" w:hAnsi="Arial"/>
                <w:sz w:val="16"/>
                <w:szCs w:val="16"/>
                <w:color w:val="auto"/>
              </w:rPr>
              <w:t>1.15</w:t>
            </w:r>
          </w:p>
        </w:tc>
        <w:tc>
          <w:tcPr>
            <w:tcW w:w="1120" w:type="dxa"/>
            <w:vAlign w:val="bottom"/>
          </w:tcPr>
          <w:p>
            <w:pPr>
              <w:jc w:val="right"/>
              <w:ind w:right="319"/>
              <w:spacing w:after="0"/>
              <w:rPr>
                <w:sz w:val="20"/>
                <w:szCs w:val="20"/>
                <w:color w:val="auto"/>
              </w:rPr>
            </w:pPr>
            <w:r>
              <w:rPr>
                <w:rFonts w:ascii="Arial" w:cs="Arial" w:eastAsia="Arial" w:hAnsi="Arial"/>
                <w:sz w:val="16"/>
                <w:szCs w:val="16"/>
                <w:color w:val="auto"/>
              </w:rPr>
              <w:t>0.92</w:t>
            </w:r>
          </w:p>
        </w:tc>
        <w:tc>
          <w:tcPr>
            <w:tcW w:w="1220" w:type="dxa"/>
            <w:vAlign w:val="bottom"/>
          </w:tcPr>
          <w:p>
            <w:pPr>
              <w:jc w:val="right"/>
              <w:ind w:right="339"/>
              <w:spacing w:after="0"/>
              <w:rPr>
                <w:sz w:val="20"/>
                <w:szCs w:val="20"/>
                <w:color w:val="auto"/>
              </w:rPr>
            </w:pPr>
            <w:r>
              <w:rPr>
                <w:rFonts w:ascii="Arial" w:cs="Arial" w:eastAsia="Arial" w:hAnsi="Arial"/>
                <w:sz w:val="16"/>
                <w:szCs w:val="16"/>
                <w:color w:val="auto"/>
              </w:rPr>
              <w:t>0.59</w:t>
            </w:r>
          </w:p>
        </w:tc>
        <w:tc>
          <w:tcPr>
            <w:tcW w:w="1200" w:type="dxa"/>
            <w:vAlign w:val="bottom"/>
          </w:tcPr>
          <w:p>
            <w:pPr>
              <w:jc w:val="right"/>
              <w:ind w:right="319"/>
              <w:spacing w:after="0"/>
              <w:rPr>
                <w:sz w:val="20"/>
                <w:szCs w:val="20"/>
                <w:color w:val="auto"/>
              </w:rPr>
            </w:pPr>
            <w:r>
              <w:rPr>
                <w:rFonts w:ascii="Arial" w:cs="Arial" w:eastAsia="Arial" w:hAnsi="Arial"/>
                <w:sz w:val="16"/>
                <w:szCs w:val="16"/>
                <w:color w:val="auto"/>
              </w:rPr>
              <w:t>0.51</w:t>
            </w:r>
          </w:p>
        </w:tc>
        <w:tc>
          <w:tcPr>
            <w:tcW w:w="1300" w:type="dxa"/>
            <w:vAlign w:val="bottom"/>
          </w:tcPr>
          <w:p>
            <w:pPr>
              <w:jc w:val="right"/>
              <w:ind w:right="399"/>
              <w:spacing w:after="0"/>
              <w:rPr>
                <w:sz w:val="20"/>
                <w:szCs w:val="20"/>
                <w:color w:val="auto"/>
              </w:rPr>
            </w:pPr>
            <w:r>
              <w:rPr>
                <w:rFonts w:ascii="Arial" w:cs="Arial" w:eastAsia="Arial" w:hAnsi="Arial"/>
                <w:sz w:val="16"/>
                <w:szCs w:val="16"/>
                <w:color w:val="auto"/>
              </w:rPr>
              <w:t>0.38</w:t>
            </w:r>
          </w:p>
        </w:tc>
      </w:tr>
      <w:tr>
        <w:trPr>
          <w:trHeight w:val="243"/>
        </w:trPr>
        <w:tc>
          <w:tcPr>
            <w:tcW w:w="360" w:type="dxa"/>
            <w:vAlign w:val="bottom"/>
          </w:tcPr>
          <w:p>
            <w:pPr>
              <w:spacing w:after="0"/>
              <w:rPr>
                <w:sz w:val="21"/>
                <w:szCs w:val="21"/>
                <w:color w:val="auto"/>
              </w:rPr>
            </w:pPr>
          </w:p>
        </w:tc>
        <w:tc>
          <w:tcPr>
            <w:tcW w:w="720" w:type="dxa"/>
            <w:vAlign w:val="bottom"/>
          </w:tcPr>
          <w:p>
            <w:pPr>
              <w:jc w:val="right"/>
              <w:ind w:right="239"/>
              <w:spacing w:after="0"/>
              <w:rPr>
                <w:sz w:val="20"/>
                <w:szCs w:val="20"/>
                <w:color w:val="auto"/>
              </w:rPr>
            </w:pPr>
            <w:r>
              <w:rPr>
                <w:rFonts w:ascii="Arial" w:cs="Arial" w:eastAsia="Arial" w:hAnsi="Arial"/>
                <w:sz w:val="16"/>
                <w:szCs w:val="16"/>
                <w:color w:val="auto"/>
              </w:rPr>
              <w:t>0.36</w:t>
            </w:r>
          </w:p>
        </w:tc>
        <w:tc>
          <w:tcPr>
            <w:tcW w:w="1120" w:type="dxa"/>
            <w:vAlign w:val="bottom"/>
          </w:tcPr>
          <w:p>
            <w:pPr>
              <w:jc w:val="right"/>
              <w:ind w:right="319"/>
              <w:spacing w:after="0"/>
              <w:rPr>
                <w:sz w:val="20"/>
                <w:szCs w:val="20"/>
                <w:color w:val="auto"/>
              </w:rPr>
            </w:pPr>
            <w:r>
              <w:rPr>
                <w:rFonts w:ascii="Arial" w:cs="Arial" w:eastAsia="Arial" w:hAnsi="Arial"/>
                <w:sz w:val="16"/>
                <w:szCs w:val="16"/>
                <w:color w:val="auto"/>
              </w:rPr>
              <w:t>0.01</w:t>
            </w:r>
          </w:p>
        </w:tc>
        <w:tc>
          <w:tcPr>
            <w:tcW w:w="1220" w:type="dxa"/>
            <w:vAlign w:val="bottom"/>
          </w:tcPr>
          <w:p>
            <w:pPr>
              <w:jc w:val="right"/>
              <w:ind w:right="279"/>
              <w:spacing w:after="0"/>
              <w:rPr>
                <w:sz w:val="20"/>
                <w:szCs w:val="20"/>
                <w:color w:val="auto"/>
              </w:rPr>
            </w:pPr>
            <w:r>
              <w:rPr>
                <w:rFonts w:ascii="Arial" w:cs="Arial" w:eastAsia="Arial" w:hAnsi="Arial"/>
                <w:sz w:val="16"/>
                <w:szCs w:val="16"/>
                <w:color w:val="auto"/>
              </w:rPr>
              <w:t>(0.01)</w:t>
            </w:r>
          </w:p>
        </w:tc>
        <w:tc>
          <w:tcPr>
            <w:tcW w:w="1200" w:type="dxa"/>
            <w:vAlign w:val="bottom"/>
          </w:tcPr>
          <w:p>
            <w:pPr>
              <w:jc w:val="right"/>
              <w:ind w:right="319"/>
              <w:spacing w:after="0"/>
              <w:rPr>
                <w:sz w:val="20"/>
                <w:szCs w:val="20"/>
                <w:color w:val="auto"/>
              </w:rPr>
            </w:pPr>
            <w:r>
              <w:rPr>
                <w:rFonts w:ascii="Arial" w:cs="Arial" w:eastAsia="Arial" w:hAnsi="Arial"/>
                <w:sz w:val="16"/>
                <w:szCs w:val="16"/>
                <w:color w:val="auto"/>
              </w:rPr>
              <w:t>0.04</w:t>
            </w:r>
          </w:p>
        </w:tc>
        <w:tc>
          <w:tcPr>
            <w:tcW w:w="1300" w:type="dxa"/>
            <w:vAlign w:val="bottom"/>
          </w:tcPr>
          <w:p>
            <w:pPr>
              <w:jc w:val="right"/>
              <w:ind w:right="399"/>
              <w:spacing w:after="0"/>
              <w:rPr>
                <w:sz w:val="20"/>
                <w:szCs w:val="20"/>
                <w:color w:val="auto"/>
              </w:rPr>
            </w:pPr>
            <w:r>
              <w:rPr>
                <w:rFonts w:ascii="Arial" w:cs="Arial" w:eastAsia="Arial" w:hAnsi="Arial"/>
                <w:sz w:val="16"/>
                <w:szCs w:val="16"/>
                <w:color w:val="auto"/>
              </w:rPr>
              <w:t>0.05</w:t>
            </w:r>
          </w:p>
        </w:tc>
      </w:tr>
      <w:tr>
        <w:trPr>
          <w:trHeight w:val="243"/>
        </w:trPr>
        <w:tc>
          <w:tcPr>
            <w:tcW w:w="360" w:type="dxa"/>
            <w:vAlign w:val="bottom"/>
          </w:tcPr>
          <w:p>
            <w:pPr>
              <w:spacing w:after="0"/>
              <w:rPr>
                <w:sz w:val="21"/>
                <w:szCs w:val="21"/>
                <w:color w:val="auto"/>
              </w:rPr>
            </w:pPr>
          </w:p>
        </w:tc>
        <w:tc>
          <w:tcPr>
            <w:tcW w:w="720" w:type="dxa"/>
            <w:vAlign w:val="bottom"/>
          </w:tcPr>
          <w:p>
            <w:pPr>
              <w:jc w:val="right"/>
              <w:ind w:right="239"/>
              <w:spacing w:after="0"/>
              <w:rPr>
                <w:sz w:val="20"/>
                <w:szCs w:val="20"/>
                <w:color w:val="auto"/>
              </w:rPr>
            </w:pPr>
            <w:r>
              <w:rPr>
                <w:rFonts w:ascii="Arial" w:cs="Arial" w:eastAsia="Arial" w:hAnsi="Arial"/>
                <w:sz w:val="16"/>
                <w:szCs w:val="16"/>
                <w:color w:val="auto"/>
              </w:rPr>
              <w:t>0.45</w:t>
            </w:r>
          </w:p>
        </w:tc>
        <w:tc>
          <w:tcPr>
            <w:tcW w:w="1120" w:type="dxa"/>
            <w:vAlign w:val="bottom"/>
          </w:tcPr>
          <w:p>
            <w:pPr>
              <w:jc w:val="right"/>
              <w:ind w:right="319"/>
              <w:spacing w:after="0"/>
              <w:rPr>
                <w:sz w:val="20"/>
                <w:szCs w:val="20"/>
                <w:color w:val="auto"/>
              </w:rPr>
            </w:pPr>
            <w:r>
              <w:rPr>
                <w:rFonts w:ascii="Arial" w:cs="Arial" w:eastAsia="Arial" w:hAnsi="Arial"/>
                <w:sz w:val="16"/>
                <w:szCs w:val="16"/>
                <w:color w:val="auto"/>
              </w:rPr>
              <w:t>0.21</w:t>
            </w:r>
          </w:p>
        </w:tc>
        <w:tc>
          <w:tcPr>
            <w:tcW w:w="1220" w:type="dxa"/>
            <w:vAlign w:val="bottom"/>
          </w:tcPr>
          <w:p>
            <w:pPr>
              <w:jc w:val="right"/>
              <w:ind w:right="339"/>
              <w:spacing w:after="0"/>
              <w:rPr>
                <w:sz w:val="20"/>
                <w:szCs w:val="20"/>
                <w:color w:val="auto"/>
              </w:rPr>
            </w:pPr>
            <w:r>
              <w:rPr>
                <w:rFonts w:ascii="Arial" w:cs="Arial" w:eastAsia="Arial" w:hAnsi="Arial"/>
                <w:sz w:val="16"/>
                <w:szCs w:val="16"/>
                <w:color w:val="auto"/>
              </w:rPr>
              <w:t>0.11</w:t>
            </w:r>
          </w:p>
        </w:tc>
        <w:tc>
          <w:tcPr>
            <w:tcW w:w="1200" w:type="dxa"/>
            <w:vAlign w:val="bottom"/>
          </w:tcPr>
          <w:p>
            <w:pPr>
              <w:jc w:val="right"/>
              <w:ind w:right="319"/>
              <w:spacing w:after="0"/>
              <w:rPr>
                <w:sz w:val="20"/>
                <w:szCs w:val="20"/>
                <w:color w:val="auto"/>
              </w:rPr>
            </w:pPr>
            <w:r>
              <w:rPr>
                <w:rFonts w:ascii="Arial" w:cs="Arial" w:eastAsia="Arial" w:hAnsi="Arial"/>
                <w:sz w:val="16"/>
                <w:szCs w:val="16"/>
                <w:color w:val="auto"/>
              </w:rPr>
              <w:t>0.17</w:t>
            </w:r>
          </w:p>
        </w:tc>
        <w:tc>
          <w:tcPr>
            <w:tcW w:w="1300" w:type="dxa"/>
            <w:vAlign w:val="bottom"/>
          </w:tcPr>
          <w:p>
            <w:pPr>
              <w:jc w:val="right"/>
              <w:ind w:right="399"/>
              <w:spacing w:after="0"/>
              <w:rPr>
                <w:sz w:val="20"/>
                <w:szCs w:val="20"/>
                <w:color w:val="auto"/>
              </w:rPr>
            </w:pPr>
            <w:r>
              <w:rPr>
                <w:rFonts w:ascii="Arial" w:cs="Arial" w:eastAsia="Arial" w:hAnsi="Arial"/>
                <w:sz w:val="16"/>
                <w:szCs w:val="16"/>
                <w:color w:val="auto"/>
              </w:rPr>
              <w:t>0.17</w:t>
            </w:r>
          </w:p>
        </w:tc>
      </w:tr>
      <w:tr>
        <w:trPr>
          <w:trHeight w:val="243"/>
        </w:trPr>
        <w:tc>
          <w:tcPr>
            <w:tcW w:w="360" w:type="dxa"/>
            <w:vAlign w:val="bottom"/>
          </w:tcPr>
          <w:p>
            <w:pPr>
              <w:spacing w:after="0"/>
              <w:rPr>
                <w:sz w:val="21"/>
                <w:szCs w:val="21"/>
                <w:color w:val="auto"/>
              </w:rPr>
            </w:pPr>
          </w:p>
        </w:tc>
        <w:tc>
          <w:tcPr>
            <w:tcW w:w="720" w:type="dxa"/>
            <w:vAlign w:val="bottom"/>
          </w:tcPr>
          <w:p>
            <w:pPr>
              <w:jc w:val="right"/>
              <w:ind w:right="239"/>
              <w:spacing w:after="0"/>
              <w:rPr>
                <w:sz w:val="20"/>
                <w:szCs w:val="20"/>
                <w:color w:val="auto"/>
              </w:rPr>
            </w:pPr>
            <w:r>
              <w:rPr>
                <w:rFonts w:ascii="Arial" w:cs="Arial" w:eastAsia="Arial" w:hAnsi="Arial"/>
                <w:sz w:val="16"/>
                <w:szCs w:val="16"/>
                <w:color w:val="auto"/>
              </w:rPr>
              <w:t>0.08</w:t>
            </w:r>
          </w:p>
        </w:tc>
        <w:tc>
          <w:tcPr>
            <w:tcW w:w="1120" w:type="dxa"/>
            <w:vAlign w:val="bottom"/>
          </w:tcPr>
          <w:p>
            <w:pPr>
              <w:jc w:val="right"/>
              <w:ind w:right="319"/>
              <w:spacing w:after="0"/>
              <w:rPr>
                <w:sz w:val="20"/>
                <w:szCs w:val="20"/>
                <w:color w:val="auto"/>
              </w:rPr>
            </w:pPr>
            <w:r>
              <w:rPr>
                <w:rFonts w:ascii="Arial" w:cs="Arial" w:eastAsia="Arial" w:hAnsi="Arial"/>
                <w:sz w:val="16"/>
                <w:szCs w:val="16"/>
                <w:color w:val="auto"/>
              </w:rPr>
              <w:t>0.26</w:t>
            </w:r>
          </w:p>
        </w:tc>
        <w:tc>
          <w:tcPr>
            <w:tcW w:w="1220" w:type="dxa"/>
            <w:vAlign w:val="bottom"/>
          </w:tcPr>
          <w:p>
            <w:pPr>
              <w:jc w:val="right"/>
              <w:ind w:right="339"/>
              <w:spacing w:after="0"/>
              <w:rPr>
                <w:sz w:val="20"/>
                <w:szCs w:val="20"/>
                <w:color w:val="auto"/>
              </w:rPr>
            </w:pPr>
            <w:r>
              <w:rPr>
                <w:rFonts w:ascii="Arial" w:cs="Arial" w:eastAsia="Arial" w:hAnsi="Arial"/>
                <w:sz w:val="16"/>
                <w:szCs w:val="16"/>
                <w:color w:val="auto"/>
              </w:rPr>
              <w:t>0.01</w:t>
            </w:r>
          </w:p>
        </w:tc>
        <w:tc>
          <w:tcPr>
            <w:tcW w:w="1200" w:type="dxa"/>
            <w:vAlign w:val="bottom"/>
          </w:tcPr>
          <w:p>
            <w:pPr>
              <w:jc w:val="right"/>
              <w:ind w:right="319"/>
              <w:spacing w:after="0"/>
              <w:rPr>
                <w:sz w:val="20"/>
                <w:szCs w:val="20"/>
                <w:color w:val="auto"/>
              </w:rPr>
            </w:pPr>
            <w:r>
              <w:rPr>
                <w:rFonts w:ascii="Arial" w:cs="Arial" w:eastAsia="Arial" w:hAnsi="Arial"/>
                <w:sz w:val="16"/>
                <w:szCs w:val="16"/>
                <w:color w:val="auto"/>
              </w:rPr>
              <w:t>0.01</w:t>
            </w:r>
          </w:p>
        </w:tc>
        <w:tc>
          <w:tcPr>
            <w:tcW w:w="1300" w:type="dxa"/>
            <w:vAlign w:val="bottom"/>
          </w:tcPr>
          <w:p>
            <w:pPr>
              <w:jc w:val="right"/>
              <w:ind w:right="399"/>
              <w:spacing w:after="0"/>
              <w:rPr>
                <w:sz w:val="20"/>
                <w:szCs w:val="20"/>
                <w:color w:val="auto"/>
              </w:rPr>
            </w:pPr>
            <w:r>
              <w:rPr>
                <w:rFonts w:ascii="Arial" w:cs="Arial" w:eastAsia="Arial" w:hAnsi="Arial"/>
                <w:sz w:val="16"/>
                <w:szCs w:val="16"/>
                <w:color w:val="auto"/>
              </w:rPr>
              <w:t>0.03</w:t>
            </w:r>
          </w:p>
        </w:tc>
      </w:tr>
      <w:tr>
        <w:trPr>
          <w:trHeight w:val="243"/>
        </w:trPr>
        <w:tc>
          <w:tcPr>
            <w:tcW w:w="360" w:type="dxa"/>
            <w:vAlign w:val="bottom"/>
          </w:tcPr>
          <w:p>
            <w:pPr>
              <w:spacing w:after="0"/>
              <w:rPr>
                <w:sz w:val="21"/>
                <w:szCs w:val="21"/>
                <w:color w:val="auto"/>
              </w:rPr>
            </w:pPr>
          </w:p>
        </w:tc>
        <w:tc>
          <w:tcPr>
            <w:tcW w:w="720" w:type="dxa"/>
            <w:vAlign w:val="bottom"/>
          </w:tcPr>
          <w:p>
            <w:pPr>
              <w:jc w:val="right"/>
              <w:ind w:right="239"/>
              <w:spacing w:after="0"/>
              <w:rPr>
                <w:sz w:val="20"/>
                <w:szCs w:val="20"/>
                <w:color w:val="auto"/>
              </w:rPr>
            </w:pPr>
            <w:r>
              <w:rPr>
                <w:rFonts w:ascii="Arial" w:cs="Arial" w:eastAsia="Arial" w:hAnsi="Arial"/>
                <w:sz w:val="16"/>
                <w:szCs w:val="16"/>
                <w:color w:val="auto"/>
              </w:rPr>
              <w:t>0.01</w:t>
            </w:r>
          </w:p>
        </w:tc>
        <w:tc>
          <w:tcPr>
            <w:tcW w:w="1120" w:type="dxa"/>
            <w:vAlign w:val="bottom"/>
          </w:tcPr>
          <w:p>
            <w:pPr>
              <w:jc w:val="right"/>
              <w:ind w:right="319"/>
              <w:spacing w:after="0"/>
              <w:rPr>
                <w:sz w:val="20"/>
                <w:szCs w:val="20"/>
                <w:color w:val="auto"/>
              </w:rPr>
            </w:pPr>
            <w:r>
              <w:rPr>
                <w:rFonts w:ascii="Arial" w:cs="Arial" w:eastAsia="Arial" w:hAnsi="Arial"/>
                <w:sz w:val="16"/>
                <w:szCs w:val="16"/>
                <w:color w:val="auto"/>
              </w:rPr>
              <w:t>0.01</w:t>
            </w:r>
          </w:p>
        </w:tc>
        <w:tc>
          <w:tcPr>
            <w:tcW w:w="1220" w:type="dxa"/>
            <w:vAlign w:val="bottom"/>
          </w:tcPr>
          <w:p>
            <w:pPr>
              <w:jc w:val="right"/>
              <w:ind w:right="339"/>
              <w:spacing w:after="0"/>
              <w:rPr>
                <w:sz w:val="20"/>
                <w:szCs w:val="20"/>
                <w:color w:val="auto"/>
              </w:rPr>
            </w:pPr>
            <w:r>
              <w:rPr>
                <w:rFonts w:ascii="Arial" w:cs="Arial" w:eastAsia="Arial" w:hAnsi="Arial"/>
                <w:sz w:val="16"/>
                <w:szCs w:val="16"/>
                <w:color w:val="auto"/>
              </w:rPr>
              <w:t>0.02</w:t>
            </w:r>
          </w:p>
        </w:tc>
        <w:tc>
          <w:tcPr>
            <w:tcW w:w="1200" w:type="dxa"/>
            <w:vAlign w:val="bottom"/>
          </w:tcPr>
          <w:p>
            <w:pPr>
              <w:jc w:val="right"/>
              <w:ind w:right="319"/>
              <w:spacing w:after="0"/>
              <w:rPr>
                <w:sz w:val="20"/>
                <w:szCs w:val="20"/>
                <w:color w:val="auto"/>
              </w:rPr>
            </w:pPr>
            <w:r>
              <w:rPr>
                <w:rFonts w:ascii="Arial" w:cs="Arial" w:eastAsia="Arial" w:hAnsi="Arial"/>
                <w:sz w:val="16"/>
                <w:szCs w:val="16"/>
                <w:color w:val="auto"/>
              </w:rPr>
              <w:t>0.02</w:t>
            </w:r>
          </w:p>
        </w:tc>
        <w:tc>
          <w:tcPr>
            <w:tcW w:w="1300" w:type="dxa"/>
            <w:vAlign w:val="bottom"/>
          </w:tcPr>
          <w:p>
            <w:pPr>
              <w:jc w:val="right"/>
              <w:ind w:right="399"/>
              <w:spacing w:after="0"/>
              <w:rPr>
                <w:sz w:val="20"/>
                <w:szCs w:val="20"/>
                <w:color w:val="auto"/>
              </w:rPr>
            </w:pPr>
            <w:r>
              <w:rPr>
                <w:rFonts w:ascii="Arial" w:cs="Arial" w:eastAsia="Arial" w:hAnsi="Arial"/>
                <w:sz w:val="16"/>
                <w:szCs w:val="16"/>
                <w:color w:val="auto"/>
              </w:rPr>
              <w:t>0.04</w:t>
            </w:r>
          </w:p>
        </w:tc>
      </w:tr>
      <w:tr>
        <w:trPr>
          <w:trHeight w:val="243"/>
        </w:trPr>
        <w:tc>
          <w:tcPr>
            <w:tcW w:w="360" w:type="dxa"/>
            <w:vAlign w:val="bottom"/>
          </w:tcPr>
          <w:p>
            <w:pPr>
              <w:spacing w:after="0"/>
              <w:rPr>
                <w:sz w:val="21"/>
                <w:szCs w:val="21"/>
                <w:color w:val="auto"/>
              </w:rPr>
            </w:pPr>
          </w:p>
        </w:tc>
        <w:tc>
          <w:tcPr>
            <w:tcW w:w="72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79"/>
              <w:spacing w:after="0"/>
              <w:rPr>
                <w:sz w:val="20"/>
                <w:szCs w:val="20"/>
                <w:color w:val="auto"/>
              </w:rPr>
            </w:pPr>
            <w:r>
              <w:rPr>
                <w:rFonts w:ascii="Arial" w:cs="Arial" w:eastAsia="Arial" w:hAnsi="Arial"/>
                <w:sz w:val="16"/>
                <w:szCs w:val="16"/>
                <w:color w:val="auto"/>
              </w:rPr>
              <w:t>(0.01)</w:t>
            </w:r>
          </w:p>
        </w:tc>
        <w:tc>
          <w:tcPr>
            <w:tcW w:w="120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399"/>
              <w:spacing w:after="0"/>
              <w:rPr>
                <w:sz w:val="20"/>
                <w:szCs w:val="20"/>
                <w:color w:val="auto"/>
              </w:rPr>
            </w:pPr>
            <w:r>
              <w:rPr>
                <w:rFonts w:ascii="Arial" w:cs="Arial" w:eastAsia="Arial" w:hAnsi="Arial"/>
                <w:sz w:val="16"/>
                <w:szCs w:val="16"/>
                <w:color w:val="auto"/>
              </w:rPr>
              <w:t>—</w:t>
            </w:r>
          </w:p>
        </w:tc>
      </w:tr>
      <w:tr>
        <w:trPr>
          <w:trHeight w:val="243"/>
        </w:trPr>
        <w:tc>
          <w:tcPr>
            <w:tcW w:w="360" w:type="dxa"/>
            <w:vAlign w:val="bottom"/>
          </w:tcPr>
          <w:p>
            <w:pPr>
              <w:spacing w:after="0"/>
              <w:rPr>
                <w:sz w:val="21"/>
                <w:szCs w:val="21"/>
                <w:color w:val="auto"/>
              </w:rPr>
            </w:pPr>
          </w:p>
        </w:tc>
        <w:tc>
          <w:tcPr>
            <w:tcW w:w="72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19"/>
              <w:spacing w:after="0"/>
              <w:rPr>
                <w:sz w:val="20"/>
                <w:szCs w:val="20"/>
                <w:color w:val="auto"/>
              </w:rPr>
            </w:pPr>
            <w:r>
              <w:rPr>
                <w:rFonts w:ascii="Arial" w:cs="Arial" w:eastAsia="Arial" w:hAnsi="Arial"/>
                <w:sz w:val="16"/>
                <w:szCs w:val="16"/>
                <w:color w:val="auto"/>
              </w:rPr>
              <w:t>0.01</w:t>
            </w:r>
          </w:p>
        </w:tc>
        <w:tc>
          <w:tcPr>
            <w:tcW w:w="1300" w:type="dxa"/>
            <w:vAlign w:val="bottom"/>
          </w:tcPr>
          <w:p>
            <w:pPr>
              <w:jc w:val="right"/>
              <w:ind w:right="399"/>
              <w:spacing w:after="0"/>
              <w:rPr>
                <w:sz w:val="20"/>
                <w:szCs w:val="20"/>
                <w:color w:val="auto"/>
              </w:rPr>
            </w:pPr>
            <w:r>
              <w:rPr>
                <w:rFonts w:ascii="Arial" w:cs="Arial" w:eastAsia="Arial" w:hAnsi="Arial"/>
                <w:sz w:val="16"/>
                <w:szCs w:val="16"/>
                <w:color w:val="auto"/>
              </w:rPr>
              <w:t>—</w:t>
            </w:r>
          </w:p>
        </w:tc>
      </w:tr>
      <w:tr>
        <w:trPr>
          <w:trHeight w:val="270"/>
        </w:trPr>
        <w:tc>
          <w:tcPr>
            <w:tcW w:w="360" w:type="dxa"/>
            <w:vAlign w:val="bottom"/>
            <w:tcBorders>
              <w:bottom w:val="single" w:sz="8" w:color="0076A8"/>
            </w:tcBorders>
          </w:tcPr>
          <w:p>
            <w:pPr>
              <w:spacing w:after="0"/>
              <w:rPr>
                <w:sz w:val="23"/>
                <w:szCs w:val="23"/>
                <w:color w:val="auto"/>
              </w:rPr>
            </w:pPr>
          </w:p>
        </w:tc>
        <w:tc>
          <w:tcPr>
            <w:tcW w:w="720" w:type="dxa"/>
            <w:vAlign w:val="bottom"/>
            <w:tcBorders>
              <w:bottom w:val="single" w:sz="8" w:color="0076A8"/>
            </w:tcBorders>
          </w:tcPr>
          <w:p>
            <w:pPr>
              <w:jc w:val="right"/>
              <w:ind w:right="179"/>
              <w:spacing w:after="0"/>
              <w:rPr>
                <w:sz w:val="20"/>
                <w:szCs w:val="20"/>
                <w:color w:val="auto"/>
              </w:rPr>
            </w:pPr>
            <w:r>
              <w:rPr>
                <w:rFonts w:ascii="Arial" w:cs="Arial" w:eastAsia="Arial" w:hAnsi="Arial"/>
                <w:sz w:val="16"/>
                <w:szCs w:val="16"/>
                <w:color w:val="auto"/>
              </w:rPr>
              <w:t>(0.52)</w:t>
            </w:r>
          </w:p>
        </w:tc>
        <w:tc>
          <w:tcPr>
            <w:tcW w:w="1120" w:type="dxa"/>
            <w:vAlign w:val="bottom"/>
            <w:tcBorders>
              <w:bottom w:val="single" w:sz="8" w:color="0076A8"/>
            </w:tcBorders>
          </w:tcPr>
          <w:p>
            <w:pPr>
              <w:jc w:val="right"/>
              <w:ind w:right="259"/>
              <w:spacing w:after="0"/>
              <w:rPr>
                <w:sz w:val="20"/>
                <w:szCs w:val="20"/>
                <w:color w:val="auto"/>
              </w:rPr>
            </w:pPr>
            <w:r>
              <w:rPr>
                <w:rFonts w:ascii="Arial" w:cs="Arial" w:eastAsia="Arial" w:hAnsi="Arial"/>
                <w:sz w:val="16"/>
                <w:szCs w:val="16"/>
                <w:color w:val="auto"/>
              </w:rPr>
              <w:t>(0.08)</w:t>
            </w:r>
          </w:p>
        </w:tc>
        <w:tc>
          <w:tcPr>
            <w:tcW w:w="1220" w:type="dxa"/>
            <w:vAlign w:val="bottom"/>
            <w:tcBorders>
              <w:bottom w:val="single" w:sz="8" w:color="0076A8"/>
            </w:tcBorders>
          </w:tcPr>
          <w:p>
            <w:pPr>
              <w:jc w:val="right"/>
              <w:ind w:right="339"/>
              <w:spacing w:after="0"/>
              <w:rPr>
                <w:sz w:val="20"/>
                <w:szCs w:val="20"/>
                <w:color w:val="auto"/>
              </w:rPr>
            </w:pPr>
            <w:r>
              <w:rPr>
                <w:rFonts w:ascii="Arial" w:cs="Arial" w:eastAsia="Arial" w:hAnsi="Arial"/>
                <w:sz w:val="16"/>
                <w:szCs w:val="16"/>
                <w:color w:val="auto"/>
              </w:rPr>
              <w:t>1.50</w:t>
            </w:r>
          </w:p>
        </w:tc>
        <w:tc>
          <w:tcPr>
            <w:tcW w:w="1200" w:type="dxa"/>
            <w:vAlign w:val="bottom"/>
            <w:tcBorders>
              <w:bottom w:val="single" w:sz="8" w:color="0076A8"/>
            </w:tcBorders>
          </w:tcPr>
          <w:p>
            <w:pPr>
              <w:jc w:val="right"/>
              <w:ind w:right="319"/>
              <w:spacing w:after="0"/>
              <w:rPr>
                <w:sz w:val="20"/>
                <w:szCs w:val="20"/>
                <w:color w:val="auto"/>
              </w:rPr>
            </w:pPr>
            <w:r>
              <w:rPr>
                <w:rFonts w:ascii="Arial" w:cs="Arial" w:eastAsia="Arial" w:hAnsi="Arial"/>
                <w:sz w:val="16"/>
                <w:szCs w:val="16"/>
                <w:color w:val="auto"/>
              </w:rPr>
              <w:t>0.41</w:t>
            </w:r>
          </w:p>
        </w:tc>
        <w:tc>
          <w:tcPr>
            <w:tcW w:w="1300" w:type="dxa"/>
            <w:vAlign w:val="bottom"/>
            <w:tcBorders>
              <w:bottom w:val="single" w:sz="8" w:color="0076A8"/>
            </w:tcBorders>
          </w:tcPr>
          <w:p>
            <w:pPr>
              <w:jc w:val="right"/>
              <w:ind w:right="399"/>
              <w:spacing w:after="0"/>
              <w:rPr>
                <w:sz w:val="20"/>
                <w:szCs w:val="20"/>
                <w:color w:val="auto"/>
              </w:rPr>
            </w:pPr>
            <w:r>
              <w:rPr>
                <w:rFonts w:ascii="Arial" w:cs="Arial" w:eastAsia="Arial" w:hAnsi="Arial"/>
                <w:sz w:val="16"/>
                <w:szCs w:val="16"/>
                <w:color w:val="auto"/>
              </w:rPr>
              <w:t>0.18</w:t>
            </w:r>
          </w:p>
        </w:tc>
      </w:tr>
      <w:tr>
        <w:trPr>
          <w:trHeight w:val="304"/>
        </w:trPr>
        <w:tc>
          <w:tcPr>
            <w:tcW w:w="360" w:type="dxa"/>
            <w:vAlign w:val="bottom"/>
            <w:tcBorders>
              <w:bottom w:val="single" w:sz="8" w:color="0076A8"/>
            </w:tcBorders>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0076A8"/>
            </w:tcBorders>
          </w:tcPr>
          <w:p>
            <w:pPr>
              <w:jc w:val="right"/>
              <w:ind w:right="239"/>
              <w:spacing w:after="0"/>
              <w:rPr>
                <w:sz w:val="20"/>
                <w:szCs w:val="20"/>
                <w:color w:val="auto"/>
              </w:rPr>
            </w:pPr>
            <w:r>
              <w:rPr>
                <w:rFonts w:ascii="Arial" w:cs="Arial" w:eastAsia="Arial" w:hAnsi="Arial"/>
                <w:sz w:val="16"/>
                <w:szCs w:val="16"/>
                <w:b w:val="1"/>
                <w:bCs w:val="1"/>
                <w:color w:val="auto"/>
                <w:w w:val="94"/>
              </w:rPr>
              <w:t>10.50</w:t>
            </w:r>
          </w:p>
        </w:tc>
        <w:tc>
          <w:tcPr>
            <w:tcW w:w="1120" w:type="dxa"/>
            <w:vAlign w:val="bottom"/>
            <w:tcBorders>
              <w:bottom w:val="single" w:sz="8" w:color="0076A8"/>
            </w:tcBorders>
          </w:tcPr>
          <w:p>
            <w:pPr>
              <w:jc w:val="right"/>
              <w:ind w:right="319"/>
              <w:spacing w:after="0"/>
              <w:rPr>
                <w:sz w:val="20"/>
                <w:szCs w:val="20"/>
                <w:color w:val="auto"/>
              </w:rPr>
            </w:pPr>
            <w:r>
              <w:rPr>
                <w:rFonts w:ascii="Arial" w:cs="Arial" w:eastAsia="Arial" w:hAnsi="Arial"/>
                <w:sz w:val="16"/>
                <w:szCs w:val="16"/>
                <w:b w:val="1"/>
                <w:bCs w:val="1"/>
                <w:color w:val="auto"/>
              </w:rPr>
              <w:t>$ 6.13</w:t>
            </w:r>
          </w:p>
        </w:tc>
        <w:tc>
          <w:tcPr>
            <w:tcW w:w="1220" w:type="dxa"/>
            <w:vAlign w:val="bottom"/>
            <w:tcBorders>
              <w:bottom w:val="single" w:sz="8" w:color="0076A8"/>
            </w:tcBorders>
          </w:tcPr>
          <w:p>
            <w:pPr>
              <w:jc w:val="right"/>
              <w:ind w:right="339"/>
              <w:spacing w:after="0"/>
              <w:rPr>
                <w:sz w:val="20"/>
                <w:szCs w:val="20"/>
                <w:color w:val="auto"/>
              </w:rPr>
            </w:pPr>
            <w:r>
              <w:rPr>
                <w:rFonts w:ascii="Arial" w:cs="Arial" w:eastAsia="Arial" w:hAnsi="Arial"/>
                <w:sz w:val="16"/>
                <w:szCs w:val="16"/>
                <w:b w:val="1"/>
                <w:bCs w:val="1"/>
                <w:color w:val="auto"/>
              </w:rPr>
              <w:t>$ 7.22</w:t>
            </w:r>
          </w:p>
        </w:tc>
        <w:tc>
          <w:tcPr>
            <w:tcW w:w="1200" w:type="dxa"/>
            <w:vAlign w:val="bottom"/>
            <w:tcBorders>
              <w:bottom w:val="single" w:sz="8" w:color="0076A8"/>
            </w:tcBorders>
          </w:tcPr>
          <w:p>
            <w:pPr>
              <w:jc w:val="right"/>
              <w:ind w:right="319"/>
              <w:spacing w:after="0"/>
              <w:rPr>
                <w:sz w:val="20"/>
                <w:szCs w:val="20"/>
                <w:color w:val="auto"/>
              </w:rPr>
            </w:pPr>
            <w:r>
              <w:rPr>
                <w:rFonts w:ascii="Arial" w:cs="Arial" w:eastAsia="Arial" w:hAnsi="Arial"/>
                <w:sz w:val="16"/>
                <w:szCs w:val="16"/>
                <w:b w:val="1"/>
                <w:bCs w:val="1"/>
                <w:color w:val="auto"/>
              </w:rPr>
              <w:t>$ 5.27</w:t>
            </w:r>
          </w:p>
        </w:tc>
        <w:tc>
          <w:tcPr>
            <w:tcW w:w="1300" w:type="dxa"/>
            <w:vAlign w:val="bottom"/>
            <w:tcBorders>
              <w:bottom w:val="single" w:sz="8" w:color="0076A8"/>
            </w:tcBorders>
          </w:tcPr>
          <w:p>
            <w:pPr>
              <w:jc w:val="right"/>
              <w:ind w:right="399"/>
              <w:spacing w:after="0"/>
              <w:rPr>
                <w:sz w:val="20"/>
                <w:szCs w:val="20"/>
                <w:color w:val="auto"/>
              </w:rPr>
            </w:pPr>
            <w:r>
              <w:rPr>
                <w:rFonts w:ascii="Arial" w:cs="Arial" w:eastAsia="Arial" w:hAnsi="Arial"/>
                <w:sz w:val="16"/>
                <w:szCs w:val="16"/>
                <w:b w:val="1"/>
                <w:bCs w:val="1"/>
                <w:color w:val="auto"/>
              </w:rPr>
              <w:t>$ 1.90</w:t>
            </w:r>
          </w:p>
        </w:tc>
      </w:tr>
      <w:tr>
        <w:trPr>
          <w:trHeight w:val="27"/>
        </w:trPr>
        <w:tc>
          <w:tcPr>
            <w:tcW w:w="360" w:type="dxa"/>
            <w:vAlign w:val="bottom"/>
            <w:tcBorders>
              <w:bottom w:val="single" w:sz="8" w:color="0076A8"/>
            </w:tcBorders>
          </w:tcPr>
          <w:p>
            <w:pPr>
              <w:spacing w:after="0"/>
              <w:rPr>
                <w:sz w:val="2"/>
                <w:szCs w:val="2"/>
                <w:color w:val="auto"/>
              </w:rPr>
            </w:pPr>
          </w:p>
        </w:tc>
        <w:tc>
          <w:tcPr>
            <w:tcW w:w="720" w:type="dxa"/>
            <w:vAlign w:val="bottom"/>
            <w:tcBorders>
              <w:bottom w:val="single" w:sz="8" w:color="0076A8"/>
            </w:tcBorders>
          </w:tcPr>
          <w:p>
            <w:pPr>
              <w:spacing w:after="0"/>
              <w:rPr>
                <w:sz w:val="2"/>
                <w:szCs w:val="2"/>
                <w:color w:val="auto"/>
              </w:rPr>
            </w:pPr>
          </w:p>
        </w:tc>
        <w:tc>
          <w:tcPr>
            <w:tcW w:w="1120" w:type="dxa"/>
            <w:vAlign w:val="bottom"/>
            <w:tcBorders>
              <w:bottom w:val="single" w:sz="8" w:color="0076A8"/>
            </w:tcBorders>
          </w:tcPr>
          <w:p>
            <w:pPr>
              <w:spacing w:after="0"/>
              <w:rPr>
                <w:sz w:val="2"/>
                <w:szCs w:val="2"/>
                <w:color w:val="auto"/>
              </w:rPr>
            </w:pPr>
          </w:p>
        </w:tc>
        <w:tc>
          <w:tcPr>
            <w:tcW w:w="1220" w:type="dxa"/>
            <w:vAlign w:val="bottom"/>
            <w:tcBorders>
              <w:bottom w:val="single" w:sz="8" w:color="0076A8"/>
            </w:tcBorders>
          </w:tcPr>
          <w:p>
            <w:pPr>
              <w:spacing w:after="0"/>
              <w:rPr>
                <w:sz w:val="2"/>
                <w:szCs w:val="2"/>
                <w:color w:val="auto"/>
              </w:rPr>
            </w:pPr>
          </w:p>
        </w:tc>
        <w:tc>
          <w:tcPr>
            <w:tcW w:w="1200" w:type="dxa"/>
            <w:vAlign w:val="bottom"/>
            <w:tcBorders>
              <w:bottom w:val="single" w:sz="8" w:color="0076A8"/>
            </w:tcBorders>
          </w:tcPr>
          <w:p>
            <w:pPr>
              <w:spacing w:after="0"/>
              <w:rPr>
                <w:sz w:val="2"/>
                <w:szCs w:val="2"/>
                <w:color w:val="auto"/>
              </w:rPr>
            </w:pPr>
          </w:p>
        </w:tc>
        <w:tc>
          <w:tcPr>
            <w:tcW w:w="1300" w:type="dxa"/>
            <w:vAlign w:val="bottom"/>
            <w:tcBorders>
              <w:bottom w:val="single" w:sz="8" w:color="0076A8"/>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-2214245</wp:posOffset>
            </wp:positionH>
            <wp:positionV relativeFrom="paragraph">
              <wp:posOffset>-1336675</wp:posOffset>
            </wp:positionV>
            <wp:extent cx="5974715" cy="15430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5974715" cy="154305"/>
                    </a:xfrm>
                    <a:prstGeom prst="rect">
                      <a:avLst/>
                    </a:prstGeom>
                    <a:noFill/>
                  </pic:spPr>
                </pic:pic>
              </a:graphicData>
            </a:graphic>
          </wp:anchor>
        </w:drawing>
        <w:drawing>
          <wp:anchor simplePos="0" relativeHeight="251657728" behindDoc="1" locked="0" layoutInCell="0" allowOverlap="1">
            <wp:simplePos x="0" y="0"/>
            <wp:positionH relativeFrom="column">
              <wp:posOffset>-2214245</wp:posOffset>
            </wp:positionH>
            <wp:positionV relativeFrom="paragraph">
              <wp:posOffset>-1028065</wp:posOffset>
            </wp:positionV>
            <wp:extent cx="5974715" cy="15430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5974715" cy="154305"/>
                    </a:xfrm>
                    <a:prstGeom prst="rect">
                      <a:avLst/>
                    </a:prstGeom>
                    <a:noFill/>
                  </pic:spPr>
                </pic:pic>
              </a:graphicData>
            </a:graphic>
          </wp:anchor>
        </w:drawing>
        <w:drawing>
          <wp:anchor simplePos="0" relativeHeight="251657728" behindDoc="1" locked="0" layoutInCell="0" allowOverlap="1">
            <wp:simplePos x="0" y="0"/>
            <wp:positionH relativeFrom="column">
              <wp:posOffset>-2214245</wp:posOffset>
            </wp:positionH>
            <wp:positionV relativeFrom="paragraph">
              <wp:posOffset>-719455</wp:posOffset>
            </wp:positionV>
            <wp:extent cx="5974715" cy="15430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5974715" cy="154305"/>
                    </a:xfrm>
                    <a:prstGeom prst="rect">
                      <a:avLst/>
                    </a:prstGeom>
                    <a:noFill/>
                  </pic:spPr>
                </pic:pic>
              </a:graphicData>
            </a:graphic>
          </wp:anchor>
        </w:drawing>
        <w:drawing>
          <wp:anchor simplePos="0" relativeHeight="251657728" behindDoc="1" locked="0" layoutInCell="0" allowOverlap="1">
            <wp:simplePos x="0" y="0"/>
            <wp:positionH relativeFrom="column">
              <wp:posOffset>-2214245</wp:posOffset>
            </wp:positionH>
            <wp:positionV relativeFrom="paragraph">
              <wp:posOffset>-410845</wp:posOffset>
            </wp:positionV>
            <wp:extent cx="5974715" cy="17970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5974715" cy="179705"/>
                    </a:xfrm>
                    <a:prstGeom prst="rect">
                      <a:avLst/>
                    </a:prstGeom>
                    <a:noFill/>
                  </pic:spPr>
                </pic:pic>
              </a:graphicData>
            </a:graphic>
          </wp:anchor>
        </w:drawing>
      </w:r>
    </w:p>
    <w:p>
      <w:pPr>
        <w:spacing w:after="0" w:line="134" w:lineRule="exact"/>
        <w:rPr>
          <w:sz w:val="20"/>
          <w:szCs w:val="20"/>
          <w:color w:val="auto"/>
        </w:rPr>
      </w:pPr>
    </w:p>
    <w:p>
      <w:pPr>
        <w:sectPr>
          <w:pgSz w:w="11900" w:h="16838" w:orient="portrait"/>
          <w:cols w:equalWidth="0" w:num="2">
            <w:col w:w="3960" w:space="180"/>
            <w:col w:w="6580"/>
          </w:cols>
          <w:pgMar w:left="580" w:top="131" w:right="599" w:bottom="1440" w:gutter="0" w:footer="0" w:header="0"/>
          <w:type w:val="continuous"/>
        </w:sectPr>
      </w:pPr>
    </w:p>
    <w:p>
      <w:pPr>
        <w:ind w:left="1080" w:hanging="354"/>
        <w:spacing w:after="0"/>
        <w:tabs>
          <w:tab w:leader="none" w:pos="1080" w:val="left"/>
        </w:tabs>
        <w:numPr>
          <w:ilvl w:val="0"/>
          <w:numId w:val="123"/>
        </w:numPr>
        <w:rPr>
          <w:rFonts w:ascii="Arial" w:cs="Arial" w:eastAsia="Arial" w:hAnsi="Arial"/>
          <w:sz w:val="16"/>
          <w:szCs w:val="16"/>
          <w:i w:val="1"/>
          <w:iCs w:val="1"/>
          <w:color w:val="auto"/>
        </w:rPr>
      </w:pPr>
      <w:r>
        <w:rPr>
          <w:rFonts w:ascii="Arial" w:cs="Arial" w:eastAsia="Arial" w:hAnsi="Arial"/>
          <w:sz w:val="16"/>
          <w:szCs w:val="16"/>
          <w:i w:val="1"/>
          <w:iCs w:val="1"/>
          <w:color w:val="auto"/>
        </w:rPr>
        <w:t>Prior period amounts have been reclassified to conform to later period presentation.</w:t>
      </w:r>
    </w:p>
    <w:p>
      <w:pPr>
        <w:spacing w:after="0" w:line="27" w:lineRule="exact"/>
        <w:rPr>
          <w:sz w:val="20"/>
          <w:szCs w:val="20"/>
          <w:color w:val="auto"/>
        </w:rPr>
      </w:pPr>
    </w:p>
    <w:p>
      <w:pPr>
        <w:ind w:left="1080" w:right="660" w:hanging="354"/>
        <w:spacing w:after="0" w:line="270" w:lineRule="auto"/>
        <w:tabs>
          <w:tab w:leader="none" w:pos="1080" w:val="left"/>
        </w:tabs>
        <w:numPr>
          <w:ilvl w:val="0"/>
          <w:numId w:val="124"/>
        </w:numPr>
        <w:rPr>
          <w:rFonts w:ascii="Arial" w:cs="Arial" w:eastAsia="Arial" w:hAnsi="Arial"/>
          <w:sz w:val="16"/>
          <w:szCs w:val="16"/>
          <w:i w:val="1"/>
          <w:iCs w:val="1"/>
          <w:color w:val="auto"/>
        </w:rPr>
      </w:pPr>
      <w:r>
        <w:rPr>
          <w:rFonts w:ascii="Arial" w:cs="Arial" w:eastAsia="Arial" w:hAnsi="Arial"/>
          <w:sz w:val="16"/>
          <w:szCs w:val="16"/>
          <w:i w:val="1"/>
          <w:iCs w:val="1"/>
          <w:color w:val="auto"/>
        </w:rPr>
        <w:t>The following table summarizes the expense recognized in accordance with ASC 718 — Compensation, Stock Compensation (in millions):</w:t>
      </w:r>
    </w:p>
    <w:p>
      <w:pPr>
        <w:spacing w:after="0" w:line="78" w:lineRule="exact"/>
        <w:rPr>
          <w:sz w:val="20"/>
          <w:szCs w:val="20"/>
          <w:color w:val="auto"/>
        </w:rPr>
      </w:pPr>
    </w:p>
    <w:tbl>
      <w:tblPr>
        <w:tblLayout w:type="fixed"/>
        <w:tblInd w:w="1020" w:type="dxa"/>
        <w:tblCellMar>
          <w:top w:w="0" w:type="dxa"/>
          <w:left w:w="0" w:type="dxa"/>
          <w:bottom w:w="0" w:type="dxa"/>
          <w:right w:w="0" w:type="dxa"/>
        </w:tblCellMar>
      </w:tblPr>
      <w:tr>
        <w:trPr>
          <w:trHeight w:val="263"/>
        </w:trPr>
        <w:tc>
          <w:tcPr>
            <w:tcW w:w="3040" w:type="dxa"/>
            <w:vAlign w:val="bottom"/>
            <w:tcBorders>
              <w:bottom w:val="single" w:sz="8" w:color="0076A8"/>
            </w:tcBorders>
            <w:shd w:val="clear" w:color="auto" w:fill="0076A8"/>
          </w:tcPr>
          <w:p>
            <w:pPr>
              <w:spacing w:after="0"/>
              <w:rPr>
                <w:sz w:val="22"/>
                <w:szCs w:val="22"/>
                <w:color w:val="auto"/>
              </w:rPr>
            </w:pPr>
          </w:p>
        </w:tc>
        <w:tc>
          <w:tcPr>
            <w:tcW w:w="1040" w:type="dxa"/>
            <w:vAlign w:val="bottom"/>
            <w:tcBorders>
              <w:bottom w:val="single" w:sz="8" w:color="FEFEFE"/>
            </w:tcBorders>
            <w:shd w:val="clear" w:color="auto" w:fill="0076A8"/>
          </w:tcPr>
          <w:p>
            <w:pPr>
              <w:spacing w:after="0"/>
              <w:rPr>
                <w:sz w:val="22"/>
                <w:szCs w:val="22"/>
                <w:color w:val="auto"/>
              </w:rPr>
            </w:pPr>
          </w:p>
        </w:tc>
        <w:tc>
          <w:tcPr>
            <w:tcW w:w="1000" w:type="dxa"/>
            <w:vAlign w:val="bottom"/>
            <w:tcBorders>
              <w:bottom w:val="single" w:sz="8" w:color="FEFEFE"/>
            </w:tcBorders>
            <w:shd w:val="clear" w:color="auto" w:fill="0076A8"/>
          </w:tcPr>
          <w:p>
            <w:pPr>
              <w:spacing w:after="0"/>
              <w:rPr>
                <w:sz w:val="22"/>
                <w:szCs w:val="22"/>
                <w:color w:val="auto"/>
              </w:rPr>
            </w:pPr>
          </w:p>
        </w:tc>
        <w:tc>
          <w:tcPr>
            <w:tcW w:w="1400" w:type="dxa"/>
            <w:vAlign w:val="bottom"/>
            <w:tcBorders>
              <w:bottom w:val="single" w:sz="8" w:color="FEFEFE"/>
            </w:tcBorders>
            <w:shd w:val="clear" w:color="auto" w:fill="0076A8"/>
          </w:tcPr>
          <w:p>
            <w:pPr>
              <w:jc w:val="right"/>
              <w:ind w:right="97"/>
              <w:spacing w:after="0"/>
              <w:rPr>
                <w:sz w:val="20"/>
                <w:szCs w:val="20"/>
                <w:color w:val="auto"/>
              </w:rPr>
            </w:pPr>
            <w:r>
              <w:rPr>
                <w:rFonts w:ascii="Arial" w:cs="Arial" w:eastAsia="Arial" w:hAnsi="Arial"/>
                <w:sz w:val="18"/>
                <w:szCs w:val="18"/>
                <w:color w:val="FFFFFF"/>
              </w:rPr>
              <w:t>Year Ended</w:t>
            </w:r>
          </w:p>
        </w:tc>
        <w:tc>
          <w:tcPr>
            <w:tcW w:w="940" w:type="dxa"/>
            <w:vAlign w:val="bottom"/>
            <w:tcBorders>
              <w:bottom w:val="single" w:sz="8" w:color="FEFEFE"/>
            </w:tcBorders>
            <w:shd w:val="clear" w:color="auto" w:fill="0076A8"/>
          </w:tcPr>
          <w:p>
            <w:pPr>
              <w:spacing w:after="0"/>
              <w:rPr>
                <w:sz w:val="22"/>
                <w:szCs w:val="22"/>
                <w:color w:val="auto"/>
              </w:rPr>
            </w:pPr>
          </w:p>
        </w:tc>
        <w:tc>
          <w:tcPr>
            <w:tcW w:w="1220" w:type="dxa"/>
            <w:vAlign w:val="bottom"/>
            <w:tcBorders>
              <w:bottom w:val="single" w:sz="8" w:color="FEFEFE"/>
            </w:tcBorders>
            <w:shd w:val="clear" w:color="auto" w:fill="0076A8"/>
          </w:tcPr>
          <w:p>
            <w:pPr>
              <w:spacing w:after="0"/>
              <w:rPr>
                <w:sz w:val="22"/>
                <w:szCs w:val="22"/>
                <w:color w:val="auto"/>
              </w:rPr>
            </w:pPr>
          </w:p>
        </w:tc>
        <w:tc>
          <w:tcPr>
            <w:tcW w:w="60" w:type="dxa"/>
            <w:vAlign w:val="bottom"/>
            <w:tcBorders>
              <w:bottom w:val="single" w:sz="8" w:color="0076A8"/>
            </w:tcBorders>
            <w:shd w:val="clear" w:color="auto" w:fill="0076A8"/>
          </w:tcPr>
          <w:p>
            <w:pPr>
              <w:spacing w:after="0"/>
              <w:rPr>
                <w:sz w:val="22"/>
                <w:szCs w:val="22"/>
                <w:color w:val="auto"/>
              </w:rPr>
            </w:pPr>
          </w:p>
        </w:tc>
      </w:tr>
      <w:tr>
        <w:trPr>
          <w:trHeight w:val="257"/>
        </w:trPr>
        <w:tc>
          <w:tcPr>
            <w:tcW w:w="3040" w:type="dxa"/>
            <w:vAlign w:val="bottom"/>
            <w:shd w:val="clear" w:color="auto" w:fill="0076A8"/>
          </w:tcPr>
          <w:p>
            <w:pPr>
              <w:spacing w:after="0"/>
              <w:rPr>
                <w:sz w:val="22"/>
                <w:szCs w:val="22"/>
                <w:color w:val="auto"/>
              </w:rPr>
            </w:pPr>
          </w:p>
        </w:tc>
        <w:tc>
          <w:tcPr>
            <w:tcW w:w="4380" w:type="dxa"/>
            <w:vAlign w:val="bottom"/>
            <w:gridSpan w:val="4"/>
            <w:shd w:val="clear" w:color="auto" w:fill="0076A8"/>
          </w:tcPr>
          <w:p>
            <w:pPr>
              <w:jc w:val="right"/>
              <w:spacing w:after="0"/>
              <w:rPr>
                <w:sz w:val="20"/>
                <w:szCs w:val="20"/>
                <w:color w:val="auto"/>
              </w:rPr>
            </w:pPr>
            <w:r>
              <w:rPr>
                <w:rFonts w:ascii="Arial" w:cs="Arial" w:eastAsia="Arial" w:hAnsi="Arial"/>
                <w:sz w:val="18"/>
                <w:szCs w:val="18"/>
                <w:color w:val="FFFFFF"/>
              </w:rPr>
              <w:t>Oct. 1, 2021 Oct. 2, 2020 Sep. 28, 2018 Oct. 2, 2015</w:t>
            </w:r>
          </w:p>
        </w:tc>
        <w:tc>
          <w:tcPr>
            <w:tcW w:w="1280" w:type="dxa"/>
            <w:vAlign w:val="bottom"/>
            <w:gridSpan w:val="2"/>
            <w:shd w:val="clear" w:color="auto" w:fill="0076A8"/>
          </w:tcPr>
          <w:p>
            <w:pPr>
              <w:ind w:left="60"/>
              <w:spacing w:after="0"/>
              <w:rPr>
                <w:sz w:val="20"/>
                <w:szCs w:val="20"/>
                <w:color w:val="auto"/>
              </w:rPr>
            </w:pPr>
            <w:r>
              <w:rPr>
                <w:rFonts w:ascii="Arial" w:cs="Arial" w:eastAsia="Arial" w:hAnsi="Arial"/>
                <w:sz w:val="18"/>
                <w:szCs w:val="18"/>
                <w:color w:val="FFFFFF"/>
              </w:rPr>
              <w:t>Sep. 28, 2012</w:t>
            </w:r>
          </w:p>
        </w:tc>
      </w:tr>
      <w:tr>
        <w:trPr>
          <w:trHeight w:val="243"/>
        </w:trPr>
        <w:tc>
          <w:tcPr>
            <w:tcW w:w="3040" w:type="dxa"/>
            <w:vAlign w:val="bottom"/>
            <w:shd w:val="clear" w:color="auto" w:fill="E5E5E5"/>
          </w:tcPr>
          <w:p>
            <w:pPr>
              <w:ind w:left="40"/>
              <w:spacing w:after="0"/>
              <w:rPr>
                <w:sz w:val="20"/>
                <w:szCs w:val="20"/>
                <w:color w:val="auto"/>
              </w:rPr>
            </w:pPr>
            <w:r>
              <w:rPr>
                <w:rFonts w:ascii="Arial" w:cs="Arial" w:eastAsia="Arial" w:hAnsi="Arial"/>
                <w:sz w:val="16"/>
                <w:szCs w:val="16"/>
                <w:color w:val="auto"/>
              </w:rPr>
              <w:t>Cost of goods sold</w:t>
            </w:r>
          </w:p>
        </w:tc>
        <w:tc>
          <w:tcPr>
            <w:tcW w:w="1040" w:type="dxa"/>
            <w:vAlign w:val="bottom"/>
            <w:shd w:val="clear" w:color="auto" w:fill="E5E5E5"/>
          </w:tcPr>
          <w:p>
            <w:pPr>
              <w:jc w:val="right"/>
              <w:ind w:right="257"/>
              <w:spacing w:after="0"/>
              <w:rPr>
                <w:sz w:val="20"/>
                <w:szCs w:val="20"/>
                <w:color w:val="auto"/>
              </w:rPr>
            </w:pPr>
            <w:r>
              <w:rPr>
                <w:rFonts w:ascii="Arial" w:cs="Arial" w:eastAsia="Arial" w:hAnsi="Arial"/>
                <w:sz w:val="16"/>
                <w:szCs w:val="16"/>
                <w:color w:val="auto"/>
              </w:rPr>
              <w:t>$28.9</w:t>
            </w:r>
          </w:p>
        </w:tc>
        <w:tc>
          <w:tcPr>
            <w:tcW w:w="1000" w:type="dxa"/>
            <w:vAlign w:val="bottom"/>
            <w:shd w:val="clear" w:color="auto" w:fill="E5E5E5"/>
          </w:tcPr>
          <w:p>
            <w:pPr>
              <w:jc w:val="right"/>
              <w:ind w:right="179"/>
              <w:spacing w:after="0"/>
              <w:rPr>
                <w:sz w:val="20"/>
                <w:szCs w:val="20"/>
                <w:color w:val="auto"/>
              </w:rPr>
            </w:pPr>
            <w:r>
              <w:rPr>
                <w:rFonts w:ascii="Arial" w:cs="Arial" w:eastAsia="Arial" w:hAnsi="Arial"/>
                <w:sz w:val="16"/>
                <w:szCs w:val="16"/>
                <w:color w:val="auto"/>
              </w:rPr>
              <w:t>$23.2</w:t>
            </w:r>
          </w:p>
        </w:tc>
        <w:tc>
          <w:tcPr>
            <w:tcW w:w="1400" w:type="dxa"/>
            <w:vAlign w:val="bottom"/>
            <w:shd w:val="clear" w:color="auto" w:fill="E5E5E5"/>
          </w:tcPr>
          <w:p>
            <w:pPr>
              <w:jc w:val="right"/>
              <w:ind w:right="457"/>
              <w:spacing w:after="0"/>
              <w:rPr>
                <w:sz w:val="20"/>
                <w:szCs w:val="20"/>
                <w:color w:val="auto"/>
              </w:rPr>
            </w:pPr>
            <w:r>
              <w:rPr>
                <w:rFonts w:ascii="Arial" w:cs="Arial" w:eastAsia="Arial" w:hAnsi="Arial"/>
                <w:sz w:val="16"/>
                <w:szCs w:val="16"/>
                <w:color w:val="auto"/>
              </w:rPr>
              <w:t>$14.4</w:t>
            </w:r>
          </w:p>
        </w:tc>
        <w:tc>
          <w:tcPr>
            <w:tcW w:w="940" w:type="dxa"/>
            <w:vAlign w:val="bottom"/>
            <w:shd w:val="clear" w:color="auto" w:fill="E5E5E5"/>
          </w:tcPr>
          <w:p>
            <w:pPr>
              <w:jc w:val="right"/>
              <w:ind w:right="259"/>
              <w:spacing w:after="0"/>
              <w:rPr>
                <w:sz w:val="20"/>
                <w:szCs w:val="20"/>
                <w:color w:val="auto"/>
              </w:rPr>
            </w:pPr>
            <w:r>
              <w:rPr>
                <w:rFonts w:ascii="Arial" w:cs="Arial" w:eastAsia="Arial" w:hAnsi="Arial"/>
                <w:sz w:val="16"/>
                <w:szCs w:val="16"/>
                <w:color w:val="auto"/>
              </w:rPr>
              <w:t>$14.5</w:t>
            </w:r>
          </w:p>
        </w:tc>
        <w:tc>
          <w:tcPr>
            <w:tcW w:w="1220" w:type="dxa"/>
            <w:vAlign w:val="bottom"/>
            <w:shd w:val="clear" w:color="auto" w:fill="E5E5E5"/>
          </w:tcPr>
          <w:p>
            <w:pPr>
              <w:jc w:val="right"/>
              <w:ind w:right="317"/>
              <w:spacing w:after="0"/>
              <w:rPr>
                <w:sz w:val="20"/>
                <w:szCs w:val="20"/>
                <w:color w:val="auto"/>
              </w:rPr>
            </w:pPr>
            <w:r>
              <w:rPr>
                <w:rFonts w:ascii="Arial" w:cs="Arial" w:eastAsia="Arial" w:hAnsi="Arial"/>
                <w:sz w:val="16"/>
                <w:szCs w:val="16"/>
                <w:color w:val="auto"/>
              </w:rPr>
              <w:t>$  9.4</w:t>
            </w:r>
          </w:p>
        </w:tc>
        <w:tc>
          <w:tcPr>
            <w:tcW w:w="60" w:type="dxa"/>
            <w:vAlign w:val="bottom"/>
            <w:shd w:val="clear" w:color="auto" w:fill="E5E5E5"/>
          </w:tcPr>
          <w:p>
            <w:pPr>
              <w:spacing w:after="0"/>
              <w:rPr>
                <w:sz w:val="21"/>
                <w:szCs w:val="21"/>
                <w:color w:val="auto"/>
              </w:rPr>
            </w:pPr>
          </w:p>
        </w:tc>
      </w:tr>
      <w:tr>
        <w:trPr>
          <w:trHeight w:val="253"/>
        </w:trPr>
        <w:tc>
          <w:tcPr>
            <w:tcW w:w="3040" w:type="dxa"/>
            <w:vAlign w:val="bottom"/>
          </w:tcPr>
          <w:p>
            <w:pPr>
              <w:ind w:left="40"/>
              <w:spacing w:after="0"/>
              <w:rPr>
                <w:sz w:val="20"/>
                <w:szCs w:val="20"/>
                <w:color w:val="auto"/>
              </w:rPr>
            </w:pPr>
            <w:r>
              <w:rPr>
                <w:rFonts w:ascii="Arial" w:cs="Arial" w:eastAsia="Arial" w:hAnsi="Arial"/>
                <w:sz w:val="16"/>
                <w:szCs w:val="16"/>
                <w:color w:val="auto"/>
              </w:rPr>
              <w:t>Research and development</w:t>
            </w:r>
          </w:p>
        </w:tc>
        <w:tc>
          <w:tcPr>
            <w:tcW w:w="1040" w:type="dxa"/>
            <w:vAlign w:val="bottom"/>
          </w:tcPr>
          <w:p>
            <w:pPr>
              <w:jc w:val="right"/>
              <w:ind w:right="257"/>
              <w:spacing w:after="0"/>
              <w:rPr>
                <w:sz w:val="20"/>
                <w:szCs w:val="20"/>
                <w:color w:val="auto"/>
              </w:rPr>
            </w:pPr>
            <w:r>
              <w:rPr>
                <w:rFonts w:ascii="Arial" w:cs="Arial" w:eastAsia="Arial" w:hAnsi="Arial"/>
                <w:sz w:val="16"/>
                <w:szCs w:val="16"/>
                <w:color w:val="auto"/>
              </w:rPr>
              <w:t>85.7</w:t>
            </w:r>
          </w:p>
        </w:tc>
        <w:tc>
          <w:tcPr>
            <w:tcW w:w="1000" w:type="dxa"/>
            <w:vAlign w:val="bottom"/>
          </w:tcPr>
          <w:p>
            <w:pPr>
              <w:jc w:val="right"/>
              <w:ind w:right="179"/>
              <w:spacing w:after="0"/>
              <w:rPr>
                <w:sz w:val="20"/>
                <w:szCs w:val="20"/>
                <w:color w:val="auto"/>
              </w:rPr>
            </w:pPr>
            <w:r>
              <w:rPr>
                <w:rFonts w:ascii="Arial" w:cs="Arial" w:eastAsia="Arial" w:hAnsi="Arial"/>
                <w:sz w:val="16"/>
                <w:szCs w:val="16"/>
                <w:color w:val="auto"/>
              </w:rPr>
              <w:t>68.7</w:t>
            </w:r>
          </w:p>
        </w:tc>
        <w:tc>
          <w:tcPr>
            <w:tcW w:w="1400" w:type="dxa"/>
            <w:vAlign w:val="bottom"/>
          </w:tcPr>
          <w:p>
            <w:pPr>
              <w:jc w:val="right"/>
              <w:ind w:right="457"/>
              <w:spacing w:after="0"/>
              <w:rPr>
                <w:sz w:val="20"/>
                <w:szCs w:val="20"/>
                <w:color w:val="auto"/>
              </w:rPr>
            </w:pPr>
            <w:r>
              <w:rPr>
                <w:rFonts w:ascii="Arial" w:cs="Arial" w:eastAsia="Arial" w:hAnsi="Arial"/>
                <w:sz w:val="16"/>
                <w:szCs w:val="16"/>
                <w:color w:val="auto"/>
              </w:rPr>
              <w:t>42.6</w:t>
            </w:r>
          </w:p>
        </w:tc>
        <w:tc>
          <w:tcPr>
            <w:tcW w:w="940" w:type="dxa"/>
            <w:vAlign w:val="bottom"/>
          </w:tcPr>
          <w:p>
            <w:pPr>
              <w:jc w:val="right"/>
              <w:ind w:right="259"/>
              <w:spacing w:after="0"/>
              <w:rPr>
                <w:sz w:val="20"/>
                <w:szCs w:val="20"/>
                <w:color w:val="auto"/>
              </w:rPr>
            </w:pPr>
            <w:r>
              <w:rPr>
                <w:rFonts w:ascii="Arial" w:cs="Arial" w:eastAsia="Arial" w:hAnsi="Arial"/>
                <w:sz w:val="16"/>
                <w:szCs w:val="16"/>
                <w:color w:val="auto"/>
              </w:rPr>
              <w:t>45.5</w:t>
            </w:r>
          </w:p>
        </w:tc>
        <w:tc>
          <w:tcPr>
            <w:tcW w:w="1220" w:type="dxa"/>
            <w:vAlign w:val="bottom"/>
          </w:tcPr>
          <w:p>
            <w:pPr>
              <w:jc w:val="right"/>
              <w:ind w:right="317"/>
              <w:spacing w:after="0"/>
              <w:rPr>
                <w:sz w:val="20"/>
                <w:szCs w:val="20"/>
                <w:color w:val="auto"/>
              </w:rPr>
            </w:pPr>
            <w:r>
              <w:rPr>
                <w:rFonts w:ascii="Arial" w:cs="Arial" w:eastAsia="Arial" w:hAnsi="Arial"/>
                <w:sz w:val="16"/>
                <w:szCs w:val="16"/>
                <w:color w:val="auto"/>
              </w:rPr>
              <w:t>28.0</w:t>
            </w:r>
          </w:p>
        </w:tc>
        <w:tc>
          <w:tcPr>
            <w:tcW w:w="60" w:type="dxa"/>
            <w:vAlign w:val="bottom"/>
          </w:tcPr>
          <w:p>
            <w:pPr>
              <w:spacing w:after="0"/>
              <w:rPr>
                <w:sz w:val="22"/>
                <w:szCs w:val="22"/>
                <w:color w:val="auto"/>
              </w:rPr>
            </w:pPr>
          </w:p>
        </w:tc>
      </w:tr>
      <w:tr>
        <w:trPr>
          <w:trHeight w:val="246"/>
        </w:trPr>
        <w:tc>
          <w:tcPr>
            <w:tcW w:w="3040" w:type="dxa"/>
            <w:vAlign w:val="bottom"/>
            <w:shd w:val="clear" w:color="auto" w:fill="E5E5E5"/>
          </w:tcPr>
          <w:p>
            <w:pPr>
              <w:ind w:left="40"/>
              <w:spacing w:after="0"/>
              <w:rPr>
                <w:sz w:val="20"/>
                <w:szCs w:val="20"/>
                <w:color w:val="auto"/>
              </w:rPr>
            </w:pPr>
            <w:r>
              <w:rPr>
                <w:rFonts w:ascii="Arial" w:cs="Arial" w:eastAsia="Arial" w:hAnsi="Arial"/>
                <w:sz w:val="16"/>
                <w:szCs w:val="16"/>
                <w:color w:val="auto"/>
              </w:rPr>
              <w:t>Selling, general, and administrative</w:t>
            </w:r>
          </w:p>
        </w:tc>
        <w:tc>
          <w:tcPr>
            <w:tcW w:w="1040" w:type="dxa"/>
            <w:vAlign w:val="bottom"/>
            <w:shd w:val="clear" w:color="auto" w:fill="E5E5E5"/>
          </w:tcPr>
          <w:p>
            <w:pPr>
              <w:jc w:val="right"/>
              <w:ind w:right="257"/>
              <w:spacing w:after="0"/>
              <w:rPr>
                <w:sz w:val="20"/>
                <w:szCs w:val="20"/>
                <w:color w:val="auto"/>
              </w:rPr>
            </w:pPr>
            <w:r>
              <w:rPr>
                <w:rFonts w:ascii="Arial" w:cs="Arial" w:eastAsia="Arial" w:hAnsi="Arial"/>
                <w:sz w:val="16"/>
                <w:szCs w:val="16"/>
                <w:color w:val="auto"/>
              </w:rPr>
              <w:t>77.3</w:t>
            </w:r>
          </w:p>
        </w:tc>
        <w:tc>
          <w:tcPr>
            <w:tcW w:w="1000" w:type="dxa"/>
            <w:vAlign w:val="bottom"/>
            <w:shd w:val="clear" w:color="auto" w:fill="E5E5E5"/>
          </w:tcPr>
          <w:p>
            <w:pPr>
              <w:jc w:val="right"/>
              <w:ind w:right="179"/>
              <w:spacing w:after="0"/>
              <w:rPr>
                <w:sz w:val="20"/>
                <w:szCs w:val="20"/>
                <w:color w:val="auto"/>
              </w:rPr>
            </w:pPr>
            <w:r>
              <w:rPr>
                <w:rFonts w:ascii="Arial" w:cs="Arial" w:eastAsia="Arial" w:hAnsi="Arial"/>
                <w:sz w:val="16"/>
                <w:szCs w:val="16"/>
                <w:color w:val="auto"/>
              </w:rPr>
              <w:t>64.7</w:t>
            </w:r>
          </w:p>
        </w:tc>
        <w:tc>
          <w:tcPr>
            <w:tcW w:w="1400" w:type="dxa"/>
            <w:vAlign w:val="bottom"/>
            <w:shd w:val="clear" w:color="auto" w:fill="E5E5E5"/>
          </w:tcPr>
          <w:p>
            <w:pPr>
              <w:jc w:val="right"/>
              <w:ind w:right="457"/>
              <w:spacing w:after="0"/>
              <w:rPr>
                <w:sz w:val="20"/>
                <w:szCs w:val="20"/>
                <w:color w:val="auto"/>
              </w:rPr>
            </w:pPr>
            <w:r>
              <w:rPr>
                <w:rFonts w:ascii="Arial" w:cs="Arial" w:eastAsia="Arial" w:hAnsi="Arial"/>
                <w:sz w:val="16"/>
                <w:szCs w:val="16"/>
                <w:color w:val="auto"/>
              </w:rPr>
              <w:t>50.8</w:t>
            </w:r>
          </w:p>
        </w:tc>
        <w:tc>
          <w:tcPr>
            <w:tcW w:w="940" w:type="dxa"/>
            <w:vAlign w:val="bottom"/>
            <w:shd w:val="clear" w:color="auto" w:fill="E5E5E5"/>
          </w:tcPr>
          <w:p>
            <w:pPr>
              <w:jc w:val="right"/>
              <w:ind w:right="259"/>
              <w:spacing w:after="0"/>
              <w:rPr>
                <w:sz w:val="20"/>
                <w:szCs w:val="20"/>
                <w:color w:val="auto"/>
              </w:rPr>
            </w:pPr>
            <w:r>
              <w:rPr>
                <w:rFonts w:ascii="Arial" w:cs="Arial" w:eastAsia="Arial" w:hAnsi="Arial"/>
                <w:sz w:val="16"/>
                <w:szCs w:val="16"/>
                <w:color w:val="auto"/>
              </w:rPr>
              <w:t>39.9</w:t>
            </w:r>
          </w:p>
        </w:tc>
        <w:tc>
          <w:tcPr>
            <w:tcW w:w="1220" w:type="dxa"/>
            <w:vAlign w:val="bottom"/>
            <w:shd w:val="clear" w:color="auto" w:fill="E5E5E5"/>
          </w:tcPr>
          <w:p>
            <w:pPr>
              <w:jc w:val="right"/>
              <w:ind w:right="317"/>
              <w:spacing w:after="0"/>
              <w:rPr>
                <w:sz w:val="20"/>
                <w:szCs w:val="20"/>
                <w:color w:val="auto"/>
              </w:rPr>
            </w:pPr>
            <w:r>
              <w:rPr>
                <w:rFonts w:ascii="Arial" w:cs="Arial" w:eastAsia="Arial" w:hAnsi="Arial"/>
                <w:sz w:val="16"/>
                <w:szCs w:val="16"/>
                <w:color w:val="auto"/>
              </w:rPr>
              <w:t>34.8</w:t>
            </w:r>
          </w:p>
        </w:tc>
        <w:tc>
          <w:tcPr>
            <w:tcW w:w="60" w:type="dxa"/>
            <w:vAlign w:val="bottom"/>
            <w:shd w:val="clear" w:color="auto" w:fill="E5E5E5"/>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6132195</wp:posOffset>
            </wp:positionH>
            <wp:positionV relativeFrom="paragraph">
              <wp:posOffset>-641985</wp:posOffset>
            </wp:positionV>
            <wp:extent cx="3429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2540000</wp:posOffset>
            </wp:positionH>
            <wp:positionV relativeFrom="paragraph">
              <wp:posOffset>-641985</wp:posOffset>
            </wp:positionV>
            <wp:extent cx="3429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01" w:lineRule="exact"/>
        <w:rPr>
          <w:sz w:val="20"/>
          <w:szCs w:val="20"/>
          <w:color w:val="auto"/>
        </w:rPr>
      </w:pPr>
    </w:p>
    <w:p>
      <w:pPr>
        <w:ind w:left="1080" w:right="680" w:hanging="354"/>
        <w:spacing w:after="0" w:line="263" w:lineRule="auto"/>
        <w:tabs>
          <w:tab w:leader="none" w:pos="1080" w:val="left"/>
        </w:tabs>
        <w:numPr>
          <w:ilvl w:val="0"/>
          <w:numId w:val="125"/>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these amounts for the fiscal year ended September 28, 2018, is a one-time charge of $224.6 million related to the mandatory deemed repatriation tax on foreign earnings and a one-time charge of $18.3 million related to the revaluation of deferred tax assets and liabilities related to tax reform.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3011805</wp:posOffset>
            </wp:positionH>
            <wp:positionV relativeFrom="paragraph">
              <wp:posOffset>850900</wp:posOffset>
            </wp:positionV>
            <wp:extent cx="779780" cy="25717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7978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80" w:type="dxa"/>
            <w:vAlign w:val="bottom"/>
          </w:tcPr>
          <w:p>
            <w:pPr>
              <w:ind w:left="660"/>
              <w:spacing w:after="0"/>
              <w:rPr>
                <w:sz w:val="20"/>
                <w:szCs w:val="20"/>
                <w:color w:val="auto"/>
              </w:rPr>
            </w:pPr>
            <w:r>
              <w:rPr>
                <w:rFonts w:ascii="Arial" w:cs="Arial" w:eastAsia="Arial" w:hAnsi="Arial"/>
                <w:sz w:val="16"/>
                <w:szCs w:val="16"/>
                <w:color w:val="auto"/>
              </w:rPr>
              <w:t>Appendix B</w:t>
            </w:r>
          </w:p>
        </w:tc>
        <w:tc>
          <w:tcPr>
            <w:tcW w:w="5040" w:type="dxa"/>
            <w:vAlign w:val="bottom"/>
          </w:tcPr>
          <w:p>
            <w:pPr>
              <w:jc w:val="right"/>
              <w:ind w:right="579"/>
              <w:spacing w:after="0"/>
              <w:rPr>
                <w:sz w:val="20"/>
                <w:szCs w:val="20"/>
                <w:color w:val="auto"/>
              </w:rPr>
            </w:pPr>
            <w:r>
              <w:rPr>
                <w:rFonts w:ascii="Arial" w:cs="Arial" w:eastAsia="Arial" w:hAnsi="Arial"/>
                <w:sz w:val="16"/>
                <w:szCs w:val="16"/>
                <w:color w:val="auto"/>
              </w:rPr>
              <w:t>83</w:t>
            </w:r>
          </w:p>
        </w:tc>
      </w:tr>
      <w:tr>
        <w:trPr>
          <w:trHeight w:val="296"/>
        </w:trPr>
        <w:tc>
          <w:tcPr>
            <w:tcW w:w="5680" w:type="dxa"/>
            <w:vAlign w:val="bottom"/>
            <w:tcBorders>
              <w:bottom w:val="single" w:sz="8" w:color="9A9A9A"/>
            </w:tcBorders>
          </w:tcPr>
          <w:p>
            <w:pPr>
              <w:spacing w:after="0"/>
              <w:rPr>
                <w:sz w:val="24"/>
                <w:szCs w:val="24"/>
                <w:color w:val="auto"/>
              </w:rPr>
            </w:pPr>
          </w:p>
        </w:tc>
        <w:tc>
          <w:tcPr>
            <w:tcW w:w="5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type w:val="continuous"/>
        </w:sectPr>
      </w:pPr>
    </w:p>
    <w:bookmarkStart w:id="88" w:name="page89"/>
    <w:bookmarkEnd w:id="8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ind w:right="-79"/>
        <w:spacing w:after="0"/>
        <w:rPr>
          <w:sz w:val="20"/>
          <w:szCs w:val="20"/>
          <w:color w:val="auto"/>
        </w:rPr>
      </w:pPr>
      <w:r>
        <w:rPr>
          <w:rFonts w:ascii="Arial" w:cs="Arial" w:eastAsia="Arial" w:hAnsi="Arial"/>
          <w:sz w:val="28"/>
          <w:szCs w:val="28"/>
          <w:b w:val="1"/>
          <w:bCs w:val="1"/>
          <w:color w:val="auto"/>
        </w:rPr>
        <w:t>Discussion Regarding the Use of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86995</wp:posOffset>
            </wp:positionV>
            <wp:extent cx="597471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5974715" cy="8255"/>
                    </a:xfrm>
                    <a:prstGeom prst="rect">
                      <a:avLst/>
                    </a:prstGeom>
                    <a:noFill/>
                  </pic:spPr>
                </pic:pic>
              </a:graphicData>
            </a:graphic>
          </wp:anchor>
        </w:drawing>
      </w:r>
    </w:p>
    <w:p>
      <w:pPr>
        <w:sectPr>
          <w:pgSz w:w="11900" w:h="16838" w:orient="portrait"/>
          <w:cols w:equalWidth="0" w:num="1">
            <w:col w:w="10060"/>
          </w:cols>
          <w:pgMar w:left="580" w:top="131" w:right="1259" w:bottom="1440" w:gutter="0" w:footer="0" w:header="0"/>
        </w:sectPr>
      </w:pPr>
    </w:p>
    <w:p>
      <w:pPr>
        <w:spacing w:after="0" w:line="200" w:lineRule="exact"/>
        <w:rPr>
          <w:sz w:val="20"/>
          <w:szCs w:val="20"/>
          <w:color w:val="auto"/>
        </w:rPr>
      </w:pPr>
    </w:p>
    <w:p>
      <w:pPr>
        <w:spacing w:after="0" w:line="217" w:lineRule="exact"/>
        <w:rPr>
          <w:sz w:val="20"/>
          <w:szCs w:val="20"/>
          <w:color w:val="auto"/>
        </w:rPr>
      </w:pPr>
    </w:p>
    <w:p>
      <w:pPr>
        <w:ind w:left="660"/>
        <w:spacing w:after="0" w:line="267" w:lineRule="auto"/>
        <w:rPr>
          <w:sz w:val="20"/>
          <w:szCs w:val="20"/>
          <w:color w:val="auto"/>
        </w:rPr>
      </w:pPr>
      <w:r>
        <w:rPr>
          <w:rFonts w:ascii="Arial" w:cs="Arial" w:eastAsia="Arial" w:hAnsi="Arial"/>
          <w:sz w:val="19"/>
          <w:szCs w:val="19"/>
          <w:color w:val="191919"/>
        </w:rPr>
        <w:t>Our annual report and this proxy statement contain some or all of the following financial measures that have not been calculated in accordance with United States Generally Accepted Accounting Principles (“GAAP”): (i) non-GAAP operating income and operating margin, and (ii) non-GAAP diluted earnings per share. As set forth in the “Unaudited Reconciliations of Non-GAAP Financial Measures” table above, we derive such non-GAAP financial measures by excluding certain expenses and other items from the respective GAAP financial measure that is most directly comparable to each non-GAAP financial measure. Management uses these non-GAAP financial measures to evaluate our operating performance and compare it against past periods, make operating decisions, forecast for future periods, compare our operating performance against peer companies and determine payments under certain compensation programs. These non-GAAP financial measures provide management with additional means to understand and evaluate the operating results and trends in our ongoing business by eliminating certain non-recurring expenses and other items that management believes might otherwise make comparisons of our ongoing business with prior periods and competitors more difficult, obscure trends in ongoing operations or reduce management’s ability to make forecasts.</w:t>
      </w:r>
    </w:p>
    <w:p>
      <w:pPr>
        <w:spacing w:after="0" w:line="200" w:lineRule="exact"/>
        <w:rPr>
          <w:sz w:val="20"/>
          <w:szCs w:val="20"/>
          <w:color w:val="auto"/>
        </w:rPr>
      </w:pPr>
    </w:p>
    <w:p>
      <w:pPr>
        <w:spacing w:after="0" w:line="257" w:lineRule="exact"/>
        <w:rPr>
          <w:sz w:val="20"/>
          <w:szCs w:val="20"/>
          <w:color w:val="auto"/>
        </w:rPr>
      </w:pPr>
    </w:p>
    <w:p>
      <w:pPr>
        <w:ind w:left="660"/>
        <w:spacing w:after="0" w:line="254" w:lineRule="auto"/>
        <w:rPr>
          <w:sz w:val="20"/>
          <w:szCs w:val="20"/>
          <w:color w:val="auto"/>
        </w:rPr>
      </w:pPr>
      <w:r>
        <w:rPr>
          <w:rFonts w:ascii="Arial" w:cs="Arial" w:eastAsia="Arial" w:hAnsi="Arial"/>
          <w:sz w:val="20"/>
          <w:szCs w:val="20"/>
          <w:color w:val="191919"/>
        </w:rPr>
        <w:t>We provide investors with non-GAAP operating income and operating margin and non-GAAP diluted earnings per share because we believe it is important for investors to be able to closely monitor and understand changes in our ability to generate income from ongoing business operations. We believe these non-GAAP financial measures give investors an additional method to evaluate historical operating performance and identify trends, an additional means of evaluating period-over-period operating performance and a method to facilitate certain comparisons of our operating results to those of our peer companies. We also believe that providing non-GAAP operating income and operating margin allows</w:t>
      </w:r>
    </w:p>
    <w:p>
      <w:pPr>
        <w:spacing w:after="0" w:line="20" w:lineRule="exact"/>
        <w:rPr>
          <w:sz w:val="20"/>
          <w:szCs w:val="20"/>
          <w:color w:val="auto"/>
        </w:rPr>
      </w:pPr>
      <w:r>
        <w:rPr>
          <w:sz w:val="20"/>
          <w:szCs w:val="20"/>
          <w:color w:val="auto"/>
        </w:rPr>
        <w:br w:type="column"/>
      </w:r>
    </w:p>
    <w:p>
      <w:pPr>
        <w:spacing w:after="0" w:line="397" w:lineRule="exact"/>
        <w:rPr>
          <w:sz w:val="20"/>
          <w:szCs w:val="20"/>
          <w:color w:val="auto"/>
        </w:rPr>
      </w:pPr>
    </w:p>
    <w:p>
      <w:pPr>
        <w:spacing w:after="0" w:line="254" w:lineRule="auto"/>
        <w:rPr>
          <w:sz w:val="20"/>
          <w:szCs w:val="20"/>
          <w:color w:val="auto"/>
        </w:rPr>
      </w:pPr>
      <w:r>
        <w:rPr>
          <w:rFonts w:ascii="Arial" w:cs="Arial" w:eastAsia="Arial" w:hAnsi="Arial"/>
          <w:sz w:val="20"/>
          <w:szCs w:val="20"/>
          <w:color w:val="191919"/>
        </w:rPr>
        <w:t>investors to assess the extent to which our ongoing operations impact our overall financial performance. We further believe that providing non-GAAP diluted earnings per share allows investors to assess the overall financial performance of our ongoing operations by eliminating the impact of share-based compensation expense, acquisition-related expenses, amortization of acquisition-related intangibles, settlements, gains, losses, and impairments, restructuring-related charges, and certain tax items which may not occur in each period presented and which may represent non-cash items unrelated to our ongoing operations. We believe that disclosing these non-GAAP financial measures contributes to enhanced financial reporting transparency and provides investors with added clarity about complex financial performance measures.</w:t>
      </w:r>
    </w:p>
    <w:p>
      <w:pPr>
        <w:spacing w:after="0" w:line="209" w:lineRule="exact"/>
        <w:rPr>
          <w:sz w:val="20"/>
          <w:szCs w:val="20"/>
          <w:color w:val="auto"/>
        </w:rPr>
      </w:pPr>
    </w:p>
    <w:p>
      <w:pPr>
        <w:spacing w:after="0" w:line="254" w:lineRule="auto"/>
        <w:rPr>
          <w:sz w:val="20"/>
          <w:szCs w:val="20"/>
          <w:color w:val="auto"/>
        </w:rPr>
      </w:pPr>
      <w:r>
        <w:rPr>
          <w:rFonts w:ascii="Arial" w:cs="Arial" w:eastAsia="Arial" w:hAnsi="Arial"/>
          <w:sz w:val="20"/>
          <w:szCs w:val="20"/>
          <w:color w:val="191919"/>
        </w:rPr>
        <w:t>We calculate non-GAAP operating income by excluding from GAAP operating income, share-based compensation expense, acquisition-related expenses, amortization of acquisition-related intangibles, settlements, gains, losses, and impairments, and restructuring-related charges. We calculate non-GAAP diluted earnings per share by excluding from GAAP diluted earnings per share, share-based compensation expense, acquisition-related expenses, amortization of acquisition-related intangibles, settlements, gains, losses, and impairments, restructuring-related charges, and certain tax items.</w:t>
      </w:r>
    </w:p>
    <w:p>
      <w:pPr>
        <w:spacing w:after="0" w:line="211" w:lineRule="exact"/>
        <w:rPr>
          <w:sz w:val="20"/>
          <w:szCs w:val="20"/>
          <w:color w:val="auto"/>
        </w:rPr>
      </w:pPr>
    </w:p>
    <w:p>
      <w:pPr>
        <w:ind w:right="380"/>
        <w:spacing w:after="0" w:line="273" w:lineRule="auto"/>
        <w:rPr>
          <w:sz w:val="20"/>
          <w:szCs w:val="20"/>
          <w:color w:val="auto"/>
        </w:rPr>
      </w:pPr>
      <w:r>
        <w:rPr>
          <w:rFonts w:ascii="Arial" w:cs="Arial" w:eastAsia="Arial" w:hAnsi="Arial"/>
          <w:sz w:val="19"/>
          <w:szCs w:val="19"/>
          <w:color w:val="191919"/>
        </w:rPr>
        <w:t>We exclude the items identified above from the respective non-GAAP financial measure referenced above for the reasons set forth with respect to each such excluded item below:</w:t>
      </w:r>
    </w:p>
    <w:p>
      <w:pPr>
        <w:spacing w:after="0" w:line="174" w:lineRule="exact"/>
        <w:rPr>
          <w:sz w:val="20"/>
          <w:szCs w:val="20"/>
          <w:color w:val="auto"/>
        </w:rPr>
      </w:pPr>
    </w:p>
    <w:p>
      <w:pPr>
        <w:ind w:right="100"/>
        <w:spacing w:after="0" w:line="272" w:lineRule="auto"/>
        <w:rPr>
          <w:sz w:val="20"/>
          <w:szCs w:val="20"/>
          <w:color w:val="auto"/>
        </w:rPr>
      </w:pPr>
      <w:r>
        <w:rPr>
          <w:rFonts w:ascii="Arial" w:cs="Arial" w:eastAsia="Arial" w:hAnsi="Arial"/>
          <w:sz w:val="19"/>
          <w:szCs w:val="19"/>
          <w:i w:val="1"/>
          <w:iCs w:val="1"/>
          <w:color w:val="191919"/>
        </w:rPr>
        <w:t xml:space="preserve">Share-Based Compensation — </w:t>
      </w:r>
      <w:r>
        <w:rPr>
          <w:rFonts w:ascii="Arial" w:cs="Arial" w:eastAsia="Arial" w:hAnsi="Arial"/>
          <w:sz w:val="19"/>
          <w:szCs w:val="19"/>
          <w:color w:val="191919"/>
        </w:rPr>
        <w:t>because (1) the</w:t>
      </w:r>
      <w:r>
        <w:rPr>
          <w:rFonts w:ascii="Arial" w:cs="Arial" w:eastAsia="Arial" w:hAnsi="Arial"/>
          <w:sz w:val="19"/>
          <w:szCs w:val="19"/>
          <w:i w:val="1"/>
          <w:iCs w:val="1"/>
          <w:color w:val="191919"/>
        </w:rPr>
        <w:t xml:space="preserve"> </w:t>
      </w:r>
      <w:r>
        <w:rPr>
          <w:rFonts w:ascii="Arial" w:cs="Arial" w:eastAsia="Arial" w:hAnsi="Arial"/>
          <w:sz w:val="19"/>
          <w:szCs w:val="19"/>
          <w:color w:val="191919"/>
        </w:rPr>
        <w:t>total amount of expense is partially outside of our control because it is based on factors such as stock price volatility and interest rates, which may be unrelated to our performance during the period in which the expense is incurred, (2) it is an expense based upon a valuation methodology premised on assumptions that vary over time, and</w:t>
      </w:r>
    </w:p>
    <w:p>
      <w:pPr>
        <w:spacing w:after="0" w:line="200" w:lineRule="exact"/>
        <w:rPr>
          <w:sz w:val="20"/>
          <w:szCs w:val="20"/>
          <w:color w:val="auto"/>
        </w:rPr>
      </w:pPr>
    </w:p>
    <w:p>
      <w:pPr>
        <w:sectPr>
          <w:pgSz w:w="11900" w:h="16838" w:orient="portrait"/>
          <w:cols w:equalWidth="0" w:num="2">
            <w:col w:w="5140" w:space="440"/>
            <w:col w:w="4480"/>
          </w:cols>
          <w:pgMar w:left="580" w:top="131" w:right="1259" w:bottom="1440" w:gutter="0" w:footer="0" w:header="0"/>
          <w:type w:val="continuous"/>
        </w:sectPr>
      </w:pPr>
    </w:p>
    <w:p>
      <w:pPr>
        <w:spacing w:after="0" w:line="117" w:lineRule="exact"/>
        <w:rPr>
          <w:sz w:val="20"/>
          <w:szCs w:val="20"/>
          <w:color w:val="auto"/>
        </w:rPr>
      </w:pPr>
    </w:p>
    <w:p>
      <w:pPr>
        <w:ind w:left="660"/>
        <w:spacing w:after="0"/>
        <w:tabs>
          <w:tab w:leader="none" w:pos="4709" w:val="left"/>
        </w:tabs>
        <w:rPr>
          <w:sz w:val="20"/>
          <w:szCs w:val="20"/>
          <w:color w:val="auto"/>
        </w:rPr>
      </w:pPr>
      <w:r>
        <w:rPr>
          <w:rFonts w:ascii="Arial" w:cs="Arial" w:eastAsia="Arial" w:hAnsi="Arial"/>
          <w:sz w:val="16"/>
          <w:szCs w:val="16"/>
          <w:color w:val="auto"/>
        </w:rPr>
        <w:t>84</w:t>
      </w:r>
      <w:r>
        <w:rPr>
          <w:sz w:val="20"/>
          <w:szCs w:val="20"/>
          <w:color w:val="auto"/>
        </w:rPr>
        <w:tab/>
      </w:r>
      <w:r>
        <w:rPr>
          <w:sz w:val="1"/>
          <w:szCs w:val="1"/>
          <w:color w:val="auto"/>
        </w:rPr>
        <w:drawing>
          <wp:inline distT="0" distB="0" distL="0" distR="0">
            <wp:extent cx="779780" cy="257175"/>
            <wp:effectExtent l="0" t="0" r="0" b="0"/>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79780" cy="257175"/>
                    </a:xfrm>
                    <a:prstGeom prst="rect">
                      <a:avLst/>
                    </a:prstGeom>
                    <a:noFill/>
                    <a:ln>
                      <a:noFill/>
                    </a:ln>
                  </pic:spPr>
                </pic:pic>
              </a:graphicData>
            </a:graphic>
          </wp:inline>
        </w:drawing>
      </w:r>
      <w:r>
        <w:rPr>
          <w:rFonts w:ascii="Arial" w:cs="Arial" w:eastAsia="Arial" w:hAnsi="Arial"/>
          <w:sz w:val="16"/>
          <w:szCs w:val="16"/>
          <w:color w:val="auto"/>
        </w:rPr>
        <w:t xml:space="preserve">                                     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107315</wp:posOffset>
            </wp:positionV>
            <wp:extent cx="6831965"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060"/>
          </w:cols>
          <w:pgMar w:left="580" w:top="131" w:right="1259" w:bottom="1440" w:gutter="0" w:footer="0" w:header="0"/>
          <w:type w:val="continuous"/>
        </w:sectPr>
      </w:pPr>
    </w:p>
    <w:bookmarkStart w:id="89" w:name="page90"/>
    <w:bookmarkEnd w:id="8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91" w:lineRule="exact"/>
        <w:rPr>
          <w:sz w:val="20"/>
          <w:szCs w:val="20"/>
          <w:color w:val="auto"/>
        </w:rPr>
      </w:pPr>
    </w:p>
    <w:p>
      <w:pPr>
        <w:ind w:left="660" w:hanging="6"/>
        <w:spacing w:after="0" w:line="277" w:lineRule="auto"/>
        <w:tabs>
          <w:tab w:leader="none" w:pos="957" w:val="left"/>
        </w:tabs>
        <w:numPr>
          <w:ilvl w:val="0"/>
          <w:numId w:val="126"/>
        </w:numPr>
        <w:rPr>
          <w:rFonts w:ascii="Arial" w:cs="Arial" w:eastAsia="Arial" w:hAnsi="Arial"/>
          <w:sz w:val="19"/>
          <w:szCs w:val="19"/>
          <w:color w:val="191919"/>
        </w:rPr>
      </w:pPr>
      <w:r>
        <w:rPr>
          <w:rFonts w:ascii="Arial" w:cs="Arial" w:eastAsia="Arial" w:hAnsi="Arial"/>
          <w:sz w:val="19"/>
          <w:szCs w:val="19"/>
          <w:color w:val="191919"/>
        </w:rPr>
        <w:t>the amount of the expense can vary significantly between companies due to factors that can be outside of the control of such companies.</w:t>
      </w:r>
    </w:p>
    <w:p>
      <w:pPr>
        <w:spacing w:after="0" w:line="168" w:lineRule="exact"/>
        <w:rPr>
          <w:sz w:val="20"/>
          <w:szCs w:val="20"/>
          <w:color w:val="auto"/>
        </w:rPr>
      </w:pPr>
    </w:p>
    <w:p>
      <w:pPr>
        <w:ind w:left="660"/>
        <w:spacing w:after="0" w:line="270" w:lineRule="auto"/>
        <w:rPr>
          <w:sz w:val="20"/>
          <w:szCs w:val="20"/>
          <w:color w:val="auto"/>
        </w:rPr>
      </w:pPr>
      <w:r>
        <w:rPr>
          <w:rFonts w:ascii="Arial" w:cs="Arial" w:eastAsia="Arial" w:hAnsi="Arial"/>
          <w:sz w:val="19"/>
          <w:szCs w:val="19"/>
          <w:i w:val="1"/>
          <w:iCs w:val="1"/>
          <w:color w:val="191919"/>
        </w:rPr>
        <w:t xml:space="preserve">Acquisition-Related Expenses — </w:t>
      </w:r>
      <w:r>
        <w:rPr>
          <w:rFonts w:ascii="Arial" w:cs="Arial" w:eastAsia="Arial" w:hAnsi="Arial"/>
          <w:sz w:val="19"/>
          <w:szCs w:val="19"/>
          <w:color w:val="191919"/>
        </w:rPr>
        <w:t>including such</w:t>
      </w:r>
      <w:r>
        <w:rPr>
          <w:rFonts w:ascii="Arial" w:cs="Arial" w:eastAsia="Arial" w:hAnsi="Arial"/>
          <w:sz w:val="19"/>
          <w:szCs w:val="19"/>
          <w:i w:val="1"/>
          <w:iCs w:val="1"/>
          <w:color w:val="191919"/>
        </w:rPr>
        <w:t xml:space="preserve"> </w:t>
      </w:r>
      <w:r>
        <w:rPr>
          <w:rFonts w:ascii="Arial" w:cs="Arial" w:eastAsia="Arial" w:hAnsi="Arial"/>
          <w:sz w:val="19"/>
          <w:szCs w:val="19"/>
          <w:color w:val="191919"/>
        </w:rPr>
        <w:t>items as, when applicable, amortization of acquired intangible assets, fair value adjustments to contingent consideration, fair value charges incurred upon the sale of acquired inventory, and acquisition-related expenses, because they are not considered by management in making operating decisions and we believe that such expenses do not have a direct correlation to our future business operations and thereby including such charges does not necessarily reflect the performance of our ongoing operations for the period in which such charges or reversals are incurred.</w:t>
      </w:r>
    </w:p>
    <w:p>
      <w:pPr>
        <w:spacing w:after="0" w:line="180" w:lineRule="exact"/>
        <w:rPr>
          <w:sz w:val="20"/>
          <w:szCs w:val="20"/>
          <w:color w:val="auto"/>
        </w:rPr>
      </w:pPr>
    </w:p>
    <w:p>
      <w:pPr>
        <w:ind w:left="660" w:right="40"/>
        <w:spacing w:after="0" w:line="258" w:lineRule="auto"/>
        <w:rPr>
          <w:sz w:val="20"/>
          <w:szCs w:val="20"/>
          <w:color w:val="auto"/>
        </w:rPr>
      </w:pPr>
      <w:r>
        <w:rPr>
          <w:rFonts w:ascii="Arial" w:cs="Arial" w:eastAsia="Arial" w:hAnsi="Arial"/>
          <w:sz w:val="20"/>
          <w:szCs w:val="20"/>
          <w:i w:val="1"/>
          <w:iCs w:val="1"/>
          <w:color w:val="191919"/>
        </w:rPr>
        <w:t xml:space="preserve">Restructuring-Related Charges — </w:t>
      </w:r>
      <w:r>
        <w:rPr>
          <w:rFonts w:ascii="Arial" w:cs="Arial" w:eastAsia="Arial" w:hAnsi="Arial"/>
          <w:sz w:val="20"/>
          <w:szCs w:val="20"/>
          <w:color w:val="191919"/>
        </w:rPr>
        <w:t>because these</w:t>
      </w:r>
      <w:r>
        <w:rPr>
          <w:rFonts w:ascii="Arial" w:cs="Arial" w:eastAsia="Arial" w:hAnsi="Arial"/>
          <w:sz w:val="20"/>
          <w:szCs w:val="20"/>
          <w:i w:val="1"/>
          <w:iCs w:val="1"/>
          <w:color w:val="191919"/>
        </w:rPr>
        <w:t xml:space="preserve"> </w:t>
      </w:r>
      <w:r>
        <w:rPr>
          <w:rFonts w:ascii="Arial" w:cs="Arial" w:eastAsia="Arial" w:hAnsi="Arial"/>
          <w:sz w:val="20"/>
          <w:szCs w:val="20"/>
          <w:color w:val="191919"/>
        </w:rPr>
        <w:t>charges have no direct correlation to our future business operations and including such charges or reversals does not necessarily reflect the performance of our ongoing operations for the period in which such charges or reversals are incurred.</w:t>
      </w:r>
    </w:p>
    <w:p>
      <w:pPr>
        <w:spacing w:after="0" w:line="186" w:lineRule="exact"/>
        <w:rPr>
          <w:sz w:val="20"/>
          <w:szCs w:val="20"/>
          <w:color w:val="auto"/>
        </w:rPr>
      </w:pPr>
    </w:p>
    <w:p>
      <w:pPr>
        <w:ind w:left="660" w:right="240"/>
        <w:spacing w:after="0" w:line="258" w:lineRule="auto"/>
        <w:rPr>
          <w:sz w:val="20"/>
          <w:szCs w:val="20"/>
          <w:color w:val="auto"/>
        </w:rPr>
      </w:pPr>
      <w:r>
        <w:rPr>
          <w:rFonts w:ascii="Arial" w:cs="Arial" w:eastAsia="Arial" w:hAnsi="Arial"/>
          <w:sz w:val="20"/>
          <w:szCs w:val="20"/>
          <w:i w:val="1"/>
          <w:iCs w:val="1"/>
          <w:color w:val="191919"/>
        </w:rPr>
        <w:t xml:space="preserve">Settlements, Gains, Losses, and Impairments — </w:t>
      </w:r>
      <w:r>
        <w:rPr>
          <w:rFonts w:ascii="Arial" w:cs="Arial" w:eastAsia="Arial" w:hAnsi="Arial"/>
          <w:sz w:val="20"/>
          <w:szCs w:val="20"/>
          <w:color w:val="191919"/>
        </w:rPr>
        <w:t>because such settlements, gains, losses, and impairments (1) are not considered by management in making operating decisions,</w:t>
      </w:r>
    </w:p>
    <w:p>
      <w:pPr>
        <w:spacing w:after="0" w:line="3" w:lineRule="exact"/>
        <w:rPr>
          <w:sz w:val="20"/>
          <w:szCs w:val="20"/>
          <w:color w:val="auto"/>
        </w:rPr>
      </w:pPr>
    </w:p>
    <w:p>
      <w:pPr>
        <w:ind w:left="660" w:hanging="6"/>
        <w:spacing w:after="0" w:line="254" w:lineRule="auto"/>
        <w:tabs>
          <w:tab w:leader="none" w:pos="957" w:val="left"/>
        </w:tabs>
        <w:numPr>
          <w:ilvl w:val="0"/>
          <w:numId w:val="127"/>
        </w:numPr>
        <w:rPr>
          <w:rFonts w:ascii="Arial" w:cs="Arial" w:eastAsia="Arial" w:hAnsi="Arial"/>
          <w:sz w:val="20"/>
          <w:szCs w:val="20"/>
          <w:color w:val="191919"/>
        </w:rPr>
      </w:pPr>
      <w:r>
        <w:rPr>
          <w:rFonts w:ascii="Arial" w:cs="Arial" w:eastAsia="Arial" w:hAnsi="Arial"/>
          <w:sz w:val="20"/>
          <w:szCs w:val="20"/>
          <w:color w:val="191919"/>
        </w:rPr>
        <w:t>are infrequent in nature, (3) are generally not directly controlled by management, (4) do not necessarily reflect the performance of our ongoing operations for the period in which such charges are recognized and/or (5) can vary significantly in amount between companies and make comparisons less reliable.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3011805</wp:posOffset>
            </wp:positionH>
            <wp:positionV relativeFrom="paragraph">
              <wp:posOffset>2040890</wp:posOffset>
            </wp:positionV>
            <wp:extent cx="779780" cy="25717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79780" cy="2571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660"/>
        <w:spacing w:after="0" w:line="275" w:lineRule="auto"/>
        <w:rPr>
          <w:sz w:val="20"/>
          <w:szCs w:val="20"/>
          <w:color w:val="auto"/>
        </w:rPr>
      </w:pPr>
      <w:r>
        <w:rPr>
          <w:rFonts w:ascii="Arial" w:cs="Arial" w:eastAsia="Arial" w:hAnsi="Arial"/>
          <w:sz w:val="19"/>
          <w:szCs w:val="19"/>
          <w:i w:val="1"/>
          <w:iCs w:val="1"/>
          <w:color w:val="191919"/>
        </w:rPr>
        <w:t xml:space="preserve">Certain Income Tax Items — </w:t>
      </w:r>
      <w:r>
        <w:rPr>
          <w:rFonts w:ascii="Arial" w:cs="Arial" w:eastAsia="Arial" w:hAnsi="Arial"/>
          <w:sz w:val="19"/>
          <w:szCs w:val="19"/>
          <w:color w:val="191919"/>
        </w:rPr>
        <w:t>including certain</w:t>
      </w:r>
      <w:r>
        <w:rPr>
          <w:rFonts w:ascii="Arial" w:cs="Arial" w:eastAsia="Arial" w:hAnsi="Arial"/>
          <w:sz w:val="19"/>
          <w:szCs w:val="19"/>
          <w:i w:val="1"/>
          <w:iCs w:val="1"/>
          <w:color w:val="191919"/>
        </w:rPr>
        <w:t xml:space="preserve"> </w:t>
      </w:r>
      <w:r>
        <w:rPr>
          <w:rFonts w:ascii="Arial" w:cs="Arial" w:eastAsia="Arial" w:hAnsi="Arial"/>
          <w:sz w:val="19"/>
          <w:szCs w:val="19"/>
          <w:color w:val="191919"/>
        </w:rPr>
        <w:t>deferred tax charges and benefits that do not result in a current tax payment or tax refund and other adjustments, including but not limited to, items unrelated to the current fiscal year or that are not indicative of our ongoing business operations.</w:t>
      </w:r>
    </w:p>
    <w:p>
      <w:pPr>
        <w:spacing w:after="0" w:line="192" w:lineRule="exact"/>
        <w:rPr>
          <w:sz w:val="20"/>
          <w:szCs w:val="20"/>
          <w:color w:val="auto"/>
        </w:rPr>
      </w:pPr>
    </w:p>
    <w:p>
      <w:pPr>
        <w:ind w:right="740"/>
        <w:spacing w:after="0" w:line="253" w:lineRule="auto"/>
        <w:rPr>
          <w:sz w:val="20"/>
          <w:szCs w:val="20"/>
          <w:color w:val="auto"/>
        </w:rPr>
      </w:pPr>
      <w:r>
        <w:rPr>
          <w:rFonts w:ascii="Arial" w:cs="Arial" w:eastAsia="Arial" w:hAnsi="Arial"/>
          <w:sz w:val="20"/>
          <w:szCs w:val="20"/>
          <w:color w:val="191919"/>
        </w:rPr>
        <w:t>The non-GAAP financial measures presented in the table above should not be considered in isolation and are not an alternative for the respective GAAP financial measure that is most directly comparable to each such non-GAAP financial measure. Investors are cautioned against placing undue reliance on these non-GAAP financial measures and are urged to review and consider carefully the adjustments made by management to the most directly comparable GAAP financial measures to arrive at these non-GAAP financial measures. Non-GAAP financial measures may have limited value as analytical tools because they may exclude certain expenses that some investors consider important in evaluating our operating performance or ongoing business performance. Further, non-GAAP financial measures are likely to have limited value for purposes of drawing comparisons between companies as a result of different companies potentially calculating similarly titled non-GAAP financial measures in different ways because non-GAAP measures are not based on any comprehensive set of accounting rules or principles.</w:t>
      </w:r>
    </w:p>
    <w:p>
      <w:pPr>
        <w:spacing w:after="0" w:line="1377" w:lineRule="exact"/>
        <w:rPr>
          <w:sz w:val="20"/>
          <w:szCs w:val="20"/>
          <w:color w:val="auto"/>
        </w:rPr>
      </w:pPr>
    </w:p>
    <w:p>
      <w:pPr>
        <w:sectPr>
          <w:pgSz w:w="11900" w:h="16838" w:orient="portrait"/>
          <w:cols w:equalWidth="0" w:num="2">
            <w:col w:w="5140" w:space="440"/>
            <w:col w:w="5140"/>
          </w:cols>
          <w:pgMar w:left="580" w:top="131" w:right="5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80" w:type="dxa"/>
            <w:vAlign w:val="bottom"/>
          </w:tcPr>
          <w:p>
            <w:pPr>
              <w:ind w:left="660"/>
              <w:spacing w:after="0"/>
              <w:rPr>
                <w:sz w:val="20"/>
                <w:szCs w:val="20"/>
                <w:color w:val="auto"/>
              </w:rPr>
            </w:pPr>
            <w:r>
              <w:rPr>
                <w:rFonts w:ascii="Arial" w:cs="Arial" w:eastAsia="Arial" w:hAnsi="Arial"/>
                <w:sz w:val="16"/>
                <w:szCs w:val="16"/>
                <w:color w:val="auto"/>
              </w:rPr>
              <w:t>Appendix B</w:t>
            </w:r>
          </w:p>
        </w:tc>
        <w:tc>
          <w:tcPr>
            <w:tcW w:w="5040" w:type="dxa"/>
            <w:vAlign w:val="bottom"/>
          </w:tcPr>
          <w:p>
            <w:pPr>
              <w:jc w:val="right"/>
              <w:ind w:right="579"/>
              <w:spacing w:after="0"/>
              <w:rPr>
                <w:sz w:val="20"/>
                <w:szCs w:val="20"/>
                <w:color w:val="auto"/>
              </w:rPr>
            </w:pPr>
            <w:r>
              <w:rPr>
                <w:rFonts w:ascii="Arial" w:cs="Arial" w:eastAsia="Arial" w:hAnsi="Arial"/>
                <w:sz w:val="16"/>
                <w:szCs w:val="16"/>
                <w:color w:val="auto"/>
              </w:rPr>
              <w:t>85</w:t>
            </w:r>
          </w:p>
        </w:tc>
      </w:tr>
      <w:tr>
        <w:trPr>
          <w:trHeight w:val="296"/>
        </w:trPr>
        <w:tc>
          <w:tcPr>
            <w:tcW w:w="5680" w:type="dxa"/>
            <w:vAlign w:val="bottom"/>
            <w:tcBorders>
              <w:bottom w:val="single" w:sz="8" w:color="9A9A9A"/>
            </w:tcBorders>
          </w:tcPr>
          <w:p>
            <w:pPr>
              <w:spacing w:after="0"/>
              <w:rPr>
                <w:sz w:val="24"/>
                <w:szCs w:val="24"/>
                <w:color w:val="auto"/>
              </w:rPr>
            </w:pPr>
          </w:p>
        </w:tc>
        <w:tc>
          <w:tcPr>
            <w:tcW w:w="5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type w:val="continuous"/>
        </w:sectPr>
      </w:pPr>
    </w:p>
    <w:bookmarkStart w:id="90" w:name="page91"/>
    <w:bookmarkEnd w:id="9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-96520</wp:posOffset>
            </wp:positionV>
            <wp:extent cx="6831965" cy="874839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31965" cy="874839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1" w:name="page92"/>
    <w:bookmarkEnd w:id="9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31115</wp:posOffset>
            </wp:positionV>
            <wp:extent cx="6831965" cy="881697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31965" cy="8816975"/>
                    </a:xfrm>
                    <a:prstGeom prst="rect">
                      <a:avLst/>
                    </a:prstGeom>
                    <a:noFill/>
                  </pic:spPr>
                </pic:pic>
              </a:graphicData>
            </a:graphic>
          </wp:anchor>
        </w:drawing>
      </w:r>
    </w:p>
    <w:sectPr>
      <w:pgSz w:w="11900" w:h="16838" w:orient="portrait"/>
      <w:cols w:equalWidth="0" w:num="1">
        <w:col w:w="9879"/>
      </w:cols>
      <w:pgMar w:left="580"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10C50B3"/>
    <w:multiLevelType w:val="hybridMultilevel"/>
    <w:lvl w:ilvl="0">
      <w:lvlJc w:val="left"/>
      <w:lvlText w:val="☐"/>
      <w:numFmt w:val="bullet"/>
      <w:start w:val="1"/>
    </w:lvl>
  </w:abstractNum>
  <w:abstractNum w:abstractNumId="1">
    <w:nsid w:val="5FF87E05"/>
    <w:multiLevelType w:val="hybridMultilevel"/>
    <w:lvl w:ilvl="0">
      <w:lvlJc w:val="left"/>
      <w:lvlText w:val="☒"/>
      <w:numFmt w:val="bullet"/>
      <w:start w:val="1"/>
    </w:lvl>
  </w:abstractNum>
  <w:abstractNum w:abstractNumId="2">
    <w:nsid w:val="2F305DEF"/>
    <w:multiLevelType w:val="hybridMultilevel"/>
    <w:lvl w:ilvl="0">
      <w:lvlJc w:val="left"/>
      <w:lvlText w:val="☐"/>
      <w:numFmt w:val="bullet"/>
      <w:start w:val="1"/>
    </w:lvl>
  </w:abstractNum>
  <w:abstractNum w:abstractNumId="3">
    <w:nsid w:val="25A70BF7"/>
    <w:multiLevelType w:val="hybridMultilevel"/>
    <w:lvl w:ilvl="0">
      <w:lvlJc w:val="left"/>
      <w:lvlText w:val="•"/>
      <w:numFmt w:val="bullet"/>
      <w:start w:val="1"/>
    </w:lvl>
  </w:abstractNum>
  <w:abstractNum w:abstractNumId="4">
    <w:nsid w:val="1DBABF00"/>
    <w:multiLevelType w:val="hybridMultilevel"/>
    <w:lvl w:ilvl="0">
      <w:lvlJc w:val="left"/>
      <w:lvlText w:val="%1."/>
      <w:numFmt w:val="decimal"/>
      <w:start w:val="1"/>
    </w:lvl>
  </w:abstractNum>
  <w:abstractNum w:abstractNumId="5">
    <w:nsid w:val="4AD084E9"/>
    <w:multiLevelType w:val="hybridMultilevel"/>
    <w:lvl w:ilvl="0">
      <w:lvlJc w:val="left"/>
      <w:lvlText w:val="%1."/>
      <w:numFmt w:val="decimal"/>
      <w:start w:val="8"/>
    </w:lvl>
  </w:abstractNum>
  <w:abstractNum w:abstractNumId="6">
    <w:nsid w:val="1F48EAA1"/>
    <w:multiLevelType w:val="hybridMultilevel"/>
    <w:lvl w:ilvl="0">
      <w:lvlJc w:val="left"/>
      <w:lvlText w:val="%1"/>
      <w:numFmt w:val="decimal"/>
      <w:start w:val="16"/>
    </w:lvl>
  </w:abstractNum>
  <w:abstractNum w:abstractNumId="7">
    <w:nsid w:val="1381823A"/>
    <w:multiLevelType w:val="hybridMultilevel"/>
    <w:lvl w:ilvl="0">
      <w:lvlJc w:val="left"/>
      <w:lvlText w:val="%1"/>
      <w:numFmt w:val="decimal"/>
      <w:start w:val="25"/>
    </w:lvl>
  </w:abstractNum>
  <w:abstractNum w:abstractNumId="8">
    <w:nsid w:val="5DB70AE5"/>
    <w:multiLevelType w:val="hybridMultilevel"/>
    <w:lvl w:ilvl="0">
      <w:lvlJc w:val="left"/>
      <w:lvlText w:val="%1."/>
      <w:numFmt w:val="decimal"/>
      <w:start w:val="2"/>
    </w:lvl>
  </w:abstractNum>
  <w:abstractNum w:abstractNumId="9">
    <w:nsid w:val="100F8FCA"/>
    <w:multiLevelType w:val="hybridMultilevel"/>
    <w:lvl w:ilvl="0">
      <w:lvlJc w:val="left"/>
      <w:lvlText w:val="%1."/>
      <w:numFmt w:val="decimal"/>
      <w:start w:val="8"/>
    </w:lvl>
  </w:abstractNum>
  <w:abstractNum w:abstractNumId="10">
    <w:nsid w:val="6590700B"/>
    <w:multiLevelType w:val="hybridMultilevel"/>
    <w:lvl w:ilvl="0">
      <w:lvlJc w:val="left"/>
      <w:lvlText w:val="•"/>
      <w:numFmt w:val="bullet"/>
      <w:start w:val="1"/>
    </w:lvl>
  </w:abstractNum>
  <w:abstractNum w:abstractNumId="11">
    <w:nsid w:val="15014ACB"/>
    <w:multiLevelType w:val="hybridMultilevel"/>
    <w:lvl w:ilvl="0">
      <w:lvlJc w:val="left"/>
      <w:lvlText w:val="1"/>
      <w:numFmt w:val="bullet"/>
      <w:start w:val="1"/>
    </w:lvl>
  </w:abstractNum>
  <w:abstractNum w:abstractNumId="12">
    <w:nsid w:val="5F5E7FD0"/>
    <w:multiLevelType w:val="hybridMultilevel"/>
    <w:lvl w:ilvl="0">
      <w:lvlJc w:val="left"/>
      <w:lvlText w:val="•"/>
      <w:numFmt w:val="bullet"/>
      <w:start w:val="1"/>
    </w:lvl>
  </w:abstractNum>
  <w:abstractNum w:abstractNumId="13">
    <w:nsid w:val="98A3148"/>
    <w:multiLevelType w:val="hybridMultilevel"/>
    <w:lvl w:ilvl="0">
      <w:lvlJc w:val="left"/>
      <w:lvlText w:val="(%1)"/>
      <w:numFmt w:val="decimal"/>
      <w:start w:val="8"/>
    </w:lvl>
  </w:abstractNum>
  <w:abstractNum w:abstractNumId="14">
    <w:nsid w:val="799D0247"/>
    <w:multiLevelType w:val="hybridMultilevel"/>
    <w:lvl w:ilvl="0">
      <w:lvlJc w:val="left"/>
      <w:lvlText w:val="•"/>
      <w:numFmt w:val="bullet"/>
      <w:start w:val="1"/>
    </w:lvl>
  </w:abstractNum>
  <w:abstractNum w:abstractNumId="15">
    <w:nsid w:val="6B94764"/>
    <w:multiLevelType w:val="hybridMultilevel"/>
    <w:lvl w:ilvl="0">
      <w:lvlJc w:val="left"/>
      <w:lvlText w:val="•"/>
      <w:numFmt w:val="bullet"/>
      <w:start w:val="1"/>
    </w:lvl>
  </w:abstractNum>
  <w:abstractNum w:abstractNumId="16">
    <w:nsid w:val="42C296BD"/>
    <w:multiLevelType w:val="hybridMultilevel"/>
    <w:lvl w:ilvl="0">
      <w:lvlJc w:val="left"/>
      <w:lvlText w:val="•"/>
      <w:numFmt w:val="bullet"/>
      <w:start w:val="1"/>
    </w:lvl>
  </w:abstractNum>
  <w:abstractNum w:abstractNumId="17">
    <w:nsid w:val="168E121F"/>
    <w:multiLevelType w:val="hybridMultilevel"/>
    <w:lvl w:ilvl="0">
      <w:lvlJc w:val="left"/>
      <w:lvlText w:val="•"/>
      <w:numFmt w:val="bullet"/>
      <w:start w:val="1"/>
    </w:lvl>
  </w:abstractNum>
  <w:abstractNum w:abstractNumId="18">
    <w:nsid w:val="1EBA5D23"/>
    <w:multiLevelType w:val="hybridMultilevel"/>
    <w:lvl w:ilvl="0">
      <w:lvlJc w:val="left"/>
      <w:lvlText w:val="•"/>
      <w:numFmt w:val="bullet"/>
      <w:start w:val="1"/>
    </w:lvl>
  </w:abstractNum>
  <w:abstractNum w:abstractNumId="19">
    <w:nsid w:val="661E3F1E"/>
    <w:multiLevelType w:val="hybridMultilevel"/>
    <w:lvl w:ilvl="0">
      <w:lvlJc w:val="left"/>
      <w:lvlText w:val="•"/>
      <w:numFmt w:val="bullet"/>
      <w:start w:val="1"/>
    </w:lvl>
  </w:abstractNum>
  <w:abstractNum w:abstractNumId="20">
    <w:nsid w:val="5DC79EA8"/>
    <w:multiLevelType w:val="hybridMultilevel"/>
    <w:lvl w:ilvl="0">
      <w:lvlJc w:val="left"/>
      <w:lvlText w:val="•"/>
      <w:numFmt w:val="bullet"/>
      <w:start w:val="1"/>
    </w:lvl>
  </w:abstractNum>
  <w:abstractNum w:abstractNumId="21">
    <w:nsid w:val="540A471C"/>
    <w:multiLevelType w:val="hybridMultilevel"/>
    <w:lvl w:ilvl="0">
      <w:lvlJc w:val="left"/>
      <w:lvlText w:val="•"/>
      <w:numFmt w:val="bullet"/>
      <w:start w:val="1"/>
    </w:lvl>
  </w:abstractNum>
  <w:abstractNum w:abstractNumId="22">
    <w:nsid w:val="7BD3EE7B"/>
    <w:multiLevelType w:val="hybridMultilevel"/>
    <w:lvl w:ilvl="0">
      <w:lvlJc w:val="left"/>
      <w:lvlText w:val="•"/>
      <w:numFmt w:val="bullet"/>
      <w:start w:val="1"/>
    </w:lvl>
  </w:abstractNum>
  <w:abstractNum w:abstractNumId="23">
    <w:nsid w:val="51D9C564"/>
    <w:multiLevelType w:val="hybridMultilevel"/>
    <w:lvl w:ilvl="0">
      <w:lvlJc w:val="left"/>
      <w:lvlText w:val="•"/>
      <w:numFmt w:val="bullet"/>
      <w:start w:val="1"/>
    </w:lvl>
  </w:abstractNum>
  <w:abstractNum w:abstractNumId="24">
    <w:nsid w:val="613EFDC5"/>
    <w:multiLevelType w:val="hybridMultilevel"/>
    <w:lvl w:ilvl="0">
      <w:lvlJc w:val="left"/>
      <w:lvlText w:val="•"/>
      <w:numFmt w:val="bullet"/>
      <w:start w:val="1"/>
    </w:lvl>
  </w:abstractNum>
  <w:abstractNum w:abstractNumId="25">
    <w:nsid w:val="BF72B14"/>
    <w:multiLevelType w:val="hybridMultilevel"/>
    <w:lvl w:ilvl="0">
      <w:lvlJc w:val="left"/>
      <w:lvlText w:val="•"/>
      <w:numFmt w:val="bullet"/>
      <w:start w:val="1"/>
    </w:lvl>
  </w:abstractNum>
  <w:abstractNum w:abstractNumId="26">
    <w:nsid w:val="11447B73"/>
    <w:multiLevelType w:val="hybridMultilevel"/>
    <w:lvl w:ilvl="0">
      <w:lvlJc w:val="left"/>
      <w:lvlText w:val="•"/>
      <w:numFmt w:val="bullet"/>
      <w:start w:val="1"/>
    </w:lvl>
    <w:lvl w:ilvl="1">
      <w:lvlJc w:val="left"/>
      <w:lvlText w:val="•"/>
      <w:numFmt w:val="bullet"/>
      <w:start w:val="1"/>
    </w:lvl>
  </w:abstractNum>
  <w:abstractNum w:abstractNumId="27">
    <w:nsid w:val="42963E5A"/>
    <w:multiLevelType w:val="hybridMultilevel"/>
    <w:lvl w:ilvl="0">
      <w:lvlJc w:val="left"/>
      <w:lvlText w:val="(%1)"/>
      <w:numFmt w:val="decimal"/>
      <w:start w:val="9"/>
    </w:lvl>
  </w:abstractNum>
  <w:abstractNum w:abstractNumId="28">
    <w:nsid w:val="A0382C5"/>
    <w:multiLevelType w:val="hybridMultilevel"/>
    <w:lvl w:ilvl="0">
      <w:lvlJc w:val="left"/>
      <w:lvlText w:val="•"/>
      <w:numFmt w:val="bullet"/>
      <w:start w:val="1"/>
    </w:lvl>
  </w:abstractNum>
  <w:abstractNum w:abstractNumId="29">
    <w:nsid w:val="8F2B15E"/>
    <w:multiLevelType w:val="hybridMultilevel"/>
    <w:lvl w:ilvl="0">
      <w:lvlJc w:val="left"/>
      <w:lvlText w:val="•"/>
      <w:numFmt w:val="bullet"/>
      <w:start w:val="1"/>
    </w:lvl>
  </w:abstractNum>
  <w:abstractNum w:abstractNumId="30">
    <w:nsid w:val="1A32234B"/>
    <w:multiLevelType w:val="hybridMultilevel"/>
    <w:lvl w:ilvl="0">
      <w:lvlJc w:val="left"/>
      <w:lvlText w:val="(%1)"/>
      <w:numFmt w:val="decimal"/>
      <w:start w:val="30"/>
    </w:lvl>
  </w:abstractNum>
  <w:abstractNum w:abstractNumId="31">
    <w:nsid w:val="3B0FD379"/>
    <w:multiLevelType w:val="hybridMultilevel"/>
    <w:lvl w:ilvl="0">
      <w:lvlJc w:val="left"/>
      <w:lvlText w:val="•"/>
      <w:numFmt w:val="bullet"/>
      <w:start w:val="1"/>
    </w:lvl>
  </w:abstractNum>
  <w:abstractNum w:abstractNumId="32">
    <w:nsid w:val="68EB2F63"/>
    <w:multiLevelType w:val="hybridMultilevel"/>
    <w:lvl w:ilvl="0">
      <w:lvlJc w:val="left"/>
      <w:lvlText w:val="•"/>
      <w:numFmt w:val="bullet"/>
      <w:start w:val="1"/>
    </w:lvl>
  </w:abstractNum>
  <w:abstractNum w:abstractNumId="33">
    <w:nsid w:val="4962813B"/>
    <w:multiLevelType w:val="hybridMultilevel"/>
    <w:lvl w:ilvl="0">
      <w:lvlJc w:val="left"/>
      <w:lvlText w:val="•"/>
      <w:numFmt w:val="bullet"/>
      <w:start w:val="1"/>
    </w:lvl>
  </w:abstractNum>
  <w:abstractNum w:abstractNumId="34">
    <w:nsid w:val="60B6DF70"/>
    <w:multiLevelType w:val="hybridMultilevel"/>
    <w:lvl w:ilvl="0">
      <w:lvlJc w:val="left"/>
      <w:lvlText w:val="•"/>
      <w:numFmt w:val="bullet"/>
      <w:start w:val="1"/>
    </w:lvl>
  </w:abstractNum>
  <w:abstractNum w:abstractNumId="35">
    <w:nsid w:val="6A5EE64"/>
    <w:multiLevelType w:val="hybridMultilevel"/>
    <w:lvl w:ilvl="0">
      <w:lvlJc w:val="left"/>
      <w:lvlText w:val="•"/>
      <w:numFmt w:val="bullet"/>
      <w:start w:val="1"/>
    </w:lvl>
  </w:abstractNum>
  <w:abstractNum w:abstractNumId="36">
    <w:nsid w:val="14330624"/>
    <w:multiLevelType w:val="hybridMultilevel"/>
    <w:lvl w:ilvl="0">
      <w:lvlJc w:val="left"/>
      <w:lvlText w:val="(%1)"/>
      <w:numFmt w:val="decimal"/>
      <w:start w:val="1"/>
    </w:lvl>
  </w:abstractNum>
  <w:abstractNum w:abstractNumId="37">
    <w:nsid w:val="7FFFCA11"/>
    <w:multiLevelType w:val="hybridMultilevel"/>
    <w:lvl w:ilvl="0">
      <w:lvlJc w:val="left"/>
      <w:lvlText w:val="•"/>
      <w:numFmt w:val="bullet"/>
      <w:start w:val="1"/>
    </w:lvl>
  </w:abstractNum>
  <w:abstractNum w:abstractNumId="38">
    <w:nsid w:val="1A27709E"/>
    <w:multiLevelType w:val="hybridMultilevel"/>
    <w:lvl w:ilvl="0">
      <w:lvlJc w:val="left"/>
      <w:lvlText w:val="•"/>
      <w:numFmt w:val="bullet"/>
      <w:start w:val="1"/>
    </w:lvl>
  </w:abstractNum>
  <w:abstractNum w:abstractNumId="39">
    <w:nsid w:val="71EA1109"/>
    <w:multiLevelType w:val="hybridMultilevel"/>
    <w:lvl w:ilvl="0">
      <w:lvlJc w:val="left"/>
      <w:lvlText w:val="•"/>
      <w:numFmt w:val="bullet"/>
      <w:start w:val="1"/>
    </w:lvl>
  </w:abstractNum>
  <w:abstractNum w:abstractNumId="40">
    <w:nsid w:val="100F59DC"/>
    <w:multiLevelType w:val="hybridMultilevel"/>
    <w:lvl w:ilvl="0">
      <w:lvlJc w:val="left"/>
      <w:lvlText w:val="•"/>
      <w:numFmt w:val="bullet"/>
      <w:start w:val="1"/>
    </w:lvl>
  </w:abstractNum>
  <w:abstractNum w:abstractNumId="41">
    <w:nsid w:val="7FB7E0AA"/>
    <w:multiLevelType w:val="hybridMultilevel"/>
    <w:lvl w:ilvl="0">
      <w:lvlJc w:val="left"/>
      <w:lvlText w:val="(%1)"/>
      <w:numFmt w:val="decimal"/>
      <w:start w:val="1"/>
    </w:lvl>
  </w:abstractNum>
  <w:abstractNum w:abstractNumId="42">
    <w:nsid w:val="6EB5BD4"/>
    <w:multiLevelType w:val="hybridMultilevel"/>
    <w:lvl w:ilvl="0">
      <w:lvlJc w:val="left"/>
      <w:lvlText w:val="(%1)"/>
      <w:numFmt w:val="lowerRoman"/>
      <w:start w:val="1"/>
    </w:lvl>
  </w:abstractNum>
  <w:abstractNum w:abstractNumId="43">
    <w:nsid w:val="6F6DD9AC"/>
    <w:multiLevelType w:val="hybridMultilevel"/>
    <w:lvl w:ilvl="0">
      <w:lvlJc w:val="left"/>
      <w:lvlText w:val="(%1)"/>
      <w:numFmt w:val="lowerRoman"/>
      <w:start w:val="4"/>
    </w:lvl>
  </w:abstractNum>
  <w:abstractNum w:abstractNumId="44">
    <w:nsid w:val="94211F2"/>
    <w:multiLevelType w:val="hybridMultilevel"/>
    <w:lvl w:ilvl="0">
      <w:lvlJc w:val="left"/>
      <w:lvlText w:val="(%1)"/>
      <w:numFmt w:val="decimal"/>
      <w:start w:val="1"/>
    </w:lvl>
  </w:abstractNum>
  <w:abstractNum w:abstractNumId="45">
    <w:nsid w:val="885E1B"/>
    <w:multiLevelType w:val="hybridMultilevel"/>
    <w:lvl w:ilvl="0">
      <w:lvlJc w:val="left"/>
      <w:lvlText w:val="(%1)"/>
      <w:numFmt w:val="decimal"/>
      <w:start w:val="1"/>
    </w:lvl>
  </w:abstractNum>
  <w:abstractNum w:abstractNumId="46">
    <w:nsid w:val="76272110"/>
    <w:multiLevelType w:val="hybridMultilevel"/>
    <w:lvl w:ilvl="0">
      <w:lvlJc w:val="left"/>
      <w:lvlText w:val="(%1)"/>
      <w:numFmt w:val="decimal"/>
      <w:start w:val="1"/>
    </w:lvl>
  </w:abstractNum>
  <w:abstractNum w:abstractNumId="47">
    <w:nsid w:val="4C04A8AF"/>
    <w:multiLevelType w:val="hybridMultilevel"/>
    <w:lvl w:ilvl="0">
      <w:lvlJc w:val="left"/>
      <w:lvlText w:val="•"/>
      <w:numFmt w:val="bullet"/>
      <w:start w:val="1"/>
    </w:lvl>
  </w:abstractNum>
  <w:abstractNum w:abstractNumId="48">
    <w:nsid w:val="1716703B"/>
    <w:multiLevelType w:val="hybridMultilevel"/>
    <w:lvl w:ilvl="0">
      <w:lvlJc w:val="left"/>
      <w:lvlText w:val="(%1)"/>
      <w:numFmt w:val="decimal"/>
      <w:start w:val="1"/>
    </w:lvl>
  </w:abstractNum>
  <w:abstractNum w:abstractNumId="49">
    <w:nsid w:val="14E17E33"/>
    <w:multiLevelType w:val="hybridMultilevel"/>
    <w:lvl w:ilvl="0">
      <w:lvlJc w:val="left"/>
      <w:lvlText w:val="(%1)"/>
      <w:numFmt w:val="decimal"/>
      <w:start w:val="1"/>
    </w:lvl>
  </w:abstractNum>
  <w:abstractNum w:abstractNumId="50">
    <w:nsid w:val="3222E7CD"/>
    <w:multiLevelType w:val="hybridMultilevel"/>
    <w:lvl w:ilvl="0">
      <w:lvlJc w:val="left"/>
      <w:lvlText w:val="(%1)"/>
      <w:numFmt w:val="decimal"/>
      <w:start w:val="1"/>
    </w:lvl>
  </w:abstractNum>
  <w:abstractNum w:abstractNumId="51">
    <w:nsid w:val="74DE0EE3"/>
    <w:multiLevelType w:val="hybridMultilevel"/>
    <w:lvl w:ilvl="0">
      <w:lvlJc w:val="left"/>
      <w:lvlText w:val="•"/>
      <w:numFmt w:val="bullet"/>
      <w:start w:val="1"/>
    </w:lvl>
  </w:abstractNum>
  <w:abstractNum w:abstractNumId="52">
    <w:nsid w:val="68EBC550"/>
    <w:multiLevelType w:val="hybridMultilevel"/>
    <w:lvl w:ilvl="0">
      <w:lvlJc w:val="left"/>
      <w:lvlText w:val="(%1)"/>
      <w:numFmt w:val="decimal"/>
      <w:start w:val="1"/>
    </w:lvl>
  </w:abstractNum>
  <w:abstractNum w:abstractNumId="53">
    <w:nsid w:val="2DF6D648"/>
    <w:multiLevelType w:val="hybridMultilevel"/>
    <w:lvl w:ilvl="0">
      <w:lvlJc w:val="left"/>
      <w:lvlText w:val="(%1)"/>
      <w:numFmt w:val="decimal"/>
      <w:start w:val="1"/>
    </w:lvl>
  </w:abstractNum>
  <w:abstractNum w:abstractNumId="54">
    <w:nsid w:val="46B7D447"/>
    <w:multiLevelType w:val="hybridMultilevel"/>
    <w:lvl w:ilvl="0">
      <w:lvlJc w:val="left"/>
      <w:lvlText w:val="(%1)"/>
      <w:numFmt w:val="decimal"/>
      <w:start w:val="1"/>
    </w:lvl>
  </w:abstractNum>
  <w:abstractNum w:abstractNumId="55">
    <w:nsid w:val="4A2AC315"/>
    <w:multiLevelType w:val="hybridMultilevel"/>
    <w:lvl w:ilvl="0">
      <w:lvlJc w:val="left"/>
      <w:lvlText w:val="(%1)"/>
      <w:numFmt w:val="decimal"/>
      <w:start w:val="1"/>
    </w:lvl>
  </w:abstractNum>
  <w:abstractNum w:abstractNumId="56">
    <w:nsid w:val="39EE015C"/>
    <w:multiLevelType w:val="hybridMultilevel"/>
    <w:lvl w:ilvl="0">
      <w:lvlJc w:val="left"/>
      <w:lvlText w:val="(%1)"/>
      <w:numFmt w:val="lowerRoman"/>
      <w:start w:val="3"/>
    </w:lvl>
  </w:abstractNum>
  <w:abstractNum w:abstractNumId="57">
    <w:nsid w:val="57FC4FBB"/>
    <w:multiLevelType w:val="hybridMultilevel"/>
    <w:lvl w:ilvl="0">
      <w:lvlJc w:val="left"/>
      <w:lvlText w:val="(%1)"/>
      <w:numFmt w:val="lowerRoman"/>
      <w:start w:val="1"/>
    </w:lvl>
  </w:abstractNum>
  <w:abstractNum w:abstractNumId="58">
    <w:nsid w:val="CC1016F"/>
    <w:multiLevelType w:val="hybridMultilevel"/>
    <w:lvl w:ilvl="0">
      <w:lvlJc w:val="left"/>
      <w:lvlText w:val="(%1)"/>
      <w:numFmt w:val="decimal"/>
      <w:start w:val="18"/>
    </w:lvl>
  </w:abstractNum>
  <w:abstractNum w:abstractNumId="59">
    <w:nsid w:val="43F18422"/>
    <w:multiLevelType w:val="hybridMultilevel"/>
    <w:lvl w:ilvl="0">
      <w:lvlJc w:val="left"/>
      <w:lvlText w:val="(%1)"/>
      <w:numFmt w:val="lowerRoman"/>
      <w:start w:val="4"/>
    </w:lvl>
  </w:abstractNum>
  <w:abstractNum w:abstractNumId="60">
    <w:nsid w:val="60EF0119"/>
    <w:multiLevelType w:val="hybridMultilevel"/>
    <w:lvl w:ilvl="0">
      <w:lvlJc w:val="left"/>
      <w:lvlText w:val="(%1)"/>
      <w:numFmt w:val="lowerRoman"/>
      <w:start w:val="1"/>
    </w:lvl>
  </w:abstractNum>
  <w:abstractNum w:abstractNumId="61">
    <w:nsid w:val="26F324BA"/>
    <w:multiLevelType w:val="hybridMultilevel"/>
    <w:lvl w:ilvl="0">
      <w:lvlJc w:val="left"/>
      <w:lvlText w:val="(%1)"/>
      <w:numFmt w:val="lowerRoman"/>
      <w:start w:val="3"/>
    </w:lvl>
  </w:abstractNum>
  <w:abstractNum w:abstractNumId="62">
    <w:nsid w:val="7F01579B"/>
    <w:multiLevelType w:val="hybridMultilevel"/>
    <w:lvl w:ilvl="0">
      <w:lvlJc w:val="left"/>
      <w:lvlText w:val="(%1)"/>
      <w:numFmt w:val="lowerRoman"/>
      <w:start w:val="1"/>
    </w:lvl>
  </w:abstractNum>
  <w:abstractNum w:abstractNumId="63">
    <w:nsid w:val="49DA307D"/>
    <w:multiLevelType w:val="hybridMultilevel"/>
    <w:lvl w:ilvl="0">
      <w:lvlJc w:val="left"/>
      <w:lvlText w:val="(%1)"/>
      <w:numFmt w:val="lowerLetter"/>
      <w:start w:val="9"/>
    </w:lvl>
  </w:abstractNum>
  <w:abstractNum w:abstractNumId="64">
    <w:nsid w:val="7055A5F5"/>
    <w:multiLevelType w:val="hybridMultilevel"/>
    <w:lvl w:ilvl="0">
      <w:lvlJc w:val="left"/>
      <w:lvlText w:val="(%1)"/>
      <w:numFmt w:val="lowerLetter"/>
      <w:start w:val="25"/>
    </w:lvl>
  </w:abstractNum>
  <w:abstractNum w:abstractNumId="65">
    <w:nsid w:val="5FB8370B"/>
    <w:multiLevelType w:val="hybridMultilevel"/>
    <w:lvl w:ilvl="0">
      <w:lvlJc w:val="left"/>
      <w:lvlText w:val="(%1)"/>
      <w:numFmt w:val="lowerLetter"/>
      <w:start w:val="35"/>
    </w:lvl>
  </w:abstractNum>
  <w:abstractNum w:abstractNumId="66">
    <w:nsid w:val="50801EE1"/>
    <w:multiLevelType w:val="hybridMultilevel"/>
    <w:lvl w:ilvl="0">
      <w:lvlJc w:val="left"/>
      <w:lvlText w:val="(%1)"/>
      <w:numFmt w:val="lowerRoman"/>
      <w:start w:val="3"/>
    </w:lvl>
  </w:abstractNum>
  <w:abstractNum w:abstractNumId="67">
    <w:nsid w:val="488AC1A"/>
    <w:multiLevelType w:val="hybridMultilevel"/>
    <w:lvl w:ilvl="0">
      <w:lvlJc w:val="left"/>
      <w:lvlText w:val="(%1)"/>
      <w:numFmt w:val="lowerRoman"/>
      <w:start w:val="2"/>
    </w:lvl>
  </w:abstractNum>
  <w:abstractNum w:abstractNumId="68">
    <w:nsid w:val="5FB8011C"/>
    <w:multiLevelType w:val="hybridMultilevel"/>
    <w:lvl w:ilvl="0">
      <w:lvlJc w:val="left"/>
      <w:lvlText w:val="(%1)"/>
      <w:numFmt w:val="lowerRoman"/>
      <w:start w:val="4"/>
    </w:lvl>
  </w:abstractNum>
  <w:abstractNum w:abstractNumId="69">
    <w:nsid w:val="6AA78F7F"/>
    <w:multiLevelType w:val="hybridMultilevel"/>
    <w:lvl w:ilvl="0">
      <w:lvlJc w:val="left"/>
      <w:lvlText w:val="•"/>
      <w:numFmt w:val="bullet"/>
      <w:start w:val="1"/>
    </w:lvl>
  </w:abstractNum>
  <w:abstractNum w:abstractNumId="70">
    <w:nsid w:val="7672BD23"/>
    <w:multiLevelType w:val="hybridMultilevel"/>
    <w:lvl w:ilvl="0">
      <w:lvlJc w:val="left"/>
      <w:lvlText w:val="(%1)"/>
      <w:numFmt w:val="decimal"/>
      <w:start w:val="1"/>
    </w:lvl>
  </w:abstractNum>
  <w:abstractNum w:abstractNumId="71">
    <w:nsid w:val="6FC75AF8"/>
    <w:multiLevelType w:val="hybridMultilevel"/>
    <w:lvl w:ilvl="0">
      <w:lvlJc w:val="left"/>
      <w:lvlText w:val="(%1)"/>
      <w:numFmt w:val="decimal"/>
      <w:start w:val="4"/>
    </w:lvl>
  </w:abstractNum>
  <w:abstractNum w:abstractNumId="72">
    <w:nsid w:val="6A5F7029"/>
    <w:multiLevelType w:val="hybridMultilevel"/>
    <w:lvl w:ilvl="0">
      <w:lvlJc w:val="left"/>
      <w:lvlText w:val="(%1)"/>
      <w:numFmt w:val="decimal"/>
      <w:start w:val="5"/>
    </w:lvl>
  </w:abstractNum>
  <w:abstractNum w:abstractNumId="73">
    <w:nsid w:val="7D5E18F8"/>
    <w:multiLevelType w:val="hybridMultilevel"/>
    <w:lvl w:ilvl="0">
      <w:lvlJc w:val="left"/>
      <w:lvlText w:val="•"/>
      <w:numFmt w:val="bullet"/>
      <w:start w:val="1"/>
    </w:lvl>
  </w:abstractNum>
  <w:abstractNum w:abstractNumId="74">
    <w:nsid w:val="5F3534A4"/>
    <w:multiLevelType w:val="hybridMultilevel"/>
    <w:lvl w:ilvl="0">
      <w:lvlJc w:val="left"/>
      <w:lvlText w:val="•"/>
      <w:numFmt w:val="bullet"/>
      <w:start w:val="1"/>
    </w:lvl>
  </w:abstractNum>
  <w:abstractNum w:abstractNumId="75">
    <w:nsid w:val="73A1821B"/>
    <w:multiLevelType w:val="hybridMultilevel"/>
    <w:lvl w:ilvl="0">
      <w:lvlJc w:val="left"/>
      <w:lvlText w:val="•"/>
      <w:numFmt w:val="bullet"/>
      <w:start w:val="1"/>
    </w:lvl>
  </w:abstractNum>
  <w:abstractNum w:abstractNumId="76">
    <w:nsid w:val="7DE67713"/>
    <w:multiLevelType w:val="hybridMultilevel"/>
    <w:lvl w:ilvl="0">
      <w:lvlJc w:val="left"/>
      <w:lvlText w:val="(%1)"/>
      <w:numFmt w:val="decimal"/>
      <w:start w:val="1"/>
    </w:lvl>
  </w:abstractNum>
  <w:abstractNum w:abstractNumId="77">
    <w:nsid w:val="555C55B5"/>
    <w:multiLevelType w:val="hybridMultilevel"/>
    <w:lvl w:ilvl="0">
      <w:lvlJc w:val="left"/>
      <w:lvlText w:val="(%1)"/>
      <w:numFmt w:val="decimal"/>
      <w:start w:val="2"/>
    </w:lvl>
  </w:abstractNum>
  <w:abstractNum w:abstractNumId="78">
    <w:nsid w:val="3FA62ACA"/>
    <w:multiLevelType w:val="hybridMultilevel"/>
    <w:lvl w:ilvl="0">
      <w:lvlJc w:val="left"/>
      <w:lvlText w:val="&amp;"/>
      <w:numFmt w:val="bullet"/>
      <w:start w:val="1"/>
    </w:lvl>
  </w:abstractNum>
  <w:abstractNum w:abstractNumId="79">
    <w:nsid w:val="14FCE74E"/>
    <w:multiLevelType w:val="hybridMultilevel"/>
    <w:lvl w:ilvl="0">
      <w:lvlJc w:val="left"/>
      <w:lvlText w:val="*"/>
      <w:numFmt w:val="bullet"/>
      <w:start w:val="1"/>
    </w:lvl>
  </w:abstractNum>
  <w:abstractNum w:abstractNumId="80">
    <w:nsid w:val="6A3DD3E8"/>
    <w:multiLevelType w:val="hybridMultilevel"/>
    <w:lvl w:ilvl="0">
      <w:lvlJc w:val="left"/>
      <w:lvlText w:val="(%1)"/>
      <w:numFmt w:val="decimal"/>
      <w:start w:val="1"/>
    </w:lvl>
  </w:abstractNum>
  <w:abstractNum w:abstractNumId="81">
    <w:nsid w:val="71C91298"/>
    <w:multiLevelType w:val="hybridMultilevel"/>
    <w:lvl w:ilvl="0">
      <w:lvlJc w:val="left"/>
      <w:lvlText w:val="(%1)"/>
      <w:numFmt w:val="decimal"/>
      <w:start w:val="3"/>
    </w:lvl>
  </w:abstractNum>
  <w:abstractNum w:abstractNumId="82">
    <w:nsid w:val="9DAF632"/>
    <w:multiLevelType w:val="hybridMultilevel"/>
    <w:lvl w:ilvl="0">
      <w:lvlJc w:val="left"/>
      <w:lvlText w:val="%1."/>
      <w:numFmt w:val="upperLetter"/>
      <w:start w:val="17"/>
    </w:lvl>
    <w:lvl w:ilvl="1">
      <w:lvlJc w:val="left"/>
      <w:lvlText w:val="•"/>
      <w:numFmt w:val="bullet"/>
      <w:start w:val="1"/>
    </w:lvl>
  </w:abstractNum>
  <w:abstractNum w:abstractNumId="83">
    <w:nsid w:val="53299938"/>
    <w:multiLevelType w:val="hybridMultilevel"/>
    <w:lvl w:ilvl="0">
      <w:lvlJc w:val="left"/>
      <w:lvlText w:val="%1."/>
      <w:numFmt w:val="upperLetter"/>
      <w:start w:val="17"/>
    </w:lvl>
    <w:lvl w:ilvl="1">
      <w:lvlJc w:val="left"/>
      <w:lvlText w:val="•"/>
      <w:numFmt w:val="bullet"/>
      <w:start w:val="1"/>
    </w:lvl>
  </w:abstractNum>
  <w:abstractNum w:abstractNumId="84">
    <w:nsid w:val="1FBFE8E0"/>
    <w:multiLevelType w:val="hybridMultilevel"/>
    <w:lvl w:ilvl="0">
      <w:lvlJc w:val="left"/>
      <w:lvlText w:val="%1."/>
      <w:numFmt w:val="upperLetter"/>
      <w:start w:val="17"/>
    </w:lvl>
    <w:lvl w:ilvl="1">
      <w:lvlJc w:val="left"/>
      <w:lvlText w:val="•"/>
      <w:numFmt w:val="bullet"/>
      <w:start w:val="1"/>
    </w:lvl>
  </w:abstractNum>
  <w:abstractNum w:abstractNumId="85">
    <w:nsid w:val="5092CA79"/>
    <w:multiLevelType w:val="hybridMultilevel"/>
    <w:lvl w:ilvl="0">
      <w:lvlJc w:val="left"/>
      <w:lvlText w:val="•"/>
      <w:numFmt w:val="bullet"/>
      <w:start w:val="1"/>
    </w:lvl>
  </w:abstractNum>
  <w:abstractNum w:abstractNumId="86">
    <w:nsid w:val="1D545C4D"/>
    <w:multiLevelType w:val="hybridMultilevel"/>
    <w:lvl w:ilvl="0">
      <w:lvlJc w:val="left"/>
      <w:lvlText w:val="%1."/>
      <w:numFmt w:val="upperLetter"/>
      <w:start w:val="17"/>
    </w:lvl>
  </w:abstractNum>
  <w:abstractNum w:abstractNumId="87">
    <w:nsid w:val="59ADEA3D"/>
    <w:multiLevelType w:val="hybridMultilevel"/>
    <w:lvl w:ilvl="0">
      <w:lvlJc w:val="left"/>
      <w:lvlText w:val="%1."/>
      <w:numFmt w:val="upperLetter"/>
      <w:start w:val="17"/>
    </w:lvl>
  </w:abstractNum>
  <w:abstractNum w:abstractNumId="88">
    <w:nsid w:val="288F1A34"/>
    <w:multiLevelType w:val="hybridMultilevel"/>
    <w:lvl w:ilvl="0">
      <w:lvlJc w:val="left"/>
      <w:lvlText w:val="%1."/>
      <w:numFmt w:val="upperLetter"/>
      <w:start w:val="17"/>
    </w:lvl>
    <w:lvl w:ilvl="1">
      <w:lvlJc w:val="left"/>
      <w:lvlText w:val="%2"/>
      <w:numFmt w:val="lowerLetter"/>
      <w:start w:val="1"/>
    </w:lvl>
  </w:abstractNum>
  <w:abstractNum w:abstractNumId="89">
    <w:nsid w:val="2A155DBC"/>
    <w:multiLevelType w:val="hybridMultilevel"/>
    <w:lvl w:ilvl="0">
      <w:lvlJc w:val="left"/>
      <w:lvlText w:val="%1."/>
      <w:numFmt w:val="upperLetter"/>
      <w:start w:val="17"/>
    </w:lvl>
    <w:lvl w:ilvl="1">
      <w:lvlJc w:val="left"/>
      <w:lvlText w:val="(%2)"/>
      <w:numFmt w:val="lowerLetter"/>
      <w:start w:val="1"/>
    </w:lvl>
  </w:abstractNum>
  <w:abstractNum w:abstractNumId="90">
    <w:nsid w:val="1D9F6E5F"/>
    <w:multiLevelType w:val="hybridMultilevel"/>
    <w:lvl w:ilvl="0">
      <w:lvlJc w:val="left"/>
      <w:lvlText w:val="%1"/>
      <w:numFmt w:val="upperLetter"/>
      <w:start w:val="1"/>
    </w:lvl>
    <w:lvl w:ilvl="1">
      <w:lvlJc w:val="left"/>
      <w:lvlText w:val="(%2)"/>
      <w:numFmt w:val="lowerLetter"/>
      <w:start w:val="3"/>
    </w:lvl>
  </w:abstractNum>
  <w:abstractNum w:abstractNumId="91">
    <w:nsid w:val="97E1B4E"/>
    <w:multiLevelType w:val="hybridMultilevel"/>
    <w:lvl w:ilvl="0">
      <w:lvlJc w:val="left"/>
      <w:lvlText w:val="%1."/>
      <w:numFmt w:val="upperLetter"/>
      <w:start w:val="17"/>
    </w:lvl>
    <w:lvl w:ilvl="1">
      <w:lvlJc w:val="left"/>
      <w:lvlText w:val="%2"/>
      <w:numFmt w:val="lowerLetter"/>
      <w:start w:val="1"/>
    </w:lvl>
  </w:abstractNum>
  <w:abstractNum w:abstractNumId="92">
    <w:nsid w:val="51088277"/>
    <w:multiLevelType w:val="hybridMultilevel"/>
    <w:lvl w:ilvl="0">
      <w:lvlJc w:val="left"/>
      <w:lvlText w:val="%1."/>
      <w:numFmt w:val="upperLetter"/>
      <w:start w:val="17"/>
    </w:lvl>
  </w:abstractNum>
  <w:abstractNum w:abstractNumId="93">
    <w:nsid w:val="1CA0C5FA"/>
    <w:multiLevelType w:val="hybridMultilevel"/>
    <w:lvl w:ilvl="0">
      <w:lvlJc w:val="left"/>
      <w:lvlText w:val="%1."/>
      <w:numFmt w:val="upperLetter"/>
      <w:start w:val="17"/>
    </w:lvl>
  </w:abstractNum>
  <w:abstractNum w:abstractNumId="94">
    <w:nsid w:val="53584BCB"/>
    <w:multiLevelType w:val="hybridMultilevel"/>
    <w:lvl w:ilvl="0">
      <w:lvlJc w:val="left"/>
      <w:lvlText w:val="%1."/>
      <w:numFmt w:val="upperLetter"/>
      <w:start w:val="17"/>
    </w:lvl>
  </w:abstractNum>
  <w:abstractNum w:abstractNumId="95">
    <w:nsid w:val="415E286C"/>
    <w:multiLevelType w:val="hybridMultilevel"/>
    <w:lvl w:ilvl="0">
      <w:lvlJc w:val="left"/>
      <w:lvlText w:val="%1."/>
      <w:numFmt w:val="upperLetter"/>
      <w:start w:val="17"/>
    </w:lvl>
  </w:abstractNum>
  <w:abstractNum w:abstractNumId="96">
    <w:nsid w:val="7C58FD05"/>
    <w:multiLevelType w:val="hybridMultilevel"/>
    <w:lvl w:ilvl="0">
      <w:lvlJc w:val="left"/>
      <w:lvlText w:val="%1."/>
      <w:numFmt w:val="upperLetter"/>
      <w:start w:val="17"/>
    </w:lvl>
  </w:abstractNum>
  <w:abstractNum w:abstractNumId="97">
    <w:nsid w:val="23D86AAC"/>
    <w:multiLevelType w:val="hybridMultilevel"/>
    <w:lvl w:ilvl="0">
      <w:lvlJc w:val="left"/>
      <w:lvlText w:val="%1."/>
      <w:numFmt w:val="upperLetter"/>
      <w:start w:val="17"/>
    </w:lvl>
  </w:abstractNum>
  <w:abstractNum w:abstractNumId="98">
    <w:nsid w:val="45E6D486"/>
    <w:multiLevelType w:val="hybridMultilevel"/>
    <w:lvl w:ilvl="0">
      <w:lvlJc w:val="left"/>
      <w:lvlText w:val="%1."/>
      <w:numFmt w:val="upperLetter"/>
      <w:start w:val="17"/>
    </w:lvl>
  </w:abstractNum>
  <w:abstractNum w:abstractNumId="99">
    <w:nsid w:val="5C10FE21"/>
    <w:multiLevelType w:val="hybridMultilevel"/>
    <w:lvl w:ilvl="0">
      <w:lvlJc w:val="left"/>
      <w:lvlText w:val="%1."/>
      <w:numFmt w:val="upperLetter"/>
      <w:start w:val="17"/>
    </w:lvl>
  </w:abstractNum>
  <w:abstractNum w:abstractNumId="100">
    <w:nsid w:val="E7FFA2B"/>
    <w:multiLevelType w:val="hybridMultilevel"/>
    <w:lvl w:ilvl="0">
      <w:lvlJc w:val="left"/>
      <w:lvlText w:val="%1."/>
      <w:numFmt w:val="upperLetter"/>
      <w:start w:val="17"/>
    </w:lvl>
  </w:abstractNum>
  <w:abstractNum w:abstractNumId="101">
    <w:nsid w:val="3C5991AA"/>
    <w:multiLevelType w:val="hybridMultilevel"/>
    <w:lvl w:ilvl="0">
      <w:lvlJc w:val="left"/>
      <w:lvlText w:val="%1."/>
      <w:numFmt w:val="upperLetter"/>
      <w:start w:val="17"/>
    </w:lvl>
  </w:abstractNum>
  <w:abstractNum w:abstractNumId="102">
    <w:nsid w:val="4BD8591A"/>
    <w:multiLevelType w:val="hybridMultilevel"/>
    <w:lvl w:ilvl="0">
      <w:lvlJc w:val="left"/>
      <w:lvlText w:val="%1."/>
      <w:numFmt w:val="upperLetter"/>
      <w:start w:val="17"/>
    </w:lvl>
  </w:abstractNum>
  <w:abstractNum w:abstractNumId="103">
    <w:nsid w:val="78DF6A55"/>
    <w:multiLevelType w:val="hybridMultilevel"/>
    <w:lvl w:ilvl="0">
      <w:lvlJc w:val="left"/>
      <w:lvlText w:val="%1."/>
      <w:numFmt w:val="upperLetter"/>
      <w:start w:val="17"/>
    </w:lvl>
  </w:abstractNum>
  <w:abstractNum w:abstractNumId="104">
    <w:nsid w:val="39B7AAA2"/>
    <w:multiLevelType w:val="hybridMultilevel"/>
    <w:lvl w:ilvl="0">
      <w:lvlJc w:val="left"/>
      <w:lvlText w:val="%1."/>
      <w:numFmt w:val="upperLetter"/>
      <w:start w:val="17"/>
    </w:lvl>
  </w:abstractNum>
  <w:abstractNum w:abstractNumId="105">
    <w:nsid w:val="2B0D8DBE"/>
    <w:multiLevelType w:val="hybridMultilevel"/>
    <w:lvl w:ilvl="0">
      <w:lvlJc w:val="left"/>
      <w:lvlText w:val="%1."/>
      <w:numFmt w:val="upperLetter"/>
      <w:start w:val="17"/>
    </w:lvl>
  </w:abstractNum>
  <w:abstractNum w:abstractNumId="106">
    <w:nsid w:val="6C80EC70"/>
    <w:multiLevelType w:val="hybridMultilevel"/>
    <w:lvl w:ilvl="0">
      <w:lvlJc w:val="left"/>
      <w:lvlText w:val="%1."/>
      <w:numFmt w:val="upperLetter"/>
      <w:start w:val="17"/>
    </w:lvl>
  </w:abstractNum>
  <w:abstractNum w:abstractNumId="107">
    <w:nsid w:val="379E21B5"/>
    <w:multiLevelType w:val="hybridMultilevel"/>
    <w:lvl w:ilvl="0">
      <w:lvlJc w:val="left"/>
      <w:lvlText w:val="•"/>
      <w:numFmt w:val="bullet"/>
      <w:start w:val="1"/>
    </w:lvl>
  </w:abstractNum>
  <w:abstractNum w:abstractNumId="108">
    <w:nsid w:val="69E373"/>
    <w:multiLevelType w:val="hybridMultilevel"/>
    <w:lvl w:ilvl="0">
      <w:lvlJc w:val="left"/>
      <w:lvlText w:val="%1."/>
      <w:numFmt w:val="decimal"/>
      <w:start w:val="1"/>
    </w:lvl>
  </w:abstractNum>
  <w:abstractNum w:abstractNumId="109">
    <w:nsid w:val="2C27173B"/>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110">
    <w:nsid w:val="4C9B0904"/>
    <w:multiLevelType w:val="hybridMultilevel"/>
    <w:lvl w:ilvl="0">
      <w:lvlJc w:val="left"/>
      <w:lvlText w:val="%1."/>
      <w:numFmt w:val="decimal"/>
      <w:start w:val="2"/>
    </w:lvl>
  </w:abstractNum>
  <w:abstractNum w:abstractNumId="111">
    <w:nsid w:val="6AA7B75C"/>
    <w:multiLevelType w:val="hybridMultilevel"/>
    <w:lvl w:ilvl="0">
      <w:lvlJc w:val="left"/>
      <w:lvlText w:val="%1."/>
      <w:numFmt w:val="decimal"/>
      <w:start w:val="1"/>
    </w:lvl>
    <w:lvl w:ilvl="1">
      <w:lvlJc w:val="left"/>
      <w:lvlText w:val="(%2)"/>
      <w:numFmt w:val="decimal"/>
      <w:start w:val="1"/>
    </w:lvl>
  </w:abstractNum>
  <w:abstractNum w:abstractNumId="112">
    <w:nsid w:val="1DF029D3"/>
    <w:multiLevelType w:val="hybridMultilevel"/>
    <w:lvl w:ilvl="0">
      <w:lvlJc w:val="left"/>
      <w:lvlText w:val="%1."/>
      <w:numFmt w:val="decimal"/>
      <w:start w:val="2"/>
    </w:lvl>
  </w:abstractNum>
  <w:abstractNum w:abstractNumId="113">
    <w:nsid w:val="5675FF36"/>
    <w:multiLevelType w:val="hybridMultilevel"/>
    <w:lvl w:ilvl="0">
      <w:lvlJc w:val="left"/>
      <w:lvlText w:val="%1."/>
      <w:numFmt w:val="decimal"/>
      <w:start w:val="5"/>
    </w:lvl>
  </w:abstractNum>
  <w:abstractNum w:abstractNumId="114">
    <w:nsid w:val="3DD15094"/>
    <w:multiLevelType w:val="hybridMultilevel"/>
    <w:lvl w:ilvl="0">
      <w:lvlJc w:val="left"/>
      <w:lvlText w:val="%1."/>
      <w:numFmt w:val="decimal"/>
      <w:start w:val="1"/>
    </w:lvl>
    <w:lvl w:ilvl="1">
      <w:lvlJc w:val="left"/>
      <w:lvlText w:val="%2."/>
      <w:numFmt w:val="upperLetter"/>
      <w:start w:val="1"/>
    </w:lvl>
  </w:abstractNum>
  <w:abstractNum w:abstractNumId="115">
    <w:nsid w:val="3DB012B3"/>
    <w:multiLevelType w:val="hybridMultilevel"/>
    <w:lvl w:ilvl="0">
      <w:lvlJc w:val="left"/>
      <w:lvlText w:val="%1."/>
      <w:numFmt w:val="upperLetter"/>
      <w:start w:val="2"/>
    </w:lvl>
    <w:lvl w:ilvl="1">
      <w:lvlJc w:val="left"/>
      <w:lvlText w:val="(%2)"/>
      <w:numFmt w:val="lowerRoman"/>
      <w:start w:val="1"/>
    </w:lvl>
  </w:abstractNum>
  <w:abstractNum w:abstractNumId="116">
    <w:nsid w:val="2708C9AF"/>
    <w:multiLevelType w:val="hybridMultilevel"/>
    <w:lvl w:ilvl="0">
      <w:lvlJc w:val="left"/>
      <w:lvlText w:val="%1"/>
      <w:numFmt w:val="decimal"/>
      <w:start w:val="1"/>
    </w:lvl>
    <w:lvl w:ilvl="1">
      <w:lvlJc w:val="left"/>
      <w:lvlText w:val="%2."/>
      <w:numFmt w:val="upperLetter"/>
      <w:start w:val="9"/>
    </w:lvl>
  </w:abstractNum>
  <w:abstractNum w:abstractNumId="117">
    <w:nsid w:val="5B25ACE2"/>
    <w:multiLevelType w:val="hybridMultilevel"/>
    <w:lvl w:ilvl="0">
      <w:lvlJc w:val="left"/>
      <w:lvlText w:val="%1."/>
      <w:numFmt w:val="decimal"/>
      <w:start w:val="2"/>
    </w:lvl>
    <w:lvl w:ilvl="1">
      <w:lvlJc w:val="left"/>
      <w:lvlText w:val="%2"/>
      <w:numFmt w:val="upperLetter"/>
      <w:start w:val="1"/>
    </w:lvl>
  </w:abstractNum>
  <w:abstractNum w:abstractNumId="118">
    <w:nsid w:val="175DFCF0"/>
    <w:multiLevelType w:val="hybridMultilevel"/>
    <w:lvl w:ilvl="0">
      <w:lvlJc w:val="left"/>
      <w:lvlText w:val="%1."/>
      <w:numFmt w:val="decimal"/>
      <w:start w:val="3"/>
    </w:lvl>
    <w:lvl w:ilvl="1">
      <w:lvlJc w:val="left"/>
      <w:lvlText w:val="%2."/>
      <w:numFmt w:val="upperLetter"/>
      <w:start w:val="1"/>
    </w:lvl>
    <w:lvl w:ilvl="2">
      <w:lvlJc w:val="left"/>
      <w:lvlText w:val="(%3)"/>
      <w:numFmt w:val="lowerRoman"/>
      <w:start w:val="1"/>
    </w:lvl>
  </w:abstractNum>
  <w:abstractNum w:abstractNumId="119">
    <w:nsid w:val="4F97E3E4"/>
    <w:multiLevelType w:val="hybridMultilevel"/>
    <w:lvl w:ilvl="0">
      <w:lvlJc w:val="left"/>
      <w:lvlText w:val="(%1)"/>
      <w:numFmt w:val="lowerLetter"/>
      <w:start w:val="35"/>
    </w:lvl>
    <w:lvl w:ilvl="1">
      <w:lvlJc w:val="left"/>
      <w:lvlText w:val="(%2)"/>
      <w:numFmt w:val="lowerLetter"/>
      <w:start w:val="1"/>
    </w:lvl>
  </w:abstractNum>
  <w:abstractNum w:abstractNumId="120">
    <w:nsid w:val="53B0A9E"/>
    <w:multiLevelType w:val="hybridMultilevel"/>
    <w:lvl w:ilvl="0">
      <w:lvlJc w:val="left"/>
      <w:lvlText w:val="(%1)"/>
      <w:numFmt w:val="lowerRoman"/>
      <w:start w:val="3"/>
    </w:lvl>
  </w:abstractNum>
  <w:abstractNum w:abstractNumId="121">
    <w:nsid w:val="34FD6B4F"/>
    <w:multiLevelType w:val="hybridMultilevel"/>
    <w:lvl w:ilvl="0">
      <w:lvlJc w:val="left"/>
      <w:lvlText w:val="%1."/>
      <w:numFmt w:val="decimal"/>
      <w:start w:val="4"/>
    </w:lvl>
  </w:abstractNum>
  <w:abstractNum w:abstractNumId="122">
    <w:nsid w:val="5915FF32"/>
    <w:multiLevelType w:val="hybridMultilevel"/>
    <w:lvl w:ilvl="0">
      <w:lvlJc w:val="left"/>
      <w:lvlText w:val="*"/>
      <w:numFmt w:val="bullet"/>
      <w:start w:val="1"/>
    </w:lvl>
  </w:abstractNum>
  <w:abstractNum w:abstractNumId="123">
    <w:nsid w:val="56438D15"/>
    <w:multiLevelType w:val="hybridMultilevel"/>
    <w:lvl w:ilvl="0">
      <w:lvlJc w:val="left"/>
      <w:lvlText w:val="(%1)"/>
      <w:numFmt w:val="lowerLetter"/>
      <w:start w:val="1"/>
    </w:lvl>
  </w:abstractNum>
  <w:abstractNum w:abstractNumId="124">
    <w:nsid w:val="519E3149"/>
    <w:multiLevelType w:val="hybridMultilevel"/>
    <w:lvl w:ilvl="0">
      <w:lvlJc w:val="left"/>
      <w:lvlText w:val="(%1)"/>
      <w:numFmt w:val="lowerLetter"/>
      <w:start w:val="2"/>
    </w:lvl>
  </w:abstractNum>
  <w:abstractNum w:abstractNumId="125">
    <w:nsid w:val="2C6E4AFD"/>
    <w:multiLevelType w:val="hybridMultilevel"/>
    <w:lvl w:ilvl="0">
      <w:lvlJc w:val="left"/>
      <w:lvlText w:val="(%1)"/>
      <w:numFmt w:val="decimal"/>
      <w:start w:val="3"/>
    </w:lvl>
  </w:abstractNum>
  <w:abstractNum w:abstractNumId="126">
    <w:nsid w:val="17A1B582"/>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jpeg"/><Relationship Id="rId162" Type="http://schemas.openxmlformats.org/officeDocument/2006/relationships/image" Target="media/image155.jpe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jpeg"/><Relationship Id="rId168" Type="http://schemas.openxmlformats.org/officeDocument/2006/relationships/image" Target="media/image161.jpeg"/><Relationship Id="rId169" Type="http://schemas.openxmlformats.org/officeDocument/2006/relationships/image" Target="media/image162.jpeg"/><Relationship Id="rId170" Type="http://schemas.openxmlformats.org/officeDocument/2006/relationships/image" Target="media/image163.jpeg"/><Relationship Id="rId171" Type="http://schemas.openxmlformats.org/officeDocument/2006/relationships/image" Target="media/image164.jpeg"/><Relationship Id="rId172" Type="http://schemas.openxmlformats.org/officeDocument/2006/relationships/image" Target="media/image165.jpeg"/><Relationship Id="rId173" Type="http://schemas.openxmlformats.org/officeDocument/2006/relationships/image" Target="media/image166.jpeg"/><Relationship Id="rId174" Type="http://schemas.openxmlformats.org/officeDocument/2006/relationships/image" Target="media/image167.jpe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jpe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jpe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jpe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png"/><Relationship Id="rId248" Type="http://schemas.openxmlformats.org/officeDocument/2006/relationships/image" Target="media/image241.jpe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jpe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jpe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jpe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jpe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jpe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jpeg"/><Relationship Id="rId275" Type="http://schemas.openxmlformats.org/officeDocument/2006/relationships/image" Target="media/image268.jpe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jpe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jpe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jpeg"/><Relationship Id="rId286" Type="http://schemas.openxmlformats.org/officeDocument/2006/relationships/image" Target="media/image279.png"/><Relationship Id="rId287" Type="http://schemas.openxmlformats.org/officeDocument/2006/relationships/image" Target="media/image280.jpe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jpeg"/><Relationship Id="rId291" Type="http://schemas.openxmlformats.org/officeDocument/2006/relationships/image" Target="media/image284.png"/><Relationship Id="rId292" Type="http://schemas.openxmlformats.org/officeDocument/2006/relationships/image" Target="media/image285.jpeg"/><Relationship Id="rId293" Type="http://schemas.openxmlformats.org/officeDocument/2006/relationships/image" Target="media/image286.png"/><Relationship Id="rId294" Type="http://schemas.openxmlformats.org/officeDocument/2006/relationships/image" Target="media/image287.jpeg"/><Relationship Id="rId295" Type="http://schemas.openxmlformats.org/officeDocument/2006/relationships/image" Target="media/image288.png"/><Relationship Id="rId296" Type="http://schemas.openxmlformats.org/officeDocument/2006/relationships/image" Target="media/image289.jpeg"/><Relationship Id="rId297" Type="http://schemas.openxmlformats.org/officeDocument/2006/relationships/image" Target="media/image290.png"/><Relationship Id="rId298" Type="http://schemas.openxmlformats.org/officeDocument/2006/relationships/image" Target="media/image291.jpeg"/><Relationship Id="rId299" Type="http://schemas.openxmlformats.org/officeDocument/2006/relationships/image" Target="media/image292.png"/><Relationship Id="rId300" Type="http://schemas.openxmlformats.org/officeDocument/2006/relationships/image" Target="media/image293.jpe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jpe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jpe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jpe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jpe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jpeg"/><Relationship Id="rId324" Type="http://schemas.openxmlformats.org/officeDocument/2006/relationships/image" Target="media/image317.png"/><Relationship Id="rId325" Type="http://schemas.openxmlformats.org/officeDocument/2006/relationships/image" Target="media/image318.jpe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jpeg"/><Relationship Id="rId329" Type="http://schemas.openxmlformats.org/officeDocument/2006/relationships/image" Target="media/image322.png"/><Relationship Id="rId330" Type="http://schemas.openxmlformats.org/officeDocument/2006/relationships/image" Target="media/image323.jpe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jpe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jpe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jpeg"/><Relationship Id="rId356" Type="http://schemas.openxmlformats.org/officeDocument/2006/relationships/image" Target="media/image349.png"/><Relationship Id="rId357" Type="http://schemas.openxmlformats.org/officeDocument/2006/relationships/image" Target="media/image350.jpe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2022-03-25T15:22:20Z</dcterms:created>
  <dcterms:modified xsi:type="dcterms:W3CDTF">2022-03-25T15:22:20Z</dcterms:modified>
</cp:coreProperties>
</file>