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For the fiscal year ended September 29,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For the transition period from __________to__________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001-05560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Skyworks Solutions, Inc.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139" w:type="dxa"/>
        <w:jc w:val="center"/>
        <w:tblInd w:w="0" w:type="dxa"/>
        <w:tblLayout w:type="fixed"/>
        <w:tblCellMar>
          <w:top w:w="28" w:type="dxa"/>
          <w:left w:w="28" w:type="dxa"/>
          <w:bottom w:w="28" w:type="dxa"/>
          <w:right w:w="28" w:type="dxa"/>
        </w:tblCellMar>
      </w:tblPr>
      <w:tblGrid>
        <w:gridCol w:w="1617"/>
        <w:gridCol w:w="1420"/>
        <w:gridCol w:w="1432"/>
        <w:gridCol w:w="780"/>
        <w:gridCol w:w="780"/>
        <w:gridCol w:w="1110"/>
      </w:tblGrid>
      <w:tr>
        <w:trPr/>
        <w:tc>
          <w:tcPr>
            <w:tcW w:w="16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04-2302115</w:t>
            </w:r>
          </w:p>
        </w:tc>
      </w:tr>
      <w:tr>
        <w:trPr/>
        <w:tc>
          <w:tcPr>
            <w:tcW w:w="4469" w:type="dxa"/>
            <w:gridSpan w:val="3"/>
            <w:tcBorders/>
            <w:tcMar>
              <w:top w:w="0" w:type="dxa"/>
              <w:left w:w="0" w:type="dxa"/>
              <w:bottom w:w="0" w:type="dxa"/>
              <w:right w:w="0" w:type="dxa"/>
            </w:tcMar>
            <w:vAlign w:val="center"/>
          </w:tcPr>
          <w:p>
            <w:pPr>
              <w:pStyle w:val="TableContents"/>
              <w:bidi w:val="0"/>
              <w:spacing w:lineRule="auto" w:line="225" w:before="0" w:after="0"/>
              <w:jc w:val="center"/>
              <w:rPr/>
            </w:pPr>
            <w:r>
              <w:rPr>
                <w:rFonts w:ascii="Times New Roman;sans-serif" w:hAnsi="Times New Roman;sans-serif"/>
                <w:b w:val="false"/>
                <w:i/>
                <w:color w:val="000000"/>
                <w:sz w:val="18"/>
              </w:rPr>
              <w:t>(State or other jurisdiction of</w:t>
            </w:r>
            <w:r>
              <w:rPr>
                <w:color w:val="000000"/>
              </w:rPr>
              <w:t xml:space="preserve"> </w:t>
            </w:r>
            <w:r>
              <w:rPr>
                <w:rFonts w:ascii="Times New Roman;sans-serif" w:hAnsi="Times New Roman;sans-serif"/>
                <w:b w:val="false"/>
                <w:i/>
                <w:color w:val="000000"/>
                <w:sz w:val="18"/>
              </w:rPr>
              <w:t>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tbl>
      <w:tblPr>
        <w:tblW w:w="4696" w:type="dxa"/>
        <w:jc w:val="center"/>
        <w:tblInd w:w="0" w:type="dxa"/>
        <w:tblLayout w:type="fixed"/>
        <w:tblCellMar>
          <w:top w:w="28" w:type="dxa"/>
          <w:left w:w="28" w:type="dxa"/>
          <w:bottom w:w="28" w:type="dxa"/>
          <w:right w:w="28" w:type="dxa"/>
        </w:tblCellMar>
      </w:tblPr>
      <w:tblGrid>
        <w:gridCol w:w="776"/>
        <w:gridCol w:w="682"/>
        <w:gridCol w:w="686"/>
        <w:gridCol w:w="210"/>
        <w:gridCol w:w="210"/>
        <w:gridCol w:w="211"/>
        <w:gridCol w:w="330"/>
        <w:gridCol w:w="330"/>
        <w:gridCol w:w="331"/>
        <w:gridCol w:w="145"/>
        <w:gridCol w:w="145"/>
        <w:gridCol w:w="145"/>
        <w:gridCol w:w="145"/>
        <w:gridCol w:w="145"/>
        <w:gridCol w:w="205"/>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5260 California Avenue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Irvine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9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92617</w:t>
            </w:r>
          </w:p>
        </w:tc>
      </w:tr>
      <w:tr>
        <w:trPr/>
        <w:tc>
          <w:tcPr>
            <w:tcW w:w="3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9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tbl>
      <w:tblPr>
        <w:tblW w:w="4525" w:type="dxa"/>
        <w:jc w:val="center"/>
        <w:tblInd w:w="0" w:type="dxa"/>
        <w:tblLayout w:type="fixed"/>
        <w:tblCellMar>
          <w:top w:w="28" w:type="dxa"/>
          <w:left w:w="28" w:type="dxa"/>
          <w:bottom w:w="28" w:type="dxa"/>
          <w:right w:w="28" w:type="dxa"/>
        </w:tblCellMar>
      </w:tblPr>
      <w:tblGrid>
        <w:gridCol w:w="261"/>
        <w:gridCol w:w="229"/>
        <w:gridCol w:w="229"/>
        <w:gridCol w:w="376"/>
        <w:gridCol w:w="376"/>
        <w:gridCol w:w="381"/>
        <w:gridCol w:w="629"/>
        <w:gridCol w:w="629"/>
        <w:gridCol w:w="633"/>
        <w:gridCol w:w="229"/>
        <w:gridCol w:w="229"/>
        <w:gridCol w:w="32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(949)</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231-3000</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12(g) of the Act: None </w:t>
      </w:r>
    </w:p>
    <w:p>
      <w:pPr>
        <w:pStyle w:val="TextBody"/>
        <w:bidi w:val="0"/>
        <w:spacing w:before="0" w:after="0"/>
        <w:jc w:val="left"/>
        <w:rPr/>
      </w:pPr>
      <w:r>
        <w:rPr/>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w:t>
      </w:r>
      <w:r>
        <w:rPr>
          <w:color w:val="000000"/>
        </w:rPr>
        <w:t xml:space="preserve">☑ </w:t>
      </w:r>
      <w:r>
        <w:rPr>
          <w:rFonts w:ascii="Times New Roman;sans-serif" w:hAnsi="Times New Roman;sans-serif"/>
          <w:b w:val="false"/>
          <w:color w:val="000000"/>
          <w:sz w:val="16"/>
        </w:rPr>
        <w:t>Yes</w:t>
      </w:r>
      <w:r>
        <w:rPr>
          <w:color w:val="000000"/>
        </w:rPr>
        <w:t xml:space="preserve">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if the registrant is not required to file reports pursuant to Section 13 or 15(d) of the Act.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10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color w:val="000000"/>
        </w:rPr>
        <w:t>☑</w:t>
      </w:r>
    </w:p>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100"/>
        <w:jc w:val="left"/>
        <w:rPr/>
      </w:pPr>
      <w:r>
        <w:rPr>
          <w:rFonts w:ascii="Times New Roman;sans-serif" w:hAnsi="Times New Roman;sans-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31, 2023) was approximately $18.7 billion. The number of outstanding shares of the registrant’s common stock, par value $0.25 per share, as of November 10, 2023, was 159,954,867.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2"/>
        <w:gridCol w:w="318"/>
        <w:gridCol w:w="320"/>
        <w:gridCol w:w="109"/>
        <w:gridCol w:w="109"/>
        <w:gridCol w:w="109"/>
        <w:gridCol w:w="2608"/>
        <w:gridCol w:w="2592"/>
        <w:gridCol w:w="3678"/>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of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Documents from which portions are incorporated by reference</w:t>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relating to the Registrant’s 2024 Annual Meeting of Stockholders (to be filed) are incorporated by reference into Items 10, 11, 12, 13, and 14 of this Annual Report on Form 10-K.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SEPTEMBER 29,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64"/>
        <w:gridCol w:w="2866"/>
        <w:gridCol w:w="2890"/>
        <w:gridCol w:w="257"/>
        <w:gridCol w:w="257"/>
        <w:gridCol w:w="371"/>
      </w:tblGrid>
      <w:tr>
        <w:trPr/>
        <w:tc>
          <w:tcPr>
            <w:tcW w:w="3564"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NO.</w:t>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3">
              <w:r>
                <w:rPr>
                  <w:rStyle w:val="InternetLink"/>
                  <w:rFonts w:ascii="Times New Roman;sans-serif" w:hAnsi="Times New Roman;sans-serif"/>
                  <w:b w:val="false"/>
                  <w:color w:val="0000FF"/>
                  <w:sz w:val="18"/>
                  <w:u w:val="single"/>
                </w:rPr>
                <w:t>PART I</w:t>
              </w:r>
            </w:hyperlink>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6">
              <w:r>
                <w:rPr>
                  <w:rStyle w:val="InternetLink"/>
                  <w:rFonts w:ascii="Times New Roman;sans-serif" w:hAnsi="Times New Roman;sans-serif"/>
                  <w:b w:val="false"/>
                  <w:color w:val="0000FF"/>
                  <w:sz w:val="18"/>
                  <w:u w:val="single"/>
                </w:rPr>
                <w:t>ITEM 1: BUSINESS.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6">
              <w:r>
                <w:rPr>
                  <w:rStyle w:val="InternetLink"/>
                  <w:rFonts w:ascii="Times New Roman;sans-serif" w:hAnsi="Times New Roman;sans-serif"/>
                  <w:b w:val="false"/>
                  <w:color w:val="0000FF"/>
                  <w:sz w:val="18"/>
                  <w:u w:val="single"/>
                </w:rPr>
                <w:t>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574">
              <w:r>
                <w:rPr>
                  <w:rStyle w:val="InternetLink"/>
                  <w:rFonts w:ascii="Times New Roman;sans-serif" w:hAnsi="Times New Roman;sans-serif"/>
                  <w:b w:val="false"/>
                  <w:color w:val="0000FF"/>
                  <w:sz w:val="18"/>
                  <w:u w:val="single"/>
                </w:rPr>
                <w:t>ITEM 1A: RISK FACTORS.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574">
              <w:r>
                <w:rPr>
                  <w:rStyle w:val="InternetLink"/>
                  <w:rFonts w:ascii="Times New Roman;sans-serif" w:hAnsi="Times New Roman;sans-serif"/>
                  <w:b w:val="false"/>
                  <w:color w:val="0000FF"/>
                  <w:sz w:val="18"/>
                  <w:u w:val="single"/>
                </w:rPr>
                <w:t>12</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22">
              <w:r>
                <w:rPr>
                  <w:rStyle w:val="InternetLink"/>
                  <w:rFonts w:ascii="Times New Roman;sans-serif" w:hAnsi="Times New Roman;sans-serif"/>
                  <w:b w:val="false"/>
                  <w:color w:val="0000FF"/>
                  <w:sz w:val="18"/>
                  <w:u w:val="single"/>
                </w:rPr>
                <w:t>ITEM 1B: UNRESOLVED STAFF COMMENTS.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22">
              <w:r>
                <w:rPr>
                  <w:rStyle w:val="InternetLink"/>
                  <w:rFonts w:ascii="Times New Roman;sans-serif" w:hAnsi="Times New Roman;sans-serif"/>
                  <w:b w:val="false"/>
                  <w:color w:val="0000FF"/>
                  <w:sz w:val="18"/>
                  <w:u w:val="single"/>
                </w:rPr>
                <w:t>27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25">
              <w:r>
                <w:rPr>
                  <w:rStyle w:val="InternetLink"/>
                  <w:rFonts w:ascii="Times New Roman;sans-serif" w:hAnsi="Times New Roman;sans-serif"/>
                  <w:b w:val="false"/>
                  <w:color w:val="0000FF"/>
                  <w:sz w:val="18"/>
                  <w:u w:val="single"/>
                </w:rPr>
                <w:t>ITEM 2: PROPERTIES.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25">
              <w:r>
                <w:rPr>
                  <w:rStyle w:val="InternetLink"/>
                  <w:rFonts w:ascii="Times New Roman;sans-serif" w:hAnsi="Times New Roman;sans-serif"/>
                  <w:b w:val="false"/>
                  <w:color w:val="0000FF"/>
                  <w:sz w:val="18"/>
                  <w:u w:val="single"/>
                </w:rPr>
                <w:t>27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28">
              <w:r>
                <w:rPr>
                  <w:rStyle w:val="InternetLink"/>
                  <w:rFonts w:ascii="Times New Roman;sans-serif" w:hAnsi="Times New Roman;sans-serif"/>
                  <w:b w:val="false"/>
                  <w:color w:val="0000FF"/>
                  <w:sz w:val="18"/>
                  <w:u w:val="single"/>
                </w:rPr>
                <w:t>ITEM 3: LEGAL PROCEEDINGS.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28">
              <w:r>
                <w:rPr>
                  <w:rStyle w:val="InternetLink"/>
                  <w:rFonts w:ascii="Times New Roman;sans-serif" w:hAnsi="Times New Roman;sans-serif"/>
                  <w:b w:val="false"/>
                  <w:color w:val="0000FF"/>
                  <w:sz w:val="18"/>
                  <w:u w:val="single"/>
                </w:rPr>
                <w:t>27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31">
              <w:r>
                <w:rPr>
                  <w:rStyle w:val="InternetLink"/>
                  <w:rFonts w:ascii="Times New Roman;sans-serif" w:hAnsi="Times New Roman;sans-serif"/>
                  <w:b w:val="false"/>
                  <w:color w:val="0000FF"/>
                  <w:sz w:val="18"/>
                  <w:u w:val="single"/>
                </w:rPr>
                <w:t>ITEM 4: MINE SAFETY DISCLOSURES</w:t>
              </w:r>
            </w:hyperlink>
            <w:r>
              <w:rPr>
                <w:rFonts w:ascii="Times New Roman;sans-serif" w:hAnsi="Times New Roman;sans-serif"/>
                <w:b w:val="false"/>
                <w:color w:val="000000"/>
                <w:sz w:val="18"/>
              </w:rPr>
              <w:t>.</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31">
              <w:r>
                <w:rPr>
                  <w:rStyle w:val="InternetLink"/>
                  <w:rFonts w:ascii="Times New Roman;sans-serif" w:hAnsi="Times New Roman;sans-serif"/>
                  <w:b w:val="false"/>
                  <w:color w:val="0000FF"/>
                  <w:sz w:val="18"/>
                  <w:u w:val="single"/>
                </w:rPr>
                <w:t>27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34">
              <w:r>
                <w:rPr>
                  <w:rStyle w:val="InternetLink"/>
                  <w:rFonts w:ascii="Times New Roman;sans-serif" w:hAnsi="Times New Roman;sans-serif"/>
                  <w:b w:val="false"/>
                  <w:color w:val="0000FF"/>
                  <w:sz w:val="18"/>
                  <w:u w:val="single"/>
                </w:rPr>
                <w:t>PART II</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37">
              <w:r>
                <w:rPr>
                  <w:rStyle w:val="InternetLink"/>
                  <w:rFonts w:ascii="Times New Roman;sans-serif" w:hAnsi="Times New Roman;sans-serif"/>
                  <w:b w:val="false"/>
                  <w:color w:val="0000FF"/>
                  <w:sz w:val="18"/>
                  <w:u w:val="single"/>
                </w:rPr>
                <w:t>ITEM 5: MARKET FOR REGISTRANT’S COMMON EQUITY, RELATED STOCKHOLDER MATTERS, AND ISSUER PURCHASES OF EQUITY SECURITIES.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37">
              <w:r>
                <w:rPr>
                  <w:rStyle w:val="InternetLink"/>
                  <w:rFonts w:ascii="Times New Roman;sans-serif" w:hAnsi="Times New Roman;sans-serif"/>
                  <w:b w:val="false"/>
                  <w:color w:val="0000FF"/>
                  <w:sz w:val="18"/>
                  <w:u w:val="single"/>
                </w:rPr>
                <w:t>27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40">
              <w:r>
                <w:rPr>
                  <w:rStyle w:val="InternetLink"/>
                  <w:rFonts w:ascii="Times New Roman;sans-serif" w:hAnsi="Times New Roman;sans-serif"/>
                  <w:b w:val="false"/>
                  <w:color w:val="0000FF"/>
                  <w:sz w:val="18"/>
                  <w:u w:val="single"/>
                </w:rPr>
                <w:t>ITEM 6: RESERVED.</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40">
              <w:r>
                <w:rPr>
                  <w:rStyle w:val="InternetLink"/>
                  <w:rFonts w:ascii="Times New Roman;sans-serif" w:hAnsi="Times New Roman;sans-serif"/>
                  <w:b w:val="false"/>
                  <w:color w:val="0000FF"/>
                  <w:sz w:val="18"/>
                  <w:u w:val="single"/>
                </w:rPr>
                <w:t>29</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43">
              <w:r>
                <w:rPr>
                  <w:rStyle w:val="InternetLink"/>
                  <w:rFonts w:ascii="Times New Roman;sans-serif" w:hAnsi="Times New Roman;sans-serif"/>
                  <w:b w:val="false"/>
                  <w:color w:val="0000FF"/>
                  <w:sz w:val="18"/>
                  <w:u w:val="single"/>
                </w:rPr>
                <w:t>ITEM 7: MANAGEMENT’S DISCUSSION AND ANALYSIS OF FINANCIAL CONDITION AND RESULTS OF OPERATIONS.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43">
              <w:r>
                <w:rPr>
                  <w:rStyle w:val="InternetLink"/>
                  <w:rFonts w:ascii="Times New Roman;sans-serif" w:hAnsi="Times New Roman;sans-serif"/>
                  <w:b w:val="false"/>
                  <w:color w:val="0000FF"/>
                  <w:sz w:val="18"/>
                  <w:u w:val="single"/>
                </w:rPr>
                <w:t>30</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58">
              <w:r>
                <w:rPr>
                  <w:rStyle w:val="InternetLink"/>
                  <w:rFonts w:ascii="Times New Roman;sans-serif" w:hAnsi="Times New Roman;sans-serif"/>
                  <w:b w:val="false"/>
                  <w:color w:val="0000FF"/>
                  <w:sz w:val="18"/>
                  <w:u w:val="single"/>
                </w:rPr>
                <w:t>ITEM 7A: QUANTITATIVE AND QUALITATIVE DISCLOSURES ABOUT MARKET RISK.</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58">
              <w:r>
                <w:rPr>
                  <w:rStyle w:val="InternetLink"/>
                  <w:rFonts w:ascii="Times New Roman;sans-serif" w:hAnsi="Times New Roman;sans-serif"/>
                  <w:b w:val="false"/>
                  <w:color w:val="0000FF"/>
                  <w:sz w:val="18"/>
                  <w:u w:val="single"/>
                </w:rPr>
                <w:t>35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61">
              <w:r>
                <w:rPr>
                  <w:rStyle w:val="InternetLink"/>
                  <w:rFonts w:ascii="Times New Roman;sans-serif" w:hAnsi="Times New Roman;sans-serif"/>
                  <w:b w:val="false"/>
                  <w:color w:val="0000FF"/>
                  <w:sz w:val="18"/>
                  <w:u w:val="single"/>
                </w:rPr>
                <w:t>ITEM 8: FINANCIAL STATEMENTS AND SUPPLEMENTARY DATA.</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61">
              <w:r>
                <w:rPr>
                  <w:rStyle w:val="InternetLink"/>
                  <w:rFonts w:ascii="Times New Roman;sans-serif" w:hAnsi="Times New Roman;sans-serif"/>
                  <w:b w:val="false"/>
                  <w:color w:val="0000FF"/>
                  <w:sz w:val="18"/>
                  <w:u w:val="single"/>
                </w:rPr>
                <w:t>37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51">
              <w:r>
                <w:rPr>
                  <w:rStyle w:val="InternetLink"/>
                  <w:rFonts w:ascii="Times New Roman;sans-serif" w:hAnsi="Times New Roman;sans-serif"/>
                  <w:b w:val="false"/>
                  <w:color w:val="0000FF"/>
                  <w:sz w:val="18"/>
                  <w:u w:val="single"/>
                </w:rPr>
                <w:t>ITEM 9: CHANGES IN AND DISAGREEMENTS WITH ACCOUNTANTS ON ACCOUNTING AND FINANCIAL DISCLOSURE.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51">
              <w:r>
                <w:rPr>
                  <w:rStyle w:val="InternetLink"/>
                  <w:rFonts w:ascii="Times New Roman;sans-serif" w:hAnsi="Times New Roman;sans-serif"/>
                  <w:b w:val="false"/>
                  <w:color w:val="0000FF"/>
                  <w:sz w:val="18"/>
                  <w:u w:val="single"/>
                </w:rPr>
                <w:t>64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54">
              <w:r>
                <w:rPr>
                  <w:rStyle w:val="InternetLink"/>
                  <w:rFonts w:ascii="Times New Roman;sans-serif" w:hAnsi="Times New Roman;sans-serif"/>
                  <w:b w:val="false"/>
                  <w:color w:val="0000FF"/>
                  <w:sz w:val="18"/>
                  <w:u w:val="single"/>
                </w:rPr>
                <w:t>ITEM 9A: CONTROLS AND PROCEDURES.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54">
              <w:r>
                <w:rPr>
                  <w:rStyle w:val="InternetLink"/>
                  <w:rFonts w:ascii="Times New Roman;sans-serif" w:hAnsi="Times New Roman;sans-serif"/>
                  <w:b w:val="false"/>
                  <w:color w:val="0000FF"/>
                  <w:sz w:val="18"/>
                  <w:u w:val="single"/>
                </w:rPr>
                <w:t>65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57">
              <w:r>
                <w:rPr>
                  <w:rStyle w:val="InternetLink"/>
                  <w:rFonts w:ascii="Times New Roman;sans-serif" w:hAnsi="Times New Roman;sans-serif"/>
                  <w:b w:val="false"/>
                  <w:color w:val="0000FF"/>
                  <w:sz w:val="18"/>
                  <w:u w:val="single"/>
                </w:rPr>
                <w:t>ITEM 9B: OTHER INFORMATION.</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57">
              <w:r>
                <w:rPr>
                  <w:rStyle w:val="InternetLink"/>
                  <w:rFonts w:ascii="Times New Roman;sans-serif" w:hAnsi="Times New Roman;sans-serif"/>
                  <w:b w:val="false"/>
                  <w:color w:val="0000FF"/>
                  <w:sz w:val="18"/>
                  <w:u w:val="single"/>
                </w:rPr>
                <w:t>65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60">
              <w:r>
                <w:rPr>
                  <w:rStyle w:val="InternetLink"/>
                  <w:rFonts w:ascii="Times New Roman;sans-serif" w:hAnsi="Times New Roman;sans-serif"/>
                  <w:b w:val="false"/>
                  <w:color w:val="0000FF"/>
                  <w:sz w:val="18"/>
                  <w:u w:val="single"/>
                </w:rPr>
                <w:t>ITEM 9C: DISCLOSURE REGARDING FOREIGN JURISDICTIONS THAT PREVENT INSPECTIONS.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60">
              <w:r>
                <w:rPr>
                  <w:rStyle w:val="InternetLink"/>
                  <w:rFonts w:ascii="Times New Roman;sans-serif" w:hAnsi="Times New Roman;sans-serif"/>
                  <w:b w:val="false"/>
                  <w:color w:val="0000FF"/>
                  <w:sz w:val="18"/>
                  <w:u w:val="single"/>
                </w:rPr>
                <w:t>66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63">
              <w:r>
                <w:rPr>
                  <w:rStyle w:val="InternetLink"/>
                  <w:rFonts w:ascii="Times New Roman;sans-serif" w:hAnsi="Times New Roman;sans-serif"/>
                  <w:b w:val="false"/>
                  <w:color w:val="0000FF"/>
                  <w:sz w:val="18"/>
                  <w:u w:val="single"/>
                </w:rPr>
                <w:t>PART III</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66">
              <w:r>
                <w:rPr>
                  <w:rStyle w:val="InternetLink"/>
                  <w:rFonts w:ascii="Times New Roman;sans-serif" w:hAnsi="Times New Roman;sans-serif"/>
                  <w:b w:val="false"/>
                  <w:color w:val="0000FF"/>
                  <w:sz w:val="18"/>
                  <w:u w:val="single"/>
                </w:rPr>
                <w:t>ITEM 10: DIRECTORS, EXECUTIVE OFFICERS, AND CORPORATE GOVERNANCE.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66">
              <w:r>
                <w:rPr>
                  <w:rStyle w:val="InternetLink"/>
                  <w:rFonts w:ascii="Times New Roman;sans-serif" w:hAnsi="Times New Roman;sans-serif"/>
                  <w:b w:val="false"/>
                  <w:color w:val="0000FF"/>
                  <w:sz w:val="18"/>
                  <w:u w:val="single"/>
                </w:rPr>
                <w:t>66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69">
              <w:r>
                <w:rPr>
                  <w:rStyle w:val="InternetLink"/>
                  <w:rFonts w:ascii="Times New Roman;sans-serif" w:hAnsi="Times New Roman;sans-serif"/>
                  <w:b w:val="false"/>
                  <w:color w:val="0000FF"/>
                  <w:sz w:val="18"/>
                  <w:u w:val="single"/>
                </w:rPr>
                <w:t>ITEM 11: EXECUTIVE COMPENSATION.</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69">
              <w:r>
                <w:rPr>
                  <w:rStyle w:val="InternetLink"/>
                  <w:rFonts w:ascii="Times New Roman;sans-serif" w:hAnsi="Times New Roman;sans-serif"/>
                  <w:b w:val="false"/>
                  <w:color w:val="0000FF"/>
                  <w:sz w:val="18"/>
                  <w:u w:val="single"/>
                </w:rPr>
                <w:t>66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72">
              <w:r>
                <w:rPr>
                  <w:rStyle w:val="InternetLink"/>
                  <w:rFonts w:ascii="Times New Roman;sans-serif" w:hAnsi="Times New Roman;sans-serif"/>
                  <w:b w:val="false"/>
                  <w:color w:val="0000FF"/>
                  <w:sz w:val="18"/>
                  <w:u w:val="single"/>
                </w:rPr>
                <w:t>ITEM 12: SECURITY OWNERSHIP OF CERTAIN BENEFICIAL OWNERS AND MANAGEMENT AND RELATED STOCKHOLDER MATTERS.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72">
              <w:r>
                <w:rPr>
                  <w:rStyle w:val="InternetLink"/>
                  <w:rFonts w:ascii="Times New Roman;sans-serif" w:hAnsi="Times New Roman;sans-serif"/>
                  <w:b w:val="false"/>
                  <w:color w:val="0000FF"/>
                  <w:sz w:val="18"/>
                  <w:u w:val="single"/>
                </w:rPr>
                <w:t>66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75">
              <w:r>
                <w:rPr>
                  <w:rStyle w:val="InternetLink"/>
                  <w:rFonts w:ascii="Times New Roman;sans-serif" w:hAnsi="Times New Roman;sans-serif"/>
                  <w:b w:val="false"/>
                  <w:color w:val="0000FF"/>
                  <w:sz w:val="18"/>
                  <w:u w:val="single"/>
                </w:rPr>
                <w:t>ITEM 13: CERTAIN RELATIONSHIPS AND RELATED TRANSACTIONS, AND DIRECTOR INDEPENDENCE.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75">
              <w:r>
                <w:rPr>
                  <w:rStyle w:val="InternetLink"/>
                  <w:rFonts w:ascii="Times New Roman;sans-serif" w:hAnsi="Times New Roman;sans-serif"/>
                  <w:b w:val="false"/>
                  <w:color w:val="0000FF"/>
                  <w:sz w:val="18"/>
                  <w:u w:val="single"/>
                </w:rPr>
                <w:t>66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78">
              <w:r>
                <w:rPr>
                  <w:rStyle w:val="InternetLink"/>
                  <w:rFonts w:ascii="Times New Roman;sans-serif" w:hAnsi="Times New Roman;sans-serif"/>
                  <w:b w:val="false"/>
                  <w:color w:val="0000FF"/>
                  <w:sz w:val="18"/>
                  <w:u w:val="single"/>
                </w:rPr>
                <w:t>ITEM 14: PRINCIPAL ACCOUNTING FEES AND SERVICES.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78">
              <w:r>
                <w:rPr>
                  <w:rStyle w:val="InternetLink"/>
                  <w:rFonts w:ascii="Times New Roman;sans-serif" w:hAnsi="Times New Roman;sans-serif"/>
                  <w:b w:val="false"/>
                  <w:color w:val="0000FF"/>
                  <w:sz w:val="18"/>
                  <w:u w:val="single"/>
                </w:rPr>
                <w:t>67</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81">
              <w:r>
                <w:rPr>
                  <w:rStyle w:val="InternetLink"/>
                  <w:rFonts w:ascii="Times New Roman;sans-serif" w:hAnsi="Times New Roman;sans-serif"/>
                  <w:b w:val="false"/>
                  <w:color w:val="0000FF"/>
                  <w:sz w:val="18"/>
                  <w:u w:val="single"/>
                </w:rPr>
                <w:t>PART IV</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84">
              <w:r>
                <w:rPr>
                  <w:rStyle w:val="InternetLink"/>
                  <w:rFonts w:ascii="Times New Roman;sans-serif" w:hAnsi="Times New Roman;sans-serif"/>
                  <w:b w:val="false"/>
                  <w:color w:val="0000FF"/>
                  <w:sz w:val="18"/>
                  <w:u w:val="single"/>
                </w:rPr>
                <w:t>ITEM 15: EXHIBITS, FINANCIAL STATEMENT SCHEDULES.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84">
              <w:r>
                <w:rPr>
                  <w:rStyle w:val="InternetLink"/>
                  <w:rFonts w:ascii="Times New Roman;sans-serif" w:hAnsi="Times New Roman;sans-serif"/>
                  <w:b w:val="false"/>
                  <w:color w:val="0000FF"/>
                  <w:sz w:val="18"/>
                  <w:u w:val="single"/>
                </w:rPr>
                <w:t>68</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193">
              <w:r>
                <w:rPr>
                  <w:rStyle w:val="InternetLink"/>
                  <w:rFonts w:ascii="Times New Roman;sans-serif" w:hAnsi="Times New Roman;sans-serif"/>
                  <w:b w:val="false"/>
                  <w:color w:val="0000FF"/>
                  <w:sz w:val="18"/>
                  <w:u w:val="single"/>
                </w:rPr>
                <w:t>SIGNATURES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52baefd321401fad432ed640b54bc0_193">
              <w:r>
                <w:rPr>
                  <w:rStyle w:val="InternetLink"/>
                  <w:rFonts w:ascii="Times New Roman;sans-serif" w:hAnsi="Times New Roman;sans-serif"/>
                  <w:b w:val="false"/>
                  <w:color w:val="0000FF"/>
                  <w:sz w:val="18"/>
                  <w:u w:val="single"/>
                </w:rPr>
                <w:t>72</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CAUTIONARY STATEMENT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pStyle w:val="TextBody"/>
        <w:bidi w:val="0"/>
        <w:spacing w:before="0" w:after="0"/>
        <w:jc w:val="both"/>
        <w:rPr/>
      </w:pPr>
      <w:r>
        <w:rPr/>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our plans to develop and market new products, enhancements, or technologies and the timing of these development and marketing plans;</w:t>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our estimates regarding our capital requirements and our needs for additional financing;</w:t>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our estimates of our expenses, future revenues, and profitability;</w:t>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 xml:space="preserve">our estimates of the size of the markets for our products and services; </w:t>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 xml:space="preserve">our expectations related to the rate and degree of market acceptance of our products; and </w:t>
      </w:r>
    </w:p>
    <w:p>
      <w:pPr>
        <w:pStyle w:val="TextBody"/>
        <w:bidi w:val="0"/>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our estimates of the success of other competing technologies that may become available.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document, the words “we”, “our”, “ours”, “us”, “Skyworks”, and “the Company” refer only to Skyworks Solutions, Inc., and its consolidated subsidiaries and not any other person or entity. In addition, the following is a list of industry terms that may be referenced throughout the document:</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 xml:space="preserve">5G (Fifth Generation): next-generation cellular network technology </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AI (Artificial Intelligence): </w:t>
      </w:r>
      <w:r>
        <w:rPr>
          <w:rFonts w:ascii="Times New Roman;sans-serif" w:hAnsi="Times New Roman;sans-serif"/>
          <w:b w:val="false"/>
          <w:color w:val="202124"/>
          <w:sz w:val="20"/>
        </w:rPr>
        <w:t>the theory and development of computer systems able to perform tasks that normally require human intelligence, such as visual perception, speech recognition, decision-making, and translation between languages</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ASoC (Analog System on Chip): combines the required electronic circuits of various computer components into a single, integrated chip</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BAW (Bulk Acoustic Wave): electrical input signal is converted to an acoustic wave for filtering and converted back into an electrical signal by a metal-piezo-metal vertical structure</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DC (Direct Current): unidirectional flow of an electrical charge</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IoT (Internet of Things): the interconnection of uniquely identifiable embedded computing devices within the existing internet infrastructure</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LED (Light Emitting Diode): a two-lead semiconductor light source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LTE (Long-Term Evolution): 4th generation (“4G”) radio technologies designed to increase the capacity and speed of mobile telephone networks</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MIMO (Multiple In, Multiple Out): a method for multiplying the capacity of a radio link using multiple transmission and receiving antennas to exploit multipath propagation; more commonly, it refers to LTE, 5G, and Wi-Fi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techniques to send more than one data signal (also known as data layers) with encoded information to increase capacity in modern telecommunications systems</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RF (Radio Frequency): electromagnetic wave frequencies that lie in the range extending from around 3 kHz to 300 GHz</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 xml:space="preserve">SAW (Surface Acoustic Wave): electrical input signal is converted to an acoustic wave for filtering and converted back into an electrical signal by interdigitated transducers on a piezoelectric substrate </w:t>
      </w:r>
    </w:p>
    <w:p>
      <w:pPr>
        <w:pStyle w:val="TextBody"/>
        <w:bidi w:val="0"/>
        <w:spacing w:lineRule="auto" w:line="288" w:before="120" w:after="120"/>
        <w:ind w:left="0" w:right="0" w:hanging="540"/>
        <w:jc w:val="both"/>
        <w:rPr/>
      </w:pPr>
      <w:r>
        <w:rPr>
          <w:color w:val="000000"/>
        </w:rPr>
        <w:t>•</w:t>
      </w:r>
      <w:r>
        <w:rPr>
          <w:rFonts w:ascii="Times New Roman;sans-serif" w:hAnsi="Times New Roman;sans-serif"/>
          <w:b w:val="false"/>
          <w:color w:val="000000"/>
          <w:sz w:val="20"/>
        </w:rPr>
        <w:t>TC-SAW (Temperature Compensated Surface Acoustic Wave): SAW filters that have been designed to reduce shift in frequency over temperature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l</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Skyworks Solutions, Inc., together with its consolidated subsidiaries (“Skyworks” or the “Company”), is empowering the wireless networking revolution. The Company’s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Over the past two decades, Skyworks has made critical investments to power this connectivity transformation, addressing key network technologies from cellular to advanced Wi-Fi</w:t>
      </w:r>
      <w:r>
        <w:rPr>
          <w:rFonts w:ascii="Times New Roman;sans-serif" w:hAnsi="Times New Roman;sans-serif"/>
          <w:b w:val="false"/>
          <w:color w:val="000000"/>
          <w:sz w:val="13"/>
        </w:rPr>
        <w:t>®</w:t>
      </w:r>
      <w:r>
        <w:rPr>
          <w:rFonts w:ascii="Times New Roman;sans-serif" w:hAnsi="Times New Roman;sans-serif"/>
          <w:b w:val="false"/>
          <w:color w:val="000000"/>
          <w:sz w:val="20"/>
        </w:rPr>
        <w:t>, enhanced GPS, and Bluetooth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among others. Capitalizing on both organic growth and strategic acquisitions, we are targeting high-growth verticals, while at the same time, seeking to diversify our revenue and customer set.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Targeted investments in next-generation technology and solutions, exceptional technical talent, and world-class fabrication capabilities have accelerated our expansion into high-growth market segments, including electric and hybrid vehicles, industrial and motor control, power supply, 5G wireless infrastructure, optical data communication, data center, automotive, smart home, and several other applications.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key customers include Amazon, Apple Inc. (“Apple”), Arcadyan, Arris, Bose, Ciena, Cisco, DJI,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Xiaomi, and ZTE. Our competitors include Analog Devices, Broadcom, Cirrus Logic, Murata Manufacturing, NXP Semiconductors, Qorvo, Qualcomm, and Texas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practicable after we electronically file such material with, or furnish it to, the SEC. The information contained on our website is not incorporated by reference in this Annual Report. Our SEC filings are also available to the public at www.sec.gov.</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Industry Background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Wireless connectivity is expanding on a global basis, underscoring the critical nature of our mission of connecting everyone and everything, all the time. A widening range of use cases is driving an insatiable demand for ubiquitous wireless data across a broad array of applications. The advancement of 5G adoption, IoT, connectivity for everyone, automotive electrification and safety, as well as augmented reality and virtual reality technology, all demand faster speeds, increased bandwidth and capacity, significantly lower latency, and more reliable and secure wireless connectivity.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speed and ultra-low latency characteristics inherent in 5G technology are dramatically altering wireless connectivity, creating a market for diverse and transformative applications, and changing how individuals live, work, play, and learn. Most of the world’s largest economies are implementing commercial 5G networks, and the world’s leading smartphone manufacturers have launched multiple generations of 5G-enabled devices.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 continued expansion in data consumption, dependent on seamless, reliable, and ubiquitous wireless connectivity. A few statistics illustrate this point. According to the 2023 Ericsson Mobility Report, global mobile data is expected to double every three years, driven by new users, innovative services, and the convergence of AI and 5G technology. Machine-to-machine connections, the fastest-growing IoT category, is expected to soon surpass 15 billion devices. By 2030, we anticipate 650 million connected cars worldwide, each consuming 25 times the data seen in today’s smartphones.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Skyworks helps facilitate these opportunities with highly customized solutions that support a broad set of wireless systems and protocols including cellular, 5G, Wi-Fi</w:t>
      </w:r>
      <w:r>
        <w:rPr>
          <w:rFonts w:ascii="Times New Roman;sans-serif" w:hAnsi="Times New Roman;sans-serif"/>
          <w:b w:val="false"/>
          <w:color w:val="000000"/>
          <w:sz w:val="13"/>
        </w:rPr>
        <w:t>®</w:t>
      </w:r>
      <w:r>
        <w:rPr>
          <w:rFonts w:ascii="Times New Roman;sans-serif" w:hAnsi="Times New Roman;sans-serif"/>
          <w:b w:val="false"/>
          <w:color w:val="000000"/>
          <w:sz w:val="20"/>
        </w:rPr>
        <w:t>, GPS, Bluetooth</w:t>
      </w:r>
      <w:r>
        <w:rPr>
          <w:rFonts w:ascii="Times New Roman;sans-serif" w:hAnsi="Times New Roman;sans-serif"/>
          <w:b w:val="false"/>
          <w:color w:val="000000"/>
          <w:sz w:val="13"/>
        </w:rPr>
        <w:t>®</w:t>
      </w:r>
      <w:r>
        <w:rPr>
          <w:rFonts w:ascii="Times New Roman;sans-serif" w:hAnsi="Times New Roman;sans-serif"/>
          <w:b w:val="false"/>
          <w:color w:val="000000"/>
          <w:sz w:val="20"/>
        </w:rPr>
        <w:t>, Accutime™, HD-Radio™, LoRa</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and Zigbee</w:t>
      </w:r>
      <w:r>
        <w:rPr>
          <w:rFonts w:ascii="Times New Roman;sans-serif" w:hAnsi="Times New Roman;sans-serif"/>
          <w:b w:val="false"/>
          <w:color w:val="000000"/>
          <w:sz w:val="13"/>
        </w:rPr>
        <w:t>®</w:t>
      </w:r>
      <w:r>
        <w:rPr>
          <w:rFonts w:ascii="Times New Roman;sans-serif" w:hAnsi="Times New Roman;sans-serif"/>
          <w:b w:val="false"/>
          <w:color w:val="000000"/>
          <w:sz w:val="20"/>
        </w:rPr>
        <w:t>. Additionally, Wi-Fi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7, the next generation of Wi-Fi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complements 5G by providing high-speed wireless connectivity in local environments. These faster data rates and improved efficiency cater to the growing number of devices reliant on wireless networks.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AI can be a catalyst for more efficient wireless communications. From endpoint devices to data centers, generative AI applications will drive the need for higher speed and higher bandwidth Ethernet networks. We expect this will help increase the demand for our precision timing solutions.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Finally, with the rapid transition towards electrification and advanced safety in vehicles, we are focused on high growth segments and content opportunities, including (i) power isolation chips for on-board chargers, powertrain, and for battery management systems in electric vehicles, (ii) connectivity, with telematics and other solutions being enabled by 4G/5G cellular engines, Wi-Fi</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Ultra-wide band, Ethernet, and GPS, and (iii) in-vehicle infotainment systems, driven by digital radio coprocessors, and solutions supporting advanced driver-assistance systems and autonomous driving.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Solving Connectivity Challenges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Highly integrated semiconductor solutions are pivotal in deploying next-generation standards, resolving analog, mixed-signal, and RF complexities that challenge existing hardware and network infrastructure. Addressing these design challenges requires diverse competencies including signal transmission, seamless hand-offs between multiple standards, power management, voltage regulation, battery charging, advanced filtering, and tuning.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are at the forefront of this new era of connectivity, delivering the solutions that help enable the true potential of 5G and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timing devices, and digital power isolators. From our breakthrough Sky5</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unifying platform to our 5G small cell solutions, our approach across both infrastructure and user equipment facilitates powerful, high-speed, end-to-end 5G connectivity.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Skyworks’ Strategy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ambitious vision is to connect everyone and everything, all the time. Major elements of our strategy include: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Industry-Leading Technology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industry migrates to more complex 5G architectures across a multitude of wireless applications, we are poised to help our customers handle growing levels of system complexity across both the transmit and receive chains. The trend towards increasing front-end and analog design challenges in smartphones and other platforms plays directly into our core strengths. The forthcoming releases of 5G technologies offer significant upgrades for smartphones and IoT devices. These advancements will deliver more bandwidth, faster speeds, and enable applications like virtual reality, augmented reality, live video streaming, and seamless IoT connectivity. Crucially, they aim to bring us closer to achieving reliable low latency, ideal for massive machine communications, and introduces non-terrestrial networks that enable satellite connectivity for emergency applications.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trend towards increasing front-end and analog design challenges in smartphones and other platforms plays directly into our core strengths and positions us to address these challenges. We believe that we offer the broadest portfolio of radio and analog solutions from the transceiver to the antenna as well as all required manufacturing process technologies. We also hold strong technology leadership positions in passive devices, advanced integration, including proprietary shielding and 3-D die stacking, as well as SAW, TC-SAW, and BAW filters. Our product portfolio is reinforced by a library of approximately 4,900 worldwide patents and other intellectual property that we own and control. Together, our industry-leading technology enables us to deliver the highest levels of product performance and integration.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Relationships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our scale and technology leadership, we are engaged with leading original equipment manufacturers (“OEMs”), smartphone providers, and baseband reference design partners in the analog and mixed-signal semiconductor industry. Our customers value the scale of our global supply chain, our innovative technology, our ability to curate and deliver unique solutions, and our system engineering expertise, resulting in deep customer loyalty. We partner with our customers to support their long-term product road maps and are valued as a system solutions provider rather than just a point product vendor.</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Diversification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diversifying the reach of our business by expanding our addressable markets and broadening our product portfolio to serve a wider array of global customers. With the increasing adoption of 5G and the opportunity to enable more applications, we are growing our business beyond mobile devices (where we support leading top-tier manufacturers, including the leading smartphone suppliers and key baseband vendors) into additional high-performance analog markets, including automotive, home and factory automation, data center, solar, wireless infrastructure, aerospace and defense, medical, smart energy, and wireless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networking. In these markets we leverage our scale, intellectual property, and worldwide distribution network, which spans more than 8,000 customers and 8,500 unique products.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Delivering Operational Excellence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vertically integrate our supply chain where we can differentiate ourselves with highly specialized internal manufacturing capabilities or enter into alliances and strategic relationships for leading-edge technologies. This hybrid manufacturing model allows us to better balance our manufacturing capacity with the demand of the marketplace, resulting in a strong return on invested capital on a broader range of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 and helping to ensure stable supply to our global customer base.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Maintaining a Performance-Driven Culture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people and corporate culture to be a competitive advantage and a key component of our corporate strategy. We create key performance indicators that align employee efforts and link responsibilities with performance measurement. Accountability is paramount, and we compensate our employees through a pay-for-performance methodology.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Generating Superior Operating Results and Stockholder Returns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manufacturing scale, broad product portfolio, strong profitability, and consistent cash flow generation position us to provide superior results and strong returns to our stockholders.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Product Portfolio</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extensive product portfolio includes: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Amplifiers: the modules that strengthen the signal so that it has sufficient energy to reach a base station</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 xml:space="preserve">Antenna Tuners: aperture and impedance tuning products that improve antenna performance across frequencies </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Attenuators: circuits that allow a known source of power to be reduced by a predetermined factor (usually expressed as decibels)</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 xml:space="preserve">Automotive Tuners and Digital Radios: tuners, data receivers, and digital radio coprocessors used in automotive infotainment systems </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Wireless ASoC: an intelligent 2.4 GHz and 5GHz wireless radio integrated circuit that includes all the analog and digital functions optimized for building cognitive wireless audio headsets, headphones, and wireless speaker systems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DC/DC Converters: an electronic circuit which converts a source of direct current from one voltage level to another</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Demodulators: a device or an RF block used in receivers to extract the information that has been modulated onto a carrier or from the carrier itself</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Detectors: devices used to measure and control RF power in wireless systems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Digital Power Isolators: energy efficient solutions used in industrial control, solar inverters and hybrid/electric automotive drive trains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Diodes: semiconductor devices that pass current in one direction only</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Directional Couplers: transmission coupling devices for separately sampling the forward or backward wave in a transmission line</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Diversity Receive Modules: devices used to improve receiver sensitivity in high data rate applications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Filters: devices for recovering and separating mixed and modulated data in RF stages, including SAW, TC-SAW, and BAW filters</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Front-end Modules: two or more functions co-packaged to optimize the performance, cost, and application suitability in products, including intermediate or radio frequency signal paths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Hybrid: a type of directional coupler used in radio and telecommunications</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LED Drivers: devices which regulate the current through a light-emitting diode or string of diodes for the purpose of creating light</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Low-Noise Amplifiers: devices used to reduce system noise figure in the receive chain</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Mixers: devices that enable signals to be converted to a higher or lower frequency signal and thereby allowing the signals to be processed more effectively</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Modulators: devices that take a baseband input signal and output a radio frequency modulated signal</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Optocouplers/Optoisolators: semiconductor devices that allow signals to be transferred between circuits or systems while ensuring that the circuits or systems are electrically isolated from each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Phase Locked Loops: closed-loop feedback control system that maintains a generated signal in a fixed phase relationship to a reference signal</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Phase Shifters: designed for use in power amplifier distortion compensation circuits in base station applications</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Power Dividers/Combiners: utilized to equally split signals into in-phase signals as often found in balanced signal chains and local oscillator distribution networks</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Power over Ethernet: enables both data and power to be sent over standard ethernet cable.</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Power Isolators: digital, analog isolators, and isolated gate drivers used in industrial control, solar inverters, hybrid/electric automotive systems and charging stations</w:t>
      </w:r>
    </w:p>
    <w:p>
      <w:pPr>
        <w:pStyle w:val="TextBody"/>
        <w:bidi w:val="0"/>
        <w:spacing w:lineRule="auto" w:line="288" w:before="0" w:after="0"/>
        <w:ind w:left="0" w:right="0" w:hanging="547"/>
        <w:jc w:val="both"/>
        <w:rPr/>
      </w:pPr>
      <w:r>
        <w:rPr>
          <w:color w:val="000000"/>
        </w:rPr>
        <w:t>•    </w:t>
      </w:r>
      <w:r>
        <w:rPr>
          <w:rFonts w:ascii="Times New Roman;sans-serif" w:hAnsi="Times New Roman;sans-serif"/>
          <w:b w:val="false"/>
          <w:color w:val="000000"/>
          <w:sz w:val="20"/>
        </w:rPr>
        <w:t>ProSLIC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subscriber line interface circuits: provides complete analog telephone interfaces for premise equipment and enterprise</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Receivers: electronic devices that change a radio signal from a transmitter into useful information (including broadcast receivers)</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System In Package: complete system in a package, including modem, RF front-end, filtering, matching, timing generation – typically, fully certified by regulatory bodies, industry bodies and multi-service operators</w:t>
      </w:r>
    </w:p>
    <w:p>
      <w:pPr>
        <w:pStyle w:val="TextBody"/>
        <w:bidi w:val="0"/>
        <w:spacing w:lineRule="auto" w:line="288" w:before="0" w:after="0"/>
        <w:ind w:left="0" w:right="0" w:hanging="547"/>
        <w:jc w:val="both"/>
        <w:rPr>
          <w:color w:val="000000"/>
        </w:rPr>
      </w:pPr>
      <w:r>
        <w:rPr>
          <w:color w:val="000000"/>
        </w:rPr>
        <w:t>•    </w:t>
      </w:r>
      <w:r>
        <w:rPr>
          <w:rFonts w:ascii="Times New Roman;sans-serif" w:hAnsi="Times New Roman;sans-serif"/>
          <w:b w:val="false"/>
          <w:color w:val="000000"/>
          <w:sz w:val="20"/>
        </w:rPr>
        <w:t>Switches: components that perform the change between the transmit and receive function, as well as the band function for cellular handsets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Synthesizers: devices that provide ultra-fine frequency resolution, fast switching speed, and low phase-noise performance</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 xml:space="preserve">Timing Devices: clock generators, oscillators, jitter attenuators, and buffers used in optical networking, data center, wireless base stations, industrial, and automotive applications </w:t>
      </w:r>
    </w:p>
    <w:p>
      <w:pPr>
        <w:pStyle w:val="TextBody"/>
        <w:bidi w:val="0"/>
        <w:spacing w:lineRule="auto" w:line="288" w:before="0" w:after="0"/>
        <w:ind w:left="0" w:right="0" w:hanging="540"/>
        <w:jc w:val="both"/>
        <w:rPr>
          <w:color w:val="000000"/>
        </w:rPr>
      </w:pPr>
      <w:r>
        <w:rPr>
          <w:color w:val="000000"/>
        </w:rPr>
        <w:t>•    </w:t>
      </w:r>
      <w:r>
        <w:rPr>
          <w:rFonts w:ascii="Times New Roman;sans-serif" w:hAnsi="Times New Roman;sans-serif"/>
          <w:b w:val="false"/>
          <w:color w:val="000000"/>
          <w:sz w:val="20"/>
        </w:rPr>
        <w:t>Voltage Controlled Oscillators/Synthesizers: fully integrated, high performance signal source for high dynamic range transceivers</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Voltage Regulators: generate a fixed level which ideally remains constant over varying input voltage or load conditions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possess broad technology capabilities and one of the most complete wireless communications product portfolios in the industry.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Marketing and Distribution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sold globally through a direct sales force, electronic component distributors, and independent sales representatives. As is customary in the semiconductor industry, our distributors may also market other products that compete with ours.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technical and complex nature of our products and markets demand an extraordinary commitment to maintain close ongoing relationships with our customers.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small number of OEMs historically has accounted for a significant portion of our net revenue. In the fiscal years ended September 29, 2023 (“fiscal 2023”), September 30, 2022 (“fiscal 2022”), and October 1, 2021 (“fiscal 2021”), Apple, through sales to multiple distributors and contract manufacturers for multiple applications including smartphones, tablets, desktop and notebook computers, watches, and other devices, constituted more than ten percent of our net revenue. For further information regarding customer concentrations, see Note 14 to Item 8 of this Annual Report on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i/>
          <w:color w:val="000000"/>
          <w:sz w:val="20"/>
        </w:rPr>
        <w:t>Intellectual Property and Proprietary Rights</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Competitive Conditions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to new or emerging technologies and changes in customer requirements, or may be able to devote greater resources to the development, promotion, and sale of their products.</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Research and Development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markets demand rapid technological advancements requiring a continuous effort to enhance existing products and develop new products and technologies. Accordingly, we maintain a high level of research and development activity. We invested $606.8 million, $617.9 million, and $532.3 million in research and development during fiscal 2023, fiscal 2022, and fiscal 2021, respectively. The level of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next-generation technologies and product opportunities. We maintain close collaborative relationships with many of our customers to help identify market demands and target our development efforts to meet those demands.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Raw Materials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sole-source suppliers. We purchase materials and services primarily pursuant to individual purchase orders. However, we have entered into certain supply agreements for the purchase of raw materials or other manufacturing-related services that specify minimum prices and purchase quantity based on our anticipated future requirements. Certain of our suppliers consign raw materials to us at our manufacturing facilities to which we take title as needed in our manufacturing process. We have taken strategic action with suppliers located around the world to secure sourcing of the raw materials and components necessary for our manufacturing.</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Backlog and Inventory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excess or obsolete inventory, which could result in inventory write-downs and, in turn, could have a material adverse effect on our financial condition.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Government Regulations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“green”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could have material impacts on our capital expenditures, competitive position, or financial condition, though the magnitude and duration of such impacts are uncertain and difficult to quantify.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import/export controls, tariffs, and other trade-related regulations and restrictions in the countries in which we have operations or otherwise do business. These controls, tariffs, regulations, and restrictions (including those discussed below in Item 1A, Risk Factors) have had, and we believe may continue to have, a material impact on our business, including our ability to sell products and to manufacture or source components.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Seasonality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products generally occurs in our second fiscal quarter ending in March and the third fiscal quarter ending in June.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workforce consists of approximately 9,750 employees located around the world, more than 99% of whom are full-time employees. As of September 29, 2023:</w: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workforce was distributed geographically approximately as follows: 54% in Mexico, 24% in the United States, 20% in Asia, 1% in Canada, and less than 1% in Europe.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workforce was distributed by function approximately as follows: 43% in individual contributor manufacturing roles, 33% in engineering or technician roles, 11% in managerial roles, and 12% in professional or other administrative roles.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Approximately 3,420 of our employees in Mexico, 650 of our employees in Singapore, and 460 of our employees in Japan were covered by collective bargaining and other union agreements.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attracting and retaining employees by providing compensation and benefits packages that are competitive within the applicable market for each position. Nearly all full-time employees across the globe are eligible to participate in one of the Company’s incentive plans, under which payments are tied to pre-established performance goals, as well as to purchase shares of the Company’s common stock at a discount from its market price pursuant to the Company’s employee stock purchase plans. In addition, we believe that developing our employees’ skill sets and decision-making abilities—through challenging project assignments, formal training, mentorship, and recognition—is key not only to our employees’ job satisfaction and our retention efforts, but also to maintaining a strong leadership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operating a global business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risks of doing business internationally apply to all aspects of our operations.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pStyle w:val="TextBody"/>
        <w:bidi w:val="0"/>
        <w:spacing w:before="0" w:after="0"/>
        <w:jc w:val="both"/>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recession or economic downturn globally or in the jurisdictions in which we do business,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currency controls and currency exchange rate fluctuations, including increases or decreases in commodities prices related to such fluctuations,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inflation or deflation, as well as changes in existing and expected rates of inflation or deflation, which may vary across the jurisdictions in which we do business,</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interest rates, as well as changes in existing and expected interest rates, which may vary across the jurisdictions in which we do business,</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global, regional, and local economic and political conditions, including, but not limited to, social, economic, political, and supply chain instability related to the uncertainty regarding the relationships among the United States, China, Taiwan, Russia, Mexico, North Korea, Israel, other Middle Eastern countries, Japan, Singapore, other foreign countries, and the international community at large, as well as related to armed conflicts, such as the conflict between Russia and Ukraine and the conflicts in Israel and other Middle Eastern countries, that exist, or in the future could exist, in various jurisdictions around the world,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restrictive governmental actions (such as restrictions on transfer of funds, restrictions on individuals’ movement, including travel restrictions, quarantines, lockdowns, and curfews, trade protection measures, including export duties, quotas, customs duties, border taxes, border closures, increased import or export controls, export licenses, and tariffs,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labor market conditions and laws,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disruptions of capital and trading markets,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difficulty in collecting, or failure to collect, accounts receivable, as well as longer collection periods,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or non-compliance with, legal or regulatory import/export requirements, including restrictions on selling to certain customers or into certain jurisdictions,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natural disasters and severe weather events, including, but not limited to, earthquakes, wildfires, droughts, hurricanes, tsunamis, rising sea levels, as well as other impacts of climate change,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acts of terrorism, widespread illness or other deterioration of public health conditions, and war,</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misappropriation or other unauthorized transfers of our electronic information and breaches of our information systems, as well as the potential lack of adequate remedies or enforcement mechanisms in certain jurisdictions,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difficulty in engaging distribution partners or obtaining sales or other business support in certain jurisdictions,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cultural differences in the conduct of business,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direct or indirect government actions, subsidies, or policies aimed at supporting local industry,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withdrawal from, or renegotiation of, existing trade agreements by the United States (or other jurisdictions) potentially affecting Mexico, China, and other countries in which we do business,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current or future tax law or regulations or new interpretations thereof, by federal or state agencies or foreign governments,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the effective tax rate as a result of our overall profitability and mix of earnings in countries with differing statutory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results of audits and examination of previously filed tax returns,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limitations on our ability under local laws to protect or enforce our intellectual property rights in a particular foreign jurisdiction.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matters,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the risks of doing business in China.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Demand from Chinese customers may be adversely affected by China’s evolving laws and regulations, including those relating to taxation, import and export tariffs and restrictions, currency controls, environmental regulations,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proprietary intellectual property, increased taxation, restrictions on imports, import duties, or currency revaluations, any of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the availability and cost of materials, including gallium, germanium, and rare earth minerals, and the sales of our products in China and elsewhere. For example, the U.S. government has recently expanded export restrictions, and might continue expanding export restrictions, by adding certain Chinese entities to the U.S. Bureau of Industry and Security’s Entity List (the “Entity List”), which has limited,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Taiwan would adversely affect our ability to manufacture certain products and would likely have substantial negative effects on the entire semiconductor industry. Further, the evolving labor market and increasing labor unrest in China may have a negative impact on our customers, which would result in a negative impact on our business, results of operations, and financial condition.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tax laws and regulations could have an adverse impact on our operating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taxation in many different countries and localities worldwide. To the extent the tax laws and regulations in these various countries and localities change, our tax liability could increase.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2023, for U.S. income tax purposes we were required to capitalize our research and development expenses and amortize them over five or fifteen years, rather than deduct them in the year incurred, which has increased, and which we expect will continue to increase, our taxes payable, resulting in reduced near term-cash flows. Furthermore, on August 16, 2022, the U.S. government enacted the Inflation Reduction Act, which imposes a corporate alternative minimum tax of 15% on adjusted financial statement income for certain corporations, as well as an excise tax on corporate stock repurchases. We are currently evaluating the impact this law may have on our effective tax rate in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changes in U.S. tax law require a number of complex calculations that previously were not required, our actual tax liability may differ materially from our income tax provisions, estimates, and accruals. Changes in our interpretations and assumptions, as well as additional guidance issued under these laws, could increase income tax liabilities and/or reduce certain tax benefits. In addition, it is uncertain if and to what extent various states will conform to changes to federal tax law.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changes in tax laws, regulations, and treaties, or the interpretation thereof, in addition to initiatives related to the Base Erosion and Profit Shifting Project of the Organisation for Economic Co-Operation and Development; the European Commission’s “state aid” investigations; enactment of a global corporate minimum tax; and other developments could have an adverse effect on the taxation of international businesses, including our own. Furthermore, countries where we are subject to taxes, including the United States, evaluate their tax policies and rules on a regular basis, and we may see significant changes in legislation and regulations concerning taxation.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effects of the COVID-19 pandemic may adversely affect our business operations,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pandemic—including the measures taken to limit the spread of the virus and its variants, and the resulting global supply chain challenges—has adversely affected, and may continue to adversely affect, our business operations. The pandemic’s impacts on our business operations and workforce, and the duration of such impacts, are uncertain, constantly evolving, and difficult to quantify, but have thus far included, or in the future may include, disruptions to our supply chain and increased costs in connection with the sourcing of materials, components, equipment, assembly and test services, engineering support, shipping and logistics services, and other services. Our business operations would also be negatively impacted if one or more of our major customers were to significantly decrease its orders for our products due to disruptions to its business operations or other pandemic-related issues.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to which the pandemic continues to impact us will depend on future developments that are highly uncertain and cannot be predicted, including, but not limited to, the existence of new variants of the virus that causes COVID-19, the duration and spread of the pandemic, its severity, the actions to contain COVID-19 or treat its impact, and how quickly and to what extent normal economic and operating conditions resume. Even after the pandemic has subsided as a public health matter, we may experience material adverse impacts to our business operations, results of operations and financial condition as a result of its adverse impact on the global economy.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the development, manufacturing, and sale of our products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be adversely affected by quarterly and annual fluctuations, market downturns, and recessions.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earnings, and other operating results may fluctuate significantly on a quarterly and annual basis. These fluctuations are typically the result of a number of factors, many of which are beyond our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include, among others: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delays in the widespread deployment of commercial 5G networks and other new technologies,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end-user demand for the products manufactured and sold by our customers,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effects of competitive pricing pressures, including decreases in average selling prices of our products,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production capacity levels and fluctuations in manufacturing yields,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availability and cost of materials and services from our suppliers,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gain or loss of significant customers,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develop, introduce, and market new products and technologies on a timely basis,</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market acceptance of our products and our customers’ products including, but not limited to, market acceptance of new, emerging technologies,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new product and technology introductions by competitors,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delays in the adoption of standards by standard-setting bodies and delays in the commercial deployment or consumer adoption of certain technologies,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actions by government regulators to restrict or delay the availability of sufficient spectrum for wireless technologies, including technologies that utilize unlicensed spectrum and/or shared spectrum,</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consumers’ purchasing behaviors, including the rates at which they replace smartphones and other devices that utilize our products,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changes to promotions, rebates, and discounts offered by carriers in certain geographic regions for smartphones and other devices that utilize our products,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increasing industry consolidation among our competitors,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the mix of products produced and sold,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intellectual property disputes, including those concerning payments associated with the licensing and/or sale of intellectual property, and related remedies (e.g., monetary damages, injunctions, or exclusion orders affecting our or our customers’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 previous estimates and projections. If our operating results fail to meet the expectations of analysts or investors, it could materially and adversely affect the price of our common stock.</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rely on a small number of customers for a large portion of our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portions of our sales are concentrated among a limited number of customers. If we lost one or more of these major customers, or if one or more major customers significantly decreased its orders for our products, our business, results of operations, and financial condition could be materially and adversely impacted, which could adversely affect our stock price. In each of fiscal 2023, fiscal 2022, and fiscal 2021, one customer accounted for greater than ten percent of our net revenue. For further discussion see Note 14 to Item 8 of this Annual Report on Form 10-K.</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rely on Original Equipment Manufacturers (“OEMs”) and Original Design Manufacturers (“ODMs”) to design our products into their end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not sold directly to the end user but are components or subsystems of other products. As a result, we rely on OEMs and ODMs of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manufacturing processes are extremely complex, specialized, and subject to disruption.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operations may be affected by lengthy or recurring disruptions of operations at any of our production facilities, as well as disruptions at facilities operated by our subcontractors or customers. These disruptions may result from electrical power outages or fluctuations, water shortages,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While we maintain insurance coverage to mitigate business continuity risks, among other risks, such coverage may be insufficient to cover all losses or all types of claims that may arise. </w:t>
      </w:r>
      <w:r>
        <w:rPr>
          <w:rFonts w:ascii="Times New Roman;sans-serif" w:hAnsi="Times New Roman;sans-serif"/>
          <w:b w:val="false"/>
          <w:color w:val="000000"/>
          <w:sz w:val="20"/>
        </w:rPr>
        <w:t xml:space="preserve">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 Our key facilities include, but are not limited to, our semiconductor wafer fabrication facilities in Newbury Park, California, and Woburn, Massachusetts, our SAW, TC-SAW,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BAW filter wafer processing facilities in Osaka, Japan, and our assembly and test facilities in Mexicali, Mexico, and in Singapore.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and improve manufacturing yields that contribute positively to our gross margin and profitability.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dependent upon third parties for the manufacture, assembly, and testing of our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foundries to provide silicon-based products and to supplement our gallium arsenide wafer manufacturing capacity. There are significant risks associated with reliance on third-party foundries, including:</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lack of wafer supply, potential wafer shortages, and higher wafer prices,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required minimum purchase commitments,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limited ability to respond to unanticipated changes in customer demand,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limited control over delivery schedules, manufacturing yields, production costs, process technologies, and quality assurance,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inaccessibility of, or delays in obtaining access to, key process technologies, materials, and IP blocks.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or to severe weather events and other impacts of climate change.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own and operate assembly and test facilities, as part of our supply resilience and business continuity strategies, we still depend on subcontractors to package, assemble, and test certain of our products at cost-competitive rates. For those assembly and test subcontractors with whom we do not have long-term agreements, we typically procure services on a per-order basis. If any of our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assembly and test subcontractors, we could experience significant delays and/or increased costs in product shipments if we are required to find alternative assembly and test subcontractors for our components. Any problems that we may encounter with the delivery, quality, or cost of our products could damage our customer relationships and materially and adversely affect our business, results of operations,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we entered into long-term capacity reservation and supply agreements with certain third-party foundries, under which we agreed to certain minimum purchase commitments. As a result of reduced overall market demand, we recorded impairment charges during fiscal 2023. These long-term capacity reservation agreements may have an additional adverse effect on our operating results in the event our future supply needs are reduced below the minimum purchase commitments as a result of further reduction in overall market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dependent upon third parties for the supply of raw materials and components.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gallium, germanium, and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shipments of precious metals may be subject to theft; and we may not be able to purchase such supplies or materials at a competitive cost. If a supplier were unable to meet our delivery schedules, if we lost a supplier, or if a supplier were unable to meet performance or quality specifications, our ability to satisfy customer obligations would be materially and adversely affected because the time required to identify and qualify an alternative supply source, where available, is typically lengthy. In part as a result of the COVID-19 pandemic, we have experienced supply constraints for certain materials and components, which has impacted, and could continue to impact, production lead times, the cost of such materials and components, and our ability to meet customer demand for our products.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and in the future could become dependent on additional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 Furthermore, our entry into capacity commitments in an attempt to ensure sufficient supply of raw materials and components may result in our obligation to pay above-market prices in the event of a future downward price correction.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effectively operate our business if we are unable to attract and retain qualified personnel.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source of our technological and product innovations, our key engineering and technical personnel represent a significant asset. Our success depends on our ability to continue to attract, retain, and motivate qualified personnel, including executive officers and other key management, engineering, and technical personnel. The competition for management, engineering, and technical personnel is intense in the semiconductor industry, particularly in the locations in which we operate, and therefore we may not be able to continue to attract and retain the qualified personnel necessary for the design, development, manufacture, and sale of our products. Our employees are in high demand, and our competitors and other companies may be able to offer compensation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together with any changes to immigration policies or regulations in the United States, make it more difficult for us to recruit and retain highly skilled foreign national graduates of universities (in the United States or abroad), limiting the pool of available talent. Travel bans, difficulties obtaining visas, and other restrictions on international travel make it more difficult to effectively manage our international operations, collaborate as a global company, and service our international customer base. The increased ability of employees in our industry to work from home or in other remote work arrangements has impacted, and may continue to impact, the mobility and turnover of our employees, potentially making it more difficult for us to compete in the job market.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the departure of existing members of our senior management team or if our senior management team is unable to effectively implement our strategy.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 operate. In addition, the loss of certain members of our senior management team could harm our relationships with key customers, which could negatively impact our future revenue, results of operations, and financial condition.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uncertainties involving the ordering and shipment of, and payment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are typically made pursuant to standard purchase orders and/or specified customer contracts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and may not be accurate. The difficulties of forecasting may be compounded when we sell to OEMs indirectly through distributors or contract manufacturers, or both, as our forecasts of demand will then be based on estimates provided by multiple parties. In addition, our customers and distributors may change their inventory practices on short notice for any reason. Many of our products are customized to the needs or specifications of a specific customer or have a limited number of potential buyers. The cancellation or deferral of product orders, the return of previously sold products,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manufacturing costs, increased liabilities, or harm to our reputation if we are unable to meet such increases in demand.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 customer or distributor encounters financial difficulties of its own as a result of a change in demand or for any other reason, the customer’s or distributor’s ability to make timely payments against our accounts receivable could be impaired. Furthermore, our dependence on third-party carriers and logistics firms, many of which have been adversely affected by the COVID-19 pandemic, has resulted in, and could continue to result in, delays, increased costs, and expedite fees related to our product shipments.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face a risk that capital needed for our business will not be available when we need it.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our existing cash and cash equivalents and cash generated from operations are insufficient to fund our future activities (including, but not limited to, capital expenditures),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future growth of our business is likely to require the expansion of our manufacturing facilities, the upgrade of our manufacturing equipment, strategic investments, and/or corporate acquisitions. Due in part to our repayment obligations on our outstanding indebtedness, the capital required to fund these investments may not be available in the future.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Related to Acquisitions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incurred significant indebtedness in connection with the acquisition of the Infrastructure and Automotive business of Silicon Labs, which could reduce our flexibility to operate our business.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21, 2021, the Company, as borrower, entered into a term credit agreement with various financial institutions, as lenders, and JPMorgan Chase Bank, N.A., as administrative agent, providing for a $1.0 billion term loan facility (the “Term Loan Facility”). Additionally, on May 26, 2021, the Company issued $500 million of its 0.900% 2023 Notes, $500 million of its 1.800% 2026 Notes, and $500 million of its 3.000% 2031 Notes in a public offering (the “Notes”). The proceeds of the Term Loan Facility and the issuance of Notes were used to finance a portion of the purchase price for the Company’s acquisition of certain assets, rights, and properties, and its assumption of certain liabilities, comprising Silicon Labs’ Infrastructure and Automotive business, on July 26, 2021 (the “Acquisition”). Since May 2021, the Company has repaid certain amounts of indebtedness under the Term Loan Facility and the Notes, including as discussed in Note 16 to Item 8 of this Annual Report on Form 10-K.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May 21, 2021, the Company entered into a revolving credit agreement with various financial institutions, as lenders, and JPMorgan Chase Bank, N.A., as administrative agent, providing for a $750 million revolving credit facility (the “Revolving Credit Facility”). Borrowings under the Revolving Credit Facility could be used for general corporate purposes and working capital needs of the Company and its subsidiaries.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Indebtedness under our Term Loan Facility, Revolving Credit Facility, or the Notes could have the effect, among other things, of reducing our flexibility to respond to changing business and economic conditions. We also have incurred, and will continue to incur, various costs and expenses associated with our indebtedness. Our ability to arrange additional financing and make payments of principal and interest on our indebtedness when due depends upon our future performance, which will be subject to general economic conditions, industry cycles, and financial, business, and other factors affecting our operations, many of which are beyond our control. We are exposed to interest rate risk through our Term Loan Facility and Revolving Credit Facility, both of which are subject to variable interest rates, and interest rate increases have led to increased interest payments. Our existing indebtedness or incurrence of any additional indebtedness could reduce funds available for working capital, capital expenditures, acquisitions, and other general corporate purposes and may create competitive disadvantages relative to other companies with lower debt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credit ratings, combined with fluctuating interest rates, affect the cost and availability of future borrowings and, accordingly, our cost of capital. Our ratings reflect each rating organization’s opinion of our financial strength, operating performance, and ability to meet our debt obligations. There can be no assurance that we will achieve a particular rating or maintain a particular rating in the future. An inability to obtain or maintain a rating could increase the cost of future borrowings or refinancings of our indebtedness, limit our access to sources of financing in the future, or lead to other potentially adverse consequences.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agreements that govern our indebtedness contain various covenants that impose restrictions that may affect our ability to operate our businesses.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agreements that govern the Term Loan Facility, the Notes, and the Revolving Credit Facility contain various affirmative and negative covenants that, subject to certain significant exceptions, restrict our ability to, among other things, have liens on our property, change the nature of our business, and/or merge or consolidate with any other person or sell or convey certain assets to any one person. In addition, some of the agreements contain a financial covenant consisting of a limitation on leverage. Our ability to comply with these provisions may be affected by events beyond our control. Failure to comply with these covenants could result in an event of default, which, if not cured or waived, could accelerate our repayment obligations. Any such acceleration of our repayment obligations could have a material adverse effect on our business, financial condition, results of operations, cash flows, and/or stock price.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To be successful we may need to make additional investments and acquisitions, integrate companies we acquire, and/or enter into strategic alliances.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or expand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issuances of equity securities dilutive to our stockholders,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restructuring or other impairment write-offs,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incurrence of substantial debt and assumption of unknown liabilities,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potential loss of key employees from the acquired company,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recognition of additional liabilities known or unknown at the time of acquisition,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amortization expenses related to intangible assets,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diversion of management’s attention from other business concerns.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integrating acquired organizations and their products and services may be difficult, expensive, time-consuming, and a strain on our resources and our relationships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our industry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semiconductor industry is highly cyclical and subject to significant downturns.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wireless communications, analog and mixed-signal semiconductor markets are characterized by significant competition.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wireless communications semiconductor industry, in general, and the other analog markets in which we compete are very competitive, which may cause pricing pressures, decreased gross margins, and rapid loss of market share. We compete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and United States semiconductor manufacturers of all sizes in terms of resources and market share, including, but not limited to, Analog Devices, Broadcom, Cirrus Logic, Murata Manufacturing, NXP Semiconductors, Qorvo, Qualcomm, and Texas Instruments.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face significant competition in our markets and expect that intense price and product competition will continue.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electronics, the trend toward global expansion by foreign and domestic competitors, and technological and public policy changes (including national or regional policies, and/or state-sponsored investments, intended to develop and support localized competitors). We believe that the principal competitive factors for semiconductor suppliers in our markets include, among others: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rapid time-to-market and product ramps (including, but not limited to, high-volume product ramps),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timely new product innovation,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ability to capture design wins in new growth markets, such as 5G,</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product quality, reliability, and performance,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ability of certain products, including “high reliability” solutions, to perform under stringent operating conditions,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product cost and selling price,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features available in products,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alignment with customer performance specifications,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compliance with industry standards,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strategic relationships with customers,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access to, and the protection and enforcement of, intellectual property,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ability to partner with or participate in reference designs of baseband vendors,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maintaining access to manufacturing capacity, raw materials, supplies, and services at a competitive cost,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ability to secure government incentives and grants, such as funding available to U.S. semiconductor manufacturers under the CHIPS and Science Act of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might not be able to successfully address these factors. Many of our competitors benefit from:</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long presence in key markets,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brand recognition,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high levels of customer satisfaction,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vertical integration,</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strong baseband partnership/participation in reference designs,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broad product portfolio allowing them to bundle product offerings,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ownership or control of key technology or intellectual property,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strong financial, sales and marketing, manufacturing, distribution, technical, or other resources.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certain competitors may be able to adapt more quickly than we can to new or emerging technologies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causing such competitors to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Remaining competitive in the semiconductor industry depends upon our ability to constantly innovate.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products on a timely basis, both within our traditional markets and in new, expanded, or adjacent markets. The successful development and commercialization of semiconductor devices and modules is highly complex and depends on numerous factors, including the ability: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anticipate customer and market requirements and changes in technology and industry standards,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obtain sufficient manufacturing capacity within an international supply chain to meet customer demand,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define new products that meet customer and market requirements,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complete development of new products and bring products to market on a timely basis,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differentiate our products from offerings of our competitors,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achieve overall market acceptance of our products,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to lengthen the time that a particular product is in demand,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to source and maintain manufacturing materials,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identify and maintain suppliers with the necessary technology and scale to support the increasing complexity of our manufacturing requirements,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to obtain adequate multi-jurisdictional intellectual property protection for our new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manufacture current products, and to develop new products, depends on, among other factors, the viability and flexibility of our own internal information technology systems.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analog and mixed-signal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Increasingly stringent environmental laws, rules, regulations, and customer expectations may require us to redesign our existing products and processes and could adversely affect our ability to cost-effectively produce our products.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domestic and foreign jurisdictions restrict or may seek to restrict the use of various substances, including a class of chemicals known as per- and polyfluoroalkyl substances, and a number of such substances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 In addition, our customers may begin to require reports on our sourcing of other minerals or substances, which may impact our ongoing operations and increase our operating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increasing governmental, investor, and societal attention on environmental, social, and governance (“ESG”) matters, including expanding mandatory and voluntary reporting, diligence, and disclosure on ESG topics such as climate change, carbon emissions, water usage, waste management, human capital, forced labor, and risk oversight, could expand the nature, scope, and complexity of matters that we are required to control, assess, and report. We expect that these and other rapidly changing laws, regulations, policies, interpretations, and expectations, as well as increased enforcement actions by various governmental and regulatory agencies, will continue to increase the cost of our compliance and internal risk management programs and to alter the environment in which we do business, which could have a material adverse effect on our business, results of operations, and financial condition. If our ESG practices and disclosures do not meet the expectations and standards of our stockholders, customers, and other industry stakeholders, our reputation and business activities may be negatively impacted and our appeal to certain investors may be reduced.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cybersecurity and intellectual property protection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prevent, or timely detect, information technology security breaches.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Security breaches, phishing, spoofing, attempts by others to gain unauthorized access to our information technology systems, networks, and databases, and other cyberattacks continue to become more sophisticated and persistent and are sometimes successful. These incidents, which might be related to industrial, state-sponsored, and/or economic espionage, or financial cyber extortion or fraud, include covertly introducing malware and spyware to our computers, networks, and products (or to an electronic system operated by a third party for our benefit) and impersonating authorized users, among others. We seek to prevent, detect, and investigate all security incidents and to prevent their recurrence, but in some cases, we might be unaware of an incident or its magnitude, duration, and effects. The theft, unauthorized use, transfer, or publication of our intellectual property, our confidential business, financial,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our customers’, suppliers’, licensees’, or employees’ confidential or personal information, we may incur liability, face contractual and regulatory fines and penalties, and sustain significant financial resources to remediate such breach. Such an incident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among other things, also damage our reputation, impair our ability to attract and retain our customers, impact our stock price, and materially damage our supplier relationships. If a ransom-style cyberattack or similar incident impedes our ability to use or access our information systems for an extended period of time, this could adversely affect our business operations and financial results. In addition, certain suppliers and other third parties with whom we conduct business, including foundries, assembly and test contractors, and distributors, have been, and are likely to continue to be, subject to cybersecurity incidents, misappropriation efforts, or network disruptions that could jeopardize our proprietary or sensitive data, impact such third parties’ ability to meet their obligations to us, or otherwise negatively impact our ongoing business operations. Geopolitical tensions or conflicts, such as the ongoing conflict involving Russia and Ukraine, the conflicts in Israel and other Middle Eastern countries and the tensions involving China and Taiwan, may create a heightened risk of cybersecurity incidents. We expect to continue devoting significant resources to the security of our information technology systems, networks, and databases, </w:t>
      </w:r>
      <w:r>
        <w:rPr>
          <w:rFonts w:ascii="Times New Roman;sans-serif" w:hAnsi="Times New Roman;sans-serif"/>
          <w:b w:val="false"/>
          <w:color w:val="000000"/>
          <w:sz w:val="20"/>
        </w:rPr>
        <w:t>including through the</w:t>
      </w:r>
      <w:r>
        <w:rPr>
          <w:color w:val="000000"/>
          <w:shd w:fill="FFFFFF" w:val="clear"/>
        </w:rPr>
        <w:t xml:space="preserve"> </w:t>
      </w:r>
      <w:r>
        <w:rPr>
          <w:rFonts w:ascii="Times New Roman;sans-serif" w:hAnsi="Times New Roman;sans-serif"/>
          <w:b w:val="false"/>
          <w:color w:val="000000"/>
          <w:sz w:val="20"/>
          <w:shd w:fill="FFFFFF" w:val="clear"/>
        </w:rPr>
        <w:t xml:space="preserve">training of our employees and monitoring the security posture of critical third parties who have access to our systems or sensitive data. However, we cannot ensure that these security measures and monitoring efforts will be sufficient to prevent or mitigate the damage caused by a cybersecurity incident or network disruption, and our systems may be vulnerable to hacking, insider threats, employee error or manipulation, theft, system malfunctions, or other adverse events. While we maintain insurance coverage to mitigate some of these risks, such coverage may be insufficient to cover all losses or all types of claims that may arise. </w:t>
      </w:r>
      <w:r>
        <w:rPr>
          <w:rFonts w:ascii="Times New Roman;sans-serif" w:hAnsi="Times New Roman;sans-serif"/>
          <w:b w:val="false"/>
          <w:color w:val="000000"/>
          <w:sz w:val="20"/>
        </w:rPr>
        <w:t>Further, China has implemented, and other countries or regions may implement, cybersecurity and privacy laws that require companies’ overall information disclosure, processing practices, and technology security environment to meet certain standards and/or be certified. Such laws may be complex, ambiguous, and subject to interpretation, which may create uncertainty regarding compliance. As a result, our efforts to comply with such laws, to the extent applicable, may be expensive and may fail, which could adversely affect our business, results of operations, and cash flows. In addition, certain of our products contain firmware that incorporates or is derived from “open source” software that generally is made publicly available by its developers or other third parties. Risks related to the use of open source software include, but are not limited to, the introduction of cybersecurity vulnerabilities into our products or development platforms, our compliance with applicable licensing terms, subjecting certain of our derivative works or software enhancements to public disclosure and/or unfavorable licensing conditions, potential restrictions on our ability to market the firmware associated with our products, and enhanced governmental or other third-party scrutiny of our products.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 order to remain competitive, we must be able to successfully protect our intellectual property rights.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non-usage and non-disclosure of such third-party intellectual property. From time to time, it may be necessary to engage in litigation or like activities to enforce our intellectual property rights, to protect our trade secrets, or to determine the validity, enforceability, and scope of proprietary rights of others, including our customers. This could require us to expend significant resources and to divert the efforts and attention of our management and technical personnel from our business operations. Regardless of our actions: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steps we take to prevent misappropriation, infringement, dilution, or other violation of our intellectual property or the intellectual property of our customers, suppliers, or other third parties may not be successful,</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any of our existing or future patents, copyrights, trademarks, trade secrets, or other intellectual property rights may be challenged, invalidated, deemed unenforceable, or circumvented,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we may be contractually prohibited, or otherwise discouraged, by certain customers from pursuing certain remedies for third parties’ violations of our intellectual property.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third party could potentially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 parties may attempt to copy, disclose, transfer, misappropriate or obtain access to our information without our authorization. Furthermore, attempts by computer hackers or other third parties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detect, or stop the methods used, or we may be unable to prevent the release of our confidential and/or proprietary information or that of a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the risks of licensing third-party intellectual property.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or acquire substitute technology to deliver competitive products. These risks are heightened with respect to certain of our products that incorporate increasing amounts of embedded software and digital circuit content that is subject to third-party intellectual property rights.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claims and litigation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warranty claims, product recalls, liability claims, and risks of litigation.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 and delays. From time to time, we are, and may become, involved in litigation. We are the plaintiff in some of these actions and the defendant in others. Such actions could result in the imposition of various remedies such as injunctions or monetary damages, which if awarded could materially and adversely harm our business.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of infringement of third-party intellectual property rights or demands that we license third-party technology.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characterized by vigorous protection, enforcement, and pursuit of intellectual property rights.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litigation to determine the validity of any allegations that our products infringe or may infringe or misappropriate the intellectual property rights of another party, including indemnification claims arising from our contractual obligations to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or the assessment of these claims. If litigation were to result in an adverse ruling, we could be required to:</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pay substantial damages,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cease the manufacture, import, use, sale, or offer for sale of infringing products or processes,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discontinue the use of infringing technology,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expend significant resources to develop an alternate non-infringing technology,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license technology from the third party claiming infringement, which license may not be available on commercially reasonable terms.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or financial condition may be materially adversely affected if we, or one of our customers, were required to take any one or more of the foregoing actions.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Risks associated with owning our common stock</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stock price has been volatile and may fluctuate in the future.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fluctuated and may continue to fluctuate significantly. Such fluctuations may be influenced by many factors, including:</w: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uncertainty regarding the condition and prospects of the domestic and foreign economies,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volatility of the financial markets,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instability in global credit and financial markets,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performance and prospects, and the performance and prospects of our major customers and competitors,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revenue concentrations with relatively few customers,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stock repurchase and dividend activities,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timing of our repayment of outstanding indebtedness,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investor perception of us and the industry in which we operate,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the market valuations of other companies, including, but not limited to, those in our industry,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earnings estimates, price targets, or buy/sell recommendations by analysts,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depth and liquidity of the market for our common stock,</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exclusion or removal of our stock from market indices, such as the S&amp;P 500 Index,</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domestic and international political conditions,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extent of the impact of the COVID-19 pandemic,</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domestic and international tax, fiscal, and trade policy decisions,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successfully identify, acquire, and integrate acquisition candidates.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stock markets have experienced price and trading volume volatility. This volatility has affected, and could significantly and negatively affect in the future, the market prices of securities of many technology companies, particularly the market price of our common stock.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continue to declare cash dividends or repurchase our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pay, and intend to continue to pay, quarterly cash dividends, subject to capital availability and periodic determinations made by our Board of Directors that cash dividends are in the best interest of our stockholders. In addition, from time to time the Board of Directors approves stock repurchase programs, pursuant to which we are authorized to repurchase shares of our common stock on the open market or in privately negotiated transactions.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dividends and the amount and timing of our stock repurchases may be affected by, among other factors: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views on potential future capital requirements, including those related to research and development,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generate sufficient earnings and cash flows,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use of cash to consummate various acquisition transactions,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repayment of principal and interest on our indebtedness,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federal and state income tax laws or corporate laws,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to our business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dividend payments and stock repurchases may change from time to time, and we cannot provide assurance that we will increase our cash dividend payment or declare cash dividends or make stock repurchases in any particular amounts or at all. A reduction in our cash dividend payments or a reduction in the level of our stock repurchases could have a negative effect on our stock price.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Certain provisions in our organizational documents and Delaware law may make it difficult for someone to acquire control of us.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anti-takeover measures that may affect our common stock. Our certificate of incorporation, our by-laws, and the Delaware General Corporation Law contain several provisions that would make it more difficult to acquire control of us in a transaction not approved by our Board of Directors. Our certificate of incorporation and by-laws include provisions such as: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in one or more series without further authorization of stockholders,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prohibition on stockholder action by written consent,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requirement that stockholders provide advance notice of any stockholder nominations of directors or any proposal of new business to be considered at any meeting of stockholders,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requirement that the affirmative vote of at least 80% of our shares be obtained to amend or repeal the provisions of our certificate of incorporation relating to the election and removal of directors or the right to act by written consent,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fair price provision, as well as a requirement that the affirmative vote of at least 90% of our shares be obtained to amend or repeal the fair price provision.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our primary executive offices in Irvine, California. For information regarding property, plant, and equipment by geographic region for each of the last two fiscal years, see Note 14 to Item 8 of this Annual Report on Form 10-K. The following table sets forth our principal facilities:</w:t>
      </w:r>
    </w:p>
    <w:p>
      <w:pPr>
        <w:pStyle w:val="TextBody"/>
        <w:bidi w:val="0"/>
        <w:spacing w:before="0" w:after="0"/>
        <w:jc w:val="both"/>
        <w:rPr/>
      </w:pPr>
      <w:r>
        <w:rPr/>
      </w:r>
    </w:p>
    <w:tbl>
      <w:tblPr>
        <w:tblW w:w="8284" w:type="dxa"/>
        <w:jc w:val="left"/>
        <w:tblInd w:w="0" w:type="dxa"/>
        <w:tblLayout w:type="fixed"/>
        <w:tblCellMar>
          <w:top w:w="28" w:type="dxa"/>
          <w:left w:w="28" w:type="dxa"/>
          <w:bottom w:w="28" w:type="dxa"/>
          <w:right w:w="28" w:type="dxa"/>
        </w:tblCellMar>
      </w:tblPr>
      <w:tblGrid>
        <w:gridCol w:w="786"/>
        <w:gridCol w:w="691"/>
        <w:gridCol w:w="698"/>
        <w:gridCol w:w="109"/>
        <w:gridCol w:w="109"/>
        <w:gridCol w:w="109"/>
        <w:gridCol w:w="384"/>
        <w:gridCol w:w="384"/>
        <w:gridCol w:w="386"/>
        <w:gridCol w:w="109"/>
        <w:gridCol w:w="109"/>
        <w:gridCol w:w="109"/>
        <w:gridCol w:w="419"/>
        <w:gridCol w:w="419"/>
        <w:gridCol w:w="421"/>
        <w:gridCol w:w="109"/>
        <w:gridCol w:w="109"/>
        <w:gridCol w:w="109"/>
        <w:gridCol w:w="795"/>
        <w:gridCol w:w="795"/>
        <w:gridCol w:w="1125"/>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Owned/Leased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Primary Function</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405,700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Filter manufacturing</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Osaka, 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Filter manufacturing</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Mexicali,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Mexicali,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office space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 center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Woburn,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office space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Newbury Park,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Newbury Park,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 center</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Austin,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 center and office space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 owns the building and the land is leased for approximately 39 years expiring in 2061.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11 of Notes to Consolidated Financial Statements in Item 8 of this Annual Report on Form 10-K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 MARKET FOR REGISTRANT’S COMMON EQUITY, RELATED STOCKHOLDER MATTERS, AND</w:t>
      </w:r>
      <w:r>
        <w:rPr>
          <w:color w:val="000000"/>
        </w:rPr>
        <w:t xml:space="preserve"> </w:t>
      </w: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Market Information and Dividends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Select Market under the symbol “SWKS”.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stockholders of record of our common stock as of November 2, 2023, was 8,175. On November 2, 2023, the Company announced that the Board of Directors had declared a cash dividend of $0.68 per share of common stock, payable on December 12, 2023, to stockholders of record as of November 21, 2023. We pay, and intend to continue to pay, quarterly dividends subject to capital availability and periodic determinations made by our Board of Directors that cash dividends are in the best interests of our stockholders.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cash dividends may be affected by, among other items, our views on potential future capital requirements, including those relating to research and development, creation and expansion of investments and acquisitions, stock repurchase programs, debt issuances and repayments, changes in federal and state income tax law, and changes to our business model.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repurchases of common stock made during the three months ended September 29, 2023:</w:t>
      </w:r>
    </w:p>
    <w:tbl>
      <w:tblPr>
        <w:tblW w:w="10205" w:type="dxa"/>
        <w:jc w:val="center"/>
        <w:tblInd w:w="0" w:type="dxa"/>
        <w:tblLayout w:type="fixed"/>
        <w:tblCellMar>
          <w:top w:w="28" w:type="dxa"/>
          <w:left w:w="28" w:type="dxa"/>
          <w:bottom w:w="28" w:type="dxa"/>
          <w:right w:w="28" w:type="dxa"/>
        </w:tblCellMar>
      </w:tblPr>
      <w:tblGrid>
        <w:gridCol w:w="338"/>
        <w:gridCol w:w="297"/>
        <w:gridCol w:w="300"/>
        <w:gridCol w:w="492"/>
        <w:gridCol w:w="492"/>
        <w:gridCol w:w="494"/>
        <w:gridCol w:w="109"/>
        <w:gridCol w:w="109"/>
        <w:gridCol w:w="109"/>
        <w:gridCol w:w="458"/>
        <w:gridCol w:w="419"/>
        <w:gridCol w:w="421"/>
        <w:gridCol w:w="962"/>
        <w:gridCol w:w="962"/>
        <w:gridCol w:w="965"/>
        <w:gridCol w:w="956"/>
        <w:gridCol w:w="956"/>
        <w:gridCol w:w="1366"/>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7/1/23 - 7/28/23</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12,567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$112.71</w:t>
            </w:r>
          </w:p>
        </w:tc>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7/29/23 - 8/25/23</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8,549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$105.62</w:t>
            </w:r>
          </w:p>
        </w:tc>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8/26/23 - 9/29/23</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(1) We announced on February 6, 2023 that our Board of Directors had approved a stock repurchase program on January 31, 2023, which authorizes the repurchase of up to $2.0 billion of our common stock from time to time on the open market or in privately negotiated transactions, in compliance with applicable securities laws and other legal requirements, and which is scheduled to expire on February 1, 2025.</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(2) Represents shares repurchased by us at the fair market value of the common stock as of the applicable purchase date, in connection with the satisfaction of tax withholding obligations under equity award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 MANAGEMENT’S DISCUSSION AND ANALYSIS OF FINANCIAL CONDITION AND RESULTS</w:t>
      </w:r>
      <w:r>
        <w:rPr>
          <w:color w:val="000000"/>
        </w:rPr>
        <w:t xml:space="preserve"> </w:t>
      </w:r>
      <w:r>
        <w:rPr>
          <w:rFonts w:ascii="Times New Roman;sans-serif" w:hAnsi="Times New Roman;sans-serif"/>
          <w:b/>
          <w:color w:val="000000"/>
          <w:sz w:val="20"/>
        </w:rPr>
        <w:t>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The following discussion and analysis of our financial condition and results of</w:t>
      </w:r>
      <w:r>
        <w:rPr>
          <w:color w:val="000000"/>
        </w:rPr>
        <w:t xml:space="preserve"> </w:t>
      </w:r>
      <w:r>
        <w:rPr>
          <w:rFonts w:ascii="Times New Roman;sans-serif" w:hAnsi="Times New Roman;sans-serif"/>
          <w:b w:val="false"/>
          <w:i/>
          <w:color w:val="000000"/>
          <w:sz w:val="20"/>
        </w:rPr>
        <w:t>operations should be read in conjunction with our consolidated financial</w:t>
      </w:r>
      <w:r>
        <w:rPr>
          <w:color w:val="000000"/>
        </w:rPr>
        <w:t xml:space="preserve"> </w:t>
      </w:r>
      <w:r>
        <w:rPr>
          <w:rFonts w:ascii="Times New Roman;sans-serif" w:hAnsi="Times New Roman;sans-serif"/>
          <w:b w:val="false"/>
          <w:i/>
          <w:color w:val="000000"/>
          <w:sz w:val="20"/>
        </w:rPr>
        <w:t>statements and related notes that appear elsewhere in this Annual Report on</w:t>
      </w:r>
      <w:r>
        <w:rPr>
          <w:color w:val="000000"/>
        </w:rPr>
        <w:t xml:space="preserve"> </w:t>
      </w:r>
      <w:r>
        <w:rPr>
          <w:rFonts w:ascii="Times New Roman;sans-serif" w:hAnsi="Times New Roman;sans-serif"/>
          <w:b w:val="false"/>
          <w:i/>
          <w:color w:val="000000"/>
          <w:sz w:val="20"/>
        </w:rPr>
        <w:t>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together with our consolidated subsidiaries, are empowering the wireless networking revolution. Our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COVID-19 pandemic has affected business conditions in our industry. The duration, severity, and future impact of the pandemic, including as a result of more contagious variants of the virus that causes COVID-19, continue to be uncertain and could still result in significant disruptions to our business operations, as well as negative impacts to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Fiscal Years Ended September 29, 2023, September 30, 2022, and October 1,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results of our operations expressed as a percentage of net revenue. See Part II, Item 7 of our Annual Report on Form 10-K for the fiscal year ended September 30, 2022, filed with the SEC on November 23, 2022, as amended by Amendment No. 1 to such Annual Report on Form 10-K, filed with the SEC on January 27, 2023 (the “2022 10-K”), for Management’s Discussions and Analysis of Financial Condition and Results of Operations for the fiscal year ended October 1, 2021.</w:t>
      </w:r>
    </w:p>
    <w:tbl>
      <w:tblPr>
        <w:tblW w:w="8082" w:type="dxa"/>
        <w:jc w:val="left"/>
        <w:tblInd w:w="0" w:type="dxa"/>
        <w:tblLayout w:type="fixed"/>
        <w:tblCellMar>
          <w:top w:w="28" w:type="dxa"/>
          <w:left w:w="28" w:type="dxa"/>
          <w:bottom w:w="28" w:type="dxa"/>
          <w:right w:w="28" w:type="dxa"/>
        </w:tblCellMar>
      </w:tblPr>
      <w:tblGrid>
        <w:gridCol w:w="1363"/>
        <w:gridCol w:w="1200"/>
        <w:gridCol w:w="1202"/>
        <w:gridCol w:w="308"/>
        <w:gridCol w:w="308"/>
        <w:gridCol w:w="632"/>
        <w:gridCol w:w="109"/>
        <w:gridCol w:w="109"/>
        <w:gridCol w:w="109"/>
        <w:gridCol w:w="308"/>
        <w:gridCol w:w="308"/>
        <w:gridCol w:w="632"/>
        <w:gridCol w:w="109"/>
        <w:gridCol w:w="109"/>
        <w:gridCol w:w="109"/>
        <w:gridCol w:w="308"/>
        <w:gridCol w:w="308"/>
        <w:gridCol w:w="551"/>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605" cy="14605"/>
                <wp:effectExtent l="0" t="0" r="0" b="0"/>
                <wp:wrapNone/>
                <wp:docPr id="30" name="Frame3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29, 2023, the following key factors contributed to our overall results of operations, financial position, and cash flows:</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Net revenue decreased 13.0% to $4,772.4 million in fiscal 2023, as compared to $5,485.5 million in fiscal 2022, driven primarily by a decrease in demand for our mobile products from smartphone customers in the Android ecosystem and for our connectivity solutions in consumer and enterprise markets. </w:t>
      </w:r>
    </w:p>
    <w:p>
      <w:pPr>
        <w:pStyle w:val="TextBody"/>
        <w:bidi w:val="0"/>
        <w:spacing w:before="0" w:after="0"/>
        <w:ind w:left="0" w:right="0" w:hanging="180"/>
        <w:jc w:val="left"/>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Our ending cash, cash equivalents, and marketable securities balance increased 26% to $738.5 million in fiscal 2023, as compared to $586.8 million in fiscal 2022. The increase in cash, cash equivalents, and marketable securities during fiscal 2023 was primarily due to cash generated from operations of $1,856.4 million, partially offset by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repayments of debt of $900.0 million, dividend payments of $405.2 million, and capital expenditures of $210.3 million.</w:t>
      </w:r>
    </w:p>
    <w:p>
      <w:pPr>
        <w:pStyle w:val="TextBody"/>
        <w:bidi w:val="0"/>
        <w:spacing w:before="120" w:after="283"/>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tbl>
      <w:tblPr>
        <w:tblW w:w="7611" w:type="dxa"/>
        <w:jc w:val="left"/>
        <w:tblInd w:w="0" w:type="dxa"/>
        <w:tblLayout w:type="fixed"/>
        <w:tblCellMar>
          <w:top w:w="28" w:type="dxa"/>
          <w:left w:w="28" w:type="dxa"/>
          <w:bottom w:w="28" w:type="dxa"/>
          <w:right w:w="28" w:type="dxa"/>
        </w:tblCellMar>
      </w:tblPr>
      <w:tblGrid>
        <w:gridCol w:w="538"/>
        <w:gridCol w:w="472"/>
        <w:gridCol w:w="474"/>
        <w:gridCol w:w="221"/>
        <w:gridCol w:w="804"/>
        <w:gridCol w:w="114"/>
        <w:gridCol w:w="109"/>
        <w:gridCol w:w="109"/>
        <w:gridCol w:w="109"/>
        <w:gridCol w:w="249"/>
        <w:gridCol w:w="249"/>
        <w:gridCol w:w="251"/>
        <w:gridCol w:w="109"/>
        <w:gridCol w:w="109"/>
        <w:gridCol w:w="109"/>
        <w:gridCol w:w="221"/>
        <w:gridCol w:w="804"/>
        <w:gridCol w:w="114"/>
        <w:gridCol w:w="109"/>
        <w:gridCol w:w="109"/>
        <w:gridCol w:w="109"/>
        <w:gridCol w:w="220"/>
        <w:gridCol w:w="220"/>
        <w:gridCol w:w="221"/>
        <w:gridCol w:w="109"/>
        <w:gridCol w:w="109"/>
        <w:gridCol w:w="109"/>
        <w:gridCol w:w="211"/>
        <w:gridCol w:w="76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increased holiday sales, whereas our second and third fiscal quarters are typically lower and in line with seasonal industry trends.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revenue in fiscal 2023, as compared to fiscal 2022, was driven primarily by a decrease in demand for our mobile products from smartphone customers in the Android ecosystem and for our connectivity solutions in consumer and enterprise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net revenue by geographic region and customer concentration, see Note 14 to Item 8 of this Annual Report on Form 10-K.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7991" w:type="dxa"/>
        <w:jc w:val="left"/>
        <w:tblInd w:w="0" w:type="dxa"/>
        <w:tblLayout w:type="fixed"/>
        <w:tblCellMar>
          <w:top w:w="28" w:type="dxa"/>
          <w:left w:w="28" w:type="dxa"/>
          <w:bottom w:w="28" w:type="dxa"/>
          <w:right w:w="28" w:type="dxa"/>
        </w:tblCellMar>
      </w:tblPr>
      <w:tblGrid>
        <w:gridCol w:w="538"/>
        <w:gridCol w:w="472"/>
        <w:gridCol w:w="474"/>
        <w:gridCol w:w="211"/>
        <w:gridCol w:w="766"/>
        <w:gridCol w:w="271"/>
        <w:gridCol w:w="109"/>
        <w:gridCol w:w="109"/>
        <w:gridCol w:w="109"/>
        <w:gridCol w:w="249"/>
        <w:gridCol w:w="249"/>
        <w:gridCol w:w="251"/>
        <w:gridCol w:w="109"/>
        <w:gridCol w:w="109"/>
        <w:gridCol w:w="109"/>
        <w:gridCol w:w="211"/>
        <w:gridCol w:w="766"/>
        <w:gridCol w:w="271"/>
        <w:gridCol w:w="109"/>
        <w:gridCol w:w="109"/>
        <w:gridCol w:w="109"/>
        <w:gridCol w:w="220"/>
        <w:gridCol w:w="220"/>
        <w:gridCol w:w="221"/>
        <w:gridCol w:w="109"/>
        <w:gridCol w:w="109"/>
        <w:gridCol w:w="109"/>
        <w:gridCol w:w="211"/>
        <w:gridCol w:w="766"/>
        <w:gridCol w:w="31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represents net revenue less cost of goods sold. Our cost of goods sold consists primarily of purchased materials, labor, and overhead (including depreciation, share-based compensation, and amortization of acquisition intangibles, including inventory step-up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reduce material costs,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gross profit in fiscal 2023, as compared to fiscal 2022, was primarily the result of lower unit volumes, impairment charges on long-term supply capacity deposits, and lower average selling prices with a gross profit impact of $572.0 million, $47.5 million, and $41.8 million, respectively, partially offset by a favorable product mix with a gross profit impact of $261.2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8363" w:type="dxa"/>
        <w:jc w:val="left"/>
        <w:tblInd w:w="0" w:type="dxa"/>
        <w:tblLayout w:type="fixed"/>
        <w:tblCellMar>
          <w:top w:w="28" w:type="dxa"/>
          <w:left w:w="28" w:type="dxa"/>
          <w:bottom w:w="28" w:type="dxa"/>
          <w:right w:w="28" w:type="dxa"/>
        </w:tblCellMar>
      </w:tblPr>
      <w:tblGrid>
        <w:gridCol w:w="837"/>
        <w:gridCol w:w="735"/>
        <w:gridCol w:w="738"/>
        <w:gridCol w:w="219"/>
        <w:gridCol w:w="640"/>
        <w:gridCol w:w="281"/>
        <w:gridCol w:w="109"/>
        <w:gridCol w:w="109"/>
        <w:gridCol w:w="109"/>
        <w:gridCol w:w="220"/>
        <w:gridCol w:w="220"/>
        <w:gridCol w:w="221"/>
        <w:gridCol w:w="109"/>
        <w:gridCol w:w="109"/>
        <w:gridCol w:w="109"/>
        <w:gridCol w:w="219"/>
        <w:gridCol w:w="640"/>
        <w:gridCol w:w="281"/>
        <w:gridCol w:w="109"/>
        <w:gridCol w:w="109"/>
        <w:gridCol w:w="109"/>
        <w:gridCol w:w="220"/>
        <w:gridCol w:w="220"/>
        <w:gridCol w:w="221"/>
        <w:gridCol w:w="109"/>
        <w:gridCol w:w="109"/>
        <w:gridCol w:w="109"/>
        <w:gridCol w:w="211"/>
        <w:gridCol w:w="616"/>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direct personnel costs including share-based compensation expense, costs for pre-production evaluation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research and development expense in fiscal 2023, as compared to fiscal 2022, was primarily related to a decrease in headcount-related expenses. </w:t>
      </w:r>
    </w:p>
    <w:p>
      <w:pPr>
        <w:pStyle w:val="TextBody"/>
        <w:bidi w:val="0"/>
        <w:spacing w:lineRule="auto" w:line="288" w:before="0" w:after="0"/>
        <w:jc w:val="left"/>
        <w:rPr/>
      </w:pPr>
      <w:r>
        <w:rPr>
          <w:rFonts w:ascii="Times New Roman;sans-serif" w:hAnsi="Times New Roman;sans-serif"/>
          <w:b/>
          <w:i/>
          <w:color w:val="000000"/>
          <w:sz w:val="20"/>
        </w:rPr>
        <w:t xml:space="preserve">Selling, General, and Administrative </w:t>
      </w:r>
      <w:r>
        <w:rPr>
          <w:color w:val="000000"/>
        </w:rPr>
        <w:t>    </w:t>
      </w:r>
    </w:p>
    <w:tbl>
      <w:tblPr>
        <w:tblW w:w="9052" w:type="dxa"/>
        <w:jc w:val="left"/>
        <w:tblInd w:w="0" w:type="dxa"/>
        <w:tblLayout w:type="fixed"/>
        <w:tblCellMar>
          <w:top w:w="28" w:type="dxa"/>
          <w:left w:w="28" w:type="dxa"/>
          <w:bottom w:w="28" w:type="dxa"/>
          <w:right w:w="28" w:type="dxa"/>
        </w:tblCellMar>
      </w:tblPr>
      <w:tblGrid>
        <w:gridCol w:w="1087"/>
        <w:gridCol w:w="954"/>
        <w:gridCol w:w="958"/>
        <w:gridCol w:w="219"/>
        <w:gridCol w:w="640"/>
        <w:gridCol w:w="281"/>
        <w:gridCol w:w="109"/>
        <w:gridCol w:w="109"/>
        <w:gridCol w:w="109"/>
        <w:gridCol w:w="220"/>
        <w:gridCol w:w="220"/>
        <w:gridCol w:w="221"/>
        <w:gridCol w:w="109"/>
        <w:gridCol w:w="109"/>
        <w:gridCol w:w="109"/>
        <w:gridCol w:w="219"/>
        <w:gridCol w:w="640"/>
        <w:gridCol w:w="281"/>
        <w:gridCol w:w="109"/>
        <w:gridCol w:w="109"/>
        <w:gridCol w:w="109"/>
        <w:gridCol w:w="220"/>
        <w:gridCol w:w="220"/>
        <w:gridCol w:w="221"/>
        <w:gridCol w:w="109"/>
        <w:gridCol w:w="109"/>
        <w:gridCol w:w="109"/>
        <w:gridCol w:w="211"/>
        <w:gridCol w:w="616"/>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selling, general, and administrative expenses in fiscal 2023, as compared to fiscal 2022, was primarily related to a decrease in headcount-related expenses, including 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Amortization of Intangibles</w:t>
      </w:r>
    </w:p>
    <w:tbl>
      <w:tblPr>
        <w:tblW w:w="8479" w:type="dxa"/>
        <w:jc w:val="left"/>
        <w:tblInd w:w="0" w:type="dxa"/>
        <w:tblLayout w:type="fixed"/>
        <w:tblCellMar>
          <w:top w:w="28" w:type="dxa"/>
          <w:left w:w="28" w:type="dxa"/>
          <w:bottom w:w="28" w:type="dxa"/>
          <w:right w:w="28" w:type="dxa"/>
        </w:tblCellMar>
      </w:tblPr>
      <w:tblGrid>
        <w:gridCol w:w="859"/>
        <w:gridCol w:w="754"/>
        <w:gridCol w:w="757"/>
        <w:gridCol w:w="242"/>
        <w:gridCol w:w="587"/>
        <w:gridCol w:w="311"/>
        <w:gridCol w:w="109"/>
        <w:gridCol w:w="109"/>
        <w:gridCol w:w="109"/>
        <w:gridCol w:w="249"/>
        <w:gridCol w:w="249"/>
        <w:gridCol w:w="251"/>
        <w:gridCol w:w="109"/>
        <w:gridCol w:w="109"/>
        <w:gridCol w:w="109"/>
        <w:gridCol w:w="242"/>
        <w:gridCol w:w="587"/>
        <w:gridCol w:w="311"/>
        <w:gridCol w:w="109"/>
        <w:gridCol w:w="109"/>
        <w:gridCol w:w="109"/>
        <w:gridCol w:w="244"/>
        <w:gridCol w:w="244"/>
        <w:gridCol w:w="246"/>
        <w:gridCol w:w="109"/>
        <w:gridCol w:w="109"/>
        <w:gridCol w:w="109"/>
        <w:gridCol w:w="211"/>
        <w:gridCol w:w="511"/>
        <w:gridCol w:w="31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amortization expense for fiscal 2023, as compared to fiscal 2022, was primarily due to certain intangible assets that were acquired in prior fiscal years reaching the end of their useful lives.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Restructuring, Impairment, and Other Charges</w:t>
      </w:r>
    </w:p>
    <w:tbl>
      <w:tblPr>
        <w:tblW w:w="9680" w:type="dxa"/>
        <w:jc w:val="left"/>
        <w:tblInd w:w="0" w:type="dxa"/>
        <w:tblLayout w:type="fixed"/>
        <w:tblCellMar>
          <w:top w:w="28" w:type="dxa"/>
          <w:left w:w="28" w:type="dxa"/>
          <w:bottom w:w="28" w:type="dxa"/>
          <w:right w:w="28" w:type="dxa"/>
        </w:tblCellMar>
      </w:tblPr>
      <w:tblGrid>
        <w:gridCol w:w="1365"/>
        <w:gridCol w:w="1197"/>
        <w:gridCol w:w="1202"/>
        <w:gridCol w:w="242"/>
        <w:gridCol w:w="587"/>
        <w:gridCol w:w="311"/>
        <w:gridCol w:w="109"/>
        <w:gridCol w:w="109"/>
        <w:gridCol w:w="109"/>
        <w:gridCol w:w="220"/>
        <w:gridCol w:w="220"/>
        <w:gridCol w:w="221"/>
        <w:gridCol w:w="109"/>
        <w:gridCol w:w="109"/>
        <w:gridCol w:w="109"/>
        <w:gridCol w:w="242"/>
        <w:gridCol w:w="587"/>
        <w:gridCol w:w="311"/>
        <w:gridCol w:w="109"/>
        <w:gridCol w:w="109"/>
        <w:gridCol w:w="109"/>
        <w:gridCol w:w="244"/>
        <w:gridCol w:w="244"/>
        <w:gridCol w:w="246"/>
        <w:gridCol w:w="109"/>
        <w:gridCol w:w="109"/>
        <w:gridCol w:w="109"/>
        <w:gridCol w:w="211"/>
        <w:gridCol w:w="406"/>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incurred in fiscal 2023 were primarily due to employee severance costs and impairment charges on divested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 incurred in fiscal 2022 were primarily related to the abandonment of previously capitalized in-process research and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tbl>
      <w:tblPr>
        <w:tblW w:w="7505" w:type="dxa"/>
        <w:jc w:val="left"/>
        <w:tblInd w:w="0" w:type="dxa"/>
        <w:tblLayout w:type="fixed"/>
        <w:tblCellMar>
          <w:top w:w="28" w:type="dxa"/>
          <w:left w:w="28" w:type="dxa"/>
          <w:bottom w:w="28" w:type="dxa"/>
          <w:right w:w="28" w:type="dxa"/>
        </w:tblCellMar>
      </w:tblPr>
      <w:tblGrid>
        <w:gridCol w:w="538"/>
        <w:gridCol w:w="472"/>
        <w:gridCol w:w="474"/>
        <w:gridCol w:w="242"/>
        <w:gridCol w:w="587"/>
        <w:gridCol w:w="311"/>
        <w:gridCol w:w="109"/>
        <w:gridCol w:w="109"/>
        <w:gridCol w:w="109"/>
        <w:gridCol w:w="220"/>
        <w:gridCol w:w="220"/>
        <w:gridCol w:w="221"/>
        <w:gridCol w:w="109"/>
        <w:gridCol w:w="109"/>
        <w:gridCol w:w="109"/>
        <w:gridCol w:w="242"/>
        <w:gridCol w:w="587"/>
        <w:gridCol w:w="311"/>
        <w:gridCol w:w="109"/>
        <w:gridCol w:w="109"/>
        <w:gridCol w:w="109"/>
        <w:gridCol w:w="244"/>
        <w:gridCol w:w="244"/>
        <w:gridCol w:w="246"/>
        <w:gridCol w:w="109"/>
        <w:gridCol w:w="109"/>
        <w:gridCol w:w="109"/>
        <w:gridCol w:w="211"/>
        <w:gridCol w:w="511"/>
        <w:gridCol w:w="31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for fiscal 2023, as compared to fiscal 2022, was due to an increase in the variable interest rate associated with the borrowing on the Term Loans, partially offset by a lower average balance of debt outstanding.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before="0" w:after="0"/>
        <w:jc w:val="left"/>
        <w:rPr/>
      </w:pPr>
      <w:r>
        <w:rPr/>
      </w:r>
    </w:p>
    <w:tbl>
      <w:tblPr>
        <w:tblW w:w="8449" w:type="dxa"/>
        <w:jc w:val="left"/>
        <w:tblInd w:w="0" w:type="dxa"/>
        <w:tblLayout w:type="fixed"/>
        <w:tblCellMar>
          <w:top w:w="28" w:type="dxa"/>
          <w:left w:w="28" w:type="dxa"/>
          <w:bottom w:w="28" w:type="dxa"/>
          <w:right w:w="28" w:type="dxa"/>
        </w:tblCellMar>
      </w:tblPr>
      <w:tblGrid>
        <w:gridCol w:w="865"/>
        <w:gridCol w:w="758"/>
        <w:gridCol w:w="762"/>
        <w:gridCol w:w="242"/>
        <w:gridCol w:w="587"/>
        <w:gridCol w:w="311"/>
        <w:gridCol w:w="109"/>
        <w:gridCol w:w="109"/>
        <w:gridCol w:w="109"/>
        <w:gridCol w:w="244"/>
        <w:gridCol w:w="244"/>
        <w:gridCol w:w="246"/>
        <w:gridCol w:w="109"/>
        <w:gridCol w:w="109"/>
        <w:gridCol w:w="109"/>
        <w:gridCol w:w="250"/>
        <w:gridCol w:w="569"/>
        <w:gridCol w:w="321"/>
        <w:gridCol w:w="109"/>
        <w:gridCol w:w="109"/>
        <w:gridCol w:w="109"/>
        <w:gridCol w:w="244"/>
        <w:gridCol w:w="244"/>
        <w:gridCol w:w="246"/>
        <w:gridCol w:w="109"/>
        <w:gridCol w:w="109"/>
        <w:gridCol w:w="109"/>
        <w:gridCol w:w="211"/>
        <w:gridCol w:w="481"/>
        <w:gridCol w:w="316"/>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for fiscal 2023, as compared to fiscal 2022, was due to an increase in interest income as a result of higher interest rates.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8493" w:type="dxa"/>
        <w:jc w:val="left"/>
        <w:tblInd w:w="0" w:type="dxa"/>
        <w:tblLayout w:type="fixed"/>
        <w:tblCellMar>
          <w:top w:w="28" w:type="dxa"/>
          <w:left w:w="28" w:type="dxa"/>
          <w:bottom w:w="28" w:type="dxa"/>
          <w:right w:w="28" w:type="dxa"/>
        </w:tblCellMar>
      </w:tblPr>
      <w:tblGrid>
        <w:gridCol w:w="826"/>
        <w:gridCol w:w="725"/>
        <w:gridCol w:w="728"/>
        <w:gridCol w:w="242"/>
        <w:gridCol w:w="587"/>
        <w:gridCol w:w="311"/>
        <w:gridCol w:w="109"/>
        <w:gridCol w:w="109"/>
        <w:gridCol w:w="109"/>
        <w:gridCol w:w="249"/>
        <w:gridCol w:w="249"/>
        <w:gridCol w:w="251"/>
        <w:gridCol w:w="109"/>
        <w:gridCol w:w="109"/>
        <w:gridCol w:w="109"/>
        <w:gridCol w:w="219"/>
        <w:gridCol w:w="640"/>
        <w:gridCol w:w="281"/>
        <w:gridCol w:w="109"/>
        <w:gridCol w:w="109"/>
        <w:gridCol w:w="109"/>
        <w:gridCol w:w="244"/>
        <w:gridCol w:w="244"/>
        <w:gridCol w:w="246"/>
        <w:gridCol w:w="109"/>
        <w:gridCol w:w="109"/>
        <w:gridCol w:w="109"/>
        <w:gridCol w:w="211"/>
        <w:gridCol w:w="616"/>
        <w:gridCol w:w="316"/>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provision for income taxes of $96.0 million (which consisted of $62.0 million and $34.0 million related to United States and foreign income taxes, respectively) and $201.4 million (which consisted of $132.8 million and $68.6 million related to United States and foreign income taxes, respectively) for fiscal 2023 and fiscal 2022, respectively.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income tax expense for fiscal 2023, as compared with the corresponding period in fiscal 2022, was primarily due to lower income from operations, a decrease in tax on global intangible low-taxed income (“GILTI”), an increase in the benefit from foreign-derived intangible income deduction (“FDII”), partially offset by a current period shortfall in tax deductions for share-based compensation, compared to windfall deductions in the prior year.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U.S. government enacted the Inflation Reduction Act, which imposes a corporate alternative minimum tax (“CAMT”) of 15% on corporations with three-year average annual adjusted financial statement income exceeding $1.0 billion, as well as a 1% excise tax on corporate stock repurchases made after December 31, 2022. We are currently evaluating the impact this law may have on our effective tax rate. CAMT is effective for the Company in fiscal year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to Item 8 of this Annual Report on Form 10-K for additional information regarding income taxes.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a summary of our cash flows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8140" w:type="dxa"/>
        <w:jc w:val="left"/>
        <w:tblInd w:w="0" w:type="dxa"/>
        <w:tblLayout w:type="fixed"/>
        <w:tblCellMar>
          <w:top w:w="28" w:type="dxa"/>
          <w:left w:w="28" w:type="dxa"/>
          <w:bottom w:w="28" w:type="dxa"/>
          <w:right w:w="28" w:type="dxa"/>
        </w:tblCellMar>
      </w:tblPr>
      <w:tblGrid>
        <w:gridCol w:w="1526"/>
        <w:gridCol w:w="1340"/>
        <w:gridCol w:w="1348"/>
        <w:gridCol w:w="257"/>
        <w:gridCol w:w="750"/>
        <w:gridCol w:w="132"/>
        <w:gridCol w:w="109"/>
        <w:gridCol w:w="109"/>
        <w:gridCol w:w="109"/>
        <w:gridCol w:w="257"/>
        <w:gridCol w:w="750"/>
        <w:gridCol w:w="132"/>
        <w:gridCol w:w="109"/>
        <w:gridCol w:w="109"/>
        <w:gridCol w:w="109"/>
        <w:gridCol w:w="214"/>
        <w:gridCol w:w="62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consists of net income for the period adjusted for certain non-cash items and changes in certain operating assets and liabilities. The $431.8 million increase in cash provided by operating activities for fiscal 2023, as compared to fiscal 2022, was primarily related to favorable changes in working capital of $988.5 million, due primarily to a decrease in accounts receivable and inventory, partially offset by lower net income.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consists primarily of capital expenditures and cash paid related to the purchase of marketable securities, offset by cash received related to the sale or maturity of marketable securities. The $154.5 million decrease in cash used in investing activities for fiscal 2023, as compared to fiscal 2022, was primarily related to a decrease of $279.1 million in cash used for capital expenditures, partially offset by a decrease of $117.9 million in the net sale of marketable securities. </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used in financing activities: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consists primarily of proceeds and payments related to our long-term borrowings and cash transactions related to equity. The $116.6 million increase in cash used in financing activities for fiscal 2023, as compared to fiscal 2022, was primarily related to an increase of $850.0 million for the repayment of debt, an increase of $32.1 million in dividend payments, partially offset by a decrease of $711.5 million in stock repurchase activity, and a decrease of $52.6 million related to the minimum statutory payroll tax withholdings upon vesting of employee performance and restricted stock awards.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marketable securities totaled $738.5 million as of September 29, 2023, representing an increase of $151.7 million from September 30,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outstanding $500.0 million of Notes Due 2026 and $500.0 million of Notes Due 2031 (the “Notes”). We have a term credit agreement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of the Infrastructure and Automotive business of Silicon Laboratories Inc. and to pay fees and expenses incurred in connection therewith. During fiscal 2023, 2022, and 2021, we repaid $400.0 million, $50.0 million, and $250.0 million, of outstanding borrowings under the Term Loans, respectively. As of September 29, 2023, there were $300.0 million of borrowings outstanding under the Term Credit Agreement. We have a Revolving Credit Agreement (the “Revolving Credit Agreement”)</w:t>
      </w:r>
      <w:r>
        <w:rPr>
          <w:color w:val="000000"/>
          <w:shd w:fill="FFFFFF" w:val="clear"/>
        </w:rPr>
        <w:t xml:space="preserve"> </w:t>
      </w:r>
      <w:r>
        <w:rPr>
          <w:rFonts w:ascii="Times New Roman;sans-serif" w:hAnsi="Times New Roman;sans-serif"/>
          <w:b w:val="false"/>
          <w:color w:val="000000"/>
          <w:sz w:val="20"/>
        </w:rPr>
        <w:t>under which we may borrow up to $750.0 million for general corporate purposes and working capital needs of the Company and its subsidiaries. As of September 29, 2023, there were no borrowings outstanding under the revolving credit facility (the “Revolver”). The Revolving Credit Agreement expires July 26,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contractual obligations, such as taxes, leases, purchase commitments, and debt, see Note 8, Note 10, Note 11, and Note 16 to Item 8 of this Annual Report on Form 10-K,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capital resources. If we are unable to obtain sufficient cash or capital to meet our needs on a timely basis and on favorable terms, our business and operations could be materially and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invested cash balances primarily consist of highly liquid marketable securities that are available to meet near-term cash requirements including: money market funds, U.S. Treasury securities, municipal bonds, and agency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upon our consolidated financial statements, which have been prepared in accordance with generally accepted accounting principles (“GAAP”). The preparation of these financial statements requires us to make estimates and judgments in applying our most critical accounting policies that can have a significant impact on the results we report in our financial statements. The SEC has defined critical accounting estimates as those that are both most important to the portrayal of our financial condition and results and which require our most difficult, complex, or subjective judgments or estimates. Based on this definition, our most critical accounting estimates include revenue recognition, which impacts the recording of net revenue; inventory valuation, which impacts the cost of goods sold and gross margin;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Revenue Recognition. </w:t>
      </w:r>
      <w:r>
        <w:rPr>
          <w:rFonts w:ascii="Times New Roman;sans-serif" w:hAnsi="Times New Roman;sans-serif"/>
          <w:b w:val="false"/>
          <w:color w:val="000000"/>
          <w:sz w:val="20"/>
        </w:rPr>
        <w:t xml:space="preserve">We recognize revenue in accordance with the Financial Accounting Standards Board’s (“FASB”) Accounting Standards Codification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net of estimated reserves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Our revenue reserves contain uncertainties because they require management to make assumptions and to apply judgment to estimate the value of future credits to customers for product returns, price protection, price adjustments, and stock rotation for products sold to certain electronic component distributors. We base these estimates on the expected value method considering all reasonably available information, including our historical experience and current expectations, and are reflected in the transaction price when sales are recorded. Changes in actual demand or market conditions could adversely or beneficially impact our reserve calculations.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Inventory Valuation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We value our inventory at the lower of cost or net realizable value.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Income Taxes. </w:t>
      </w:r>
      <w:r>
        <w:rPr>
          <w:rFonts w:ascii="Times New Roman;sans-serif" w:hAnsi="Times New Roman;sans-serif"/>
          <w:b w:val="false"/>
          <w:color w:val="000000"/>
          <w:sz w:val="20"/>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7A. QUANTITATIVE AND QUALITATIVE DISCLOSURES ABOUT MARKET RISK.</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Investment and 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interest rate and general market risks relates to our Term Credit Facility, which has variable interest rates, and our investment portfolio. As of September 29, 2023, there were $300.0 million of borrowings outstanding under the Term Credit Agreement, and a potential change in the associated interest rates would be immaterial to the results of our operations. Our investment portfolio consists of cash and cash equivalents (money market funds and marketable securities purchased with less than ninety days until maturity) that total approximately $718.8 million, and marketable securities (U.S. Treasury and government securities, and municipal bonds) that total approximately $15.6 million and $4.1 million within short-term and long-term marketable securities, respectively, as of September 29,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main objectives of our investment activities are liquidity and preservation of capital. Our cash equivalent investments have short-term maturity periods that dampen the impact of market or interest rate risk. Our marketable securities consist of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results of operations for the fiscal year ended September 29, 2023, a hypothetical reduction in the interest rates on our cash, cash equivalents, and other investments to zero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September 29, 2023, September 30, 2022, and October 1, 2021, we had foreign exchange gains of $1.7 million and foreign exchange losses of $1.4 million and $0.5 million, respectively. Increases in the value of the United States dollar relative to other currencies could make our products more expensive, which could negatively impact our ability to compete in international markets.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As of September 29, 2023, we had no outstanding foreign currency forward or options contracts with financial institutions.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the Company are included herewith:</w:t>
      </w:r>
    </w:p>
    <w:tbl>
      <w:tblPr>
        <w:tblW w:w="10094" w:type="dxa"/>
        <w:jc w:val="center"/>
        <w:tblInd w:w="0" w:type="dxa"/>
        <w:tblLayout w:type="fixed"/>
        <w:tblCellMar>
          <w:top w:w="28" w:type="dxa"/>
          <w:left w:w="28" w:type="dxa"/>
          <w:bottom w:w="28" w:type="dxa"/>
          <w:right w:w="28" w:type="dxa"/>
        </w:tblCellMar>
      </w:tblPr>
      <w:tblGrid>
        <w:gridCol w:w="125"/>
        <w:gridCol w:w="110"/>
        <w:gridCol w:w="110"/>
        <w:gridCol w:w="2662"/>
        <w:gridCol w:w="2662"/>
        <w:gridCol w:w="2671"/>
        <w:gridCol w:w="511"/>
        <w:gridCol w:w="511"/>
        <w:gridCol w:w="73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64">
              <w:r>
                <w:rPr>
                  <w:rStyle w:val="InternetLink"/>
                  <w:rFonts w:ascii="Times New Roman;sans-serif" w:hAnsi="Times New Roman;sans-serif"/>
                  <w:b w:val="false"/>
                  <w:color w:val="0000FF"/>
                  <w:sz w:val="20"/>
                  <w:u w:val="single"/>
                </w:rPr>
                <w:t>Report of Independent Registered Public Accounting Firm</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64">
              <w:r>
                <w:rPr>
                  <w:rStyle w:val="InternetLink"/>
                  <w:rFonts w:ascii="Times New Roman;sans-serif" w:hAnsi="Times New Roman;sans-serif"/>
                  <w:b w:val="false"/>
                  <w:color w:val="0000FF"/>
                  <w:sz w:val="20"/>
                  <w:u w:val="single"/>
                </w:rPr>
                <w:t>38</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67">
              <w:r>
                <w:rPr>
                  <w:rStyle w:val="InternetLink"/>
                  <w:rFonts w:ascii="Times New Roman;sans-serif" w:hAnsi="Times New Roman;sans-serif"/>
                  <w:b w:val="false"/>
                  <w:color w:val="000080"/>
                  <w:sz w:val="20"/>
                  <w:u w:val="single"/>
                </w:rPr>
                <w:t xml:space="preserve">Consolidated Statements of Operations for the three years ended September </w:t>
              </w:r>
            </w:hyperlink>
            <w:hyperlink w:anchor="ib652baefd321401fad432ed640b54bc0_67">
              <w:r>
                <w:rPr>
                  <w:rStyle w:val="InternetLink"/>
                  <w:rFonts w:ascii="Times New Roman;sans-serif" w:hAnsi="Times New Roman;sans-serif"/>
                  <w:b w:val="false"/>
                  <w:color w:val="000080"/>
                  <w:sz w:val="20"/>
                  <w:u w:val="single"/>
                </w:rPr>
                <w:t>29</w:t>
              </w:r>
            </w:hyperlink>
            <w:hyperlink w:anchor="ib652baefd321401fad432ed640b54bc0_67">
              <w:r>
                <w:rPr>
                  <w:rStyle w:val="InternetLink"/>
                  <w:rFonts w:ascii="Times New Roman;sans-serif" w:hAnsi="Times New Roman;sans-serif"/>
                  <w:b w:val="false"/>
                  <w:color w:val="000080"/>
                  <w:sz w:val="20"/>
                  <w:u w:val="single"/>
                </w:rPr>
                <w:t>, 202</w:t>
              </w:r>
            </w:hyperlink>
            <w:r>
              <w:rPr>
                <w:rFonts w:ascii="Times New Roman;sans-serif" w:hAnsi="Times New Roman;sans-serif"/>
                <w:b w:val="false"/>
                <w:color w:val="000000"/>
                <w:sz w:val="20"/>
              </w:rPr>
              <w:t>3</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67">
              <w:r>
                <w:rPr>
                  <w:rStyle w:val="InternetLink"/>
                  <w:rFonts w:ascii="Times New Roman;sans-serif" w:hAnsi="Times New Roman;sans-serif"/>
                  <w:b w:val="false"/>
                  <w:color w:val="0000FF"/>
                  <w:sz w:val="20"/>
                  <w:u w:val="single"/>
                </w:rPr>
                <w:t>40</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70">
              <w:r>
                <w:rPr>
                  <w:rStyle w:val="InternetLink"/>
                  <w:rFonts w:ascii="Times New Roman;sans-serif" w:hAnsi="Times New Roman;sans-serif"/>
                  <w:b w:val="false"/>
                  <w:color w:val="000080"/>
                  <w:sz w:val="20"/>
                  <w:u w:val="single"/>
                </w:rPr>
                <w:t xml:space="preserve">Consolidated Statements of Comprehensive Income for the three years ended September </w:t>
              </w:r>
            </w:hyperlink>
            <w:hyperlink w:anchor="ib652baefd321401fad432ed640b54bc0_70">
              <w:r>
                <w:rPr>
                  <w:rStyle w:val="InternetLink"/>
                  <w:rFonts w:ascii="Times New Roman;sans-serif" w:hAnsi="Times New Roman;sans-serif"/>
                  <w:b w:val="false"/>
                  <w:color w:val="000080"/>
                  <w:sz w:val="20"/>
                  <w:u w:val="single"/>
                </w:rPr>
                <w:t>29</w:t>
              </w:r>
            </w:hyperlink>
            <w:hyperlink w:anchor="ib652baefd321401fad432ed640b54bc0_70">
              <w:r>
                <w:rPr>
                  <w:rStyle w:val="InternetLink"/>
                  <w:rFonts w:ascii="Times New Roman;sans-serif" w:hAnsi="Times New Roman;sans-serif"/>
                  <w:b w:val="false"/>
                  <w:color w:val="000080"/>
                  <w:sz w:val="20"/>
                  <w:u w:val="single"/>
                </w:rPr>
                <w:t>, 202</w:t>
              </w:r>
            </w:hyperlink>
            <w:r>
              <w:rPr>
                <w:rFonts w:ascii="Times New Roman;sans-serif" w:hAnsi="Times New Roman;sans-serif"/>
                <w:b w:val="false"/>
                <w:color w:val="000000"/>
                <w:sz w:val="20"/>
              </w:rPr>
              <w:t>3</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70">
              <w:r>
                <w:rPr>
                  <w:rStyle w:val="InternetLink"/>
                  <w:rFonts w:ascii="Times New Roman;sans-serif" w:hAnsi="Times New Roman;sans-serif"/>
                  <w:b w:val="false"/>
                  <w:color w:val="0000FF"/>
                  <w:sz w:val="20"/>
                  <w:u w:val="single"/>
                </w:rPr>
                <w:t>41</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73">
              <w:r>
                <w:rPr>
                  <w:rStyle w:val="InternetLink"/>
                  <w:rFonts w:ascii="Times New Roman;sans-serif" w:hAnsi="Times New Roman;sans-serif"/>
                  <w:b w:val="false"/>
                  <w:color w:val="000080"/>
                  <w:sz w:val="20"/>
                  <w:u w:val="single"/>
                </w:rPr>
                <w:t xml:space="preserve">Consolidated Balance Sheets at September </w:t>
              </w:r>
            </w:hyperlink>
            <w:hyperlink w:anchor="ib652baefd321401fad432ed640b54bc0_73">
              <w:r>
                <w:rPr>
                  <w:rStyle w:val="InternetLink"/>
                  <w:rFonts w:ascii="Times New Roman;sans-serif" w:hAnsi="Times New Roman;sans-serif"/>
                  <w:b w:val="false"/>
                  <w:color w:val="000080"/>
                  <w:sz w:val="20"/>
                  <w:u w:val="single"/>
                </w:rPr>
                <w:t>29</w:t>
              </w:r>
            </w:hyperlink>
            <w:hyperlink w:anchor="ib652baefd321401fad432ed640b54bc0_73">
              <w:r>
                <w:rPr>
                  <w:rStyle w:val="InternetLink"/>
                  <w:rFonts w:ascii="Times New Roman;sans-serif" w:hAnsi="Times New Roman;sans-serif"/>
                  <w:b w:val="false"/>
                  <w:color w:val="000080"/>
                  <w:sz w:val="20"/>
                  <w:u w:val="single"/>
                </w:rPr>
                <w:t>, 202</w:t>
              </w:r>
            </w:hyperlink>
            <w:hyperlink w:anchor="ib652baefd321401fad432ed640b54bc0_73">
              <w:r>
                <w:rPr>
                  <w:rStyle w:val="InternetLink"/>
                  <w:rFonts w:ascii="Times New Roman;sans-serif" w:hAnsi="Times New Roman;sans-serif"/>
                  <w:b w:val="false"/>
                  <w:color w:val="000080"/>
                  <w:sz w:val="20"/>
                  <w:u w:val="single"/>
                </w:rPr>
                <w:t>3</w:t>
              </w:r>
            </w:hyperlink>
            <w:hyperlink w:anchor="ib652baefd321401fad432ed640b54bc0_73">
              <w:r>
                <w:rPr>
                  <w:rStyle w:val="InternetLink"/>
                  <w:rFonts w:ascii="Times New Roman;sans-serif" w:hAnsi="Times New Roman;sans-serif"/>
                  <w:b w:val="false"/>
                  <w:color w:val="000080"/>
                  <w:sz w:val="20"/>
                  <w:u w:val="single"/>
                </w:rPr>
                <w:t xml:space="preserve">, and </w:t>
              </w:r>
            </w:hyperlink>
            <w:hyperlink w:anchor="ib652baefd321401fad432ed640b54bc0_73">
              <w:r>
                <w:rPr>
                  <w:rStyle w:val="InternetLink"/>
                  <w:rFonts w:ascii="Times New Roman;sans-serif" w:hAnsi="Times New Roman;sans-serif"/>
                  <w:b w:val="false"/>
                  <w:color w:val="000080"/>
                  <w:sz w:val="20"/>
                  <w:u w:val="single"/>
                </w:rPr>
                <w:t>September 30, 2022</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73">
              <w:r>
                <w:rPr>
                  <w:rStyle w:val="InternetLink"/>
                  <w:rFonts w:ascii="Times New Roman;sans-serif" w:hAnsi="Times New Roman;sans-serif"/>
                  <w:b w:val="false"/>
                  <w:color w:val="0000FF"/>
                  <w:sz w:val="20"/>
                  <w:u w:val="single"/>
                </w:rPr>
                <w:t>42</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79">
              <w:r>
                <w:rPr>
                  <w:rStyle w:val="InternetLink"/>
                  <w:rFonts w:ascii="Times New Roman;sans-serif" w:hAnsi="Times New Roman;sans-serif"/>
                  <w:b w:val="false"/>
                  <w:color w:val="000080"/>
                  <w:sz w:val="20"/>
                  <w:u w:val="single"/>
                </w:rPr>
                <w:t xml:space="preserve">Consolidated Statements of Cash Flows for the three years ended September </w:t>
              </w:r>
            </w:hyperlink>
            <w:hyperlink w:anchor="ib652baefd321401fad432ed640b54bc0_79">
              <w:r>
                <w:rPr>
                  <w:rStyle w:val="InternetLink"/>
                  <w:rFonts w:ascii="Times New Roman;sans-serif" w:hAnsi="Times New Roman;sans-serif"/>
                  <w:b w:val="false"/>
                  <w:color w:val="000080"/>
                  <w:sz w:val="20"/>
                  <w:u w:val="single"/>
                </w:rPr>
                <w:t>29</w:t>
              </w:r>
            </w:hyperlink>
            <w:hyperlink w:anchor="ib652baefd321401fad432ed640b54bc0_79">
              <w:r>
                <w:rPr>
                  <w:rStyle w:val="InternetLink"/>
                  <w:rFonts w:ascii="Times New Roman;sans-serif" w:hAnsi="Times New Roman;sans-serif"/>
                  <w:b w:val="false"/>
                  <w:color w:val="000080"/>
                  <w:sz w:val="20"/>
                  <w:u w:val="single"/>
                </w:rPr>
                <w:t>, 202</w:t>
              </w:r>
            </w:hyperlink>
            <w:r>
              <w:rPr>
                <w:rFonts w:ascii="Times New Roman;sans-serif" w:hAnsi="Times New Roman;sans-serif"/>
                <w:b w:val="false"/>
                <w:color w:val="000000"/>
                <w:sz w:val="20"/>
              </w:rPr>
              <w:t>3</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79">
              <w:r>
                <w:rPr>
                  <w:rStyle w:val="InternetLink"/>
                  <w:rFonts w:ascii="Times New Roman;sans-serif" w:hAnsi="Times New Roman;sans-serif"/>
                  <w:b w:val="false"/>
                  <w:color w:val="0000FF"/>
                  <w:sz w:val="20"/>
                  <w:u w:val="single"/>
                </w:rPr>
                <w:t>43</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52baefd321401fad432ed640b54bc0_82">
              <w:r>
                <w:rPr>
                  <w:rStyle w:val="InternetLink"/>
                  <w:rFonts w:ascii="Times New Roman;sans-serif" w:hAnsi="Times New Roman;sans-serif"/>
                  <w:b w:val="false"/>
                  <w:color w:val="000080"/>
                  <w:sz w:val="20"/>
                  <w:u w:val="single"/>
                </w:rPr>
                <w:t xml:space="preserve">Consolidated Statements of Stockholders’ Equity for the three years ended September </w:t>
              </w:r>
            </w:hyperlink>
            <w:hyperlink w:anchor="ib652baefd321401fad432ed640b54bc0_82">
              <w:r>
                <w:rPr>
                  <w:rStyle w:val="InternetLink"/>
                  <w:rFonts w:ascii="Times New Roman;sans-serif" w:hAnsi="Times New Roman;sans-serif"/>
                  <w:b w:val="false"/>
                  <w:color w:val="000080"/>
                  <w:sz w:val="20"/>
                  <w:u w:val="single"/>
                </w:rPr>
                <w:t>29</w:t>
              </w:r>
            </w:hyperlink>
            <w:hyperlink w:anchor="ib652baefd321401fad432ed640b54bc0_82">
              <w:r>
                <w:rPr>
                  <w:rStyle w:val="InternetLink"/>
                  <w:rFonts w:ascii="Times New Roman;sans-serif" w:hAnsi="Times New Roman;sans-serif"/>
                  <w:b w:val="false"/>
                  <w:color w:val="000080"/>
                  <w:sz w:val="20"/>
                  <w:u w:val="single"/>
                </w:rPr>
                <w:t>, 202</w:t>
              </w:r>
            </w:hyperlink>
            <w:r>
              <w:rPr>
                <w:rFonts w:ascii="Times New Roman;sans-serif" w:hAnsi="Times New Roman;sans-serif"/>
                <w:b w:val="false"/>
                <w:color w:val="000000"/>
                <w:sz w:val="20"/>
              </w:rPr>
              <w:t>3</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82">
              <w:r>
                <w:rPr>
                  <w:rStyle w:val="InternetLink"/>
                  <w:rFonts w:ascii="Times New Roman;sans-serif" w:hAnsi="Times New Roman;sans-serif"/>
                  <w:b w:val="false"/>
                  <w:color w:val="0000FF"/>
                  <w:sz w:val="20"/>
                  <w:u w:val="single"/>
                </w:rPr>
                <w:t>44</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Notes to Consolidated Financial Statements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Page </w:t>
            </w:r>
            <w:hyperlink w:anchor="ib652baefd321401fad432ed640b54bc0_85">
              <w:r>
                <w:rPr>
                  <w:rStyle w:val="InternetLink"/>
                  <w:rFonts w:ascii="Times New Roman;sans-serif" w:hAnsi="Times New Roman;sans-serif"/>
                  <w:b w:val="false"/>
                  <w:color w:val="0000FF"/>
                  <w:sz w:val="20"/>
                  <w:u w:val="single"/>
                </w:rPr>
                <w:t>45</w:t>
              </w:r>
            </w:hyperlink>
            <w:r>
              <w:rPr>
                <w:color w:val="000000"/>
              </w:rPr>
              <w:t xml:space="preserve"> </w:t>
            </w:r>
            <w:r>
              <w:rPr>
                <w:rFonts w:ascii="Times New Roman;sans-serif" w:hAnsi="Times New Roman;sans-serif"/>
                <w:b w:val="false"/>
                <w:color w:val="000000"/>
                <w:sz w:val="20"/>
              </w:rPr>
              <w:t xml:space="preserve">through </w:t>
            </w:r>
            <w:hyperlink w:anchor="ib652baefd321401fad432ed640b54bc0_148">
              <w:r>
                <w:rPr>
                  <w:rStyle w:val="InternetLink"/>
                  <w:rFonts w:ascii="Times New Roman;sans-serif" w:hAnsi="Times New Roman;sans-serif"/>
                  <w:b w:val="false"/>
                  <w:color w:val="0000FF"/>
                  <w:sz w:val="20"/>
                  <w:u w:val="single"/>
                </w:rPr>
                <w:t>63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Stockholders and Board of Directors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Skyworks Solutions, Inc.:</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Opinions on the Consolidated Financial Statements and Internal Control Over Financial Reporting </w:t>
      </w:r>
    </w:p>
    <w:p>
      <w:pPr>
        <w:pStyle w:val="TextBody"/>
        <w:bidi w:val="0"/>
        <w:spacing w:lineRule="auto" w:line="288" w:before="0" w:after="200"/>
        <w:jc w:val="left"/>
        <w:rPr/>
      </w:pPr>
      <w:r>
        <w:rPr>
          <w:rFonts w:ascii="Arial;sans-serif" w:hAnsi="Arial;sans-serif"/>
          <w:b w:val="false"/>
          <w:color w:val="000000"/>
          <w:sz w:val="20"/>
        </w:rPr>
        <w:t xml:space="preserve">We have audited the accompanying consolidated balance sheets of Skyworks Solutions, Inc. and subsidiaries (the Company) as of September 29, 2023 and September 30, 2022, the related consolidated statements of operations, comprehensive income, cash flows, and stockholders’ equity for each of the years in the three-year period ended September 29, 2023, and the related notes (collectively, the consolidated financial statements). We also have audited the Company’s internal control over financial reporting as of September 29, 2023,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i/>
          <w:color w:val="000000"/>
          <w:sz w:val="20"/>
        </w:rPr>
        <w:t>(2013)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lineRule="auto" w:line="288" w:before="0" w:after="200"/>
        <w:jc w:val="left"/>
        <w:rPr/>
      </w:pPr>
      <w:r>
        <w:rPr>
          <w:rFonts w:ascii="Arial;sans-serif" w:hAnsi="Arial;sans-serif"/>
          <w:b w:val="false"/>
          <w:color w:val="000000"/>
          <w:sz w:val="20"/>
        </w:rPr>
        <w:t xml:space="preserve">In our opinion, the consolidated financial statements referred to above present fairly, in all material respects, the financial position of the Company as of September 29, 2023 and September 30, 2022, and the results of its operations and its cash flows for each of the years in the three-year period ended September 29, 2023, in conformity with U.S. generally accepted accounting principles. Also in our opinion, the Company maintained, in all material respects, effective internal control over financial reporting as of September 29,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Basis for Opinions </w:t>
      </w:r>
    </w:p>
    <w:p>
      <w:pPr>
        <w:pStyle w:val="TextBody"/>
        <w:bidi w:val="0"/>
        <w:spacing w:lineRule="auto" w:line="288" w:before="0" w:after="200"/>
        <w:jc w:val="left"/>
        <w:rPr/>
      </w:pPr>
      <w:r>
        <w:rPr>
          <w:rFonts w:ascii="Arial;sans-serif" w:hAnsi="Arial;sans-serif"/>
          <w:b w:val="false"/>
          <w:color w:val="000000"/>
          <w:sz w:val="20"/>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sans-serif" w:hAnsi="Arial;sans-serif"/>
          <w:b w:val="false"/>
          <w:i/>
          <w:color w:val="000000"/>
          <w:sz w:val="20"/>
        </w:rPr>
        <w:t>Management’s Annual Report on Internal Control Over Financial Reporting</w:t>
      </w:r>
      <w:r>
        <w:rPr>
          <w:rFonts w:ascii="Arial;sans-serif" w:hAnsi="Arial;sans-serif"/>
          <w:b w:val="false"/>
          <w:color w:val="000000"/>
          <w:sz w:val="20"/>
        </w:rPr>
        <w:t>.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Definition and Limitations of Internal Control Over Financial Reporting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Application of tax laws and regulations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discussed in Note 2 and Note 8 to the consolidated financial statements, the Company recorded an income tax provision of $96.0 million for the year ended September 29, 2023, which is comprised of current and deferred taxes on domestic and foreign income. The application of tax laws and regulations to calculate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identified the evaluation of the application of tax laws and regulations in certain jurisdictions as a critical audit matter. Challenging auditor judgment and the involvement of tax professionals with specialized skills and knowledge were required due to the Company’s application of the tax laws and regulations within the manually prepared income tax provision.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over the Company’s income tax process, including controls relating to the application of the tax laws and regulations. We involved tax professionals with specialized skills and knowledge, who assisted in evaluating the Company’s application of the tax laws and regulations in certain jurisdictions, including the resulting calculations, within the manually prepared income tax provision.</w:t>
      </w:r>
    </w:p>
    <w:p>
      <w:pPr>
        <w:pStyle w:val="TextBody"/>
        <w:bidi w:val="0"/>
        <w:spacing w:lineRule="auto" w:line="288"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/s/ KPMG LLP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served as the Company’s auditor since 2002.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Irvine,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November 17,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except per share amounts) </w:t>
      </w:r>
    </w:p>
    <w:tbl>
      <w:tblPr>
        <w:tblW w:w="7828" w:type="dxa"/>
        <w:jc w:val="left"/>
        <w:tblInd w:w="0" w:type="dxa"/>
        <w:tblLayout w:type="fixed"/>
        <w:tblCellMar>
          <w:top w:w="28" w:type="dxa"/>
          <w:left w:w="28" w:type="dxa"/>
          <w:bottom w:w="28" w:type="dxa"/>
          <w:right w:w="28" w:type="dxa"/>
        </w:tblCellMar>
      </w:tblPr>
      <w:tblGrid>
        <w:gridCol w:w="1363"/>
        <w:gridCol w:w="1200"/>
        <w:gridCol w:w="1202"/>
        <w:gridCol w:w="221"/>
        <w:gridCol w:w="804"/>
        <w:gridCol w:w="114"/>
        <w:gridCol w:w="109"/>
        <w:gridCol w:w="109"/>
        <w:gridCol w:w="109"/>
        <w:gridCol w:w="221"/>
        <w:gridCol w:w="804"/>
        <w:gridCol w:w="114"/>
        <w:gridCol w:w="109"/>
        <w:gridCol w:w="109"/>
        <w:gridCol w:w="109"/>
        <w:gridCol w:w="211"/>
        <w:gridCol w:w="76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w:t>
      </w:r>
    </w:p>
    <w:tbl>
      <w:tblPr>
        <w:tblW w:w="7947" w:type="dxa"/>
        <w:jc w:val="left"/>
        <w:tblInd w:w="0" w:type="dxa"/>
        <w:tblLayout w:type="fixed"/>
        <w:tblCellMar>
          <w:top w:w="28" w:type="dxa"/>
          <w:left w:w="28" w:type="dxa"/>
          <w:bottom w:w="28" w:type="dxa"/>
          <w:right w:w="28" w:type="dxa"/>
        </w:tblCellMar>
      </w:tblPr>
      <w:tblGrid>
        <w:gridCol w:w="1406"/>
        <w:gridCol w:w="1233"/>
        <w:gridCol w:w="1245"/>
        <w:gridCol w:w="257"/>
        <w:gridCol w:w="750"/>
        <w:gridCol w:w="132"/>
        <w:gridCol w:w="109"/>
        <w:gridCol w:w="109"/>
        <w:gridCol w:w="109"/>
        <w:gridCol w:w="221"/>
        <w:gridCol w:w="804"/>
        <w:gridCol w:w="114"/>
        <w:gridCol w:w="109"/>
        <w:gridCol w:w="109"/>
        <w:gridCol w:w="109"/>
        <w:gridCol w:w="211"/>
        <w:gridCol w:w="76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3060"/>
        <w:gridCol w:w="2288"/>
        <w:gridCol w:w="2264"/>
        <w:gridCol w:w="215"/>
        <w:gridCol w:w="782"/>
        <w:gridCol w:w="111"/>
        <w:gridCol w:w="109"/>
        <w:gridCol w:w="109"/>
        <w:gridCol w:w="109"/>
        <w:gridCol w:w="215"/>
        <w:gridCol w:w="782"/>
        <w:gridCol w:w="161"/>
      </w:tblGrid>
      <w:tr>
        <w:trPr/>
        <w:tc>
          <w:tcPr>
            <w:tcW w:w="306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allowances of $0.8 and $0.8, respectively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25.0 shares authorized, no shares issued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$0.25 par value: 525.0 shares authorized; 159.5 shares issued and outstanding at September 29, 2023, and 160.2 shares issued and outstanding at September 30, 2022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763" w:type="dxa"/>
        <w:jc w:val="left"/>
        <w:tblInd w:w="0" w:type="dxa"/>
        <w:tblLayout w:type="fixed"/>
        <w:tblCellMar>
          <w:top w:w="28" w:type="dxa"/>
          <w:left w:w="28" w:type="dxa"/>
          <w:bottom w:w="28" w:type="dxa"/>
          <w:right w:w="28" w:type="dxa"/>
        </w:tblCellMar>
      </w:tblPr>
      <w:tblGrid>
        <w:gridCol w:w="2097"/>
        <w:gridCol w:w="1839"/>
        <w:gridCol w:w="1853"/>
        <w:gridCol w:w="259"/>
        <w:gridCol w:w="736"/>
        <w:gridCol w:w="145"/>
        <w:gridCol w:w="109"/>
        <w:gridCol w:w="109"/>
        <w:gridCol w:w="109"/>
        <w:gridCol w:w="224"/>
        <w:gridCol w:w="791"/>
        <w:gridCol w:w="124"/>
        <w:gridCol w:w="109"/>
        <w:gridCol w:w="109"/>
        <w:gridCol w:w="109"/>
        <w:gridCol w:w="196"/>
        <w:gridCol w:w="69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including inventory step-up</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long-term assets and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intangibles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marketable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10000"/>
                <w:sz w:val="18"/>
              </w:rPr>
            </w:pPr>
            <w:r>
              <w:rPr>
                <w:rFonts w:ascii="Times New Roman;sans-serif" w:hAnsi="Times New Roman;sans-serif"/>
                <w:b w:val="false"/>
                <w:color w:val="010000"/>
                <w:sz w:val="18"/>
              </w:rPr>
              <w:t>Repurchase of common stock — payroll tax withholdings on equity awards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10000"/>
                <w:sz w:val="18"/>
              </w:rPr>
            </w:pPr>
            <w:r>
              <w:rPr>
                <w:rFonts w:ascii="Times New Roman;sans-serif" w:hAnsi="Times New Roman;sans-serif"/>
                <w:b w:val="false"/>
                <w:color w:val="010000"/>
                <w:sz w:val="18"/>
              </w:rPr>
              <w:t>Repurchase of common stock — stock repurchase program</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exercise of stock options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financing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disclosures:</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Incentives paid in common stock</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in capital expenditures, accrued but not paid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pPr>
      <w:r>
        <w:rPr>
          <w:rFonts w:ascii="Times New Roman;sans-serif" w:hAnsi="Times New Roman;sans-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620" w:type="dxa"/>
        <w:jc w:val="left"/>
        <w:tblInd w:w="0" w:type="dxa"/>
        <w:tblLayout w:type="fixed"/>
        <w:tblCellMar>
          <w:top w:w="28" w:type="dxa"/>
          <w:left w:w="28" w:type="dxa"/>
          <w:bottom w:w="28" w:type="dxa"/>
          <w:right w:w="28" w:type="dxa"/>
        </w:tblCellMar>
      </w:tblPr>
      <w:tblGrid>
        <w:gridCol w:w="717"/>
        <w:gridCol w:w="181"/>
        <w:gridCol w:w="183"/>
        <w:gridCol w:w="356"/>
        <w:gridCol w:w="200"/>
        <w:gridCol w:w="201"/>
        <w:gridCol w:w="109"/>
        <w:gridCol w:w="109"/>
        <w:gridCol w:w="109"/>
        <w:gridCol w:w="196"/>
        <w:gridCol w:w="466"/>
        <w:gridCol w:w="109"/>
        <w:gridCol w:w="109"/>
        <w:gridCol w:w="109"/>
        <w:gridCol w:w="109"/>
        <w:gridCol w:w="276"/>
        <w:gridCol w:w="205"/>
        <w:gridCol w:w="206"/>
        <w:gridCol w:w="109"/>
        <w:gridCol w:w="109"/>
        <w:gridCol w:w="109"/>
        <w:gridCol w:w="196"/>
        <w:gridCol w:w="706"/>
        <w:gridCol w:w="109"/>
        <w:gridCol w:w="109"/>
        <w:gridCol w:w="109"/>
        <w:gridCol w:w="109"/>
        <w:gridCol w:w="196"/>
        <w:gridCol w:w="691"/>
        <w:gridCol w:w="109"/>
        <w:gridCol w:w="109"/>
        <w:gridCol w:w="109"/>
        <w:gridCol w:w="109"/>
        <w:gridCol w:w="196"/>
        <w:gridCol w:w="691"/>
        <w:gridCol w:w="109"/>
        <w:gridCol w:w="109"/>
        <w:gridCol w:w="109"/>
        <w:gridCol w:w="109"/>
        <w:gridCol w:w="279"/>
        <w:gridCol w:w="556"/>
        <w:gridCol w:w="156"/>
        <w:gridCol w:w="109"/>
        <w:gridCol w:w="109"/>
        <w:gridCol w:w="109"/>
        <w:gridCol w:w="196"/>
        <w:gridCol w:w="69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Value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stockholders</w:t>
            </w:r>
            <w:r>
              <w:rPr>
                <w:color w:val="000000"/>
              </w:rPr>
              <w:t xml:space="preserve">’ </w:t>
            </w:r>
            <w:r>
              <w:rPr>
                <w:rFonts w:ascii="Times New Roman;sans-serif" w:hAnsi="Times New Roman;sans-serif"/>
                <w:b/>
                <w:color w:val="000000"/>
                <w:sz w:val="14"/>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2, 2020</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repurchase program</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Pre-combination service on replacement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1, 2021</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2022</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29, 2023</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Skyworks Solutions, Inc., together with its consolidated subsidiaries (“Skyworks” or the “Company”), is empowering the wireless networking revolution. The Company’s analog and mixed-signal semiconductors are connecting people, places, and things, spanning a number of new applications within the aerospace, automotive, broadband, cellular infrastructure, connected home, defense, entertainment and gaming, industrial, medical, smartphone, tablet, and wearable markets.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Skyworks subsidiaries are included in the Company’s consolidated financial statements and all intercompany balances are eliminated in consolidation. Certain items in the fiscal years 2022 and 2021 financial statements, including certain account groupings in the tax reconciliation disclosure, have been reclassified to conform to the fiscal 2023 presentation.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the Friday closest to September 30. Fiscal years 2023 , 2022, and 2021 each consisted of 52 weeks and ended on September 29, 2023, September 30, 2022, and October 1, 2021, respectively.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excess cash in money market funds, U.S. Treasury securities, agency securities, other government securities, and corporate debt securities. The Company considers highly liquid investments as cash equivalents including money market funds and investments with maturities of 90 days or less when purchased.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pStyle w:val="TextBody"/>
        <w:bidi w:val="0"/>
        <w:spacing w:before="0" w:after="0"/>
        <w:jc w:val="both"/>
        <w:rPr/>
      </w:pPr>
      <w:r>
        <w:rPr/>
      </w:r>
    </w:p>
    <w:p>
      <w:pPr>
        <w:pStyle w:val="TextBody"/>
        <w:bidi w:val="0"/>
        <w:spacing w:lineRule="auto" w:line="288" w:before="0" w:after="60"/>
        <w:ind w:left="0" w:right="0" w:hanging="540"/>
        <w:jc w:val="both"/>
        <w:rPr/>
      </w:pPr>
      <w:r>
        <w:rPr>
          <w:color w:val="000000"/>
        </w:rPr>
        <w:t>•</w:t>
      </w:r>
      <w:r>
        <w:rPr>
          <w:rFonts w:ascii="Times New Roman;sans-serif" w:hAnsi="Times New Roman;sans-serif"/>
          <w:b w:val="false"/>
          <w:color w:val="000000"/>
          <w:sz w:val="20"/>
        </w:rPr>
        <w:t xml:space="preserve">Level 1 - Quoted prices in active markets for identical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540"/>
        <w:jc w:val="both"/>
        <w:rPr/>
      </w:pPr>
      <w:r>
        <w:rPr>
          <w:color w:val="000000"/>
        </w:rPr>
        <w:t>•</w:t>
      </w:r>
      <w:r>
        <w:rPr>
          <w:rFonts w:ascii="Times New Roman;sans-serif" w:hAnsi="Times New Roman;sans-serif"/>
          <w:b w:val="false"/>
          <w:color w:val="000000"/>
          <w:sz w:val="20"/>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receivable, other current assets, accounts payable, and accrued liabilities approximates fair value due to the short-term maturities of these assets and liabilities.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Property, Plant, and Equipment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less accumulated depreciation, with significant renewals and betterments being capitalized and retired equipment written off in the respective periods. Maintenance and repairs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estimated useful lives, which range from five to forty years for buildings and improvements and five to ten years for machinery and equipment. Leasehold improvements are depreciated over the lesser of the economic life or the life of the associated lease.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condensed consolidated balance sheet.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Valuation of Long-Lived Assets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and Indefinite-Lived Intangible Assets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acquisition method of accounting for business combinations and recognizes assets acquired and liabilities assumed at their fair values on the date acquired. Goodwill represents the excess of the purchase price over the fair value of the acquired identifiable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 from the viewpoint of a market participant.</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excluding taxes on its sales to trade customers. The Company recognizes shipping fees, if any, received from customers in revenue and includes the related shipping and handling costs in cost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i/>
          <w:color w:val="000000"/>
          <w:sz w:val="20"/>
        </w:rPr>
        <w:t>Share-Based Compensation</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 The determination of fair value of restricted and certain performance stock awards and units is based on the value of the Company’s stock on the date of grant with performance awards and units adjusted for the actual outcome of the underlying performance condition. 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share-based payment awards is amortized over the requisite service period, which is defined as the period during which an employee is required to provide service in exchange for an award. The Company generally uses a straight-line attribution method for all grants that include only a service condition. Awards with both performance and service conditions are expensed over the service period for each separately vesting tranche.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recognized during the period includes actual expense on vested awards and expense associated with unvested awards. Forfeitures are recorded as incurred.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Loss Contingencies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pStyle w:val="TextBody"/>
        <w:bidi w:val="0"/>
        <w:spacing w:before="0" w:after="0"/>
        <w:jc w:val="both"/>
        <w:rPr/>
      </w:pPr>
      <w:r>
        <w:rPr/>
      </w:r>
    </w:p>
    <w:p>
      <w:pPr>
        <w:pStyle w:val="TextBody"/>
        <w:bidi w:val="0"/>
        <w:spacing w:lineRule="auto" w:line="288" w:before="0" w:after="120"/>
        <w:jc w:val="left"/>
        <w:rPr/>
      </w:pPr>
      <w:r>
        <w:rPr>
          <w:rFonts w:ascii="Times New Roman;sans-serif" w:hAnsi="Times New Roman;sans-serif"/>
          <w:b/>
          <w:i/>
          <w:color w:val="000000"/>
          <w:sz w:val="20"/>
        </w:rPr>
        <w:t>Restructuring</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liability for post-employment benefits is recorded when payment is probable and the amount is reasonably estimable. Contract exit costs include contract termination fees and are recognized in the period in which the Company terminates the contract.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functional currency is the United States dollar. Gains and losses related to foreign currency transactions and conversion of foreign denominated cash balances are included in current results.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recording or releasing tax valuation allowances is made, in part, pursuant to an assessment performed by management regarding the likelihood that the Company will generate future taxable income in the jurisdiction that generated the deferred tax assets.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are computed using the weighted average number of common shares outstanding during the period. Diluted earnings per share incorporate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 assuming the end of the reporting period was the end of the contingency period.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Stock Repurchase </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stock repurchases in the consolidated balance sheet by reducing common stock for the par value of the shares, reducing paid-in capital for the amount in excess of par to zero during the period in which the shares are repurchased, and recording the residual amount, if any, to retained earnings. Excise tax on stock repurchases is recorded as part of the cost basis of shares acquired in the consolidated statement of stockholders’ equity.</w:t>
      </w:r>
    </w:p>
    <w:p>
      <w:pPr>
        <w:pStyle w:val="TextBody"/>
        <w:bidi w:val="0"/>
        <w:spacing w:before="0" w:after="0"/>
        <w:jc w:val="left"/>
        <w:rPr/>
      </w:pPr>
      <w:r>
        <w:rPr/>
      </w:r>
    </w:p>
    <w:p>
      <w:pPr>
        <w:pStyle w:val="TextBody"/>
        <w:bidi w:val="0"/>
        <w:spacing w:lineRule="auto" w:line="256" w:before="0" w:after="120"/>
        <w:jc w:val="both"/>
        <w:rPr>
          <w:rFonts w:ascii="Times New Roman;sans-serif" w:hAnsi="Times New Roman;sans-serif"/>
          <w:b/>
          <w:i/>
          <w:color w:val="000000"/>
          <w:sz w:val="20"/>
        </w:rPr>
      </w:pPr>
      <w:r>
        <w:rPr>
          <w:rFonts w:ascii="Times New Roman;sans-serif" w:hAnsi="Times New Roman;sans-serif"/>
          <w:b/>
          <w:i/>
          <w:color w:val="000000"/>
          <w:sz w:val="20"/>
        </w:rPr>
        <w:t>Government Assistance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government assistance for qualifying capital investments, research and development, and other activities as defined by the relevant government entities awarding the incentive. Incentives provided by government entities are recognized when the Company has reasonable assurance that it will comply with the conditions of the incentive and the incentive will be received. The Company records capital-related incentives as a reduction to property, plant and equipment and recognizes a reduction to depreciation expense over the useful life of the corresponding asset. Incentives for specific operating activities are offset against the related expense in the period the expense is incurred. As of September 29, 2023, the Company has recognized $10.2 million of receivables in other short-term assets with a corresponding reduction to the carrying amounts of the qualifying manufacturing assets, recorded as a reduction to cost of goods sold as the related assets depreciate. The Company recognized an immaterial benefit in the consolidated statement of operations in fiscal 2023 for grants related to operating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and Other Developments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Financial Accounting Standards Board issued ASU 2021-10 - Government Assistance (Topic 832): Disclosures by Business Entities about Government Assistance (“ASU 2021-10”) to increase transparency of government assistance received by most business entities. The standard requires annual disclosures of the nature of the transactions, including the commitments, contingencies, and the terms and conditions attached to the grant, the form in which the assistance was provided, the accounting policies used to account for the transactions and the effect of the transactions on the entity's financial statements. The Company adopted ASU 2021-10 in fiscal 2023 and the adoption did not have a significant impact on the consolidated financial statements. </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U.S. government enacted the CHIPS and Science Act, which provides funding for manufacturing grants and research investments and establishes a 25% investment tax credit for certain investments in U.S. semiconductor manufacturing that is placed in service after December 31, 2022. This new law did not have a material impact to the Company in fiscal 2023.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U.S. government enacted the Inflation Reduction Act, which imposes a corporate alternative minimum tax (“CAMT”) of 15% on corporations with three-year average annual adjusted financial statement income exceeding $1.0 billion, as well as a 1% excise tax on corporate stock repurchases made after December 31, 2022. The Company did not incur an excise tax on stock repurchases in fiscal 2023 and is currently evaluating the provisions of CAMT and its potential impact to the Company. CAMT is effective for the Company in fiscal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3.    MARKETABLE SECURITIES </w:t>
      </w:r>
      <w:r>
        <w:rPr>
          <w:color w:val="000000"/>
        </w:rPr>
        <w: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portfolio of available-for-sale marketable securities consists of the following (in millions):</w:t>
      </w:r>
    </w:p>
    <w:tbl>
      <w:tblPr>
        <w:tblW w:w="8148" w:type="dxa"/>
        <w:jc w:val="left"/>
        <w:tblInd w:w="0" w:type="dxa"/>
        <w:tblLayout w:type="fixed"/>
        <w:tblCellMar>
          <w:top w:w="28" w:type="dxa"/>
          <w:left w:w="28" w:type="dxa"/>
          <w:bottom w:w="28" w:type="dxa"/>
          <w:right w:w="28" w:type="dxa"/>
        </w:tblCellMar>
      </w:tblPr>
      <w:tblGrid>
        <w:gridCol w:w="929"/>
        <w:gridCol w:w="817"/>
        <w:gridCol w:w="819"/>
        <w:gridCol w:w="289"/>
        <w:gridCol w:w="700"/>
        <w:gridCol w:w="150"/>
        <w:gridCol w:w="109"/>
        <w:gridCol w:w="109"/>
        <w:gridCol w:w="109"/>
        <w:gridCol w:w="289"/>
        <w:gridCol w:w="700"/>
        <w:gridCol w:w="150"/>
        <w:gridCol w:w="109"/>
        <w:gridCol w:w="109"/>
        <w:gridCol w:w="109"/>
        <w:gridCol w:w="331"/>
        <w:gridCol w:w="637"/>
        <w:gridCol w:w="171"/>
        <w:gridCol w:w="109"/>
        <w:gridCol w:w="109"/>
        <w:gridCol w:w="109"/>
        <w:gridCol w:w="323"/>
        <w:gridCol w:w="624"/>
        <w:gridCol w:w="238"/>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and notes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maturities of noncurrent available-for-sale marketable securities were within two years or less of issuance of the applicable securities. Neither gross unrealized gains and losses nor realized gains and losses were material as of September 29, 2023, and September 30, 2022,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FAIR VALUE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and Recorded at Fair Value on a Recurring Basis</w:t>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measures certain assets and liabilities at fair value on a recurring basis such as its financial instruments. There have been no transfers between Level 1, 2, or 3 assets or liabilities during </w:t>
      </w:r>
      <w:r>
        <w:rPr>
          <w:rFonts w:ascii="Times New Roman;sans-serif" w:hAnsi="Times New Roman;sans-serif"/>
          <w:b w:val="false"/>
          <w:color w:val="000000"/>
          <w:sz w:val="20"/>
        </w:rPr>
        <w:t>fiscal 2023</w:t>
      </w:r>
      <w:r>
        <w:rPr>
          <w:rFonts w:ascii="Times New Roman;sans-serif" w:hAnsi="Times New Roman;sans-serif"/>
          <w:b w:val="false"/>
          <w:color w:val="000000"/>
          <w:sz w:val="20"/>
          <w:shd w:fill="FFFFFF" w:val="clear"/>
        </w:rPr>
        <w:t xml:space="preserve">.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recorded at fair value on a recurring basis consisted of the following (in millions): </w:t>
      </w:r>
    </w:p>
    <w:tbl>
      <w:tblPr>
        <w:tblW w:w="10205" w:type="dxa"/>
        <w:jc w:val="left"/>
        <w:tblInd w:w="0" w:type="dxa"/>
        <w:tblLayout w:type="fixed"/>
        <w:tblCellMar>
          <w:top w:w="28" w:type="dxa"/>
          <w:left w:w="28" w:type="dxa"/>
          <w:bottom w:w="28" w:type="dxa"/>
          <w:right w:w="28" w:type="dxa"/>
        </w:tblCellMar>
      </w:tblPr>
      <w:tblGrid>
        <w:gridCol w:w="548"/>
        <w:gridCol w:w="453"/>
        <w:gridCol w:w="460"/>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06"/>
        <w:gridCol w:w="156"/>
      </w:tblGrid>
      <w:tr>
        <w:trPr/>
        <w:tc>
          <w:tcPr>
            <w:tcW w:w="5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2022</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U.S. Treasury and government securities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 and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Cash equivalents included in Levels 1 and 2 consist of money market funds and corporate bonds and notes, US Treasury and government securities, and agency securities purchased with less than ninety days until maturity.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Assets Measured and Recorded at Fair Value on a Nonrecurring Basis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fiscal 2023, the Company recorded impairment charges of $64.5 million primarily due to reduced overall market demand related to long-term supply capacity deposits of $47.5 million recorded within cost of goods sold and a loss on divested assets of $12.3 million recorded within restructuring, impairment, and other. During the fiscal years ended September 30, 2022, and October 1, 2021, the Company recorded impairment charges of $20.7 million and $7.1 million, respectively.</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The carrying value of the Term Loans approximates its fair value as the Term Loans are carried at a market observable interest rate that resets periodically.</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and estimated fair value of debt under Senior Notes consists of the following (in millions):</w:t>
      </w:r>
    </w:p>
    <w:tbl>
      <w:tblPr>
        <w:tblW w:w="10205" w:type="dxa"/>
        <w:jc w:val="left"/>
        <w:tblInd w:w="0" w:type="dxa"/>
        <w:tblLayout w:type="fixed"/>
        <w:tblCellMar>
          <w:top w:w="28" w:type="dxa"/>
          <w:left w:w="28" w:type="dxa"/>
          <w:bottom w:w="28" w:type="dxa"/>
          <w:right w:w="28" w:type="dxa"/>
        </w:tblCellMar>
      </w:tblPr>
      <w:tblGrid>
        <w:gridCol w:w="861"/>
        <w:gridCol w:w="754"/>
        <w:gridCol w:w="761"/>
        <w:gridCol w:w="350"/>
        <w:gridCol w:w="1025"/>
        <w:gridCol w:w="180"/>
        <w:gridCol w:w="109"/>
        <w:gridCol w:w="109"/>
        <w:gridCol w:w="109"/>
        <w:gridCol w:w="411"/>
        <w:gridCol w:w="1205"/>
        <w:gridCol w:w="214"/>
        <w:gridCol w:w="109"/>
        <w:gridCol w:w="109"/>
        <w:gridCol w:w="109"/>
        <w:gridCol w:w="304"/>
        <w:gridCol w:w="1108"/>
        <w:gridCol w:w="157"/>
        <w:gridCol w:w="109"/>
        <w:gridCol w:w="109"/>
        <w:gridCol w:w="109"/>
        <w:gridCol w:w="351"/>
        <w:gridCol w:w="1279"/>
        <w:gridCol w:w="264"/>
      </w:tblGrid>
      <w:tr>
        <w:trPr/>
        <w:tc>
          <w:tcPr>
            <w:tcW w:w="86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0.90% Senior Notes due 2023</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 Senior Notes due 2026</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Senior Notes due 2031</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under Senior Notes</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5.     INVENTORY</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millions): </w:t>
      </w:r>
    </w:p>
    <w:tbl>
      <w:tblPr>
        <w:tblW w:w="4107" w:type="dxa"/>
        <w:jc w:val="left"/>
        <w:tblInd w:w="0" w:type="dxa"/>
        <w:tblLayout w:type="fixed"/>
        <w:tblCellMar>
          <w:top w:w="28" w:type="dxa"/>
          <w:left w:w="28" w:type="dxa"/>
          <w:bottom w:w="28" w:type="dxa"/>
          <w:right w:w="28" w:type="dxa"/>
        </w:tblCellMar>
      </w:tblPr>
      <w:tblGrid>
        <w:gridCol w:w="527"/>
        <w:gridCol w:w="462"/>
        <w:gridCol w:w="467"/>
        <w:gridCol w:w="221"/>
        <w:gridCol w:w="804"/>
        <w:gridCol w:w="114"/>
        <w:gridCol w:w="109"/>
        <w:gridCol w:w="109"/>
        <w:gridCol w:w="109"/>
        <w:gridCol w:w="221"/>
        <w:gridCol w:w="803"/>
        <w:gridCol w:w="161"/>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PROPERTY, PLANT, AND EQUIPMENT,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consists of the following (in millions): </w:t>
      </w:r>
    </w:p>
    <w:tbl>
      <w:tblPr>
        <w:tblW w:w="6265" w:type="dxa"/>
        <w:jc w:val="left"/>
        <w:tblInd w:w="0" w:type="dxa"/>
        <w:tblLayout w:type="fixed"/>
        <w:tblCellMar>
          <w:top w:w="28" w:type="dxa"/>
          <w:left w:w="28" w:type="dxa"/>
          <w:bottom w:w="28" w:type="dxa"/>
          <w:right w:w="28" w:type="dxa"/>
        </w:tblCellMar>
      </w:tblPr>
      <w:tblGrid>
        <w:gridCol w:w="1310"/>
        <w:gridCol w:w="1149"/>
        <w:gridCol w:w="1155"/>
        <w:gridCol w:w="221"/>
        <w:gridCol w:w="804"/>
        <w:gridCol w:w="114"/>
        <w:gridCol w:w="109"/>
        <w:gridCol w:w="109"/>
        <w:gridCol w:w="109"/>
        <w:gridCol w:w="221"/>
        <w:gridCol w:w="803"/>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7.     GOODWILL AND INTANGIBLE ASSETS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goodwill balance was $2,176.7 million as of each of September 29, 2023, and September 30, 2022. The Company performed an impairment test of its goodwill and its indefinite-lived intangible assets as of the first day of the fourth fiscal quarter in accordance with its regularly scheduled testing. The results of these tests indicated that the Company’s goodwill and indefinite-lived intangible assets were not impaired. There were no indicators of impairment noted during the fiscal year ended September 29,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millions):</w:t>
      </w:r>
    </w:p>
    <w:tbl>
      <w:tblPr>
        <w:tblW w:w="10205" w:type="dxa"/>
        <w:jc w:val="left"/>
        <w:tblInd w:w="0" w:type="dxa"/>
        <w:tblLayout w:type="fixed"/>
        <w:tblCellMar>
          <w:top w:w="28" w:type="dxa"/>
          <w:left w:w="28" w:type="dxa"/>
          <w:bottom w:w="28" w:type="dxa"/>
          <w:right w:w="28" w:type="dxa"/>
        </w:tblCellMar>
      </w:tblPr>
      <w:tblGrid>
        <w:gridCol w:w="383"/>
        <w:gridCol w:w="337"/>
        <w:gridCol w:w="338"/>
        <w:gridCol w:w="350"/>
        <w:gridCol w:w="350"/>
        <w:gridCol w:w="351"/>
        <w:gridCol w:w="109"/>
        <w:gridCol w:w="109"/>
        <w:gridCol w:w="109"/>
        <w:gridCol w:w="196"/>
        <w:gridCol w:w="691"/>
        <w:gridCol w:w="109"/>
        <w:gridCol w:w="109"/>
        <w:gridCol w:w="109"/>
        <w:gridCol w:w="109"/>
        <w:gridCol w:w="235"/>
        <w:gridCol w:w="685"/>
        <w:gridCol w:w="131"/>
        <w:gridCol w:w="109"/>
        <w:gridCol w:w="109"/>
        <w:gridCol w:w="109"/>
        <w:gridCol w:w="196"/>
        <w:gridCol w:w="691"/>
        <w:gridCol w:w="109"/>
        <w:gridCol w:w="109"/>
        <w:gridCol w:w="109"/>
        <w:gridCol w:w="109"/>
        <w:gridCol w:w="196"/>
        <w:gridCol w:w="691"/>
        <w:gridCol w:w="109"/>
        <w:gridCol w:w="109"/>
        <w:gridCol w:w="109"/>
        <w:gridCol w:w="109"/>
        <w:gridCol w:w="235"/>
        <w:gridCol w:w="685"/>
        <w:gridCol w:w="131"/>
        <w:gridCol w:w="109"/>
        <w:gridCol w:w="109"/>
        <w:gridCol w:w="109"/>
        <w:gridCol w:w="196"/>
        <w:gridCol w:w="691"/>
        <w:gridCol w:w="157"/>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058"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and backlog</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Technology licenses </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research and development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Fully amortized intangible assets are eliminated from both the gross and accumulated amortization amounts in the first quarter of each fiscal year. During fiscal 2023 and fiscal 2022, $9.5 million and $293.5 million, respectively, of IPR&amp;D assets were transferred to definite-lived intangible assets, and are being amortized over their useful lives of 12 years. Amortization expense related to definite-lived intangible assets was $225.9 million, $288.4 million, and $86.8 million for the fiscal years ended September 29, 2023, September 30, 2022, and October 1, 2021,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amortization expense for the next five fiscal years related to definite-lived intangible assets, excluding IPR&amp;D, is expected to be as follows (in millions):</w:t>
      </w:r>
    </w:p>
    <w:tbl>
      <w:tblPr>
        <w:tblW w:w="9096" w:type="dxa"/>
        <w:jc w:val="left"/>
        <w:tblInd w:w="0" w:type="dxa"/>
        <w:tblLayout w:type="fixed"/>
        <w:tblCellMar>
          <w:top w:w="28" w:type="dxa"/>
          <w:left w:w="28" w:type="dxa"/>
          <w:bottom w:w="28" w:type="dxa"/>
          <w:right w:w="28" w:type="dxa"/>
        </w:tblCellMar>
      </w:tblPr>
      <w:tblGrid>
        <w:gridCol w:w="690"/>
        <w:gridCol w:w="606"/>
        <w:gridCol w:w="6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consists of the following components (in millions): </w:t>
      </w:r>
    </w:p>
    <w:tbl>
      <w:tblPr>
        <w:tblW w:w="6448" w:type="dxa"/>
        <w:jc w:val="left"/>
        <w:tblInd w:w="0" w:type="dxa"/>
        <w:tblLayout w:type="fixed"/>
        <w:tblCellMar>
          <w:top w:w="28" w:type="dxa"/>
          <w:left w:w="28" w:type="dxa"/>
          <w:bottom w:w="28" w:type="dxa"/>
          <w:right w:w="28" w:type="dxa"/>
        </w:tblCellMar>
      </w:tblPr>
      <w:tblGrid>
        <w:gridCol w:w="865"/>
        <w:gridCol w:w="758"/>
        <w:gridCol w:w="762"/>
        <w:gridCol w:w="221"/>
        <w:gridCol w:w="804"/>
        <w:gridCol w:w="114"/>
        <w:gridCol w:w="109"/>
        <w:gridCol w:w="109"/>
        <w:gridCol w:w="109"/>
        <w:gridCol w:w="221"/>
        <w:gridCol w:w="804"/>
        <w:gridCol w:w="114"/>
        <w:gridCol w:w="109"/>
        <w:gridCol w:w="109"/>
        <w:gridCol w:w="109"/>
        <w:gridCol w:w="211"/>
        <w:gridCol w:w="76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consists of the following components (in millions): </w:t>
      </w:r>
    </w:p>
    <w:tbl>
      <w:tblPr>
        <w:tblW w:w="6522" w:type="dxa"/>
        <w:jc w:val="left"/>
        <w:tblInd w:w="0" w:type="dxa"/>
        <w:tblLayout w:type="fixed"/>
        <w:tblCellMar>
          <w:top w:w="28" w:type="dxa"/>
          <w:left w:w="28" w:type="dxa"/>
          <w:bottom w:w="28" w:type="dxa"/>
          <w:right w:w="28" w:type="dxa"/>
        </w:tblCellMar>
      </w:tblPr>
      <w:tblGrid>
        <w:gridCol w:w="946"/>
        <w:gridCol w:w="828"/>
        <w:gridCol w:w="835"/>
        <w:gridCol w:w="257"/>
        <w:gridCol w:w="750"/>
        <w:gridCol w:w="132"/>
        <w:gridCol w:w="109"/>
        <w:gridCol w:w="109"/>
        <w:gridCol w:w="109"/>
        <w:gridCol w:w="257"/>
        <w:gridCol w:w="750"/>
        <w:gridCol w:w="132"/>
        <w:gridCol w:w="109"/>
        <w:gridCol w:w="109"/>
        <w:gridCol w:w="109"/>
        <w:gridCol w:w="211"/>
        <w:gridCol w:w="61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 (benefit):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 </w:t>
      </w:r>
    </w:p>
    <w:tbl>
      <w:tblPr>
        <w:tblW w:w="7482" w:type="dxa"/>
        <w:jc w:val="left"/>
        <w:tblInd w:w="0" w:type="dxa"/>
        <w:tblLayout w:type="fixed"/>
        <w:tblCellMar>
          <w:top w:w="28" w:type="dxa"/>
          <w:left w:w="28" w:type="dxa"/>
          <w:bottom w:w="28" w:type="dxa"/>
          <w:right w:w="28" w:type="dxa"/>
        </w:tblCellMar>
      </w:tblPr>
      <w:tblGrid>
        <w:gridCol w:w="1290"/>
        <w:gridCol w:w="1137"/>
        <w:gridCol w:w="1142"/>
        <w:gridCol w:w="257"/>
        <w:gridCol w:w="750"/>
        <w:gridCol w:w="132"/>
        <w:gridCol w:w="109"/>
        <w:gridCol w:w="109"/>
        <w:gridCol w:w="109"/>
        <w:gridCol w:w="257"/>
        <w:gridCol w:w="750"/>
        <w:gridCol w:w="132"/>
        <w:gridCol w:w="109"/>
        <w:gridCol w:w="109"/>
        <w:gridCol w:w="109"/>
        <w:gridCol w:w="211"/>
        <w:gridCol w:w="61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at United States statutory rate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reserve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foreign jurisdictions with income tax rates lower than the United States tax rate of 21.0% for the fiscal years ended September 29, 2023, September 30, 2022, and October 1,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accrued $34.9 million and $105.8 million of the deemed repatriation tax in short-term and long-term liabilities within the consolidated balance sheet, respectively, as of September 29, 2023. The Company had accrued $18.6 million and $139.7 million of the deemed repatriation tax in short-term and long-term liabilities within the consolidated balance sheet, respectively, as of September 30, 2022. The remaining repatriation tax is payable over the next three years: $34.9 million in 2024, $47.6 million in 2025, and $58.2 million in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 2010, the Company expanded its presence in Asia by launching operations in Singapore. The Company operates under a tax holiday in Singapore, which is effective through September 30, 2030. The current tax holiday is conditioned upon the Company’s compliance with certain employment and investment thresholds in Singapore. The impact of the tax holiday decreased Singapore taxes owed by $66.0 million, $96.6 million, and $99.5 million for the fiscal years ended September 29, 2023, September 30, 2022, and October 1, 2021, respectively, which resulted in tax benefits of $0.41, $0.59, and $0.60 of diluted earnings per share, respectively. These tax benefits were partially offset by an increase in tax expense on GILTI.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consist of the tax effects of temporary differences related to the following (in millions): </w:t>
      </w:r>
    </w:p>
    <w:tbl>
      <w:tblPr>
        <w:tblW w:w="6444" w:type="dxa"/>
        <w:jc w:val="left"/>
        <w:tblInd w:w="0" w:type="dxa"/>
        <w:tblLayout w:type="fixed"/>
        <w:tblCellMar>
          <w:top w:w="28" w:type="dxa"/>
          <w:left w:w="28" w:type="dxa"/>
          <w:bottom w:w="28" w:type="dxa"/>
          <w:right w:w="28" w:type="dxa"/>
        </w:tblCellMar>
      </w:tblPr>
      <w:tblGrid>
        <w:gridCol w:w="1376"/>
        <w:gridCol w:w="1207"/>
        <w:gridCol w:w="1211"/>
        <w:gridCol w:w="257"/>
        <w:gridCol w:w="750"/>
        <w:gridCol w:w="132"/>
        <w:gridCol w:w="109"/>
        <w:gridCol w:w="109"/>
        <w:gridCol w:w="109"/>
        <w:gridCol w:w="284"/>
        <w:gridCol w:w="691"/>
        <w:gridCol w:w="209"/>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2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returns, allowances, and warranty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other deferred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Non-United States 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capitalization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2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tax assets and liabilities based on tax jurisdictions are presented on our Consolidated Balance Sheets as follows:</w:t>
      </w:r>
    </w:p>
    <w:tbl>
      <w:tblPr>
        <w:tblW w:w="4584" w:type="dxa"/>
        <w:jc w:val="left"/>
        <w:tblInd w:w="0" w:type="dxa"/>
        <w:tblLayout w:type="fixed"/>
        <w:tblCellMar>
          <w:top w:w="28" w:type="dxa"/>
          <w:left w:w="28" w:type="dxa"/>
          <w:bottom w:w="28" w:type="dxa"/>
          <w:right w:w="28" w:type="dxa"/>
        </w:tblCellMar>
      </w:tblPr>
      <w:tblGrid>
        <w:gridCol w:w="701"/>
        <w:gridCol w:w="615"/>
        <w:gridCol w:w="618"/>
        <w:gridCol w:w="257"/>
        <w:gridCol w:w="750"/>
        <w:gridCol w:w="132"/>
        <w:gridCol w:w="109"/>
        <w:gridCol w:w="109"/>
        <w:gridCol w:w="109"/>
        <w:gridCol w:w="284"/>
        <w:gridCol w:w="691"/>
        <w:gridCol w:w="209"/>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GAAP, management has determined that it is more likely than not that a portion of the Company’s historic and current year income tax benefits will not be realized. As of September 29, 2023, the Company has a valuation allowance of $164.2 million. This valuation allowance is comprised of $140.0 million related to United States tax credits, $4.0 million related to United States state net operating loss carry forwards, and $20.2 million related to foreign deferred tax assets. The United States tax credits relate primarily to California research tax credits that can be carried forward indefinitely, for which the Company has provided a full valuation allowance. The Company does not anticipate sufficient taxable income or tax liability to utilize the United States and foreign credits. If these benefits are recognized in a future period, the valuation allowance on deferred tax assets will be reversed and up to a $164.2 million income tax benefit may be recognized. The Company will need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generate $656.6 million of future United States federal taxable income to utilize its United States deferred tax assets, net of deferred tax liabilities and excluding state deferred tax assets with a full valuation allowance, as of September 29, 2023.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$2.8 million and $11.4 million in fiscal 2023 and fiscal 2022, respectively, primarily related to increases in state tax credit carryovers.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amount of gross unrecognized tax benefits is as follows (in millions): </w:t>
      </w:r>
    </w:p>
    <w:tbl>
      <w:tblPr>
        <w:tblW w:w="6554" w:type="dxa"/>
        <w:jc w:val="left"/>
        <w:tblInd w:w="0" w:type="dxa"/>
        <w:tblLayout w:type="fixed"/>
        <w:tblCellMar>
          <w:top w:w="28" w:type="dxa"/>
          <w:left w:w="28" w:type="dxa"/>
          <w:bottom w:w="28" w:type="dxa"/>
          <w:right w:w="28" w:type="dxa"/>
        </w:tblCellMar>
      </w:tblPr>
      <w:tblGrid>
        <w:gridCol w:w="1639"/>
        <w:gridCol w:w="1443"/>
        <w:gridCol w:w="1448"/>
        <w:gridCol w:w="486"/>
        <w:gridCol w:w="1180"/>
        <w:gridCol w:w="358"/>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tax benefits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Increases based on positions related to prior years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Decreases based on positions related to prior years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based on positions related to current year</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Decreases based on settlements with taxing authorities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29, 2023</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total unrecognized tax benefits at September 29, 2023, $40.4 million would impact the effective tax rate, if recognized. The remaining unrecognized tax benefits would not impact the effective tax rate, if recognized, due to the Company’s valuation allowance and certain positions that were required to be capitalized.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reversals within the next 12 months related to items such as the lapse of the statute of limitations, audit closures, and other items that occur in the normal course of business. Although the Company cannot predict the timing of resolution with taxing authorities, if any, the Company believes it is reasonably possible that its unrecognized tax benefits will be reduced by $13.1 million in the next 12 months due to expiration of the applicable statute of limitations. During fiscal 2023 and fiscal 2022, the Company recognized $2.9 million and $1.2 million, respectively, of interest or penalties related to unrecognized tax benefits. During fiscal 2021, the Company recognized an $11.6 million benefit for interest and penalties related to unrecognized tax benefits. Accrued interest and penalties of $6.2 million and $5.7 million related to uncertain tax positions have been included in long-term tax liabilities within the consolidated balance sheet as of September 29, 2023, and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concluded an Internal Revenue Service examination of its federal income tax returns for the fiscal year ended September 28, 2018 (“fiscal 2018”) and the fiscal year ended September 27, 2019 (“fiscal 2019”). The Company agreed to various adjustments to fiscal 2018 and fiscal 2019 tax returns that resulted in the recognition of net tax expense of $1.6 million during fiscal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tax jurisdictions as of September 29, 2023, are the United States, California, Canada, Mexico, Japan, and Singapore. For the United States, the Company has open tax years dating back to fiscal 2020. For California, the Company has open tax years dating back to fiscal 2004. For Canada, the Company has open tax years dating back to fiscal 2016. For Mexico, the Company has open tax years dating back to fiscal 2013. For Japan, the Company has open tax years dating back to fiscal 2016. For Singapore, the Company has open tax years dating back to fiscal 2019. The Company is subject to audit examinations by the respective taxing authorities on a periodic basis, of which the results could impact its financial position,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9.     STOCKHOLDERS’ EQUITY</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29, 2023, the Company is authorized to issue 525.0 million shares of common stock, par value $0.25 per share, of which 159.5 million shares are issued and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Preferred Stock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September 29, 2023, the Company had no shares of preferred stock issued or outstanding.</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 and Retirement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Board of Directors approved a stock repurchase program (“January 31, 2023 stock repurchase program”), pursuant to which the Company is authorized to repurchase up to $2.0 billion of its common stock from time to time through February 1, 2025, on the open market or in privately negotiated transactions, in compliance with applicable securities laws and other legal requirements. The January 31, 2023 stock repurchase program succeeds in its entirety the stock repurchase program approved by the Board of Directors on January 26, 2021 (“January 26, 2021 stock repurchase program”). The timing and amount of any shares of the Company’s common stock that are repurchased under the January 31, 2023 stock repurchase program will be determined by the Company’s management based on its evaluation of market conditions and other factors. The January 31, 2023 stock repurchase program may be suspended or discontinued at any time. The Company currently expects to fund the January 31, 2023 stock repurchase program using the Company’s working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29, 2023, the Company paid approximately $175.3 million (including commissions) in connection with the repurchase of 1.9 million shares of its common stock (paying an average price of $90.60 per share) all of which shares were repurchased pursuant to the January 26, 2021 stock repurchase program. As of September 29, 2023, $2.0 billion remained available under the January 31, 2023 stock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30, 2022, the Company paid approximately $886.8 million (including commissions) in connection with the repurchase of 6.5 million shares of its common stock (paying an average price of $136.32 per share) all of which shares were repurchased pursuant to the January 26, 2021, stock repurchase program. During the fiscal year ended October 1, 2021, the Company paid approximately $195.6 million (including commissions) in connection with the repurchase of 1.4 million shares of its common stock (paying an average price of $138.85 per share) all of which shares were repurchased pursuant to the January 30, 2019 stock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years ended September 30, 2022 and October 1, 2021, the Board of Directors approved the retirement of 6.2 million and 68.5 million treasury shares at an aggregate historical cost of $893.4 million and $4,342.6 million, respectively. Upon retirement, the shares assumed the status of authorized and unissued. All future repurchases of shares will assume the status of authorized and unissued.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2023, the Company announced that the Board of Directors had declared a cash dividend on the Company’s common stock of $0.68 per share. This dividend is payable on December 12, 2023, to the Company’s stockholders of record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close of business on November 21, 2023. Future dividends are subject to declaration by the Board of Directors. The dividends charged to retained earnings in fiscal 2023 and 2022 were as follows (in millions except per share data):</w:t>
      </w:r>
    </w:p>
    <w:tbl>
      <w:tblPr>
        <w:tblW w:w="5894" w:type="dxa"/>
        <w:jc w:val="center"/>
        <w:tblInd w:w="0" w:type="dxa"/>
        <w:tblLayout w:type="fixed"/>
        <w:tblCellMar>
          <w:top w:w="28" w:type="dxa"/>
          <w:left w:w="28" w:type="dxa"/>
          <w:bottom w:w="28" w:type="dxa"/>
          <w:right w:w="28" w:type="dxa"/>
        </w:tblCellMar>
      </w:tblPr>
      <w:tblGrid>
        <w:gridCol w:w="483"/>
        <w:gridCol w:w="424"/>
        <w:gridCol w:w="427"/>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Employee Stock Benefit Plans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29, 2023, the Company has the following equity compensation plans under which its equity securities were authorized for issuance to its employees and/or directors:</w: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2002 Employee Stock Purchase Plan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Non-Qualified Employee Stock Purchase Plan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2008 Director Long-Term Incentive Plan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2015 Long-Term Incentive Plan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Non-Qualified Employee Stock Purchase Plan, each of the foregoing equity compensation plans was approved by the Company’s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 total of 37.5 million shares are authorized for grant under the Company’s share-based compensation plans. The number of common shares reserved for future awards to employees and directors under these plans was 10.5 million at September 29, 2023. The Company currently grants new equity awards to employees under the 2015 Long-Term Incentive Plan and to non-employee directors under the 2008 Director Long-Term Incentive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2015 Long-Term Incentive Plan.</w:t>
      </w:r>
      <w:r>
        <w:rPr>
          <w:color w:val="000000"/>
        </w:rPr>
        <w:t xml:space="preserve"> </w:t>
      </w:r>
      <w:r>
        <w:rPr>
          <w:rFonts w:ascii="Times New Roman;sans-serif" w:hAnsi="Times New Roman;sans-serif"/>
          <w:b w:val="false"/>
          <w:color w:val="000000"/>
          <w:sz w:val="20"/>
        </w:rPr>
        <w:t>Under this plan, officers, employees, and certain consultants may be granted stock options, restricted stock units, performance stock units, and other share-based awards. The plan has been approved by the stockholders. Under the plan, up to 24.5 million shares have been authorized for grant. A total of 8.9 million shares were available for new grants as of September 29, 2023. The maximum contractual term of options under the plan is seven years from the date of grant. Options granted under the plan at the determination of the compensation committee generally vest ratably over four years. Restricted stock units granted under the plan at the determination of the compensation committee generally vest over three or more years. No dividends or dividend equivalents are accumulated or paid with respect to restricted stock unit awards or other awards until the shares underlying such awards vest and are issued to the award holder. Performance stock units are contingently granted depending on the achievement of certain predetermined performance goals and generally vest over one or more years.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2008 Director Long-Term Incentive Plan. </w:t>
      </w:r>
      <w:r>
        <w:rPr>
          <w:rFonts w:ascii="Times New Roman;sans-serif" w:hAnsi="Times New Roman;sans-serif"/>
          <w:b w:val="false"/>
          <w:color w:val="000000"/>
          <w:sz w:val="20"/>
        </w:rPr>
        <w:t>Under this plan, non-employee directors may be granted stock options, restricted stock units, and other share-based awards. The plan has been approved by the stockholders. Under the plan a total of</w:t>
      </w:r>
      <w:r>
        <w:rPr>
          <w:color w:val="000000"/>
        </w:rPr>
        <w:t xml:space="preserve"> </w:t>
      </w:r>
      <w:r>
        <w:rPr>
          <w:rFonts w:ascii="Times New Roman;sans-serif" w:hAnsi="Times New Roman;sans-serif"/>
          <w:b w:val="false"/>
          <w:color w:val="000000"/>
          <w:sz w:val="20"/>
        </w:rPr>
        <w:t xml:space="preserve">1.5 million shares have been authorized for grant. A total of 0.5 million shares were available for new grants as of September 29, 2023. The maximum contractual term of options granted under the plan is ten years from the date of grant. Options granted under the plan generally vest ratably over four years. Restricted stock units granted under the plan generally vest over one or more years.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Employee Stock Purchase Plans. </w:t>
      </w:r>
      <w:r>
        <w:rPr>
          <w:rFonts w:ascii="Times New Roman;sans-serif" w:hAnsi="Times New Roman;sans-serif"/>
          <w:b w:val="false"/>
          <w:color w:val="000000"/>
          <w:sz w:val="20"/>
        </w:rPr>
        <w:t xml:space="preserve">The Company maintains a domestic and an international employee stock purchase plan. Under these plans, eligible employees may purchase common stock through payroll deductions of up to 15% of their compensation. The price per share is the lower of 85% of the fair market value of the common stock at the beginning or end of each offering period (six months). The plans provide for purchases by employees of up to an aggregate of 11.6 million shares. Shares of common stock purchased under these plans in the fiscal years ended September 29, 2023, September 30, 2022, and October 1, 2021, were 0.3 million, 0.3 million, and 0.2 million, respectively. At September 29, 2023, there were 1.0 million shares available for purchase. The Company recognized compensation expense of $10.9 million, $9.2 million, and $8.7 million for the fiscal years ended September 29, 2023, September 30, 2022, and October 1, 2021, respectively, related to the employee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plan. The unrecognized compensation expense on the employee stock purchase plan at September 29, 2023, was $3.5 million. The weighted average period over which the cost is expected to be recognized is approximately four months.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Restricted and Performance Awards and Units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a summary of the Company’s restricted and performance awards and units: </w:t>
      </w:r>
    </w:p>
    <w:tbl>
      <w:tblPr>
        <w:tblW w:w="9266" w:type="dxa"/>
        <w:jc w:val="left"/>
        <w:tblInd w:w="0" w:type="dxa"/>
        <w:tblLayout w:type="fixed"/>
        <w:tblCellMar>
          <w:top w:w="28" w:type="dxa"/>
          <w:left w:w="28" w:type="dxa"/>
          <w:bottom w:w="28" w:type="dxa"/>
          <w:right w:w="28" w:type="dxa"/>
        </w:tblCellMar>
      </w:tblPr>
      <w:tblGrid>
        <w:gridCol w:w="2033"/>
        <w:gridCol w:w="1787"/>
        <w:gridCol w:w="1792"/>
        <w:gridCol w:w="395"/>
        <w:gridCol w:w="395"/>
        <w:gridCol w:w="397"/>
        <w:gridCol w:w="135"/>
        <w:gridCol w:w="135"/>
        <w:gridCol w:w="135"/>
        <w:gridCol w:w="400"/>
        <w:gridCol w:w="1370"/>
        <w:gridCol w:w="292"/>
      </w:tblGrid>
      <w:tr>
        <w:trPr/>
        <w:tc>
          <w:tcPr>
            <w:tcW w:w="203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187" w:type="dxa"/>
            <w:gridSpan w:val="3"/>
            <w:tcBorders/>
            <w:tcMar>
              <w:top w:w="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r>
              <w:rPr>
                <w:rFonts w:ascii="Times New Roman;sans-serif" w:hAnsi="Times New Roman;sans-serif"/>
                <w:b/>
                <w:color w:val="000000"/>
                <w:sz w:val="16"/>
              </w:rPr>
              <w:t xml:space="preserve">Shares </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grant date fair value</w:t>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awards outstanding at September 30, 2022</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awards outstanding at September 29, 2023</w:t>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6"/>
              </w:rPr>
              <w:t xml:space="preserve">(1) </w:t>
            </w:r>
            <w:r>
              <w:rPr>
                <w:rFonts w:ascii="Times New Roman;sans-serif" w:hAnsi="Times New Roman;sans-serif"/>
                <w:b w:val="false"/>
                <w:color w:val="000000"/>
                <w:sz w:val="16"/>
              </w:rPr>
              <w:t>includes performance stock awards granted and earned assuming target performance under the underlying performance metrics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per share for awards granted during the fiscal years ended September 29, 2023, September 30, 2022, and October 1, 2021, was $92.86, $151.20, and $148.96,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intrinsic value for awards vested (in millions):</w:t>
      </w:r>
    </w:p>
    <w:tbl>
      <w:tblPr>
        <w:tblW w:w="4634" w:type="dxa"/>
        <w:jc w:val="center"/>
        <w:tblInd w:w="0" w:type="dxa"/>
        <w:tblLayout w:type="fixed"/>
        <w:tblCellMar>
          <w:top w:w="28" w:type="dxa"/>
          <w:left w:w="28" w:type="dxa"/>
          <w:bottom w:w="28" w:type="dxa"/>
          <w:right w:w="28" w:type="dxa"/>
        </w:tblCellMar>
      </w:tblPr>
      <w:tblGrid>
        <w:gridCol w:w="261"/>
        <w:gridCol w:w="229"/>
        <w:gridCol w:w="231"/>
        <w:gridCol w:w="257"/>
        <w:gridCol w:w="750"/>
        <w:gridCol w:w="132"/>
        <w:gridCol w:w="109"/>
        <w:gridCol w:w="109"/>
        <w:gridCol w:w="109"/>
        <w:gridCol w:w="257"/>
        <w:gridCol w:w="750"/>
        <w:gridCol w:w="132"/>
        <w:gridCol w:w="109"/>
        <w:gridCol w:w="109"/>
        <w:gridCol w:w="109"/>
        <w:gridCol w:w="211"/>
        <w:gridCol w:w="616"/>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Awards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Valuation and Expense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pre-tax share-based compensation expense by financial statement line and related tax benefit (in millions):</w:t>
      </w:r>
    </w:p>
    <w:tbl>
      <w:tblPr>
        <w:tblW w:w="8967" w:type="dxa"/>
        <w:jc w:val="left"/>
        <w:tblInd w:w="0" w:type="dxa"/>
        <w:tblLayout w:type="fixed"/>
        <w:tblCellMar>
          <w:top w:w="28" w:type="dxa"/>
          <w:left w:w="28" w:type="dxa"/>
          <w:bottom w:w="28" w:type="dxa"/>
          <w:right w:w="28" w:type="dxa"/>
        </w:tblCellMar>
      </w:tblPr>
      <w:tblGrid>
        <w:gridCol w:w="1831"/>
        <w:gridCol w:w="1606"/>
        <w:gridCol w:w="1617"/>
        <w:gridCol w:w="257"/>
        <w:gridCol w:w="750"/>
        <w:gridCol w:w="132"/>
        <w:gridCol w:w="109"/>
        <w:gridCol w:w="109"/>
        <w:gridCol w:w="109"/>
        <w:gridCol w:w="257"/>
        <w:gridCol w:w="750"/>
        <w:gridCol w:w="132"/>
        <w:gridCol w:w="109"/>
        <w:gridCol w:w="109"/>
        <w:gridCol w:w="109"/>
        <w:gridCol w:w="211"/>
        <w:gridCol w:w="61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tax expense (benefit)</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 expense at period end</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total compensation costs related to unvested share-based awards not yet recognized and the weighted-average period over which it is expected to be recognized at September 29, 2023:</w:t>
      </w:r>
    </w:p>
    <w:tbl>
      <w:tblPr>
        <w:tblW w:w="8653" w:type="dxa"/>
        <w:jc w:val="center"/>
        <w:tblInd w:w="0" w:type="dxa"/>
        <w:tblLayout w:type="fixed"/>
        <w:tblCellMar>
          <w:top w:w="28" w:type="dxa"/>
          <w:left w:w="28" w:type="dxa"/>
          <w:bottom w:w="28" w:type="dxa"/>
          <w:right w:w="28" w:type="dxa"/>
        </w:tblCellMar>
      </w:tblPr>
      <w:tblGrid>
        <w:gridCol w:w="261"/>
        <w:gridCol w:w="229"/>
        <w:gridCol w:w="231"/>
        <w:gridCol w:w="896"/>
        <w:gridCol w:w="2615"/>
        <w:gridCol w:w="464"/>
        <w:gridCol w:w="109"/>
        <w:gridCol w:w="109"/>
        <w:gridCol w:w="109"/>
        <w:gridCol w:w="1060"/>
        <w:gridCol w:w="1060"/>
        <w:gridCol w:w="151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cost for unvested awards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br/>
              <w:t>(in years)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Awards</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restricted stock units is equal to the closing market price of the Company’s common stock on the date of grant.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performance stock unit awards during fiscal 2023, fiscal 2022, and fiscal 2021 that contained market-based conditions. The fair value of these performance stock unit awards was estimated on the date of the grant using a Monte Carlo simulation with the following weighted average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tbl>
      <w:tblPr>
        <w:tblW w:w="8471" w:type="dxa"/>
        <w:jc w:val="center"/>
        <w:tblInd w:w="0" w:type="dxa"/>
        <w:tblLayout w:type="fixed"/>
        <w:tblCellMar>
          <w:top w:w="28" w:type="dxa"/>
          <w:left w:w="28" w:type="dxa"/>
          <w:bottom w:w="28" w:type="dxa"/>
          <w:right w:w="28" w:type="dxa"/>
        </w:tblCellMar>
      </w:tblPr>
      <w:tblGrid>
        <w:gridCol w:w="1505"/>
        <w:gridCol w:w="1320"/>
        <w:gridCol w:w="1329"/>
        <w:gridCol w:w="308"/>
        <w:gridCol w:w="308"/>
        <w:gridCol w:w="632"/>
        <w:gridCol w:w="109"/>
        <w:gridCol w:w="109"/>
        <w:gridCol w:w="109"/>
        <w:gridCol w:w="308"/>
        <w:gridCol w:w="308"/>
        <w:gridCol w:w="632"/>
        <w:gridCol w:w="109"/>
        <w:gridCol w:w="109"/>
        <w:gridCol w:w="109"/>
        <w:gridCol w:w="308"/>
        <w:gridCol w:w="308"/>
        <w:gridCol w:w="551"/>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20"/>
              </w:rPr>
            </w:pPr>
            <w:r>
              <w:rPr>
                <w:rFonts w:ascii="Times New Roman;sans-serif" w:hAnsi="Times New Roman;sans-serif"/>
                <w:b w:val="false"/>
                <w:sz w:val="20"/>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Volatility of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volatility of peer companies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correlation coefficient of peer companies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arrangements consist primarily of corporate, manufacturing, design, and other facility agreements as well as various machinery and office equipment agreements. The leases expire at various dates through 2061, some of which include options to extend the lease term. The longest potential total lease term consists of a 40-year land lease in Osaka, Japan.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years ended September 29, 2023, September 30, 2022, and October 1, 2021, the Company recorded $39.8 million, $43.6 million, and $33.9 million of operating lease expense, and $19.2 million, $12.3 million, and $3.2 million of variable lease expense, respectively.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information and non-cash activities related to operating leases are as follows (in millions):</w:t>
      </w:r>
    </w:p>
    <w:tbl>
      <w:tblPr>
        <w:tblW w:w="9689" w:type="dxa"/>
        <w:jc w:val="center"/>
        <w:tblInd w:w="0" w:type="dxa"/>
        <w:tblLayout w:type="fixed"/>
        <w:tblCellMar>
          <w:top w:w="28" w:type="dxa"/>
          <w:left w:w="28" w:type="dxa"/>
          <w:bottom w:w="28" w:type="dxa"/>
          <w:right w:w="28" w:type="dxa"/>
        </w:tblCellMar>
      </w:tblPr>
      <w:tblGrid>
        <w:gridCol w:w="2030"/>
        <w:gridCol w:w="1783"/>
        <w:gridCol w:w="1796"/>
        <w:gridCol w:w="109"/>
        <w:gridCol w:w="109"/>
        <w:gridCol w:w="289"/>
        <w:gridCol w:w="700"/>
        <w:gridCol w:w="150"/>
        <w:gridCol w:w="109"/>
        <w:gridCol w:w="109"/>
        <w:gridCol w:w="109"/>
        <w:gridCol w:w="289"/>
        <w:gridCol w:w="700"/>
        <w:gridCol w:w="150"/>
        <w:gridCol w:w="109"/>
        <w:gridCol w:w="109"/>
        <w:gridCol w:w="109"/>
        <w:gridCol w:w="224"/>
        <w:gridCol w:w="543"/>
        <w:gridCol w:w="163"/>
      </w:tblGrid>
      <w:tr>
        <w:trPr/>
        <w:tc>
          <w:tcPr>
            <w:tcW w:w="203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new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are classified as follows (in millions):</w:t>
      </w:r>
    </w:p>
    <w:tbl>
      <w:tblPr>
        <w:tblW w:w="5943" w:type="dxa"/>
        <w:jc w:val="left"/>
        <w:tblInd w:w="0" w:type="dxa"/>
        <w:tblLayout w:type="fixed"/>
        <w:tblCellMar>
          <w:top w:w="28" w:type="dxa"/>
          <w:left w:w="28" w:type="dxa"/>
          <w:bottom w:w="28" w:type="dxa"/>
          <w:right w:w="28" w:type="dxa"/>
        </w:tblCellMar>
      </w:tblPr>
      <w:tblGrid>
        <w:gridCol w:w="1113"/>
        <w:gridCol w:w="979"/>
        <w:gridCol w:w="982"/>
        <w:gridCol w:w="109"/>
        <w:gridCol w:w="109"/>
        <w:gridCol w:w="257"/>
        <w:gridCol w:w="750"/>
        <w:gridCol w:w="132"/>
        <w:gridCol w:w="109"/>
        <w:gridCol w:w="109"/>
        <w:gridCol w:w="109"/>
        <w:gridCol w:w="255"/>
        <w:gridCol w:w="744"/>
        <w:gridCol w:w="186"/>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under operating leases by fiscal year are as follows (in millions):</w:t>
      </w:r>
    </w:p>
    <w:tbl>
      <w:tblPr>
        <w:tblW w:w="5984" w:type="dxa"/>
        <w:jc w:val="center"/>
        <w:tblInd w:w="0" w:type="dxa"/>
        <w:tblLayout w:type="fixed"/>
        <w:tblCellMar>
          <w:top w:w="28" w:type="dxa"/>
          <w:left w:w="28" w:type="dxa"/>
          <w:bottom w:w="28" w:type="dxa"/>
          <w:right w:w="28" w:type="dxa"/>
        </w:tblCellMar>
      </w:tblPr>
      <w:tblGrid>
        <w:gridCol w:w="1736"/>
        <w:gridCol w:w="1522"/>
        <w:gridCol w:w="1541"/>
        <w:gridCol w:w="255"/>
        <w:gridCol w:w="744"/>
        <w:gridCol w:w="186"/>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payments </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(included in other current liabilities)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and discount rate related to operating leases are as follows:</w:t>
      </w:r>
    </w:p>
    <w:tbl>
      <w:tblPr>
        <w:tblW w:w="6566" w:type="dxa"/>
        <w:jc w:val="center"/>
        <w:tblInd w:w="0" w:type="dxa"/>
        <w:tblLayout w:type="fixed"/>
        <w:tblCellMar>
          <w:top w:w="28" w:type="dxa"/>
          <w:left w:w="28" w:type="dxa"/>
          <w:bottom w:w="28" w:type="dxa"/>
          <w:right w:w="28" w:type="dxa"/>
        </w:tblCellMar>
      </w:tblPr>
      <w:tblGrid>
        <w:gridCol w:w="1419"/>
        <w:gridCol w:w="1246"/>
        <w:gridCol w:w="1250"/>
        <w:gridCol w:w="254"/>
        <w:gridCol w:w="254"/>
        <w:gridCol w:w="632"/>
        <w:gridCol w:w="109"/>
        <w:gridCol w:w="109"/>
        <w:gridCol w:w="109"/>
        <w:gridCol w:w="240"/>
        <w:gridCol w:w="240"/>
        <w:gridCol w:w="70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11.     COMMITMENTS AND CONTINGENCIES</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characterized by vigorous protection and pursuit of intellectual property rights.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status of legal proceedings and other contingencies on an ongoing basis to ensure loss contingencies are recognized and/or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and, as such, the Company believes that purchase commitments as of any particular date may not be a reliable indicator of future commitments. </w:t>
      </w:r>
    </w:p>
    <w:p>
      <w:pPr>
        <w:pStyle w:val="TextBody"/>
        <w:bidi w:val="0"/>
        <w:spacing w:lineRule="auto" w:line="288" w:before="0" w:after="120"/>
        <w:jc w:val="both"/>
        <w:rPr/>
      </w:pPr>
      <w:r>
        <w:rPr>
          <w:rFonts w:ascii="Times New Roman;sans-serif" w:hAnsi="Times New Roman;sans-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ans-serif" w:hAnsi="Times New Roman;sans-serif"/>
          <w:b w:val="false"/>
          <w:color w:val="000000"/>
          <w:sz w:val="20"/>
          <w:shd w:fill="FFFFFF" w:val="clear"/>
        </w:rPr>
        <w:t xml:space="preserve">the Company agreed to pay refundable deposits to the suppliers in exchange for reserved manufacturing production capacity over the term of the agreements. </w:t>
      </w:r>
      <w:r>
        <w:rPr>
          <w:rFonts w:ascii="Times New Roman;sans-serif" w:hAnsi="Times New Roman;sans-serif"/>
          <w:b w:val="false"/>
          <w:color w:val="000000"/>
          <w:sz w:val="20"/>
        </w:rPr>
        <w:t xml:space="preserve">During fiscal 2023, the Company recorded impairment charges of $47.5 million within cost of goods sold due to reduced overall market demand related to long-term supply capacity deposits. As of September 29, 2023, the remaining deposits under the long-term capacity reservation agreements were $43.0 million and $16.0 million recorded within other current assets and other long-term assets,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     GUARANTEES AND INDEMNITIES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millions, except per share amounts):</w:t>
      </w:r>
    </w:p>
    <w:tbl>
      <w:tblPr>
        <w:tblW w:w="7993" w:type="dxa"/>
        <w:jc w:val="left"/>
        <w:tblInd w:w="0" w:type="dxa"/>
        <w:tblLayout w:type="fixed"/>
        <w:tblCellMar>
          <w:top w:w="28" w:type="dxa"/>
          <w:left w:w="28" w:type="dxa"/>
          <w:bottom w:w="28" w:type="dxa"/>
          <w:right w:w="28" w:type="dxa"/>
        </w:tblCellMar>
      </w:tblPr>
      <w:tblGrid>
        <w:gridCol w:w="1420"/>
        <w:gridCol w:w="1248"/>
        <w:gridCol w:w="1262"/>
        <w:gridCol w:w="257"/>
        <w:gridCol w:w="750"/>
        <w:gridCol w:w="132"/>
        <w:gridCol w:w="109"/>
        <w:gridCol w:w="109"/>
        <w:gridCol w:w="109"/>
        <w:gridCol w:w="221"/>
        <w:gridCol w:w="804"/>
        <w:gridCol w:w="114"/>
        <w:gridCol w:w="109"/>
        <w:gridCol w:w="109"/>
        <w:gridCol w:w="109"/>
        <w:gridCol w:w="211"/>
        <w:gridCol w:w="766"/>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equity-based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common stock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fiscal years ended September 29, 2023, September 30, 2022, and October 1, 2021,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14.     SEGMENT INFORMATION AND CONCENTRATIONS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Times New Roman;sans-serif" w:hAnsi="Times New Roman;sans-serif"/>
          <w:b w:val="false"/>
          <w:color w:val="010000"/>
          <w:sz w:val="20"/>
        </w:rPr>
        <w:t>CODM</w:t>
      </w:r>
      <w:r>
        <w:rPr>
          <w:color w:val="000000"/>
        </w:rPr>
        <w:t>”</w:t>
      </w:r>
      <w:r>
        <w:rPr>
          <w:rFonts w:ascii="Times New Roman;sans-serif" w:hAnsi="Times New Roman;sans-serif"/>
          <w:b w:val="false"/>
          <w:color w:val="000000"/>
          <w:sz w:val="20"/>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and Geographic Information </w:t>
      </w:r>
    </w:p>
    <w:p>
      <w:pPr>
        <w:pStyle w:val="TextBody"/>
        <w:bidi w:val="0"/>
        <w:spacing w:lineRule="auto" w:line="288" w:before="1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net revenue by geographic area based upon the location of the OEMs’ headquarters and sales channel as it believes that doing so best depicts how the nature, amount, timing, and uncertainty of revenue and cash flows are affected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economic factors. Individually insignificant OEMs are presented based on sales region. Net revenue by geographic area is as follows (in millions):</w:t>
      </w:r>
    </w:p>
    <w:tbl>
      <w:tblPr>
        <w:tblW w:w="6778" w:type="dxa"/>
        <w:jc w:val="left"/>
        <w:tblInd w:w="0" w:type="dxa"/>
        <w:tblLayout w:type="fixed"/>
        <w:tblCellMar>
          <w:top w:w="28" w:type="dxa"/>
          <w:left w:w="28" w:type="dxa"/>
          <w:bottom w:w="28" w:type="dxa"/>
          <w:right w:w="28" w:type="dxa"/>
        </w:tblCellMar>
      </w:tblPr>
      <w:tblGrid>
        <w:gridCol w:w="985"/>
        <w:gridCol w:w="863"/>
        <w:gridCol w:w="867"/>
        <w:gridCol w:w="221"/>
        <w:gridCol w:w="804"/>
        <w:gridCol w:w="114"/>
        <w:gridCol w:w="109"/>
        <w:gridCol w:w="109"/>
        <w:gridCol w:w="109"/>
        <w:gridCol w:w="221"/>
        <w:gridCol w:w="804"/>
        <w:gridCol w:w="114"/>
        <w:gridCol w:w="109"/>
        <w:gridCol w:w="109"/>
        <w:gridCol w:w="109"/>
        <w:gridCol w:w="211"/>
        <w:gridCol w:w="766"/>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Asia-Pacific</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by sales channel is as follows (in millions):</w:t>
      </w:r>
    </w:p>
    <w:tbl>
      <w:tblPr>
        <w:tblW w:w="5533" w:type="dxa"/>
        <w:jc w:val="left"/>
        <w:tblInd w:w="0" w:type="dxa"/>
        <w:tblLayout w:type="fixed"/>
        <w:tblCellMar>
          <w:top w:w="28" w:type="dxa"/>
          <w:left w:w="28" w:type="dxa"/>
          <w:bottom w:w="28" w:type="dxa"/>
          <w:right w:w="28" w:type="dxa"/>
        </w:tblCellMar>
      </w:tblPr>
      <w:tblGrid>
        <w:gridCol w:w="532"/>
        <w:gridCol w:w="468"/>
        <w:gridCol w:w="470"/>
        <w:gridCol w:w="221"/>
        <w:gridCol w:w="804"/>
        <w:gridCol w:w="114"/>
        <w:gridCol w:w="109"/>
        <w:gridCol w:w="109"/>
        <w:gridCol w:w="109"/>
        <w:gridCol w:w="221"/>
        <w:gridCol w:w="804"/>
        <w:gridCol w:w="114"/>
        <w:gridCol w:w="109"/>
        <w:gridCol w:w="109"/>
        <w:gridCol w:w="109"/>
        <w:gridCol w:w="211"/>
        <w:gridCol w:w="76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Distributors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from external customers is generated principally from the sale of semiconductor products. Accordingly, the Company considers its product offerings to be similar in nature and therefore not segregated for reporting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 balances, based on the physical locations within the indicated geographic areas are as follows (in millions):</w:t>
      </w:r>
    </w:p>
    <w:tbl>
      <w:tblPr>
        <w:tblW w:w="3850" w:type="dxa"/>
        <w:jc w:val="left"/>
        <w:tblInd w:w="0" w:type="dxa"/>
        <w:tblLayout w:type="fixed"/>
        <w:tblCellMar>
          <w:top w:w="28" w:type="dxa"/>
          <w:left w:w="28" w:type="dxa"/>
          <w:bottom w:w="28" w:type="dxa"/>
          <w:right w:w="28" w:type="dxa"/>
        </w:tblCellMar>
      </w:tblPr>
      <w:tblGrid>
        <w:gridCol w:w="434"/>
        <w:gridCol w:w="380"/>
        <w:gridCol w:w="385"/>
        <w:gridCol w:w="221"/>
        <w:gridCol w:w="804"/>
        <w:gridCol w:w="114"/>
        <w:gridCol w:w="109"/>
        <w:gridCol w:w="109"/>
        <w:gridCol w:w="109"/>
        <w:gridCol w:w="221"/>
        <w:gridCol w:w="803"/>
        <w:gridCol w:w="161"/>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Japan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2023, 2022, and 2021, Apple, through sales to multiple distributors, contract manufacturers, and direct sales for multiple applications including smartphones, tablets, desktop, and notebook computers, watches and other devices, in the aggregate accounted for 66%, 58%, and 59% of the Company’s net revenue,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29, 2023, the Company’s three largest accounts receivable balances comprised 83% of aggregate gross accounts receivable. This concentration was 79% at September 30, 2022, and 70% at October 1,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SUPPLEMENTAL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of the following (in millions):</w:t>
      </w:r>
    </w:p>
    <w:tbl>
      <w:tblPr>
        <w:tblW w:w="4592" w:type="dxa"/>
        <w:jc w:val="left"/>
        <w:tblInd w:w="0" w:type="dxa"/>
        <w:tblLayout w:type="fixed"/>
        <w:tblCellMar>
          <w:top w:w="28" w:type="dxa"/>
          <w:left w:w="28" w:type="dxa"/>
          <w:bottom w:w="28" w:type="dxa"/>
          <w:right w:w="28" w:type="dxa"/>
        </w:tblCellMar>
      </w:tblPr>
      <w:tblGrid>
        <w:gridCol w:w="777"/>
        <w:gridCol w:w="681"/>
        <w:gridCol w:w="687"/>
        <w:gridCol w:w="257"/>
        <w:gridCol w:w="750"/>
        <w:gridCol w:w="132"/>
        <w:gridCol w:w="109"/>
        <w:gridCol w:w="109"/>
        <w:gridCol w:w="109"/>
        <w:gridCol w:w="211"/>
        <w:gridCol w:w="61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2021</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 the following (in millions):</w:t>
      </w:r>
    </w:p>
    <w:tbl>
      <w:tblPr>
        <w:tblW w:w="5725" w:type="dxa"/>
        <w:jc w:val="left"/>
        <w:tblInd w:w="0" w:type="dxa"/>
        <w:tblLayout w:type="fixed"/>
        <w:tblCellMar>
          <w:top w:w="28" w:type="dxa"/>
          <w:left w:w="28" w:type="dxa"/>
          <w:bottom w:w="28" w:type="dxa"/>
          <w:right w:w="28" w:type="dxa"/>
        </w:tblCellMar>
      </w:tblPr>
      <w:tblGrid>
        <w:gridCol w:w="1112"/>
        <w:gridCol w:w="979"/>
        <w:gridCol w:w="983"/>
        <w:gridCol w:w="257"/>
        <w:gridCol w:w="750"/>
        <w:gridCol w:w="132"/>
        <w:gridCol w:w="109"/>
        <w:gridCol w:w="109"/>
        <w:gridCol w:w="109"/>
        <w:gridCol w:w="255"/>
        <w:gridCol w:w="744"/>
        <w:gridCol w:w="186"/>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customer liabilities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consists of the following (in millions, except percentages): </w:t>
      </w:r>
    </w:p>
    <w:tbl>
      <w:tblPr>
        <w:tblW w:w="8618" w:type="dxa"/>
        <w:jc w:val="left"/>
        <w:tblInd w:w="0" w:type="dxa"/>
        <w:tblLayout w:type="fixed"/>
        <w:tblCellMar>
          <w:top w:w="28" w:type="dxa"/>
          <w:left w:w="28" w:type="dxa"/>
          <w:bottom w:w="28" w:type="dxa"/>
          <w:right w:w="28" w:type="dxa"/>
        </w:tblCellMar>
      </w:tblPr>
      <w:tblGrid>
        <w:gridCol w:w="1413"/>
        <w:gridCol w:w="1237"/>
        <w:gridCol w:w="1250"/>
        <w:gridCol w:w="387"/>
        <w:gridCol w:w="387"/>
        <w:gridCol w:w="966"/>
        <w:gridCol w:w="109"/>
        <w:gridCol w:w="109"/>
        <w:gridCol w:w="109"/>
        <w:gridCol w:w="257"/>
        <w:gridCol w:w="750"/>
        <w:gridCol w:w="132"/>
        <w:gridCol w:w="109"/>
        <w:gridCol w:w="109"/>
        <w:gridCol w:w="109"/>
        <w:gridCol w:w="221"/>
        <w:gridCol w:w="803"/>
        <w:gridCol w:w="161"/>
      </w:tblGrid>
      <w:tr>
        <w:trPr/>
        <w:tc>
          <w:tcPr>
            <w:tcW w:w="141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0.90% Senior Notes due 2023</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 Senior Notes due 2026</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Senior Notes due 2031</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Loans due 2024 </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discount and issuance costs </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26, 2021, the Company issued $500.0 million of its 0.90% Senior Notes due 2023 (the “2023 Notes”), $500.0 million of its 1.80% Senior Notes due 2026 (the “2026 Notes”), and $500.0 million of its 3.00% Senior Notes due 2031 (the “2031 Notes” and, together with the 2026 Notes, the “Notes”). During fiscal 2023, the Company repaid $500.0 million of the 2023 Notes at maturity. The Notes are senior unsecured obligations of the Company and rank equally in right of payment with all of its existing and future senior unsecured debt but effectively junior to any of the Company’s senior secured debt to the extent of the value of collateral securing such debt, and are structurally subordinated to all existing and future obligations of the Company’s subsidiaries. The Notes will mature on each respective maturity date, unless earlier redeemed in accordance with their terms. Interest on the Notes is payable on June 1 and December 1 of each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all or a portion of the 2026 Notes and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Notes (as supplemented, the “Indenture”), holders may require the Company to repurchase the Notes in whole or in part for cash at a price equal to 101% of the principal amount of the Notes to be purchased, plus any accrued and unpaid interest. As of September 29, 2023, the Company considered the likelihood of acceleration related to the 2026 and 2031 Notes and recorded the Notes as long-term debt. The Notes are recorded net of discount and issuance costs, which are amortized to interest expense over the respective terms of these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contains customary events of default, including failure to make required payments of principal and interest, certain events of bankruptcy and insolvency, and default in the performance or breach of any covenant or warranty contained in the Indenture or the Notes. As of September 29, 2023, the Company was in material compliance with all debt covenants under the Senior Notes.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Term Credit Agreement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2021, the Company entered into a term credit agreement (as amended,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of the Infrastructure and Automotive business of Silicon Laboratories Inc. and to pay fees and expenses incurred in connection therewith. During fiscal 2023, 2022, and 2021 the Company repaid $400.0 million, $50.0 million, and $250.0 million, respectively, of outstanding borrowings under the Term Loans. As of September 29, 2023, there were $300.0 million of borrowings outstanding under the Term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Facility are not currently guaranteed by any of the Company’s subsidiaries. Interest on the Term Loans is payable either monthly or quarterly elected at the Company’s discretion and is based on the applicable floating interest rate, plus an applicable margin based on the Company’s public debt credit ratings. The Term Loans mature on July 26, 2024, and all amounts then-outstanding under the Term Loans, together with accrued and unpaid interest thereon, are repayable at maturity. There is no premium or penalty for prepayment.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The Term Credit Agreement also contains customary events of default, which include failure to make required payments of principal and interest, breaches of representations and warranties, changes of control or failures to pay money judgments, and certain defaults in respect of specified material indebtedness, upon the occurrence of which, among other remedies, the lenders may accelerate the maturity of the indebtedness and other obligations under the Term Credit Agreement. As of September 29, 2023, the Company was in material compliance with all debt covenants under the Term Credit Agreement.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Revolving Credit Agreement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2021, the Company entered into a revolving credit agreement (as amended, the “Revolving Credit Agreement”) providing for a $750.0 million revolving credit facility (the “Revolver”). The proceeds of the Revolver will be used for general corporate purposes and working capital needs of the Company and its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Revolver provides for revolving credit borrowings and letters of credit, with sublimits for letters of credit. The Revolver may be increased in specified circumstances by up to $250.0 million at the discretion of the lenders. The Revolver matures on July 26, 2026, and all unpaid borrowings, together with accrued and unpaid interest thereon, are repayable at maturity.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September 29, 2023, there were no borrowings outstanding and the Company was in material compliance with all debt covenants under the Revolver.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2023, the Company repaid $150.0 million of outstanding borrowings under the Term Loans. As of October 4, 2023, there were $150.0 million of borrowings outstanding under the Term Credit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pPr>
      <w:r>
        <w:rPr>
          <w:rFonts w:ascii="Times New Roman;sans-serif" w:hAnsi="Times New Roman;sans-serif"/>
          <w:b/>
          <w:color w:val="000000"/>
          <w:sz w:val="20"/>
        </w:rPr>
        <w:t>ITEM 9. CHANGES IN AND DISAGREEMENTS WITH ACCOUNTANTS ON ACCOUNTING AND</w:t>
      </w:r>
      <w:r>
        <w:rPr>
          <w:color w:val="000000"/>
        </w:rPr>
        <w:t xml:space="preserve"> </w:t>
      </w:r>
      <w:r>
        <w:rPr>
          <w:rFonts w:ascii="Times New Roman;sans-serif" w:hAnsi="Times New Roman;sans-serif"/>
          <w:b/>
          <w:color w:val="000000"/>
          <w:sz w:val="20"/>
        </w:rPr>
        <w:t>FINANCIAL DISCLOSURE.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None.</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 9A. CONTROLS AND PROCEDURES.</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Evaluation of Disclosure Controls and Procedures</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September 29,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September 29, 2023,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Pertain to the maintenance of records that in reasonable detail accurately and fairly reflect the transactions and dispositions of the assets of the Company;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assessed the effectiveness of the Company’s internal control over financial reporting as of September 29, 2023. In making this assessment, the Company’s management used the criteria set forth by the Committee of Sponsoring Organizations of the Treadway Commission (COSO) 2013 Internal Control-Integrated Framework.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assessment, management concluded that, as of September 29, 2023, the Company’s internal control over financial reporting is effective based on those criteria.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independent registered public accounting firm has issued an audit report on the effectiveness of the Company’s internal control over financial reporting as stated within their report which appears herein. </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changes to our internal control over financial reporting (as defined in Rules 13a-15(f) and 15d-15(f) of the Exchange Act) that occurred during the fourth quarter of fiscal 2023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Director and Officer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compensation of the Company’s directors and officers (as defined in Rule 16a-1(f) under the Securities Exchange Act of 1934, as amended (the “Exchange Act”)) is in the form of equity awards and, from time to time, directors and officers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in Company securities by directors and officers are required to be made in accordance with the Company’s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contracts, instructions or written plans for the sale or purchase of Company securities adopted by our directors and officers during the fourth quarter of fiscal 2023 that are intended to satisfy the affirmative defense conditions of Rule 10b5-1(c) (a “Rule 10b5-1 trading arrangement”):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8"/>
        <w:gridCol w:w="712"/>
        <w:gridCol w:w="693"/>
        <w:gridCol w:w="374"/>
        <w:gridCol w:w="374"/>
        <w:gridCol w:w="376"/>
        <w:gridCol w:w="1404"/>
        <w:gridCol w:w="1404"/>
        <w:gridCol w:w="1407"/>
        <w:gridCol w:w="727"/>
        <w:gridCol w:w="727"/>
        <w:gridCol w:w="1039"/>
      </w:tblGrid>
      <w:tr>
        <w:trPr/>
        <w:tc>
          <w:tcPr>
            <w:tcW w:w="96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11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w:t>
            </w:r>
          </w:p>
        </w:tc>
        <w:tc>
          <w:tcPr>
            <w:tcW w:w="42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Rule 10b5-1 Trading Arrangement</w:t>
            </w:r>
          </w:p>
        </w:tc>
        <w:tc>
          <w:tcPr>
            <w:tcW w:w="24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Purchased or Sold</w:t>
            </w:r>
          </w:p>
        </w:tc>
      </w:tr>
      <w:tr>
        <w:trPr/>
        <w:tc>
          <w:tcPr>
            <w:tcW w:w="2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Karilee Durham, Senior Vice President, Human Resources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Until August 9, 2024, or such earlier date upon which all transactions are completed or expire without execution</w:t>
            </w:r>
          </w:p>
        </w:tc>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Sale of up to 5,000 shares</w:t>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terminated a Rule 10b5-1 trading arrangement or adopted or terminated a non-Rule 10b5-1 trading arrangement (as defined in Item 408(c) of Regulation S-K) during the fourth quarter of fiscal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under the captions “Directors and Executive Officers,” “Corporate Governance─Committees of the Board of Directors,” and “Other Matters—Delinquent Section 16(a) Reports,” if applicable, in our definitive proxy statement for the 2024 Annual Meeting of Stockholders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to be included under the caption “Information about Executive and Director Compensation” in our definitive proxy statement for the 2024 Annual Meeting of Stockholders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ind w:left="0" w:right="0" w:hanging="90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to be included under the caption “Security Ownership of Certain Beneficial Owners and Management” in our definitive proxy statement for the 2024 Annual Meeting of Stockholders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ind w:left="0" w:right="0" w:hanging="14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to be included under the captions “Certain Relationships and Related Transactions” and “Corporate Governance─Director Independence” in our definitive proxy statement for the 2024 Annual Meeting of Stockholders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to be included under the caption “Ratification of Independent Registered Public Accounting Firm—Audit Fees” in our definitive proxy statement for the 2024 Annual Meeting of Stockholders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following are filed as part of this Annual Report on Form 10-K: </w:t>
      </w:r>
    </w:p>
    <w:tbl>
      <w:tblPr>
        <w:tblW w:w="10205" w:type="dxa"/>
        <w:jc w:val="left"/>
        <w:tblInd w:w="0" w:type="dxa"/>
        <w:tblLayout w:type="fixed"/>
        <w:tblCellMar>
          <w:top w:w="28" w:type="dxa"/>
          <w:left w:w="28" w:type="dxa"/>
          <w:bottom w:w="28" w:type="dxa"/>
          <w:right w:w="28" w:type="dxa"/>
        </w:tblCellMar>
      </w:tblPr>
      <w:tblGrid>
        <w:gridCol w:w="250"/>
        <w:gridCol w:w="219"/>
        <w:gridCol w:w="219"/>
        <w:gridCol w:w="2684"/>
        <w:gridCol w:w="2593"/>
        <w:gridCol w:w="2603"/>
        <w:gridCol w:w="487"/>
        <w:gridCol w:w="474"/>
        <w:gridCol w:w="67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to Financial Statements</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 in this report</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(PCAOB ID: 185)</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64">
              <w:r>
                <w:rPr>
                  <w:rStyle w:val="InternetLink"/>
                  <w:rFonts w:ascii="Times New Roman;sans-serif" w:hAnsi="Times New Roman;sans-serif"/>
                  <w:b w:val="false"/>
                  <w:color w:val="0000FF"/>
                  <w:sz w:val="20"/>
                  <w:u w:val="single"/>
                </w:rPr>
                <w:t>38</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three years ended September 29, 2023</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67">
              <w:r>
                <w:rPr>
                  <w:rStyle w:val="InternetLink"/>
                  <w:rFonts w:ascii="Times New Roman;sans-serif" w:hAnsi="Times New Roman;sans-serif"/>
                  <w:b w:val="false"/>
                  <w:color w:val="0000FF"/>
                  <w:sz w:val="20"/>
                  <w:u w:val="single"/>
                </w:rPr>
                <w:t>40</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three years ended September 29, 2023</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70">
              <w:r>
                <w:rPr>
                  <w:rStyle w:val="InternetLink"/>
                  <w:rFonts w:ascii="Times New Roman;sans-serif" w:hAnsi="Times New Roman;sans-serif"/>
                  <w:b w:val="false"/>
                  <w:color w:val="0000FF"/>
                  <w:sz w:val="20"/>
                  <w:u w:val="single"/>
                </w:rPr>
                <w:t>41</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at September 29, 2023, and September 30, 2022</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73">
              <w:r>
                <w:rPr>
                  <w:rStyle w:val="InternetLink"/>
                  <w:rFonts w:ascii="Times New Roman;sans-serif" w:hAnsi="Times New Roman;sans-serif"/>
                  <w:b w:val="false"/>
                  <w:color w:val="0000FF"/>
                  <w:sz w:val="20"/>
                  <w:u w:val="single"/>
                </w:rPr>
                <w:t>42</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three years ended September 29, 2023</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79">
              <w:r>
                <w:rPr>
                  <w:rStyle w:val="InternetLink"/>
                  <w:rFonts w:ascii="Times New Roman;sans-serif" w:hAnsi="Times New Roman;sans-serif"/>
                  <w:b w:val="false"/>
                  <w:color w:val="0000FF"/>
                  <w:sz w:val="20"/>
                  <w:u w:val="single"/>
                </w:rPr>
                <w:t>43</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three years ended September 29, 2023</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 </w:t>
            </w:r>
            <w:hyperlink w:anchor="ib652baefd321401fad432ed640b54bc0_82">
              <w:r>
                <w:rPr>
                  <w:rStyle w:val="InternetLink"/>
                  <w:rFonts w:ascii="Times New Roman;sans-serif" w:hAnsi="Times New Roman;sans-serif"/>
                  <w:b w:val="false"/>
                  <w:color w:val="0000FF"/>
                  <w:sz w:val="20"/>
                  <w:u w:val="single"/>
                </w:rPr>
                <w:t>44</w:t>
              </w:r>
            </w:hyperlink>
          </w:p>
        </w:tc>
      </w:tr>
      <w:tr>
        <w:trPr/>
        <w:tc>
          <w:tcPr>
            <w:tcW w:w="85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Pages </w:t>
            </w:r>
            <w:hyperlink w:anchor="ib652baefd321401fad432ed640b54bc0_85">
              <w:r>
                <w:rPr>
                  <w:rStyle w:val="InternetLink"/>
                  <w:rFonts w:ascii="Times New Roman;sans-serif" w:hAnsi="Times New Roman;sans-serif"/>
                  <w:b w:val="false"/>
                  <w:color w:val="0000FF"/>
                  <w:sz w:val="20"/>
                  <w:u w:val="single"/>
                </w:rPr>
                <w:t>45</w:t>
              </w:r>
            </w:hyperlink>
            <w:r>
              <w:rPr>
                <w:color w:val="000000"/>
              </w:rPr>
              <w:t xml:space="preserve"> </w:t>
            </w:r>
            <w:r>
              <w:rPr>
                <w:rFonts w:ascii="Times New Roman;sans-serif" w:hAnsi="Times New Roman;sans-serif"/>
                <w:b w:val="false"/>
                <w:color w:val="000000"/>
                <w:sz w:val="20"/>
              </w:rPr>
              <w:t xml:space="preserve">through </w:t>
            </w:r>
            <w:hyperlink w:anchor="ib652baefd321401fad432ed640b54bc0_148">
              <w:r>
                <w:rPr>
                  <w:rStyle w:val="InternetLink"/>
                  <w:rFonts w:ascii="Times New Roman;sans-serif" w:hAnsi="Times New Roman;sans-serif"/>
                  <w:b w:val="false"/>
                  <w:color w:val="0000FF"/>
                  <w:sz w:val="20"/>
                  <w:u w:val="single"/>
                </w:rPr>
                <w:t>63</w:t>
              </w:r>
            </w:hyperlink>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schedule listed below is filed as part of this Annual Report on Form 10-K:</w:t>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required schedule information is included in the Notes to Consolidated Financial Statements or is omitted because it is either not required or not applicable.</w:t>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8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Exhibit Index immediately following this Item 15 are filed as a part of this Annual Report on Form 10-K.</w:t>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25" w:before="0" w:after="0"/>
        <w:ind w:left="0" w:right="0" w:hanging="31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Exhibits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by Item 601 of Regulation S-K are filed herewith and incorporated by reference herein. The response to this portion of Item 15 is submitted under Item 15 (a) (3).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408"/>
        <w:gridCol w:w="358"/>
        <w:gridCol w:w="360"/>
        <w:gridCol w:w="1929"/>
        <w:gridCol w:w="1726"/>
        <w:gridCol w:w="1729"/>
        <w:gridCol w:w="170"/>
        <w:gridCol w:w="170"/>
        <w:gridCol w:w="171"/>
        <w:gridCol w:w="272"/>
        <w:gridCol w:w="272"/>
        <w:gridCol w:w="242"/>
        <w:gridCol w:w="227"/>
        <w:gridCol w:w="227"/>
        <w:gridCol w:w="197"/>
        <w:gridCol w:w="278"/>
        <w:gridCol w:w="249"/>
        <w:gridCol w:w="222"/>
        <w:gridCol w:w="291"/>
        <w:gridCol w:w="291"/>
        <w:gridCol w:w="4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25" w:before="0" w:after="0"/>
              <w:jc w:val="center"/>
              <w:rPr>
                <w:color w:val="000000"/>
              </w:rPr>
            </w:pPr>
            <w:r>
              <w:rPr>
                <w:color w:val="000000"/>
              </w:rPr>
              <w:t>    </w:t>
            </w:r>
            <w:r>
              <w:rPr>
                <w:rFonts w:ascii="Times New Roman;sans-serif" w:hAnsi="Times New Roman;sans-serif"/>
                <w:b/>
                <w:color w:val="000000"/>
                <w:sz w:val="16"/>
              </w:rPr>
              <w:t>Number    </w:t>
            </w:r>
          </w:p>
        </w:tc>
        <w:tc>
          <w:tcPr>
            <w:tcW w:w="53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11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3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Asset Purchase Agreement, dated as of April 22, 2021, by and between Skyworks Solutions</w:t>
              </w:r>
            </w:hyperlink>
            <w:hyperlink r:id="rId3">
              <w:r>
                <w:rPr>
                  <w:rStyle w:val="InternetLink"/>
                  <w:rFonts w:ascii="Times New Roman;sans-serif" w:hAnsi="Times New Roman;sans-serif"/>
                  <w:b w:val="false"/>
                  <w:color w:val="000080"/>
                  <w:sz w:val="20"/>
                  <w:u w:val="single"/>
                </w:rPr>
                <w:t>,</w:t>
              </w:r>
            </w:hyperlink>
            <w:hyperlink r:id="rId4">
              <w:r>
                <w:rPr>
                  <w:rStyle w:val="InternetLink"/>
                  <w:rFonts w:ascii="Times New Roman;sans-serif" w:hAnsi="Times New Roman;sans-serif"/>
                  <w:b w:val="false"/>
                  <w:color w:val="000080"/>
                  <w:sz w:val="20"/>
                  <w:u w:val="single"/>
                </w:rPr>
                <w:t xml:space="preserve"> Inc., and Silicon Laboratories Inc.</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Restated Certificate of Incorporation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Amended and Restated By-laws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5/12/2023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Specimen Certificate of Common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333-92394</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7/15/2002</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ans-serif" w:hAnsi="Times New Roman;sans-serif"/>
                  <w:b w:val="false"/>
                  <w:color w:val="0000FF"/>
                  <w:sz w:val="20"/>
                  <w:u w:val="single"/>
                </w:rPr>
                <w:t xml:space="preserve">Description of Capital Stock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11/14/2019</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20"/>
                  <w:u w:val="single"/>
                </w:rPr>
                <w:t>Indenture, dated as of May 26, 2021, by and between the Company and U.S. Bank National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20"/>
                  <w:u w:val="single"/>
                </w:rPr>
                <w:t>First Supplemental Indenture, dated as of May 26, 2021, by and between the Company and U.S. Bank National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0000FF"/>
                  <w:sz w:val="20"/>
                  <w:u w:val="single"/>
                </w:rPr>
                <w:t>Second Supplemental Indenture, dated as of May 26, 2021, by and between the Company and U.S. Bank National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ans-serif" w:hAnsi="Times New Roman;sans-serif"/>
                  <w:b w:val="false"/>
                  <w:color w:val="0000FF"/>
                  <w:sz w:val="20"/>
                  <w:u w:val="single"/>
                </w:rPr>
                <w:t>Third Supplemental Indenture, dated as of May 26, 2021, by and between the Company and U.S. Bank National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Skyworks Solutions, Inc. 2002 Employee Stock Purchase Plan, as Amended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7/24/2020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Skyworks Solutions, Inc. Non-Qualified Employee Stock Purchase Plan, as Amended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7/24/2020</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Skyworks Solutions, Inc. Amended and Restated 2005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5/13/2013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Nonstatutory Stock Option Agreement under the Company’s 2005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10.B</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1/31/2013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Skyworks Solutions, Inc. Amended and Restated 2008 Director Long-Term Incentive Plan, as Amended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5/4/2022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Nonstatutory Stock Option Agreement under the Company’s 2008 Director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10.OO</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5/7/2008</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Restricted Stock Unit Agreement under the Company’s 2008 Director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5/4/2016</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3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ans-serif" w:hAnsi="Times New Roman;sans-serif"/>
                  <w:b w:val="false"/>
                  <w:color w:val="0000FF"/>
                  <w:sz w:val="20"/>
                  <w:u w:val="single"/>
                </w:rPr>
                <w:t>Skyworks Solutions, Inc.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Nonstatutory Stock Option Agreement under the Company’s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8/5/2015</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 of Performance Share Agreement under the Company’s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2/4/2022</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Restricted Stock Unit Agreement under the Company’s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2/4/2022</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80"/>
                  <w:sz w:val="20"/>
                  <w:u w:val="single"/>
                </w:rPr>
                <w:t>Fiscal Year 202</w:t>
              </w:r>
            </w:hyperlink>
            <w:hyperlink r:id="rId25">
              <w:r>
                <w:rPr>
                  <w:rStyle w:val="InternetLink"/>
                  <w:rFonts w:ascii="Times New Roman;sans-serif" w:hAnsi="Times New Roman;sans-serif"/>
                  <w:b w:val="false"/>
                  <w:color w:val="000080"/>
                  <w:sz w:val="20"/>
                  <w:u w:val="single"/>
                </w:rPr>
                <w:t>3</w:t>
              </w:r>
            </w:hyperlink>
            <w:hyperlink r:id="rId26">
              <w:r>
                <w:rPr>
                  <w:rStyle w:val="InternetLink"/>
                  <w:rFonts w:ascii="Times New Roman;sans-serif" w:hAnsi="Times New Roman;sans-serif"/>
                  <w:b w:val="false"/>
                  <w:color w:val="000080"/>
                  <w:sz w:val="20"/>
                  <w:u w:val="single"/>
                </w:rPr>
                <w:t xml:space="preserve"> Executive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2/7/2023</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Skyworks Solutions, Inc. Cash Compensation Plan for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5/4/2022</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Second Amended and Restated Change in Control / Severance Agreement, dated May 10, 2023, between the Company and Liam Griffin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Table of Contents</w:t>
      </w:r>
    </w:p>
    <w:tbl>
      <w:tblPr>
        <w:tblW w:w="10205" w:type="dxa"/>
        <w:jc w:val="left"/>
        <w:tblInd w:w="0" w:type="dxa"/>
        <w:tblLayout w:type="fixed"/>
        <w:tblCellMar>
          <w:top w:w="28" w:type="dxa"/>
          <w:left w:w="28" w:type="dxa"/>
          <w:bottom w:w="28" w:type="dxa"/>
          <w:right w:w="28" w:type="dxa"/>
        </w:tblCellMar>
      </w:tblPr>
      <w:tblGrid>
        <w:gridCol w:w="408"/>
        <w:gridCol w:w="358"/>
        <w:gridCol w:w="360"/>
        <w:gridCol w:w="2177"/>
        <w:gridCol w:w="1793"/>
        <w:gridCol w:w="1799"/>
        <w:gridCol w:w="170"/>
        <w:gridCol w:w="170"/>
        <w:gridCol w:w="171"/>
        <w:gridCol w:w="242"/>
        <w:gridCol w:w="242"/>
        <w:gridCol w:w="199"/>
        <w:gridCol w:w="227"/>
        <w:gridCol w:w="227"/>
        <w:gridCol w:w="184"/>
        <w:gridCol w:w="239"/>
        <w:gridCol w:w="197"/>
        <w:gridCol w:w="151"/>
        <w:gridCol w:w="259"/>
        <w:gridCol w:w="259"/>
        <w:gridCol w:w="373"/>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25" w:before="0" w:after="0"/>
              <w:jc w:val="center"/>
              <w:rPr>
                <w:color w:val="000000"/>
              </w:rPr>
            </w:pPr>
            <w:r>
              <w:rPr>
                <w:color w:val="000000"/>
              </w:rPr>
              <w:t>    </w:t>
            </w:r>
            <w:r>
              <w:rPr>
                <w:rFonts w:ascii="Times New Roman;sans-serif" w:hAnsi="Times New Roman;sans-serif"/>
                <w:b/>
                <w:color w:val="000000"/>
                <w:sz w:val="16"/>
              </w:rPr>
              <w:t>Number    </w:t>
            </w:r>
          </w:p>
        </w:tc>
        <w:tc>
          <w:tcPr>
            <w:tcW w:w="576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11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76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 xml:space="preserve">Amended and Restated Change in Control / Severance Agreement, dated May 10, 2023, between the Company and Kris Sennesael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Amended and Restated Change in Control / Severance Agreement, dated May 10, 2023, between the Company and Robert J. Terry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Amended and Restated Change in Control / Severance Agreement, dated May 10, 2023, between the Company and Carlos S. Bori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Amended and Restated Change in Control / Severance Agreement, dated May 10, 2023, between the Company and Kari A. Durham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Amended and Restated Change in Control / Severance Agreement, dated May 10, 2023, between the Company and Reza Kasnavi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7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ans-serif" w:hAnsi="Times New Roman;sans-serif"/>
                  <w:b w:val="false"/>
                  <w:color w:val="0000FF"/>
                  <w:sz w:val="20"/>
                  <w:u w:val="single"/>
                </w:rPr>
                <w:t>Debt Commitment Letter, dated as of April 22, 2021, by and between Skyworks Solutions, Inc., and JPMorgan Chase Bank, N.A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4/22/2021</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7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Term Credit Agreement, dated as of May 21, 2021, among the Company, the lenders party thereto and JPMorgan Chase Bank, N.A., as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7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ans-serif" w:hAnsi="Times New Roman;sans-serif"/>
                  <w:b w:val="false"/>
                  <w:color w:val="0000FF"/>
                  <w:sz w:val="20"/>
                  <w:u w:val="single"/>
                </w:rPr>
                <w:t>First Amendment, dated as of March 6, 2023, among the Company, the lenders party thereto and JPMorgan Chase Bank, N.A., as the administrative agent, amending the Term Credit Agreement, dated as of May 21, 2021, by and among the Company, the lenders party thereto and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Revolving Credit Agreement, dated as of May 21, 2021, among the Company, the Borrowing Subsidiaries party thereto, the lenders party thereto and JPMorgan Chase Bank, N.A., as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5/26/2021</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First Amendment, dated as of March 6, 2023, among the Company, the borrowing subsidiaries party thereto, the lenders party thereto and JPMorgan Chase Bank, N.A., as the administrative agent, amending the Revolving Credit Agreement, dated as of May 21, 2021, by and among the Company, the borrowing subsidiaries party thereto, the lenders party thereto and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3/10/2023</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92923ex21.htm">
              <w:r>
                <w:rPr>
                  <w:rStyle w:val="InternetLink"/>
                  <w:rFonts w:ascii="Times New Roman;sans-serif" w:hAnsi="Times New Roman;sans-serif"/>
                  <w:b w:val="false"/>
                  <w:color w:val="0000FF"/>
                  <w:sz w:val="20"/>
                  <w:u w:val="single"/>
                </w:rPr>
                <w:t>Subsidiaries of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92923ex231kpmgconsent.htm">
              <w:r>
                <w:rPr>
                  <w:rStyle w:val="InternetLink"/>
                  <w:rFonts w:ascii="Times New Roman;sans-serif" w:hAnsi="Times New Roman;sans-serif"/>
                  <w:b w:val="false"/>
                  <w:color w:val="0000FF"/>
                  <w:sz w:val="20"/>
                  <w:u w:val="single"/>
                </w:rPr>
                <w:t>Consent of KPMG LLP</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92923ex311.htm">
              <w:r>
                <w:rPr>
                  <w:rStyle w:val="InternetLink"/>
                  <w:rFonts w:ascii="Times New Roman;sans-serif" w:hAnsi="Times New Roman;sans-serif"/>
                  <w:b w:val="false"/>
                  <w:color w:val="0000FF"/>
                  <w:sz w:val="20"/>
                  <w:u w:val="single"/>
                </w:rPr>
                <w:t>Certification of the Company’s Chief Executive Officer pursuant to Securities and Exchange Act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92923ex312.htm">
              <w:r>
                <w:rPr>
                  <w:rStyle w:val="InternetLink"/>
                  <w:rFonts w:ascii="Times New Roman;sans-serif" w:hAnsi="Times New Roman;sans-serif"/>
                  <w:b w:val="false"/>
                  <w:color w:val="0000FF"/>
                  <w:sz w:val="20"/>
                  <w:u w:val="single"/>
                </w:rPr>
                <w:t>Certification of the Company’s Chief Financial Officer pursuant to Securities and Exchange Act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Table of Contents</w:t>
      </w:r>
    </w:p>
    <w:tbl>
      <w:tblPr>
        <w:tblW w:w="10205" w:type="dxa"/>
        <w:jc w:val="left"/>
        <w:tblInd w:w="0" w:type="dxa"/>
        <w:tblLayout w:type="fixed"/>
        <w:tblCellMar>
          <w:top w:w="28" w:type="dxa"/>
          <w:left w:w="28" w:type="dxa"/>
          <w:bottom w:w="28" w:type="dxa"/>
          <w:right w:w="28" w:type="dxa"/>
        </w:tblCellMar>
      </w:tblPr>
      <w:tblGrid>
        <w:gridCol w:w="408"/>
        <w:gridCol w:w="358"/>
        <w:gridCol w:w="360"/>
        <w:gridCol w:w="1960"/>
        <w:gridCol w:w="1960"/>
        <w:gridCol w:w="1891"/>
        <w:gridCol w:w="170"/>
        <w:gridCol w:w="170"/>
        <w:gridCol w:w="171"/>
        <w:gridCol w:w="170"/>
        <w:gridCol w:w="155"/>
        <w:gridCol w:w="155"/>
        <w:gridCol w:w="227"/>
        <w:gridCol w:w="227"/>
        <w:gridCol w:w="194"/>
        <w:gridCol w:w="252"/>
        <w:gridCol w:w="219"/>
        <w:gridCol w:w="187"/>
        <w:gridCol w:w="282"/>
        <w:gridCol w:w="282"/>
        <w:gridCol w:w="407"/>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25" w:before="0" w:after="0"/>
              <w:jc w:val="center"/>
              <w:rPr>
                <w:color w:val="000000"/>
              </w:rPr>
            </w:pPr>
            <w:r>
              <w:rPr>
                <w:color w:val="000000"/>
              </w:rPr>
              <w:t>    </w:t>
            </w:r>
            <w:r>
              <w:rPr>
                <w:rFonts w:ascii="Times New Roman;sans-serif" w:hAnsi="Times New Roman;sans-serif"/>
                <w:b/>
                <w:color w:val="000000"/>
                <w:sz w:val="16"/>
              </w:rPr>
              <w:t>Number    </w:t>
            </w:r>
          </w:p>
        </w:tc>
        <w:tc>
          <w:tcPr>
            <w:tcW w:w="5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11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92923ex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92923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omitted because such information is not material and is the type of information that the Registrant treats as private or confidential.</w:t>
      </w:r>
    </w:p>
    <w:p>
      <w:pPr>
        <w:pStyle w:val="TextBody"/>
        <w:bidi w:val="0"/>
        <w:spacing w:before="0" w:after="2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7639" w:type="dxa"/>
        <w:jc w:val="left"/>
        <w:tblInd w:w="0" w:type="dxa"/>
        <w:tblLayout w:type="fixed"/>
        <w:tblCellMar>
          <w:top w:w="28" w:type="dxa"/>
          <w:left w:w="28" w:type="dxa"/>
          <w:bottom w:w="28" w:type="dxa"/>
          <w:right w:w="28" w:type="dxa"/>
        </w:tblCellMar>
      </w:tblPr>
      <w:tblGrid>
        <w:gridCol w:w="813"/>
        <w:gridCol w:w="716"/>
        <w:gridCol w:w="720"/>
        <w:gridCol w:w="432"/>
        <w:gridCol w:w="432"/>
        <w:gridCol w:w="432"/>
        <w:gridCol w:w="1196"/>
        <w:gridCol w:w="1196"/>
        <w:gridCol w:w="1702"/>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17, 2023 </w:t>
            </w:r>
          </w:p>
        </w:tc>
        <w:tc>
          <w:tcPr>
            <w:tcW w:w="5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SKYWORKS SOLUTIONS, INC.</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Liam K. Griffin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November 17, 2023.</w:t>
      </w:r>
    </w:p>
    <w:tbl>
      <w:tblPr>
        <w:tblW w:w="6642" w:type="dxa"/>
        <w:jc w:val="left"/>
        <w:tblInd w:w="0" w:type="dxa"/>
        <w:tblLayout w:type="fixed"/>
        <w:tblCellMar>
          <w:top w:w="28" w:type="dxa"/>
          <w:left w:w="28" w:type="dxa"/>
          <w:bottom w:w="28" w:type="dxa"/>
          <w:right w:w="28" w:type="dxa"/>
        </w:tblCellMar>
      </w:tblPr>
      <w:tblGrid>
        <w:gridCol w:w="1488"/>
        <w:gridCol w:w="1308"/>
        <w:gridCol w:w="1314"/>
        <w:gridCol w:w="109"/>
        <w:gridCol w:w="109"/>
        <w:gridCol w:w="109"/>
        <w:gridCol w:w="644"/>
        <w:gridCol w:w="644"/>
        <w:gridCol w:w="917"/>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and Title</w:t>
            </w:r>
          </w:p>
        </w:tc>
      </w:tr>
      <w:tr>
        <w:trPr/>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Liam K.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S. Batey</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S. Batey</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L. Beebe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L. Beebe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J. Guerin</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J. Guerin</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Christine King</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Christine King</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Suzanne E. McBride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Suzanne E. McBride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P. McGlade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P. McGlade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Schriesheim</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Schriesheim</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2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Maryann Turcke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Maryann Turcke</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2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tbl>
      <w:tblPr>
        <w:tblW w:w="8353" w:type="dxa"/>
        <w:jc w:val="left"/>
        <w:tblInd w:w="0" w:type="dxa"/>
        <w:tblLayout w:type="fixed"/>
        <w:tblCellMar>
          <w:top w:w="28" w:type="dxa"/>
          <w:left w:w="28" w:type="dxa"/>
          <w:bottom w:w="28" w:type="dxa"/>
          <w:right w:w="28" w:type="dxa"/>
        </w:tblCellMar>
      </w:tblPr>
      <w:tblGrid>
        <w:gridCol w:w="2179"/>
        <w:gridCol w:w="1914"/>
        <w:gridCol w:w="1936"/>
        <w:gridCol w:w="680"/>
        <w:gridCol w:w="680"/>
        <w:gridCol w:w="964"/>
      </w:tblGrid>
      <w:tr>
        <w:trPr/>
        <w:tc>
          <w:tcPr>
            <w:tcW w:w="217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Incorporation</w:t>
            </w:r>
          </w:p>
        </w:tc>
      </w:tr>
      <w:tr>
        <w:trPr/>
        <w:tc>
          <w:tcPr>
            <w:tcW w:w="6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Filter Solutions Japan Co., Ltd.</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Filter Solutions Korea,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Global Pte. Ltd.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Hungary Kft</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International Investments, LLC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Ireland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Luxembourg S.à r.l</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Semiconductor</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Semiconductor Private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Canada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Commercial (Shenzhen) Co., Ltd.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Commercial (Shenzhen) Co., Ltd. - Beijing Branch</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Beijing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Commercial (Shenzhen) Co., Ltd. - Shanghai Branch</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Co., Ltd.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de Mèxico, S. de R.L. de C.V.</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GmbH</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(Hong Kong)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Korea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Oy</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Worldwide,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Worldwide, Inc., Taiwan Branch</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Skyworks Solutions Worldwide, Inc., Malaysia Branch</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Analogic Technologies Incorporated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Analogic Technologies (China),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Avnera 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Axiom Microdevices,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ICWave, LLC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Isolink,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Quantance,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SiGe Semiconductor (Europe) Limited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Trans-Tech, Inc.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333-91524, 333-100312, 333-100313, 333-122333, 333-131628, 333-132880, 333-134375, 333-150780, 333-150782, 333-162960, 333-176282, 333-176285, 333-176286, 333-191311, 333-204310, and 333-238910) on Form S-8 and (No. 333-255945) on Form S-3 of our report dated November 17, 2023, with respect to the consolidated financial statements of Skyworks Solutions, Inc.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Irvine, California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November 17, 2023</w:t>
      </w:r>
    </w:p>
    <w:p>
      <w:pPr>
        <w:pStyle w:val="TextBody"/>
        <w:bidi w:val="0"/>
        <w:spacing w:before="0" w:after="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CEO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Liam K. Griffin,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7" w:type="dxa"/>
        <w:jc w:val="left"/>
        <w:tblInd w:w="0" w:type="dxa"/>
        <w:tblLayout w:type="fixed"/>
        <w:tblCellMar>
          <w:top w:w="28" w:type="dxa"/>
          <w:left w:w="28" w:type="dxa"/>
          <w:bottom w:w="28" w:type="dxa"/>
          <w:right w:w="28" w:type="dxa"/>
        </w:tblCellMar>
      </w:tblPr>
      <w:tblGrid>
        <w:gridCol w:w="200"/>
        <w:gridCol w:w="177"/>
        <w:gridCol w:w="178"/>
        <w:gridCol w:w="1119"/>
        <w:gridCol w:w="1119"/>
        <w:gridCol w:w="1123"/>
        <w:gridCol w:w="214"/>
        <w:gridCol w:w="214"/>
        <w:gridCol w:w="30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Liam K. Griffin </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CFO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Kris Sennesael,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40" w:type="dxa"/>
        <w:jc w:val="left"/>
        <w:tblInd w:w="0" w:type="dxa"/>
        <w:tblLayout w:type="fixed"/>
        <w:tblCellMar>
          <w:top w:w="28" w:type="dxa"/>
          <w:left w:w="28" w:type="dxa"/>
          <w:bottom w:w="28" w:type="dxa"/>
          <w:right w:w="28" w:type="dxa"/>
        </w:tblCellMar>
      </w:tblPr>
      <w:tblGrid>
        <w:gridCol w:w="200"/>
        <w:gridCol w:w="177"/>
        <w:gridCol w:w="178"/>
        <w:gridCol w:w="1224"/>
        <w:gridCol w:w="1224"/>
        <w:gridCol w:w="17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 Sennesael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 </w:t>
            </w:r>
          </w:p>
        </w:tc>
      </w:tr>
    </w:tbl>
    <w:p>
      <w:pPr>
        <w:pStyle w:val="TextBody"/>
        <w:bidi w:val="0"/>
        <w:spacing w:before="6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Skyworks Solutions, Inc. (the “Company”) on Form 10-K for the period ended September 29, 2023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4109" w:type="dxa"/>
        <w:jc w:val="left"/>
        <w:tblInd w:w="0" w:type="dxa"/>
        <w:tblLayout w:type="fixed"/>
        <w:tblCellMar>
          <w:top w:w="28" w:type="dxa"/>
          <w:left w:w="28" w:type="dxa"/>
          <w:bottom w:w="28" w:type="dxa"/>
          <w:right w:w="28" w:type="dxa"/>
        </w:tblCellMar>
      </w:tblPr>
      <w:tblGrid>
        <w:gridCol w:w="1315"/>
        <w:gridCol w:w="1152"/>
        <w:gridCol w:w="1642"/>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Liam K. Griffin</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 </w:t>
              <w:br/>
              <w:t>Chairman, Chief Executive Officer and President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Skyworks Solutions, Inc. (the “Company”) on Form 10-K for the period ended September 29, 2023 as filed with the Securities and Exchange Commission on the date hereof (the “Report”), I, Kris Sennesael,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4154" w:type="dxa"/>
        <w:jc w:val="left"/>
        <w:tblInd w:w="0" w:type="dxa"/>
        <w:tblLayout w:type="fixed"/>
        <w:tblCellMar>
          <w:top w:w="28" w:type="dxa"/>
          <w:left w:w="28" w:type="dxa"/>
          <w:bottom w:w="28" w:type="dxa"/>
          <w:right w:w="28" w:type="dxa"/>
        </w:tblCellMar>
      </w:tblPr>
      <w:tblGrid>
        <w:gridCol w:w="1329"/>
        <w:gridCol w:w="1165"/>
        <w:gridCol w:w="1660"/>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 Sennesael  </w:t>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br/>
              <w:t>Senior Vice President and Chief Financial Officer</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04127/000110465921053805/tm2113063d1_ex2-1.htm" TargetMode="External"/><Relationship Id="rId3" Type="http://schemas.openxmlformats.org/officeDocument/2006/relationships/hyperlink" Target="https://www.sec.gov/Archives/edgar/data/0000004127/000110465921053805/tm2113063d1_ex2-1.htm" TargetMode="External"/><Relationship Id="rId4" Type="http://schemas.openxmlformats.org/officeDocument/2006/relationships/hyperlink" Target="https://www.sec.gov/Archives/edgar/data/0000004127/000110465921053805/tm2113063d1_ex2-1.htm" TargetMode="External"/><Relationship Id="rId5" Type="http://schemas.openxmlformats.org/officeDocument/2006/relationships/hyperlink" Target="https://www.sec.gov/Archives/edgar/data/4127/000000412723000025/a31_restatedcertificateofi.htm" TargetMode="External"/><Relationship Id="rId6" Type="http://schemas.openxmlformats.org/officeDocument/2006/relationships/hyperlink" Target="https://www.sec.gov/Archives/edgar/data/4127/000000412723000016/exhibit31fourthamendmentan.htm" TargetMode="External"/><Relationship Id="rId7" Type="http://schemas.openxmlformats.org/officeDocument/2006/relationships/hyperlink" Target="http://www.sec.gov/Archives/edgar/data/4127/000095013502003322/b43499ssexv4.txt" TargetMode="External"/><Relationship Id="rId8" Type="http://schemas.openxmlformats.org/officeDocument/2006/relationships/hyperlink" Target="https://www.sec.gov/Archives/edgar/data/4127/000000412719000049/fy1910k92719ex42.htm" TargetMode="External"/><Relationship Id="rId9" Type="http://schemas.openxmlformats.org/officeDocument/2006/relationships/hyperlink" Target="https://www.sec.gov/Archives/edgar/data/0000004127/000110465921072130/tm2115447d6_ex4-1.htm" TargetMode="External"/><Relationship Id="rId10" Type="http://schemas.openxmlformats.org/officeDocument/2006/relationships/hyperlink" Target="https://www.sec.gov/Archives/edgar/data/0000004127/000110465921072130/tm2115447d6_ex4-2.htm" TargetMode="External"/><Relationship Id="rId11" Type="http://schemas.openxmlformats.org/officeDocument/2006/relationships/hyperlink" Target="https://www.sec.gov/Archives/edgar/data/0000004127/000110465921072130/tm2115447d6_ex4-3.htm" TargetMode="External"/><Relationship Id="rId12" Type="http://schemas.openxmlformats.org/officeDocument/2006/relationships/hyperlink" Target="https://www.sec.gov/Archives/edgar/data/0000004127/000110465921072130/tm2115447d6_ex4-4.htm" TargetMode="External"/><Relationship Id="rId13" Type="http://schemas.openxmlformats.org/officeDocument/2006/relationships/hyperlink" Target="https://www.sec.gov/Archives/edgar/data/4127/000000412720000046/ex1012002esppmay2020.htm" TargetMode="External"/><Relationship Id="rId14" Type="http://schemas.openxmlformats.org/officeDocument/2006/relationships/hyperlink" Target="https://www.sec.gov/Archives/edgar/data/4127/000000412720000046/ex102nqesppmay2020.htm" TargetMode="External"/><Relationship Id="rId15" Type="http://schemas.openxmlformats.org/officeDocument/2006/relationships/hyperlink" Target="http://www.sec.gov/Archives/edgar/data/4127/000000412713000023/fy12proxyvoteexhibit101.htm" TargetMode="External"/><Relationship Id="rId16" Type="http://schemas.openxmlformats.org/officeDocument/2006/relationships/hyperlink" Target="http://www.sec.gov/Archives/edgar/data/4127/000000412713000006/a2005long-termincentiveupd.htm" TargetMode="External"/><Relationship Id="rId17" Type="http://schemas.openxmlformats.org/officeDocument/2006/relationships/hyperlink" Target="https://www.sec.gov/Archives/edgar/data/4127/000000412722000015/q222exhibit101-2008dltip.htm" TargetMode="External"/><Relationship Id="rId18" Type="http://schemas.openxmlformats.org/officeDocument/2006/relationships/hyperlink" Target="http://www.sec.gov/Archives/edgar/data/4127/000089256908000778/a40452exv10woo.htm" TargetMode="External"/><Relationship Id="rId19" Type="http://schemas.openxmlformats.org/officeDocument/2006/relationships/hyperlink" Target="http://www.sec.gov/Archives/edgar/data/4127/000000412716000049/ex1022008dltiprsuagreement.htm" TargetMode="External"/><Relationship Id="rId20" Type="http://schemas.openxmlformats.org/officeDocument/2006/relationships/hyperlink" Target="https://www.sec.gov/Archives/edgar/data/4127/000000412721000050/q321exhibit102.htm" TargetMode="External"/><Relationship Id="rId21" Type="http://schemas.openxmlformats.org/officeDocument/2006/relationships/hyperlink" Target="http://www.sec.gov/Archives/edgar/data/4127/000000412715000027/exh102optionagreement.htm" TargetMode="External"/><Relationship Id="rId22" Type="http://schemas.openxmlformats.org/officeDocument/2006/relationships/hyperlink" Target="https://www.sec.gov/Archives/edgar/data/4127/000000412722000010/q122ex101_2015ltip-psaagre.htm" TargetMode="External"/><Relationship Id="rId23" Type="http://schemas.openxmlformats.org/officeDocument/2006/relationships/hyperlink" Target="https://www.sec.gov/Archives/edgar/data/4127/000000412722000010/q122ex102_2015ltip-rsuagre.htm" TargetMode="External"/><Relationship Id="rId24" Type="http://schemas.openxmlformats.org/officeDocument/2006/relationships/hyperlink" Target="https://www.sec.gov/Archives/edgar/data/4127/000000412723000010/exhibit103fy23eip.htm" TargetMode="External"/><Relationship Id="rId25" Type="http://schemas.openxmlformats.org/officeDocument/2006/relationships/hyperlink" Target="https://www.sec.gov/Archives/edgar/data/4127/000000412723000010/exhibit103fy23eip.htm" TargetMode="External"/><Relationship Id="rId26" Type="http://schemas.openxmlformats.org/officeDocument/2006/relationships/hyperlink" Target="https://www.sec.gov/Archives/edgar/data/4127/000000412723000010/exhibit103fy23eip.htm" TargetMode="External"/><Relationship Id="rId27" Type="http://schemas.openxmlformats.org/officeDocument/2006/relationships/hyperlink" Target="https://www.sec.gov/Archives/edgar/data/4127/000000412722000015/q222ex102-skyworkssolution.htm" TargetMode="External"/><Relationship Id="rId28" Type="http://schemas.openxmlformats.org/officeDocument/2006/relationships/hyperlink" Target="https://www.sec.gov/Archives/edgar/data/4127/000000412723000025/a101cicagreementgriffin.htm" TargetMode="External"/><Relationship Id="rId29" Type="http://schemas.openxmlformats.org/officeDocument/2006/relationships/hyperlink" Target="https://www.sec.gov/Archives/edgar/data/4127/000000412723000025/a102cicagreementsennesael.htm" TargetMode="External"/><Relationship Id="rId30" Type="http://schemas.openxmlformats.org/officeDocument/2006/relationships/hyperlink" Target="https://www.sec.gov/Archives/edgar/data/4127/000000412723000025/a103cicagreementterry.htm" TargetMode="External"/><Relationship Id="rId31" Type="http://schemas.openxmlformats.org/officeDocument/2006/relationships/hyperlink" Target="https://www.sec.gov/Archives/edgar/data/4127/000000412723000025/a104cicagreementbori.htm" TargetMode="External"/><Relationship Id="rId32" Type="http://schemas.openxmlformats.org/officeDocument/2006/relationships/hyperlink" Target="https://www.sec.gov/Archives/edgar/data/4127/000000412723000025/a105cicagreementdurham.htm" TargetMode="External"/><Relationship Id="rId33" Type="http://schemas.openxmlformats.org/officeDocument/2006/relationships/hyperlink" Target="https://www.sec.gov/Archives/edgar/data/4127/000000412723000025/a106cicagreementkasnavi.htm" TargetMode="External"/><Relationship Id="rId34" Type="http://schemas.openxmlformats.org/officeDocument/2006/relationships/hyperlink" Target="https://www.sec.gov/Archives/edgar/data/4127/000110465921053805/tm2113063d1_ex10-1.htm" TargetMode="External"/><Relationship Id="rId35" Type="http://schemas.openxmlformats.org/officeDocument/2006/relationships/hyperlink" Target="https://www.sec.gov/Archives/edgar/data/4127/000110465921072130/tm2115447d6_ex10-1.htm" TargetMode="External"/><Relationship Id="rId36" Type="http://schemas.openxmlformats.org/officeDocument/2006/relationships/hyperlink" Target="https://www.sec.gov/Archives/edgar/data/4127/000000412723000012/exhibit101swksfirstamendme.htm" TargetMode="External"/><Relationship Id="rId37" Type="http://schemas.openxmlformats.org/officeDocument/2006/relationships/hyperlink" Target="https://www.sec.gov/Archives/edgar/data/4127/000110465921072130/tm2115447d6_ex10-2.htm" TargetMode="External"/><Relationship Id="rId38" Type="http://schemas.openxmlformats.org/officeDocument/2006/relationships/hyperlink" Target="https://www.sec.gov/Archives/edgar/data/4127/000000412723000012/exhibit102swksfirstamendme.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40487</Words>
  <Characters>230762</Characters>
  <CharactersWithSpaces>269708</CharactersWithSpaces>
  <Paragraphs>3421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