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191919"/>
        </w:rPr>
        <w:t>UNITED STATES</w:t>
      </w:r>
    </w:p>
    <w:p>
      <w:pPr>
        <w:spacing w:after="0" w:line="21"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191919"/>
        </w:rPr>
        <w:t>SECURITIES AND EXCHANGE COMMISSION</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191919"/>
        </w:rPr>
        <w:t>Washington, D.C. 20549</w:t>
      </w:r>
    </w:p>
    <w:p>
      <w:pPr>
        <w:spacing w:after="0" w:line="199" w:lineRule="exact"/>
        <w:rPr>
          <w:sz w:val="24"/>
          <w:szCs w:val="24"/>
          <w:color w:val="auto"/>
        </w:rPr>
      </w:pPr>
    </w:p>
    <w:p>
      <w:pPr>
        <w:ind w:left="4720"/>
        <w:spacing w:after="0"/>
        <w:rPr>
          <w:sz w:val="20"/>
          <w:szCs w:val="20"/>
          <w:color w:val="auto"/>
        </w:rPr>
      </w:pPr>
      <w:r>
        <w:rPr>
          <w:rFonts w:ascii="Arial" w:cs="Arial" w:eastAsia="Arial" w:hAnsi="Arial"/>
          <w:sz w:val="24"/>
          <w:szCs w:val="24"/>
          <w:b w:val="1"/>
          <w:bCs w:val="1"/>
          <w:color w:val="191919"/>
        </w:rPr>
        <w:t>SCHEDULE 14A</w:t>
      </w:r>
    </w:p>
    <w:p>
      <w:pPr>
        <w:sectPr>
          <w:pgSz w:w="11900" w:h="16838" w:orient="portrait"/>
          <w:cols w:equalWidth="0" w:num="1">
            <w:col w:w="10139"/>
          </w:cols>
          <w:pgMar w:left="320" w:top="685" w:right="1440" w:bottom="46" w:gutter="0" w:footer="0" w:header="0"/>
        </w:sectPr>
      </w:pPr>
    </w:p>
    <w:p>
      <w:pPr>
        <w:spacing w:after="0" w:line="244" w:lineRule="exact"/>
        <w:rPr>
          <w:sz w:val="24"/>
          <w:szCs w:val="24"/>
          <w:color w:val="auto"/>
        </w:rPr>
      </w:pPr>
    </w:p>
    <w:p>
      <w:pPr>
        <w:ind w:left="4040"/>
        <w:spacing w:after="0"/>
        <w:rPr>
          <w:sz w:val="20"/>
          <w:szCs w:val="20"/>
          <w:color w:val="auto"/>
        </w:rPr>
      </w:pPr>
      <w:r>
        <w:rPr>
          <w:rFonts w:ascii="Arial" w:cs="Arial" w:eastAsia="Arial" w:hAnsi="Arial"/>
          <w:sz w:val="16"/>
          <w:szCs w:val="16"/>
          <w:color w:val="191919"/>
        </w:rPr>
        <w:t>Proxy Statement Pursuant to Section 14(a) of</w:t>
      </w:r>
    </w:p>
    <w:p>
      <w:pPr>
        <w:spacing w:after="0" w:line="38" w:lineRule="exact"/>
        <w:rPr>
          <w:sz w:val="24"/>
          <w:szCs w:val="24"/>
          <w:color w:val="auto"/>
        </w:rPr>
      </w:pPr>
    </w:p>
    <w:p>
      <w:pPr>
        <w:ind w:left="3440"/>
        <w:spacing w:after="0"/>
        <w:rPr>
          <w:sz w:val="20"/>
          <w:szCs w:val="20"/>
          <w:color w:val="auto"/>
        </w:rPr>
      </w:pPr>
      <w:r>
        <w:rPr>
          <w:rFonts w:ascii="Arial" w:cs="Arial" w:eastAsia="Arial" w:hAnsi="Arial"/>
          <w:sz w:val="16"/>
          <w:szCs w:val="16"/>
          <w:color w:val="191919"/>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191919"/>
        </w:rPr>
        <w:t>)</w:t>
      </w:r>
    </w:p>
    <w:p>
      <w:pPr>
        <w:spacing w:after="0" w:line="193" w:lineRule="exact"/>
        <w:rPr>
          <w:sz w:val="24"/>
          <w:szCs w:val="24"/>
          <w:color w:val="auto"/>
        </w:rPr>
      </w:pPr>
    </w:p>
    <w:p>
      <w:pPr>
        <w:sectPr>
          <w:pgSz w:w="11900" w:h="16838" w:orient="portrait"/>
          <w:cols w:equalWidth="0" w:num="2">
            <w:col w:w="7280" w:space="480"/>
            <w:col w:w="2379"/>
          </w:cols>
          <w:pgMar w:left="320" w:top="685" w:right="1440" w:bottom="46"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191919"/>
        </w:rPr>
        <w:t xml:space="preserve">Filed by the Registrant </w:t>
      </w:r>
      <w:r>
        <w:rPr>
          <w:rFonts w:ascii="MS PGothic" w:cs="MS PGothic" w:eastAsia="MS PGothic" w:hAnsi="MS PGothic"/>
          <w:sz w:val="18"/>
          <w:szCs w:val="18"/>
          <w:color w:val="191919"/>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5"/>
          <w:szCs w:val="15"/>
          <w:color w:val="191919"/>
        </w:rPr>
        <w:t>Filed by a Party other than the Registrant o</w:t>
      </w:r>
    </w:p>
    <w:p>
      <w:pPr>
        <w:spacing w:after="0" w:line="260" w:lineRule="exact"/>
        <w:rPr>
          <w:sz w:val="24"/>
          <w:szCs w:val="24"/>
          <w:color w:val="auto"/>
        </w:rPr>
      </w:pPr>
    </w:p>
    <w:p>
      <w:pPr>
        <w:ind w:left="1140"/>
        <w:spacing w:after="0"/>
        <w:rPr>
          <w:sz w:val="20"/>
          <w:szCs w:val="20"/>
          <w:color w:val="auto"/>
        </w:rPr>
      </w:pPr>
      <w:r>
        <w:rPr>
          <w:rFonts w:ascii="Arial" w:cs="Arial" w:eastAsia="Arial" w:hAnsi="Arial"/>
          <w:sz w:val="18"/>
          <w:szCs w:val="18"/>
          <w:color w:val="191919"/>
        </w:rPr>
        <w:t>Check the appropriate box:</w:t>
      </w:r>
    </w:p>
    <w:p>
      <w:pPr>
        <w:sectPr>
          <w:pgSz w:w="11900" w:h="16838" w:orient="portrait"/>
          <w:cols w:equalWidth="0" w:num="1">
            <w:col w:w="10139"/>
          </w:cols>
          <w:pgMar w:left="320" w:top="685" w:right="1440" w:bottom="46"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4"/>
          <w:szCs w:val="14"/>
          <w:color w:val="191919"/>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191919"/>
        </w:rPr>
        <w:t>Preliminary Proxy Statement</w:t>
      </w:r>
    </w:p>
    <w:p>
      <w:pPr>
        <w:spacing w:after="0" w:line="200" w:lineRule="exact"/>
        <w:rPr>
          <w:sz w:val="24"/>
          <w:szCs w:val="24"/>
          <w:color w:val="auto"/>
        </w:rPr>
      </w:pPr>
    </w:p>
    <w:p>
      <w:pPr>
        <w:sectPr>
          <w:pgSz w:w="11900" w:h="16838" w:orient="portrait"/>
          <w:cols w:equalWidth="0" w:num="2">
            <w:col w:w="1220" w:space="300"/>
            <w:col w:w="8619"/>
          </w:cols>
          <w:pgMar w:left="320" w:top="685" w:right="1440" w:bottom="46"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4"/>
          <w:szCs w:val="14"/>
          <w:color w:val="191919"/>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191919"/>
        </w:rPr>
        <w:t>Confidential, for Use of the Commission Only (as permitted by Rule 14a-6(e)(2))</w:t>
      </w:r>
    </w:p>
    <w:p>
      <w:pPr>
        <w:spacing w:after="0" w:line="200" w:lineRule="exact"/>
        <w:rPr>
          <w:sz w:val="24"/>
          <w:szCs w:val="24"/>
          <w:color w:val="auto"/>
        </w:rPr>
      </w:pPr>
    </w:p>
    <w:p>
      <w:pPr>
        <w:sectPr>
          <w:pgSz w:w="11900" w:h="16838" w:orient="portrait"/>
          <w:cols w:equalWidth="0" w:num="2">
            <w:col w:w="1220" w:space="300"/>
            <w:col w:w="8619"/>
          </w:cols>
          <w:pgMar w:left="320" w:top="685" w:right="1440" w:bottom="46" w:gutter="0" w:footer="0" w:header="0"/>
          <w:type w:val="continuous"/>
        </w:sectPr>
      </w:pPr>
    </w:p>
    <w:p>
      <w:pPr>
        <w:spacing w:after="0" w:line="60"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191919"/>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191919"/>
        </w:rPr>
        <w:t>Definitive Proxy Statement</w:t>
      </w:r>
    </w:p>
    <w:p>
      <w:pPr>
        <w:spacing w:after="0" w:line="200" w:lineRule="exact"/>
        <w:rPr>
          <w:sz w:val="24"/>
          <w:szCs w:val="24"/>
          <w:color w:val="auto"/>
        </w:rPr>
      </w:pPr>
    </w:p>
    <w:p>
      <w:pPr>
        <w:sectPr>
          <w:pgSz w:w="11900" w:h="16838" w:orient="portrait"/>
          <w:cols w:equalWidth="0" w:num="2">
            <w:col w:w="1300" w:space="220"/>
            <w:col w:w="8619"/>
          </w:cols>
          <w:pgMar w:left="320" w:top="685" w:right="1440" w:bottom="46"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4"/>
          <w:szCs w:val="14"/>
          <w:color w:val="191919"/>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191919"/>
        </w:rPr>
        <w:t>Definitive Additional Materials</w:t>
      </w:r>
    </w:p>
    <w:p>
      <w:pPr>
        <w:spacing w:after="0" w:line="200" w:lineRule="exact"/>
        <w:rPr>
          <w:sz w:val="24"/>
          <w:szCs w:val="24"/>
          <w:color w:val="auto"/>
        </w:rPr>
      </w:pPr>
    </w:p>
    <w:p>
      <w:pPr>
        <w:sectPr>
          <w:pgSz w:w="11900" w:h="16838" w:orient="portrait"/>
          <w:cols w:equalWidth="0" w:num="2">
            <w:col w:w="1220" w:space="300"/>
            <w:col w:w="8619"/>
          </w:cols>
          <w:pgMar w:left="320" w:top="685" w:right="1440" w:bottom="46"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4"/>
          <w:szCs w:val="14"/>
          <w:color w:val="191919"/>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191919"/>
        </w:rPr>
        <w:t>Soliciting Material under §240.14a-12</w:t>
      </w:r>
    </w:p>
    <w:p>
      <w:pPr>
        <w:spacing w:after="0" w:line="200" w:lineRule="exact"/>
        <w:rPr>
          <w:sz w:val="24"/>
          <w:szCs w:val="24"/>
          <w:color w:val="auto"/>
        </w:rPr>
      </w:pPr>
    </w:p>
    <w:p>
      <w:pPr>
        <w:sectPr>
          <w:pgSz w:w="11900" w:h="16838" w:orient="portrait"/>
          <w:cols w:equalWidth="0" w:num="2">
            <w:col w:w="1220" w:space="300"/>
            <w:col w:w="8619"/>
          </w:cols>
          <w:pgMar w:left="320" w:top="685" w:right="1440" w:bottom="46"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191919"/>
        </w:rPr>
        <w:t>SKYWORKS 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14605</wp:posOffset>
            </wp:positionV>
            <wp:extent cx="57003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191919"/>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165100</wp:posOffset>
            </wp:positionV>
            <wp:extent cx="57003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46" w:lineRule="exact"/>
        <w:rPr>
          <w:sz w:val="24"/>
          <w:szCs w:val="24"/>
          <w:color w:val="auto"/>
        </w:rPr>
      </w:pPr>
    </w:p>
    <w:p>
      <w:pPr>
        <w:ind w:left="3080"/>
        <w:spacing w:after="0"/>
        <w:rPr>
          <w:sz w:val="20"/>
          <w:szCs w:val="20"/>
          <w:color w:val="auto"/>
        </w:rPr>
      </w:pPr>
      <w:r>
        <w:rPr>
          <w:rFonts w:ascii="Arial" w:cs="Arial" w:eastAsia="Arial" w:hAnsi="Arial"/>
          <w:sz w:val="18"/>
          <w:szCs w:val="18"/>
          <w:color w:val="191919"/>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191919"/>
        </w:rPr>
        <w:t>Payment of Filing Fee (Check the appropriate box):</w:t>
      </w:r>
    </w:p>
    <w:p>
      <w:pPr>
        <w:spacing w:after="0" w:line="252" w:lineRule="exact"/>
        <w:rPr>
          <w:sz w:val="24"/>
          <w:szCs w:val="24"/>
          <w:color w:val="auto"/>
        </w:rPr>
      </w:pPr>
    </w:p>
    <w:p>
      <w:pPr>
        <w:ind w:left="1520" w:hanging="385"/>
        <w:spacing w:after="0"/>
        <w:tabs>
          <w:tab w:leader="none" w:pos="1520" w:val="left"/>
        </w:tabs>
        <w:numPr>
          <w:ilvl w:val="0"/>
          <w:numId w:val="1"/>
        </w:numPr>
        <w:rPr>
          <w:rFonts w:ascii="MS PGothic" w:cs="MS PGothic" w:eastAsia="MS PGothic" w:hAnsi="MS PGothic"/>
          <w:sz w:val="18"/>
          <w:szCs w:val="18"/>
          <w:color w:val="191919"/>
        </w:rPr>
      </w:pPr>
      <w:r>
        <w:rPr>
          <w:rFonts w:ascii="Arial" w:cs="Arial" w:eastAsia="Arial" w:hAnsi="Arial"/>
          <w:sz w:val="18"/>
          <w:szCs w:val="18"/>
          <w:color w:val="191919"/>
        </w:rPr>
        <w:t>No fee required.</w:t>
      </w:r>
    </w:p>
    <w:p>
      <w:pPr>
        <w:spacing w:after="0" w:line="252" w:lineRule="exact"/>
        <w:rPr>
          <w:sz w:val="24"/>
          <w:szCs w:val="24"/>
          <w:color w:val="auto"/>
        </w:rPr>
      </w:pPr>
    </w:p>
    <w:p>
      <w:pPr>
        <w:ind w:left="1520" w:hanging="385"/>
        <w:spacing w:after="0"/>
        <w:tabs>
          <w:tab w:leader="none" w:pos="1520" w:val="left"/>
        </w:tabs>
        <w:numPr>
          <w:ilvl w:val="0"/>
          <w:numId w:val="2"/>
        </w:numPr>
        <w:rPr>
          <w:rFonts w:ascii="Arial" w:cs="Arial" w:eastAsia="Arial" w:hAnsi="Arial"/>
          <w:sz w:val="18"/>
          <w:szCs w:val="18"/>
          <w:color w:val="191919"/>
        </w:rPr>
      </w:pPr>
      <w:r>
        <w:rPr>
          <w:rFonts w:ascii="Arial" w:cs="Arial" w:eastAsia="Arial" w:hAnsi="Arial"/>
          <w:sz w:val="18"/>
          <w:szCs w:val="18"/>
          <w:color w:val="191919"/>
        </w:rPr>
        <w:t>Fee computed on table below per Exchange Act Rules 14a-6(i)(1) and 0-11.</w:t>
      </w:r>
    </w:p>
    <w:p>
      <w:pPr>
        <w:spacing w:after="0" w:line="252" w:lineRule="exact"/>
        <w:rPr>
          <w:rFonts w:ascii="Arial" w:cs="Arial" w:eastAsia="Arial" w:hAnsi="Arial"/>
          <w:sz w:val="18"/>
          <w:szCs w:val="18"/>
          <w:color w:val="191919"/>
        </w:rPr>
      </w:pPr>
    </w:p>
    <w:p>
      <w:pPr>
        <w:ind w:left="1960" w:hanging="433"/>
        <w:spacing w:after="0"/>
        <w:tabs>
          <w:tab w:leader="none" w:pos="1960" w:val="left"/>
        </w:tabs>
        <w:numPr>
          <w:ilvl w:val="1"/>
          <w:numId w:val="2"/>
        </w:numPr>
        <w:rPr>
          <w:rFonts w:ascii="Arial" w:cs="Arial" w:eastAsia="Arial" w:hAnsi="Arial"/>
          <w:sz w:val="18"/>
          <w:szCs w:val="18"/>
          <w:color w:val="191919"/>
        </w:rPr>
      </w:pPr>
      <w:r>
        <w:rPr>
          <w:rFonts w:ascii="Arial" w:cs="Arial" w:eastAsia="Arial" w:hAnsi="Arial"/>
          <w:sz w:val="18"/>
          <w:szCs w:val="18"/>
          <w:color w:val="191919"/>
        </w:rPr>
        <w:t>Title of each class of securities to which transaction applies:</w:t>
      </w:r>
    </w:p>
    <w:p>
      <w:pPr>
        <w:spacing w:after="0" w:line="238" w:lineRule="exact"/>
        <w:rPr>
          <w:rFonts w:ascii="Arial" w:cs="Arial" w:eastAsia="Arial" w:hAnsi="Arial"/>
          <w:sz w:val="18"/>
          <w:szCs w:val="18"/>
          <w:color w:val="191919"/>
        </w:rPr>
      </w:pPr>
    </w:p>
    <w:p>
      <w:pPr>
        <w:ind w:left="1960" w:hanging="433"/>
        <w:spacing w:after="0"/>
        <w:tabs>
          <w:tab w:leader="none" w:pos="1960" w:val="left"/>
        </w:tabs>
        <w:numPr>
          <w:ilvl w:val="1"/>
          <w:numId w:val="2"/>
        </w:numPr>
        <w:rPr>
          <w:rFonts w:ascii="Arial" w:cs="Arial" w:eastAsia="Arial" w:hAnsi="Arial"/>
          <w:sz w:val="18"/>
          <w:szCs w:val="18"/>
          <w:color w:val="191919"/>
        </w:rPr>
      </w:pPr>
      <w:r>
        <w:rPr>
          <w:rFonts w:ascii="Arial" w:cs="Arial" w:eastAsia="Arial" w:hAnsi="Arial"/>
          <w:sz w:val="18"/>
          <w:szCs w:val="18"/>
          <w:color w:val="191919"/>
        </w:rPr>
        <w:t>Aggregate number of securities to which transaction applies:</w:t>
      </w:r>
    </w:p>
    <w:p>
      <w:pPr>
        <w:spacing w:after="0" w:line="238" w:lineRule="exact"/>
        <w:rPr>
          <w:rFonts w:ascii="Arial" w:cs="Arial" w:eastAsia="Arial" w:hAnsi="Arial"/>
          <w:sz w:val="18"/>
          <w:szCs w:val="18"/>
          <w:color w:val="191919"/>
        </w:rPr>
      </w:pPr>
    </w:p>
    <w:p>
      <w:pPr>
        <w:ind w:left="1960" w:right="139" w:hanging="433"/>
        <w:spacing w:after="0" w:line="268" w:lineRule="auto"/>
        <w:tabs>
          <w:tab w:leader="none" w:pos="1960" w:val="left"/>
        </w:tabs>
        <w:numPr>
          <w:ilvl w:val="1"/>
          <w:numId w:val="2"/>
        </w:numPr>
        <w:rPr>
          <w:rFonts w:ascii="Arial" w:cs="Arial" w:eastAsia="Arial" w:hAnsi="Arial"/>
          <w:sz w:val="18"/>
          <w:szCs w:val="18"/>
          <w:color w:val="191919"/>
        </w:rPr>
      </w:pPr>
      <w:r>
        <w:rPr>
          <w:rFonts w:ascii="Arial" w:cs="Arial" w:eastAsia="Arial" w:hAnsi="Arial"/>
          <w:sz w:val="18"/>
          <w:szCs w:val="18"/>
          <w:color w:val="191919"/>
        </w:rPr>
        <w:t>Per unit price or other underlying value of transaction computed pursuant to Exchange Act Rule 0-11 (set forth the amount on which the filing fee is calculated and state how it was determined):</w:t>
      </w:r>
    </w:p>
    <w:p>
      <w:pPr>
        <w:spacing w:after="0" w:line="199" w:lineRule="exact"/>
        <w:rPr>
          <w:rFonts w:ascii="Arial" w:cs="Arial" w:eastAsia="Arial" w:hAnsi="Arial"/>
          <w:sz w:val="18"/>
          <w:szCs w:val="18"/>
          <w:color w:val="191919"/>
        </w:rPr>
      </w:pPr>
    </w:p>
    <w:p>
      <w:pPr>
        <w:ind w:left="1960" w:hanging="433"/>
        <w:spacing w:after="0"/>
        <w:tabs>
          <w:tab w:leader="none" w:pos="1960" w:val="left"/>
        </w:tabs>
        <w:numPr>
          <w:ilvl w:val="1"/>
          <w:numId w:val="2"/>
        </w:numPr>
        <w:rPr>
          <w:rFonts w:ascii="Arial" w:cs="Arial" w:eastAsia="Arial" w:hAnsi="Arial"/>
          <w:sz w:val="18"/>
          <w:szCs w:val="18"/>
          <w:color w:val="191919"/>
        </w:rPr>
      </w:pPr>
      <w:r>
        <w:rPr>
          <w:rFonts w:ascii="Arial" w:cs="Arial" w:eastAsia="Arial" w:hAnsi="Arial"/>
          <w:sz w:val="18"/>
          <w:szCs w:val="18"/>
          <w:color w:val="191919"/>
        </w:rPr>
        <w:t>Proposed maximum aggregate value of transaction:</w:t>
      </w:r>
    </w:p>
    <w:p>
      <w:pPr>
        <w:spacing w:after="0" w:line="238" w:lineRule="exact"/>
        <w:rPr>
          <w:rFonts w:ascii="Arial" w:cs="Arial" w:eastAsia="Arial" w:hAnsi="Arial"/>
          <w:sz w:val="18"/>
          <w:szCs w:val="18"/>
          <w:color w:val="191919"/>
        </w:rPr>
      </w:pPr>
    </w:p>
    <w:p>
      <w:pPr>
        <w:ind w:left="1960" w:hanging="433"/>
        <w:spacing w:after="0"/>
        <w:tabs>
          <w:tab w:leader="none" w:pos="1960" w:val="left"/>
        </w:tabs>
        <w:numPr>
          <w:ilvl w:val="1"/>
          <w:numId w:val="2"/>
        </w:numPr>
        <w:rPr>
          <w:rFonts w:ascii="Arial" w:cs="Arial" w:eastAsia="Arial" w:hAnsi="Arial"/>
          <w:sz w:val="18"/>
          <w:szCs w:val="18"/>
          <w:color w:val="191919"/>
        </w:rPr>
      </w:pPr>
      <w:r>
        <w:rPr>
          <w:rFonts w:ascii="Arial" w:cs="Arial" w:eastAsia="Arial" w:hAnsi="Arial"/>
          <w:sz w:val="18"/>
          <w:szCs w:val="18"/>
          <w:color w:val="191919"/>
        </w:rPr>
        <w:t>Total fee paid:</w:t>
      </w:r>
    </w:p>
    <w:p>
      <w:pPr>
        <w:spacing w:after="0" w:line="200" w:lineRule="exact"/>
        <w:rPr>
          <w:rFonts w:ascii="Arial" w:cs="Arial" w:eastAsia="Arial" w:hAnsi="Arial"/>
          <w:sz w:val="18"/>
          <w:szCs w:val="18"/>
          <w:color w:val="191919"/>
        </w:rPr>
      </w:pPr>
    </w:p>
    <w:p>
      <w:pPr>
        <w:spacing w:after="0" w:line="281" w:lineRule="exact"/>
        <w:rPr>
          <w:rFonts w:ascii="Arial" w:cs="Arial" w:eastAsia="Arial" w:hAnsi="Arial"/>
          <w:sz w:val="18"/>
          <w:szCs w:val="18"/>
          <w:color w:val="191919"/>
        </w:rPr>
      </w:pPr>
    </w:p>
    <w:p>
      <w:pPr>
        <w:ind w:left="1520" w:hanging="385"/>
        <w:spacing w:after="0"/>
        <w:tabs>
          <w:tab w:leader="none" w:pos="1520" w:val="left"/>
        </w:tabs>
        <w:numPr>
          <w:ilvl w:val="0"/>
          <w:numId w:val="2"/>
        </w:numPr>
        <w:rPr>
          <w:rFonts w:ascii="Arial" w:cs="Arial" w:eastAsia="Arial" w:hAnsi="Arial"/>
          <w:sz w:val="18"/>
          <w:szCs w:val="18"/>
          <w:color w:val="191919"/>
        </w:rPr>
      </w:pPr>
      <w:r>
        <w:rPr>
          <w:rFonts w:ascii="Arial" w:cs="Arial" w:eastAsia="Arial" w:hAnsi="Arial"/>
          <w:sz w:val="18"/>
          <w:szCs w:val="18"/>
          <w:color w:val="191919"/>
        </w:rPr>
        <w:t>Fee paid previously with preliminary materials.</w:t>
      </w:r>
    </w:p>
    <w:p>
      <w:pPr>
        <w:spacing w:after="0" w:line="252" w:lineRule="exact"/>
        <w:rPr>
          <w:rFonts w:ascii="Arial" w:cs="Arial" w:eastAsia="Arial" w:hAnsi="Arial"/>
          <w:sz w:val="18"/>
          <w:szCs w:val="18"/>
          <w:color w:val="191919"/>
        </w:rPr>
      </w:pPr>
    </w:p>
    <w:p>
      <w:pPr>
        <w:ind w:left="1520" w:right="259" w:hanging="385"/>
        <w:spacing w:after="0" w:line="259" w:lineRule="auto"/>
        <w:tabs>
          <w:tab w:leader="none" w:pos="1520" w:val="left"/>
        </w:tabs>
        <w:numPr>
          <w:ilvl w:val="0"/>
          <w:numId w:val="2"/>
        </w:numPr>
        <w:rPr>
          <w:rFonts w:ascii="Arial" w:cs="Arial" w:eastAsia="Arial" w:hAnsi="Arial"/>
          <w:sz w:val="18"/>
          <w:szCs w:val="18"/>
          <w:color w:val="191919"/>
        </w:rPr>
      </w:pPr>
      <w:r>
        <w:rPr>
          <w:rFonts w:ascii="Arial" w:cs="Arial" w:eastAsia="Arial" w:hAnsi="Arial"/>
          <w:sz w:val="18"/>
          <w:szCs w:val="18"/>
          <w:color w:val="191919"/>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0" w:lineRule="exact"/>
        <w:rPr>
          <w:rFonts w:ascii="Arial" w:cs="Arial" w:eastAsia="Arial" w:hAnsi="Arial"/>
          <w:sz w:val="18"/>
          <w:szCs w:val="18"/>
          <w:color w:val="191919"/>
        </w:rPr>
      </w:pPr>
    </w:p>
    <w:p>
      <w:pPr>
        <w:ind w:left="1960" w:hanging="433"/>
        <w:spacing w:after="0"/>
        <w:tabs>
          <w:tab w:leader="none" w:pos="1960" w:val="left"/>
        </w:tabs>
        <w:numPr>
          <w:ilvl w:val="1"/>
          <w:numId w:val="2"/>
        </w:numPr>
        <w:rPr>
          <w:rFonts w:ascii="Arial" w:cs="Arial" w:eastAsia="Arial" w:hAnsi="Arial"/>
          <w:sz w:val="18"/>
          <w:szCs w:val="18"/>
          <w:color w:val="191919"/>
        </w:rPr>
      </w:pPr>
      <w:r>
        <w:rPr>
          <w:rFonts w:ascii="Arial" w:cs="Arial" w:eastAsia="Arial" w:hAnsi="Arial"/>
          <w:sz w:val="18"/>
          <w:szCs w:val="18"/>
          <w:color w:val="191919"/>
        </w:rPr>
        <w:t>Amount Previously Paid:</w:t>
      </w:r>
    </w:p>
    <w:p>
      <w:pPr>
        <w:spacing w:after="0" w:line="238" w:lineRule="exact"/>
        <w:rPr>
          <w:rFonts w:ascii="Arial" w:cs="Arial" w:eastAsia="Arial" w:hAnsi="Arial"/>
          <w:sz w:val="18"/>
          <w:szCs w:val="18"/>
          <w:color w:val="191919"/>
        </w:rPr>
      </w:pPr>
    </w:p>
    <w:p>
      <w:pPr>
        <w:ind w:left="1960" w:hanging="433"/>
        <w:spacing w:after="0"/>
        <w:tabs>
          <w:tab w:leader="none" w:pos="1960" w:val="left"/>
        </w:tabs>
        <w:numPr>
          <w:ilvl w:val="1"/>
          <w:numId w:val="2"/>
        </w:numPr>
        <w:rPr>
          <w:rFonts w:ascii="Arial" w:cs="Arial" w:eastAsia="Arial" w:hAnsi="Arial"/>
          <w:sz w:val="18"/>
          <w:szCs w:val="18"/>
          <w:color w:val="191919"/>
        </w:rPr>
      </w:pPr>
      <w:r>
        <w:rPr>
          <w:rFonts w:ascii="Arial" w:cs="Arial" w:eastAsia="Arial" w:hAnsi="Arial"/>
          <w:sz w:val="18"/>
          <w:szCs w:val="18"/>
          <w:color w:val="191919"/>
        </w:rPr>
        <w:t>Form, Schedule or Registration Statement No.:</w:t>
      </w:r>
    </w:p>
    <w:p>
      <w:pPr>
        <w:spacing w:after="0" w:line="238" w:lineRule="exact"/>
        <w:rPr>
          <w:rFonts w:ascii="Arial" w:cs="Arial" w:eastAsia="Arial" w:hAnsi="Arial"/>
          <w:sz w:val="18"/>
          <w:szCs w:val="18"/>
          <w:color w:val="191919"/>
        </w:rPr>
      </w:pPr>
    </w:p>
    <w:p>
      <w:pPr>
        <w:ind w:left="1960" w:hanging="433"/>
        <w:spacing w:after="0"/>
        <w:tabs>
          <w:tab w:leader="none" w:pos="1960" w:val="left"/>
        </w:tabs>
        <w:numPr>
          <w:ilvl w:val="1"/>
          <w:numId w:val="2"/>
        </w:numPr>
        <w:rPr>
          <w:rFonts w:ascii="Arial" w:cs="Arial" w:eastAsia="Arial" w:hAnsi="Arial"/>
          <w:sz w:val="18"/>
          <w:szCs w:val="18"/>
          <w:color w:val="191919"/>
        </w:rPr>
      </w:pPr>
      <w:r>
        <w:rPr>
          <w:rFonts w:ascii="Arial" w:cs="Arial" w:eastAsia="Arial" w:hAnsi="Arial"/>
          <w:sz w:val="18"/>
          <w:szCs w:val="18"/>
          <w:color w:val="191919"/>
        </w:rPr>
        <w:t>Filing Party:</w:t>
      </w:r>
    </w:p>
    <w:p>
      <w:pPr>
        <w:spacing w:after="0" w:line="238" w:lineRule="exact"/>
        <w:rPr>
          <w:rFonts w:ascii="Arial" w:cs="Arial" w:eastAsia="Arial" w:hAnsi="Arial"/>
          <w:sz w:val="18"/>
          <w:szCs w:val="18"/>
          <w:color w:val="191919"/>
        </w:rPr>
      </w:pPr>
    </w:p>
    <w:p>
      <w:pPr>
        <w:ind w:left="1960" w:hanging="433"/>
        <w:spacing w:after="0"/>
        <w:tabs>
          <w:tab w:leader="none" w:pos="1960" w:val="left"/>
        </w:tabs>
        <w:numPr>
          <w:ilvl w:val="1"/>
          <w:numId w:val="2"/>
        </w:numPr>
        <w:rPr>
          <w:rFonts w:ascii="Arial" w:cs="Arial" w:eastAsia="Arial" w:hAnsi="Arial"/>
          <w:sz w:val="18"/>
          <w:szCs w:val="18"/>
          <w:color w:val="191919"/>
        </w:rPr>
      </w:pPr>
      <w:r>
        <w:rPr>
          <w:rFonts w:ascii="Arial" w:cs="Arial" w:eastAsia="Arial" w:hAnsi="Arial"/>
          <w:sz w:val="18"/>
          <w:szCs w:val="18"/>
          <w:color w:val="191919"/>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1239520</wp:posOffset>
            </wp:positionH>
            <wp:positionV relativeFrom="paragraph">
              <wp:posOffset>-3263265</wp:posOffset>
            </wp:positionV>
            <wp:extent cx="5177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7779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-2980055</wp:posOffset>
            </wp:positionV>
            <wp:extent cx="5177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777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-2560320</wp:posOffset>
            </wp:positionV>
            <wp:extent cx="51777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7779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-2277110</wp:posOffset>
            </wp:positionV>
            <wp:extent cx="5177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7779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-1994535</wp:posOffset>
            </wp:positionV>
            <wp:extent cx="5177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777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-699770</wp:posOffset>
            </wp:positionV>
            <wp:extent cx="5177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7779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-417195</wp:posOffset>
            </wp:positionV>
            <wp:extent cx="51777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7779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-133985</wp:posOffset>
            </wp:positionV>
            <wp:extent cx="5177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7779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147955</wp:posOffset>
            </wp:positionV>
            <wp:extent cx="5177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ectPr>
          <w:pgSz w:w="11900" w:h="16838" w:orient="portrait"/>
          <w:cols w:equalWidth="0" w:num="1">
            <w:col w:w="10139"/>
          </w:cols>
          <w:pgMar w:left="320" w:top="685" w:right="1440" w:bottom="46"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361315</wp:posOffset>
            </wp:positionV>
            <wp:extent cx="71361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147955</wp:posOffset>
            </wp:positionV>
            <wp:extent cx="2597150" cy="857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715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02568A"/>
        </w:rPr>
        <w:t>March 27, 2020</w:t>
      </w:r>
    </w:p>
    <w:p>
      <w:pPr>
        <w:spacing w:after="0" w:line="211" w:lineRule="exact"/>
        <w:rPr>
          <w:sz w:val="20"/>
          <w:szCs w:val="20"/>
          <w:color w:val="auto"/>
        </w:rPr>
      </w:pPr>
    </w:p>
    <w:p>
      <w:pPr>
        <w:spacing w:after="0"/>
        <w:rPr>
          <w:sz w:val="20"/>
          <w:szCs w:val="20"/>
          <w:color w:val="auto"/>
        </w:rPr>
      </w:pPr>
      <w:r>
        <w:rPr>
          <w:rFonts w:ascii="Arial" w:cs="Arial" w:eastAsia="Arial" w:hAnsi="Arial"/>
          <w:sz w:val="24"/>
          <w:szCs w:val="24"/>
          <w:b w:val="1"/>
          <w:bCs w:val="1"/>
          <w:color w:val="02568A"/>
        </w:rPr>
        <w:t>Dear Stockholder:</w:t>
      </w:r>
    </w:p>
    <w:p>
      <w:pPr>
        <w:spacing w:after="0" w:line="24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191919"/>
        </w:rPr>
        <w:t>I am pleased to invite you to attend the 2020 Annual Meeting of Stockholders (the “Annual Meeting”) of Skyworks Solutions, Inc., to be held at 2:00 p.m. Eastern Daylight Time, on Wednesday, May 6, 2020. The Annual Meeting will be held online due to the emerging public health impact of the coronavirus outbreak (COVID-19) and to support the health and well-being of our partners, employees, and stockholders. You will be able to attend and participate in the Annual Meeting online by visiting www.virtualshareholdermeeting.com/SWKS2020, where you will be able to listen to the meeting live, submit questions, and vote. In light of the public health and safety concerns related to COVID-19, we believe that hosting a “virtual meeting” will enable greater stockholder attendance and participation from any location around the world. We intend to resume our historical practice of holding an in-person meeting next year. We look forward to your participation online or by proxy. The attached Notice of Annual Meeting of Stockholders and Proxy Statement describe the matters that we expect to be acted upon at the Annual Meeting.</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191919"/>
        </w:rPr>
        <w:t>Whether or not you plan to attend the Annual Meeting online, and regardless of how many shares you own, it is important that your shares be represented at the Annual Meeting. Accordingly, if you are a stockholder of record, we urge you to complete the proxy and return it to us promptly in the postage-prepaid envelope provided, or to complete and submit your proxy by telephone or via the Internet in accordance with the instructions on the proxy card. If your shares are held in “street name,” that is, held for your account by a broker or other nominee, you will receive instructions from the holder of record that you must follow for your shares to be voted. If you do attend the Annual Meeting online and wish to vote at that time, you may revoke a previously submitted proxy by voting at the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191919"/>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654175"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5417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02568A"/>
        </w:rPr>
        <w:t>David J. Aldrich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191919"/>
        </w:rPr>
        <w:t>Chairman of the Board</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0001"/>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548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FFFFFE"/>
        </w:rPr>
        <w:t>Notice of Annual Meeting of Stockholders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FFFFFE"/>
        </w:rPr>
        <w:t>To Be Held on Wednesday, May 6, 2020</w:t>
      </w:r>
    </w:p>
    <w:p>
      <w:pPr>
        <w:spacing w:after="0" w:line="257" w:lineRule="exact"/>
        <w:rPr>
          <w:sz w:val="20"/>
          <w:szCs w:val="20"/>
          <w:color w:val="auto"/>
        </w:rPr>
      </w:pPr>
    </w:p>
    <w:p>
      <w:pPr>
        <w:spacing w:after="0"/>
        <w:rPr>
          <w:sz w:val="20"/>
          <w:szCs w:val="20"/>
          <w:color w:val="auto"/>
        </w:rPr>
      </w:pPr>
      <w:r>
        <w:rPr>
          <w:rFonts w:ascii="Arial" w:cs="Arial" w:eastAsia="Arial" w:hAnsi="Arial"/>
          <w:sz w:val="24"/>
          <w:szCs w:val="24"/>
          <w:b w:val="1"/>
          <w:bCs w:val="1"/>
          <w:color w:val="02568A"/>
        </w:rPr>
        <w:t>To the Stockholders of Skyworks Solutions, Inc.:</w:t>
      </w:r>
    </w:p>
    <w:p>
      <w:pPr>
        <w:spacing w:after="0" w:line="2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191919"/>
        </w:rPr>
        <w:t>The 2020 Annual Meeting of Stockholders (the “Annual Meeting”) of Skyworks Solutions, Inc. (the “Company”), will be held on Wednesday, May 6, 2020, at 2:00 p.m. Eastern Daylight Time. The Annual Meeting will be held online, accessed through the site www.virtualshareholdermeeting.com/SWKS2020, to consider and act upon the following proposals:</w:t>
      </w:r>
    </w:p>
    <w:p>
      <w:pPr>
        <w:spacing w:after="0" w:line="207" w:lineRule="exact"/>
        <w:rPr>
          <w:sz w:val="20"/>
          <w:szCs w:val="20"/>
          <w:color w:val="auto"/>
        </w:rPr>
      </w:pPr>
    </w:p>
    <w:p>
      <w:pPr>
        <w:ind w:left="1080" w:right="120" w:hanging="532"/>
        <w:spacing w:after="0" w:line="268" w:lineRule="auto"/>
        <w:tabs>
          <w:tab w:leader="none" w:pos="1080" w:val="left"/>
        </w:tabs>
        <w:numPr>
          <w:ilvl w:val="0"/>
          <w:numId w:val="3"/>
        </w:numPr>
        <w:rPr>
          <w:rFonts w:ascii="Arial" w:cs="Arial" w:eastAsia="Arial" w:hAnsi="Arial"/>
          <w:sz w:val="18"/>
          <w:szCs w:val="18"/>
          <w:color w:val="191919"/>
        </w:rPr>
      </w:pPr>
      <w:r>
        <w:rPr>
          <w:rFonts w:ascii="Arial" w:cs="Arial" w:eastAsia="Arial" w:hAnsi="Arial"/>
          <w:sz w:val="18"/>
          <w:szCs w:val="18"/>
          <w:color w:val="191919"/>
        </w:rPr>
        <w:t>To elect nine individuals nominated to serve as directors of the Company with terms expiring at the 2021 Annual Meeting of Stockholders and named in the Proxy Statement;</w:t>
      </w:r>
    </w:p>
    <w:p>
      <w:pPr>
        <w:spacing w:after="0" w:line="212" w:lineRule="exact"/>
        <w:rPr>
          <w:rFonts w:ascii="Arial" w:cs="Arial" w:eastAsia="Arial" w:hAnsi="Arial"/>
          <w:sz w:val="18"/>
          <w:szCs w:val="18"/>
          <w:color w:val="191919"/>
        </w:rPr>
      </w:pPr>
    </w:p>
    <w:p>
      <w:pPr>
        <w:ind w:left="1080" w:right="680" w:hanging="532"/>
        <w:spacing w:after="0" w:line="268" w:lineRule="auto"/>
        <w:tabs>
          <w:tab w:leader="none" w:pos="1080" w:val="left"/>
        </w:tabs>
        <w:numPr>
          <w:ilvl w:val="0"/>
          <w:numId w:val="3"/>
        </w:numPr>
        <w:rPr>
          <w:rFonts w:ascii="Arial" w:cs="Arial" w:eastAsia="Arial" w:hAnsi="Arial"/>
          <w:sz w:val="18"/>
          <w:szCs w:val="18"/>
          <w:color w:val="191919"/>
        </w:rPr>
      </w:pPr>
      <w:r>
        <w:rPr>
          <w:rFonts w:ascii="Arial" w:cs="Arial" w:eastAsia="Arial" w:hAnsi="Arial"/>
          <w:sz w:val="18"/>
          <w:szCs w:val="18"/>
          <w:color w:val="191919"/>
        </w:rPr>
        <w:t>To ratify the selection by the Company’s Audit Committee of KPMG LLP as the independent registered public accounting firm for the Company for fiscal year 2020;</w:t>
      </w:r>
    </w:p>
    <w:p>
      <w:pPr>
        <w:spacing w:after="0" w:line="199" w:lineRule="exact"/>
        <w:rPr>
          <w:rFonts w:ascii="Arial" w:cs="Arial" w:eastAsia="Arial" w:hAnsi="Arial"/>
          <w:sz w:val="18"/>
          <w:szCs w:val="18"/>
          <w:color w:val="191919"/>
        </w:rPr>
      </w:pPr>
    </w:p>
    <w:p>
      <w:pPr>
        <w:ind w:left="1080" w:hanging="532"/>
        <w:spacing w:after="0"/>
        <w:tabs>
          <w:tab w:leader="none" w:pos="1080" w:val="left"/>
        </w:tabs>
        <w:numPr>
          <w:ilvl w:val="0"/>
          <w:numId w:val="3"/>
        </w:numPr>
        <w:rPr>
          <w:rFonts w:ascii="Arial" w:cs="Arial" w:eastAsia="Arial" w:hAnsi="Arial"/>
          <w:sz w:val="18"/>
          <w:szCs w:val="18"/>
          <w:color w:val="191919"/>
        </w:rPr>
      </w:pPr>
      <w:r>
        <w:rPr>
          <w:rFonts w:ascii="Arial" w:cs="Arial" w:eastAsia="Arial" w:hAnsi="Arial"/>
          <w:sz w:val="18"/>
          <w:szCs w:val="18"/>
          <w:color w:val="191919"/>
        </w:rPr>
        <w:t>To approve, on an advisory basis, the compensation of the Company’s named executive officers;</w:t>
      </w:r>
    </w:p>
    <w:p>
      <w:pPr>
        <w:spacing w:after="0" w:line="238" w:lineRule="exact"/>
        <w:rPr>
          <w:rFonts w:ascii="Arial" w:cs="Arial" w:eastAsia="Arial" w:hAnsi="Arial"/>
          <w:sz w:val="18"/>
          <w:szCs w:val="18"/>
          <w:color w:val="191919"/>
        </w:rPr>
      </w:pPr>
    </w:p>
    <w:p>
      <w:pPr>
        <w:ind w:left="1080" w:hanging="532"/>
        <w:spacing w:after="0"/>
        <w:tabs>
          <w:tab w:leader="none" w:pos="1080" w:val="left"/>
        </w:tabs>
        <w:numPr>
          <w:ilvl w:val="0"/>
          <w:numId w:val="3"/>
        </w:numPr>
        <w:rPr>
          <w:rFonts w:ascii="Arial" w:cs="Arial" w:eastAsia="Arial" w:hAnsi="Arial"/>
          <w:sz w:val="18"/>
          <w:szCs w:val="18"/>
          <w:color w:val="191919"/>
        </w:rPr>
      </w:pPr>
      <w:r>
        <w:rPr>
          <w:rFonts w:ascii="Arial" w:cs="Arial" w:eastAsia="Arial" w:hAnsi="Arial"/>
          <w:sz w:val="18"/>
          <w:szCs w:val="18"/>
          <w:color w:val="191919"/>
        </w:rPr>
        <w:t>To approve an amendment to the Company’s 2002 Employee Stock Purchase Plan, as Amended;</w:t>
      </w:r>
    </w:p>
    <w:p>
      <w:pPr>
        <w:spacing w:after="0" w:line="252" w:lineRule="exact"/>
        <w:rPr>
          <w:rFonts w:ascii="Arial" w:cs="Arial" w:eastAsia="Arial" w:hAnsi="Arial"/>
          <w:sz w:val="18"/>
          <w:szCs w:val="18"/>
          <w:color w:val="191919"/>
        </w:rPr>
      </w:pPr>
    </w:p>
    <w:p>
      <w:pPr>
        <w:jc w:val="both"/>
        <w:ind w:left="1080" w:right="300" w:hanging="532"/>
        <w:spacing w:after="0" w:line="259" w:lineRule="auto"/>
        <w:tabs>
          <w:tab w:leader="none" w:pos="1080" w:val="left"/>
        </w:tabs>
        <w:numPr>
          <w:ilvl w:val="0"/>
          <w:numId w:val="3"/>
        </w:numPr>
        <w:rPr>
          <w:rFonts w:ascii="Arial" w:cs="Arial" w:eastAsia="Arial" w:hAnsi="Arial"/>
          <w:sz w:val="18"/>
          <w:szCs w:val="18"/>
          <w:color w:val="191919"/>
        </w:rPr>
      </w:pPr>
      <w:r>
        <w:rPr>
          <w:rFonts w:ascii="Arial" w:cs="Arial" w:eastAsia="Arial" w:hAnsi="Arial"/>
          <w:sz w:val="18"/>
          <w:szCs w:val="18"/>
          <w:color w:val="191919"/>
        </w:rPr>
        <w:t>To approve an amendment to the Company’s Restated Certificate of Incorporation to eliminate the supermajority vote provisions relating to stockholder approval of a merger or consolidation, disposition of all or substantially all of the Company’s assets, or issuance of a substantial amount of the Company’s securities;</w:t>
      </w:r>
    </w:p>
    <w:p>
      <w:pPr>
        <w:spacing w:after="0" w:line="207" w:lineRule="exact"/>
        <w:rPr>
          <w:rFonts w:ascii="Arial" w:cs="Arial" w:eastAsia="Arial" w:hAnsi="Arial"/>
          <w:sz w:val="18"/>
          <w:szCs w:val="18"/>
          <w:color w:val="191919"/>
        </w:rPr>
      </w:pPr>
    </w:p>
    <w:p>
      <w:pPr>
        <w:ind w:left="1080" w:right="320" w:hanging="532"/>
        <w:spacing w:after="0" w:line="268" w:lineRule="auto"/>
        <w:tabs>
          <w:tab w:leader="none" w:pos="1080" w:val="left"/>
        </w:tabs>
        <w:numPr>
          <w:ilvl w:val="0"/>
          <w:numId w:val="3"/>
        </w:numPr>
        <w:rPr>
          <w:rFonts w:ascii="Arial" w:cs="Arial" w:eastAsia="Arial" w:hAnsi="Arial"/>
          <w:sz w:val="18"/>
          <w:szCs w:val="18"/>
          <w:color w:val="191919"/>
        </w:rPr>
      </w:pPr>
      <w:r>
        <w:rPr>
          <w:rFonts w:ascii="Arial" w:cs="Arial" w:eastAsia="Arial" w:hAnsi="Arial"/>
          <w:sz w:val="18"/>
          <w:szCs w:val="18"/>
          <w:color w:val="191919"/>
        </w:rPr>
        <w:t>To approve an amendment to the Company’s Restated Certificate of Incorporation to eliminate the supermajority vote provisions relating to stockholder approval of a business combination with any related person;</w:t>
      </w:r>
    </w:p>
    <w:p>
      <w:pPr>
        <w:spacing w:after="0" w:line="199" w:lineRule="exact"/>
        <w:rPr>
          <w:rFonts w:ascii="Arial" w:cs="Arial" w:eastAsia="Arial" w:hAnsi="Arial"/>
          <w:sz w:val="18"/>
          <w:szCs w:val="18"/>
          <w:color w:val="191919"/>
        </w:rPr>
      </w:pPr>
    </w:p>
    <w:p>
      <w:pPr>
        <w:ind w:left="1080" w:right="400" w:hanging="532"/>
        <w:spacing w:after="0" w:line="268" w:lineRule="auto"/>
        <w:tabs>
          <w:tab w:leader="none" w:pos="1080" w:val="left"/>
        </w:tabs>
        <w:numPr>
          <w:ilvl w:val="0"/>
          <w:numId w:val="3"/>
        </w:numPr>
        <w:rPr>
          <w:rFonts w:ascii="Arial" w:cs="Arial" w:eastAsia="Arial" w:hAnsi="Arial"/>
          <w:sz w:val="18"/>
          <w:szCs w:val="18"/>
          <w:color w:val="191919"/>
        </w:rPr>
      </w:pPr>
      <w:r>
        <w:rPr>
          <w:rFonts w:ascii="Arial" w:cs="Arial" w:eastAsia="Arial" w:hAnsi="Arial"/>
          <w:sz w:val="18"/>
          <w:szCs w:val="18"/>
          <w:color w:val="191919"/>
        </w:rPr>
        <w:t>To approve an amendment to the Company’s Restated Certificate of Incorporation to eliminate the supermajority vote provision relating to stockholder amendment of charter provisions governing directors;</w:t>
      </w:r>
    </w:p>
    <w:p>
      <w:pPr>
        <w:spacing w:after="0" w:line="212" w:lineRule="exact"/>
        <w:rPr>
          <w:rFonts w:ascii="Arial" w:cs="Arial" w:eastAsia="Arial" w:hAnsi="Arial"/>
          <w:sz w:val="18"/>
          <w:szCs w:val="18"/>
          <w:color w:val="191919"/>
        </w:rPr>
      </w:pPr>
    </w:p>
    <w:p>
      <w:pPr>
        <w:ind w:left="1080" w:right="400" w:hanging="532"/>
        <w:spacing w:after="0" w:line="268" w:lineRule="auto"/>
        <w:tabs>
          <w:tab w:leader="none" w:pos="1080" w:val="left"/>
        </w:tabs>
        <w:numPr>
          <w:ilvl w:val="0"/>
          <w:numId w:val="3"/>
        </w:numPr>
        <w:rPr>
          <w:rFonts w:ascii="Arial" w:cs="Arial" w:eastAsia="Arial" w:hAnsi="Arial"/>
          <w:sz w:val="18"/>
          <w:szCs w:val="18"/>
          <w:color w:val="191919"/>
        </w:rPr>
      </w:pPr>
      <w:r>
        <w:rPr>
          <w:rFonts w:ascii="Arial" w:cs="Arial" w:eastAsia="Arial" w:hAnsi="Arial"/>
          <w:sz w:val="18"/>
          <w:szCs w:val="18"/>
          <w:color w:val="191919"/>
        </w:rPr>
        <w:t>To approve an amendment to the Company’s Restated Certificate of Incorporation to eliminate the supermajority vote provision relating to stockholder amendment of the charter provision governing action by stockholders;</w:t>
      </w:r>
    </w:p>
    <w:p>
      <w:pPr>
        <w:spacing w:after="0" w:line="199" w:lineRule="exact"/>
        <w:rPr>
          <w:rFonts w:ascii="Arial" w:cs="Arial" w:eastAsia="Arial" w:hAnsi="Arial"/>
          <w:sz w:val="18"/>
          <w:szCs w:val="18"/>
          <w:color w:val="191919"/>
        </w:rPr>
      </w:pPr>
    </w:p>
    <w:p>
      <w:pPr>
        <w:ind w:left="1080" w:hanging="532"/>
        <w:spacing w:after="0"/>
        <w:tabs>
          <w:tab w:leader="none" w:pos="1080" w:val="left"/>
        </w:tabs>
        <w:numPr>
          <w:ilvl w:val="0"/>
          <w:numId w:val="3"/>
        </w:numPr>
        <w:rPr>
          <w:rFonts w:ascii="Arial" w:cs="Arial" w:eastAsia="Arial" w:hAnsi="Arial"/>
          <w:sz w:val="18"/>
          <w:szCs w:val="18"/>
          <w:color w:val="191919"/>
        </w:rPr>
      </w:pPr>
      <w:r>
        <w:rPr>
          <w:rFonts w:ascii="Arial" w:cs="Arial" w:eastAsia="Arial" w:hAnsi="Arial"/>
          <w:sz w:val="18"/>
          <w:szCs w:val="18"/>
          <w:color w:val="191919"/>
        </w:rPr>
        <w:t>To consider one stockholder proposal, if properly presented at the Annual Meeting; and</w:t>
      </w:r>
    </w:p>
    <w:p>
      <w:pPr>
        <w:spacing w:after="0" w:line="238" w:lineRule="exact"/>
        <w:rPr>
          <w:rFonts w:ascii="Arial" w:cs="Arial" w:eastAsia="Arial" w:hAnsi="Arial"/>
          <w:sz w:val="18"/>
          <w:szCs w:val="18"/>
          <w:color w:val="191919"/>
        </w:rPr>
      </w:pPr>
    </w:p>
    <w:p>
      <w:pPr>
        <w:ind w:left="1080" w:hanging="532"/>
        <w:spacing w:after="0"/>
        <w:tabs>
          <w:tab w:leader="none" w:pos="1080" w:val="left"/>
        </w:tabs>
        <w:numPr>
          <w:ilvl w:val="0"/>
          <w:numId w:val="3"/>
        </w:numPr>
        <w:rPr>
          <w:rFonts w:ascii="Arial" w:cs="Arial" w:eastAsia="Arial" w:hAnsi="Arial"/>
          <w:sz w:val="18"/>
          <w:szCs w:val="18"/>
          <w:color w:val="191919"/>
        </w:rPr>
      </w:pPr>
      <w:r>
        <w:rPr>
          <w:rFonts w:ascii="Arial" w:cs="Arial" w:eastAsia="Arial" w:hAnsi="Arial"/>
          <w:sz w:val="18"/>
          <w:szCs w:val="18"/>
          <w:color w:val="191919"/>
        </w:rPr>
        <w:t>To transact such other business as may properly come before the Annual Meeting.</w:t>
      </w:r>
    </w:p>
    <w:p>
      <w:pPr>
        <w:spacing w:after="0" w:line="219" w:lineRule="exact"/>
        <w:rPr>
          <w:sz w:val="20"/>
          <w:szCs w:val="20"/>
          <w:color w:val="auto"/>
        </w:rPr>
      </w:pPr>
    </w:p>
    <w:p>
      <w:pPr>
        <w:ind w:right="340"/>
        <w:spacing w:after="0" w:line="306" w:lineRule="auto"/>
        <w:rPr>
          <w:sz w:val="20"/>
          <w:szCs w:val="20"/>
          <w:color w:val="auto"/>
        </w:rPr>
      </w:pPr>
      <w:r>
        <w:rPr>
          <w:rFonts w:ascii="Arial" w:cs="Arial" w:eastAsia="Arial" w:hAnsi="Arial"/>
          <w:sz w:val="15"/>
          <w:szCs w:val="15"/>
          <w:color w:val="191919"/>
        </w:rPr>
        <w:t xml:space="preserve">Only stockholders of record at the close of business on March 12, 2020, are entitled to notice of and to vote at the Annual Meeting. </w:t>
      </w:r>
      <w:r>
        <w:rPr>
          <w:rFonts w:ascii="Arial" w:cs="Arial" w:eastAsia="Arial" w:hAnsi="Arial"/>
          <w:sz w:val="15"/>
          <w:szCs w:val="15"/>
          <w:b w:val="1"/>
          <w:bCs w:val="1"/>
          <w:color w:val="191919"/>
        </w:rPr>
        <w:t>To ensure your</w:t>
      </w:r>
      <w:r>
        <w:rPr>
          <w:rFonts w:ascii="Arial" w:cs="Arial" w:eastAsia="Arial" w:hAnsi="Arial"/>
          <w:sz w:val="15"/>
          <w:szCs w:val="15"/>
          <w:color w:val="191919"/>
        </w:rPr>
        <w:t xml:space="preserve"> </w:t>
      </w:r>
      <w:r>
        <w:rPr>
          <w:rFonts w:ascii="Arial" w:cs="Arial" w:eastAsia="Arial" w:hAnsi="Arial"/>
          <w:sz w:val="15"/>
          <w:szCs w:val="15"/>
          <w:b w:val="1"/>
          <w:bCs w:val="1"/>
          <w:color w:val="191919"/>
        </w:rPr>
        <w:t>representation at the Annual Meeting, we urge you to submit a proxy promptly in one of the following ways whether or not you plan to attend the Annual Meeting online</w:t>
      </w:r>
      <w:r>
        <w:rPr>
          <w:rFonts w:ascii="Arial" w:cs="Arial" w:eastAsia="Arial" w:hAnsi="Arial"/>
          <w:sz w:val="15"/>
          <w:szCs w:val="15"/>
          <w:color w:val="191919"/>
        </w:rPr>
        <w:t>: (a) by completing, signing, and dating the proxy card and returning it in the postage-prepaid envelope provided for that purpose;</w:t>
      </w:r>
    </w:p>
    <w:p>
      <w:pPr>
        <w:spacing w:after="0" w:line="1" w:lineRule="exact"/>
        <w:rPr>
          <w:sz w:val="20"/>
          <w:szCs w:val="20"/>
          <w:color w:val="auto"/>
        </w:rPr>
      </w:pPr>
    </w:p>
    <w:p>
      <w:pPr>
        <w:ind w:firstLine="8"/>
        <w:spacing w:after="0" w:line="288" w:lineRule="auto"/>
        <w:tabs>
          <w:tab w:leader="none" w:pos="249" w:val="left"/>
        </w:tabs>
        <w:numPr>
          <w:ilvl w:val="0"/>
          <w:numId w:val="4"/>
        </w:numPr>
        <w:rPr>
          <w:rFonts w:ascii="Arial" w:cs="Arial" w:eastAsia="Arial" w:hAnsi="Arial"/>
          <w:sz w:val="16"/>
          <w:szCs w:val="16"/>
          <w:color w:val="191919"/>
        </w:rPr>
      </w:pPr>
      <w:r>
        <w:rPr>
          <w:rFonts w:ascii="Arial" w:cs="Arial" w:eastAsia="Arial" w:hAnsi="Arial"/>
          <w:sz w:val="16"/>
          <w:szCs w:val="16"/>
          <w:color w:val="191919"/>
        </w:rPr>
        <w:t>by completing and submitting your proxy using the toll-free telephone number listed on the proxy card; or (c) by completing and submitting your proxy via the Internet by visiting the website address listed on the proxy card. The Proxy Statement accompanying this notice describes each of the items of business listed above in more detail. Our Board of Directors recommends: a vote “</w:t>
      </w:r>
      <w:r>
        <w:rPr>
          <w:rFonts w:ascii="Arial" w:cs="Arial" w:eastAsia="Arial" w:hAnsi="Arial"/>
          <w:sz w:val="16"/>
          <w:szCs w:val="16"/>
          <w:b w:val="1"/>
          <w:bCs w:val="1"/>
          <w:color w:val="191919"/>
        </w:rPr>
        <w:t>FOR</w:t>
      </w:r>
      <w:r>
        <w:rPr>
          <w:rFonts w:ascii="Arial" w:cs="Arial" w:eastAsia="Arial" w:hAnsi="Arial"/>
          <w:sz w:val="16"/>
          <w:szCs w:val="16"/>
          <w:color w:val="191919"/>
        </w:rPr>
        <w:t>” the election of the nominees for director named in Proposal 1 of the Proxy Statement; a vote “</w:t>
      </w:r>
      <w:r>
        <w:rPr>
          <w:rFonts w:ascii="Arial" w:cs="Arial" w:eastAsia="Arial" w:hAnsi="Arial"/>
          <w:sz w:val="16"/>
          <w:szCs w:val="16"/>
          <w:b w:val="1"/>
          <w:bCs w:val="1"/>
          <w:color w:val="191919"/>
        </w:rPr>
        <w:t>FOR</w:t>
      </w:r>
      <w:r>
        <w:rPr>
          <w:rFonts w:ascii="Arial" w:cs="Arial" w:eastAsia="Arial" w:hAnsi="Arial"/>
          <w:sz w:val="16"/>
          <w:szCs w:val="16"/>
          <w:color w:val="191919"/>
        </w:rPr>
        <w:t>” Proposal 2, ratifying the selection of KPMG LLP as the independent registered public accounting firm of the Company for fiscal year 2020; a vote “</w:t>
      </w:r>
      <w:r>
        <w:rPr>
          <w:rFonts w:ascii="Arial" w:cs="Arial" w:eastAsia="Arial" w:hAnsi="Arial"/>
          <w:sz w:val="16"/>
          <w:szCs w:val="16"/>
          <w:b w:val="1"/>
          <w:bCs w:val="1"/>
          <w:color w:val="191919"/>
        </w:rPr>
        <w:t>FOR</w:t>
      </w:r>
      <w:r>
        <w:rPr>
          <w:rFonts w:ascii="Arial" w:cs="Arial" w:eastAsia="Arial" w:hAnsi="Arial"/>
          <w:sz w:val="16"/>
          <w:szCs w:val="16"/>
          <w:color w:val="191919"/>
        </w:rPr>
        <w:t>” Proposal 3, approving, on an advisory basis, the compensation of the Company’s named executive officers; a vote “</w:t>
      </w:r>
      <w:r>
        <w:rPr>
          <w:rFonts w:ascii="Arial" w:cs="Arial" w:eastAsia="Arial" w:hAnsi="Arial"/>
          <w:sz w:val="16"/>
          <w:szCs w:val="16"/>
          <w:b w:val="1"/>
          <w:bCs w:val="1"/>
          <w:color w:val="191919"/>
        </w:rPr>
        <w:t>FOR</w:t>
      </w:r>
      <w:r>
        <w:rPr>
          <w:rFonts w:ascii="Arial" w:cs="Arial" w:eastAsia="Arial" w:hAnsi="Arial"/>
          <w:sz w:val="16"/>
          <w:szCs w:val="16"/>
          <w:color w:val="191919"/>
        </w:rPr>
        <w:t>” Proposal 4, approving the amendment to the Company’s 2002 Employee Stock Purchase Plan, as Amended; a vote “</w:t>
      </w:r>
      <w:r>
        <w:rPr>
          <w:rFonts w:ascii="Arial" w:cs="Arial" w:eastAsia="Arial" w:hAnsi="Arial"/>
          <w:sz w:val="16"/>
          <w:szCs w:val="16"/>
          <w:b w:val="1"/>
          <w:bCs w:val="1"/>
          <w:color w:val="191919"/>
        </w:rPr>
        <w:t>FOR</w:t>
      </w:r>
      <w:r>
        <w:rPr>
          <w:rFonts w:ascii="Arial" w:cs="Arial" w:eastAsia="Arial" w:hAnsi="Arial"/>
          <w:sz w:val="16"/>
          <w:szCs w:val="16"/>
          <w:color w:val="191919"/>
        </w:rPr>
        <w:t>” each of Proposals 5–8, approving amendments to the Company’s Restated Certificate of Incorporation; and a vote “</w:t>
      </w:r>
      <w:r>
        <w:rPr>
          <w:rFonts w:ascii="Arial" w:cs="Arial" w:eastAsia="Arial" w:hAnsi="Arial"/>
          <w:sz w:val="16"/>
          <w:szCs w:val="16"/>
          <w:b w:val="1"/>
          <w:bCs w:val="1"/>
          <w:color w:val="191919"/>
        </w:rPr>
        <w:t>AGAINST</w:t>
      </w:r>
      <w:r>
        <w:rPr>
          <w:rFonts w:ascii="Arial" w:cs="Arial" w:eastAsia="Arial" w:hAnsi="Arial"/>
          <w:sz w:val="16"/>
          <w:szCs w:val="16"/>
          <w:color w:val="191919"/>
        </w:rPr>
        <w:t>” Proposal 9, a non-binding stockholder proposal.</w:t>
      </w:r>
    </w:p>
    <w:p>
      <w:pPr>
        <w:spacing w:after="0" w:line="17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191919"/>
        </w:rPr>
        <w:t>The accompanying Proxy Statement includes further information about how to attend the Annual Meeting online, vote your shares online during the Annual Meeting, and submit questions online during the Annual Meeting. A complete list of registered stockholders will be available for examination during the Annual Meeting at www.virtualshareholdermeeting.com/SWKS2020.</w:t>
      </w:r>
    </w:p>
    <w:p>
      <w:pPr>
        <w:spacing w:after="0" w:line="18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191919"/>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323215</wp:posOffset>
            </wp:positionV>
            <wp:extent cx="1525905" cy="643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2590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02568A"/>
        </w:rPr>
        <w:t>Robert J. Terry</w:t>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8"/>
          <w:szCs w:val="18"/>
          <w:i w:val="1"/>
          <w:iCs w:val="1"/>
          <w:color w:val="191919"/>
        </w:rPr>
        <w:t>Senior Vice President, General Counsel and Secretary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jc w:val="right"/>
        <w:ind w:right="2999"/>
        <w:spacing w:after="0"/>
        <w:rPr>
          <w:sz w:val="20"/>
          <w:szCs w:val="20"/>
          <w:color w:val="auto"/>
        </w:rPr>
      </w:pPr>
      <w:r>
        <w:rPr>
          <w:rFonts w:ascii="Arial" w:cs="Arial" w:eastAsia="Arial" w:hAnsi="Arial"/>
          <w:sz w:val="32"/>
          <w:szCs w:val="32"/>
          <w:b w:val="1"/>
          <w:bCs w:val="1"/>
          <w:color w:val="02568A"/>
        </w:rPr>
        <w:t>Proxy Statement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1067435</wp:posOffset>
            </wp:positionV>
            <wp:extent cx="713613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161290</wp:posOffset>
            </wp:positionV>
            <wp:extent cx="20999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9994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443865</wp:posOffset>
            </wp:positionV>
            <wp:extent cx="822960" cy="488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2960" cy="48831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548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40" w:lineRule="exact"/>
        <w:rPr>
          <w:sz w:val="20"/>
          <w:szCs w:val="20"/>
          <w:color w:val="auto"/>
        </w:rPr>
      </w:pPr>
    </w:p>
    <w:p>
      <w:pPr>
        <w:jc w:val="center"/>
        <w:ind w:right="-699"/>
        <w:spacing w:after="0"/>
        <w:rPr>
          <w:sz w:val="20"/>
          <w:szCs w:val="20"/>
          <w:color w:val="auto"/>
        </w:rPr>
      </w:pPr>
      <w:r>
        <w:rPr>
          <w:rFonts w:ascii="Arial" w:cs="Arial" w:eastAsia="Arial" w:hAnsi="Arial"/>
          <w:sz w:val="32"/>
          <w:szCs w:val="32"/>
          <w:b w:val="1"/>
          <w:bCs w:val="1"/>
          <w:color w:val="FFFFFE"/>
        </w:rPr>
        <w:t>Proxy Statement</w:t>
      </w:r>
    </w:p>
    <w:p>
      <w:pPr>
        <w:spacing w:after="0" w:line="33" w:lineRule="exact"/>
        <w:rPr>
          <w:sz w:val="20"/>
          <w:szCs w:val="20"/>
          <w:color w:val="auto"/>
        </w:rPr>
      </w:pPr>
    </w:p>
    <w:p>
      <w:pPr>
        <w:jc w:val="center"/>
        <w:ind w:right="-699"/>
        <w:spacing w:after="0"/>
        <w:rPr>
          <w:sz w:val="20"/>
          <w:szCs w:val="20"/>
          <w:color w:val="auto"/>
        </w:rPr>
      </w:pPr>
      <w:r>
        <w:rPr>
          <w:rFonts w:ascii="Arial" w:cs="Arial" w:eastAsia="Arial" w:hAnsi="Arial"/>
          <w:sz w:val="29"/>
          <w:szCs w:val="29"/>
          <w:b w:val="1"/>
          <w:bCs w:val="1"/>
          <w:color w:val="FFFFFE"/>
        </w:rPr>
        <w:t>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32"/>
          <w:szCs w:val="32"/>
          <w:b w:val="1"/>
          <w:bCs w:val="1"/>
          <w:color w:val="02568A"/>
        </w:rPr>
        <w:t>Table of Contents</w:t>
      </w:r>
    </w:p>
    <w:p>
      <w:pPr>
        <w:sectPr>
          <w:pgSz w:w="11900" w:h="16838" w:orient="portrait"/>
          <w:cols w:equalWidth="0" w:num="1">
            <w:col w:w="10540"/>
          </w:cols>
          <w:pgMar w:left="320" w:top="131" w:right="1039" w:bottom="1018" w:gutter="0" w:footer="0" w:header="0"/>
        </w:sectPr>
      </w:pPr>
    </w:p>
    <w:p>
      <w:pPr>
        <w:spacing w:after="0" w:line="200" w:lineRule="exact"/>
        <w:rPr>
          <w:sz w:val="20"/>
          <w:szCs w:val="20"/>
          <w:color w:val="auto"/>
        </w:rPr>
      </w:pP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3540" w:type="dxa"/>
            <w:vAlign w:val="bottom"/>
            <w:gridSpan w:val="28"/>
          </w:tcPr>
          <w:p>
            <w:pPr>
              <w:spacing w:after="0"/>
              <w:rPr>
                <w:rFonts w:ascii="Arial" w:cs="Arial" w:eastAsia="Arial" w:hAnsi="Arial"/>
                <w:sz w:val="22"/>
                <w:szCs w:val="22"/>
                <w:b w:val="1"/>
                <w:bCs w:val="1"/>
                <w:color w:val="02568A"/>
              </w:rPr>
            </w:pPr>
            <w:hyperlink w:anchor="page7">
              <w:r>
                <w:rPr>
                  <w:rFonts w:ascii="Arial" w:cs="Arial" w:eastAsia="Arial" w:hAnsi="Arial"/>
                  <w:sz w:val="22"/>
                  <w:szCs w:val="22"/>
                  <w:b w:val="1"/>
                  <w:bCs w:val="1"/>
                  <w:color w:val="02568A"/>
                </w:rPr>
                <w:t>Proxy Summary Statement</w:t>
              </w:r>
            </w:hyperlink>
          </w:p>
        </w:tc>
        <w:tc>
          <w:tcPr>
            <w:tcW w:w="520" w:type="dxa"/>
            <w:vAlign w:val="bottom"/>
            <w:gridSpan w:val="2"/>
          </w:tcPr>
          <w:p>
            <w:pPr>
              <w:jc w:val="right"/>
              <w:spacing w:after="0"/>
              <w:rPr>
                <w:rFonts w:ascii="Arial" w:cs="Arial" w:eastAsia="Arial" w:hAnsi="Arial"/>
                <w:sz w:val="22"/>
                <w:szCs w:val="22"/>
                <w:b w:val="1"/>
                <w:bCs w:val="1"/>
                <w:color w:val="02568A"/>
              </w:rPr>
            </w:pPr>
            <w:hyperlink w:anchor="page7">
              <w:r>
                <w:rPr>
                  <w:rFonts w:ascii="Arial" w:cs="Arial" w:eastAsia="Arial" w:hAnsi="Arial"/>
                  <w:sz w:val="22"/>
                  <w:szCs w:val="22"/>
                  <w:b w:val="1"/>
                  <w:bCs w:val="1"/>
                  <w:color w:val="02568A"/>
                </w:rPr>
                <w:t>11</w:t>
              </w:r>
            </w:hyperlink>
          </w:p>
        </w:tc>
        <w:tc>
          <w:tcPr>
            <w:tcW w:w="0" w:type="dxa"/>
            <w:vAlign w:val="bottom"/>
          </w:tcPr>
          <w:p>
            <w:pPr>
              <w:spacing w:after="0"/>
              <w:rPr>
                <w:sz w:val="1"/>
                <w:szCs w:val="1"/>
                <w:color w:val="auto"/>
              </w:rPr>
            </w:pPr>
          </w:p>
        </w:tc>
      </w:tr>
      <w:tr>
        <w:trPr>
          <w:trHeight w:val="20"/>
        </w:trPr>
        <w:tc>
          <w:tcPr>
            <w:tcW w:w="360" w:type="dxa"/>
            <w:vAlign w:val="bottom"/>
            <w:shd w:val="clear" w:color="auto" w:fill="02568A"/>
          </w:tcPr>
          <w:p>
            <w:pPr>
              <w:spacing w:after="0" w:line="20" w:lineRule="exact"/>
              <w:rPr>
                <w:sz w:val="1"/>
                <w:szCs w:val="1"/>
                <w:color w:val="auto"/>
              </w:rPr>
            </w:pPr>
          </w:p>
        </w:tc>
        <w:tc>
          <w:tcPr>
            <w:tcW w:w="240" w:type="dxa"/>
            <w:vAlign w:val="bottom"/>
            <w:shd w:val="clear" w:color="auto" w:fill="02568A"/>
          </w:tcPr>
          <w:p>
            <w:pPr>
              <w:spacing w:after="0" w:line="20" w:lineRule="exact"/>
              <w:rPr>
                <w:sz w:val="1"/>
                <w:szCs w:val="1"/>
                <w:color w:val="auto"/>
              </w:rPr>
            </w:pPr>
          </w:p>
        </w:tc>
        <w:tc>
          <w:tcPr>
            <w:tcW w:w="460" w:type="dxa"/>
            <w:vAlign w:val="bottom"/>
            <w:shd w:val="clear" w:color="auto" w:fill="02568A"/>
          </w:tcPr>
          <w:p>
            <w:pPr>
              <w:spacing w:after="0" w:line="20" w:lineRule="exact"/>
              <w:rPr>
                <w:sz w:val="1"/>
                <w:szCs w:val="1"/>
                <w:color w:val="auto"/>
              </w:rPr>
            </w:pPr>
          </w:p>
        </w:tc>
        <w:tc>
          <w:tcPr>
            <w:tcW w:w="60" w:type="dxa"/>
            <w:vAlign w:val="bottom"/>
            <w:shd w:val="clear" w:color="auto" w:fill="02568A"/>
          </w:tcPr>
          <w:p>
            <w:pPr>
              <w:spacing w:after="0" w:line="20" w:lineRule="exact"/>
              <w:rPr>
                <w:sz w:val="1"/>
                <w:szCs w:val="1"/>
                <w:color w:val="auto"/>
              </w:rPr>
            </w:pPr>
          </w:p>
        </w:tc>
        <w:tc>
          <w:tcPr>
            <w:tcW w:w="460" w:type="dxa"/>
            <w:vAlign w:val="bottom"/>
            <w:shd w:val="clear" w:color="auto" w:fill="02568A"/>
          </w:tcPr>
          <w:p>
            <w:pPr>
              <w:spacing w:after="0" w:line="20" w:lineRule="exact"/>
              <w:rPr>
                <w:sz w:val="1"/>
                <w:szCs w:val="1"/>
                <w:color w:val="auto"/>
              </w:rPr>
            </w:pPr>
          </w:p>
        </w:tc>
        <w:tc>
          <w:tcPr>
            <w:tcW w:w="200" w:type="dxa"/>
            <w:vAlign w:val="bottom"/>
            <w:shd w:val="clear" w:color="auto" w:fill="02568A"/>
          </w:tcPr>
          <w:p>
            <w:pPr>
              <w:spacing w:after="0" w:line="20" w:lineRule="exact"/>
              <w:rPr>
                <w:sz w:val="1"/>
                <w:szCs w:val="1"/>
                <w:color w:val="auto"/>
              </w:rPr>
            </w:pPr>
          </w:p>
        </w:tc>
        <w:tc>
          <w:tcPr>
            <w:tcW w:w="140" w:type="dxa"/>
            <w:vAlign w:val="bottom"/>
            <w:shd w:val="clear" w:color="auto" w:fill="02568A"/>
          </w:tcPr>
          <w:p>
            <w:pPr>
              <w:spacing w:after="0" w:line="20" w:lineRule="exact"/>
              <w:rPr>
                <w:sz w:val="1"/>
                <w:szCs w:val="1"/>
                <w:color w:val="auto"/>
              </w:rPr>
            </w:pPr>
          </w:p>
        </w:tc>
        <w:tc>
          <w:tcPr>
            <w:tcW w:w="40" w:type="dxa"/>
            <w:vAlign w:val="bottom"/>
            <w:shd w:val="clear" w:color="auto" w:fill="02568A"/>
          </w:tcPr>
          <w:p>
            <w:pPr>
              <w:spacing w:after="0" w:line="20" w:lineRule="exact"/>
              <w:rPr>
                <w:sz w:val="1"/>
                <w:szCs w:val="1"/>
                <w:color w:val="auto"/>
              </w:rPr>
            </w:pPr>
          </w:p>
        </w:tc>
        <w:tc>
          <w:tcPr>
            <w:tcW w:w="40" w:type="dxa"/>
            <w:vAlign w:val="bottom"/>
            <w:shd w:val="clear" w:color="auto" w:fill="02568A"/>
          </w:tcPr>
          <w:p>
            <w:pPr>
              <w:spacing w:after="0" w:line="20" w:lineRule="exact"/>
              <w:rPr>
                <w:sz w:val="1"/>
                <w:szCs w:val="1"/>
                <w:color w:val="auto"/>
              </w:rPr>
            </w:pPr>
          </w:p>
        </w:tc>
        <w:tc>
          <w:tcPr>
            <w:tcW w:w="120" w:type="dxa"/>
            <w:vAlign w:val="bottom"/>
            <w:shd w:val="clear" w:color="auto" w:fill="02568A"/>
          </w:tcPr>
          <w:p>
            <w:pPr>
              <w:spacing w:after="0" w:line="20" w:lineRule="exact"/>
              <w:rPr>
                <w:sz w:val="1"/>
                <w:szCs w:val="1"/>
                <w:color w:val="auto"/>
              </w:rPr>
            </w:pPr>
          </w:p>
        </w:tc>
        <w:tc>
          <w:tcPr>
            <w:tcW w:w="40" w:type="dxa"/>
            <w:vAlign w:val="bottom"/>
            <w:tcBorders>
              <w:left w:val="single" w:sz="8" w:color="02568A"/>
            </w:tcBorders>
            <w:shd w:val="clear" w:color="auto" w:fill="02568A"/>
          </w:tcPr>
          <w:p>
            <w:pPr>
              <w:spacing w:after="0" w:line="20" w:lineRule="exact"/>
              <w:rPr>
                <w:sz w:val="1"/>
                <w:szCs w:val="1"/>
                <w:color w:val="auto"/>
              </w:rPr>
            </w:pPr>
          </w:p>
        </w:tc>
        <w:tc>
          <w:tcPr>
            <w:tcW w:w="20" w:type="dxa"/>
            <w:vAlign w:val="bottom"/>
            <w:shd w:val="clear" w:color="auto" w:fill="02568A"/>
          </w:tcPr>
          <w:p>
            <w:pPr>
              <w:spacing w:after="0" w:line="20" w:lineRule="exact"/>
              <w:rPr>
                <w:sz w:val="1"/>
                <w:szCs w:val="1"/>
                <w:color w:val="auto"/>
              </w:rPr>
            </w:pPr>
          </w:p>
        </w:tc>
        <w:tc>
          <w:tcPr>
            <w:tcW w:w="40" w:type="dxa"/>
            <w:vAlign w:val="bottom"/>
            <w:shd w:val="clear" w:color="auto" w:fill="02568A"/>
          </w:tcPr>
          <w:p>
            <w:pPr>
              <w:spacing w:after="0" w:line="20" w:lineRule="exact"/>
              <w:rPr>
                <w:sz w:val="1"/>
                <w:szCs w:val="1"/>
                <w:color w:val="auto"/>
              </w:rPr>
            </w:pPr>
          </w:p>
        </w:tc>
        <w:tc>
          <w:tcPr>
            <w:tcW w:w="140" w:type="dxa"/>
            <w:vAlign w:val="bottom"/>
            <w:shd w:val="clear" w:color="auto" w:fill="02568A"/>
          </w:tcPr>
          <w:p>
            <w:pPr>
              <w:spacing w:after="0" w:line="20" w:lineRule="exact"/>
              <w:rPr>
                <w:sz w:val="1"/>
                <w:szCs w:val="1"/>
                <w:color w:val="auto"/>
              </w:rPr>
            </w:pPr>
          </w:p>
        </w:tc>
        <w:tc>
          <w:tcPr>
            <w:tcW w:w="60" w:type="dxa"/>
            <w:vAlign w:val="bottom"/>
            <w:shd w:val="clear" w:color="auto" w:fill="02568A"/>
          </w:tcPr>
          <w:p>
            <w:pPr>
              <w:spacing w:after="0" w:line="20" w:lineRule="exact"/>
              <w:rPr>
                <w:sz w:val="1"/>
                <w:szCs w:val="1"/>
                <w:color w:val="auto"/>
              </w:rPr>
            </w:pPr>
          </w:p>
        </w:tc>
        <w:tc>
          <w:tcPr>
            <w:tcW w:w="80" w:type="dxa"/>
            <w:vAlign w:val="bottom"/>
            <w:shd w:val="clear" w:color="auto" w:fill="02568A"/>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right w:val="single" w:sz="8" w:color="02568A"/>
            </w:tcBorders>
          </w:tcPr>
          <w:p>
            <w:pPr>
              <w:spacing w:after="0" w:line="20" w:lineRule="exact"/>
              <w:rPr>
                <w:sz w:val="1"/>
                <w:szCs w:val="1"/>
                <w:color w:val="auto"/>
              </w:rPr>
            </w:pPr>
          </w:p>
        </w:tc>
        <w:tc>
          <w:tcPr>
            <w:tcW w:w="180" w:type="dxa"/>
            <w:vAlign w:val="bottom"/>
            <w:shd w:val="clear" w:color="auto" w:fill="02568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500" w:type="dxa"/>
            <w:vAlign w:val="bottom"/>
            <w:gridSpan w:val="16"/>
          </w:tcPr>
          <w:p>
            <w:pPr>
              <w:spacing w:after="0"/>
              <w:rPr>
                <w:rFonts w:ascii="Arial" w:cs="Arial" w:eastAsia="Arial" w:hAnsi="Arial"/>
                <w:sz w:val="22"/>
                <w:szCs w:val="22"/>
                <w:b w:val="1"/>
                <w:bCs w:val="1"/>
                <w:color w:val="02568A"/>
              </w:rPr>
            </w:pPr>
            <w:hyperlink w:anchor="page8">
              <w:r>
                <w:rPr>
                  <w:rFonts w:ascii="Arial" w:cs="Arial" w:eastAsia="Arial" w:hAnsi="Arial"/>
                  <w:sz w:val="22"/>
                  <w:szCs w:val="22"/>
                  <w:b w:val="1"/>
                  <w:bCs w:val="1"/>
                  <w:color w:val="02568A"/>
                </w:rPr>
                <w:t>General Information</w:t>
              </w:r>
            </w:hyperlink>
          </w:p>
        </w:tc>
        <w:tc>
          <w:tcPr>
            <w:tcW w:w="1040" w:type="dxa"/>
            <w:vAlign w:val="bottom"/>
            <w:gridSpan w:val="12"/>
          </w:tcPr>
          <w:p>
            <w:pPr>
              <w:spacing w:after="0"/>
              <w:rPr>
                <w:sz w:val="24"/>
                <w:szCs w:val="24"/>
                <w:color w:val="auto"/>
              </w:rPr>
            </w:pPr>
          </w:p>
        </w:tc>
        <w:tc>
          <w:tcPr>
            <w:tcW w:w="520" w:type="dxa"/>
            <w:vAlign w:val="bottom"/>
            <w:gridSpan w:val="2"/>
          </w:tcPr>
          <w:p>
            <w:pPr>
              <w:jc w:val="right"/>
              <w:spacing w:after="0"/>
              <w:rPr>
                <w:rFonts w:ascii="Arial" w:cs="Arial" w:eastAsia="Arial" w:hAnsi="Arial"/>
                <w:sz w:val="22"/>
                <w:szCs w:val="22"/>
                <w:b w:val="1"/>
                <w:bCs w:val="1"/>
                <w:color w:val="02568A"/>
              </w:rPr>
            </w:pPr>
            <w:hyperlink w:anchor="page8">
              <w:r>
                <w:rPr>
                  <w:rFonts w:ascii="Arial" w:cs="Arial" w:eastAsia="Arial" w:hAnsi="Arial"/>
                  <w:sz w:val="22"/>
                  <w:szCs w:val="22"/>
                  <w:b w:val="1"/>
                  <w:bCs w:val="1"/>
                  <w:color w:val="02568A"/>
                </w:rPr>
                <w:t>12</w:t>
              </w:r>
            </w:hyperlink>
          </w:p>
        </w:tc>
        <w:tc>
          <w:tcPr>
            <w:tcW w:w="0" w:type="dxa"/>
            <w:vAlign w:val="bottom"/>
          </w:tcPr>
          <w:p>
            <w:pPr>
              <w:spacing w:after="0"/>
              <w:rPr>
                <w:sz w:val="1"/>
                <w:szCs w:val="1"/>
                <w:color w:val="auto"/>
              </w:rPr>
            </w:pPr>
          </w:p>
        </w:tc>
      </w:tr>
      <w:tr>
        <w:trPr>
          <w:trHeight w:val="20"/>
        </w:trPr>
        <w:tc>
          <w:tcPr>
            <w:tcW w:w="360" w:type="dxa"/>
            <w:vAlign w:val="bottom"/>
            <w:shd w:val="clear" w:color="auto" w:fill="02568A"/>
          </w:tcPr>
          <w:p>
            <w:pPr>
              <w:spacing w:after="0" w:line="20" w:lineRule="exact"/>
              <w:rPr>
                <w:sz w:val="1"/>
                <w:szCs w:val="1"/>
                <w:color w:val="auto"/>
              </w:rPr>
            </w:pPr>
          </w:p>
        </w:tc>
        <w:tc>
          <w:tcPr>
            <w:tcW w:w="240" w:type="dxa"/>
            <w:vAlign w:val="bottom"/>
            <w:shd w:val="clear" w:color="auto" w:fill="02568A"/>
          </w:tcPr>
          <w:p>
            <w:pPr>
              <w:spacing w:after="0" w:line="20" w:lineRule="exact"/>
              <w:rPr>
                <w:sz w:val="1"/>
                <w:szCs w:val="1"/>
                <w:color w:val="auto"/>
              </w:rPr>
            </w:pPr>
          </w:p>
        </w:tc>
        <w:tc>
          <w:tcPr>
            <w:tcW w:w="460" w:type="dxa"/>
            <w:vAlign w:val="bottom"/>
            <w:shd w:val="clear" w:color="auto" w:fill="02568A"/>
          </w:tcPr>
          <w:p>
            <w:pPr>
              <w:spacing w:after="0" w:line="20" w:lineRule="exact"/>
              <w:rPr>
                <w:sz w:val="1"/>
                <w:szCs w:val="1"/>
                <w:color w:val="auto"/>
              </w:rPr>
            </w:pPr>
          </w:p>
        </w:tc>
        <w:tc>
          <w:tcPr>
            <w:tcW w:w="60" w:type="dxa"/>
            <w:vAlign w:val="bottom"/>
            <w:shd w:val="clear" w:color="auto" w:fill="02568A"/>
          </w:tcPr>
          <w:p>
            <w:pPr>
              <w:spacing w:after="0" w:line="20" w:lineRule="exact"/>
              <w:rPr>
                <w:sz w:val="1"/>
                <w:szCs w:val="1"/>
                <w:color w:val="auto"/>
              </w:rPr>
            </w:pPr>
          </w:p>
        </w:tc>
        <w:tc>
          <w:tcPr>
            <w:tcW w:w="460" w:type="dxa"/>
            <w:vAlign w:val="bottom"/>
            <w:shd w:val="clear" w:color="auto" w:fill="02568A"/>
          </w:tcPr>
          <w:p>
            <w:pPr>
              <w:spacing w:after="0" w:line="20" w:lineRule="exact"/>
              <w:rPr>
                <w:sz w:val="1"/>
                <w:szCs w:val="1"/>
                <w:color w:val="auto"/>
              </w:rPr>
            </w:pPr>
          </w:p>
        </w:tc>
        <w:tc>
          <w:tcPr>
            <w:tcW w:w="200" w:type="dxa"/>
            <w:vAlign w:val="bottom"/>
            <w:shd w:val="clear" w:color="auto" w:fill="02568A"/>
          </w:tcPr>
          <w:p>
            <w:pPr>
              <w:spacing w:after="0" w:line="20" w:lineRule="exact"/>
              <w:rPr>
                <w:sz w:val="1"/>
                <w:szCs w:val="1"/>
                <w:color w:val="auto"/>
              </w:rPr>
            </w:pPr>
          </w:p>
        </w:tc>
        <w:tc>
          <w:tcPr>
            <w:tcW w:w="140" w:type="dxa"/>
            <w:vAlign w:val="bottom"/>
            <w:shd w:val="clear" w:color="auto" w:fill="02568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right w:val="single" w:sz="8" w:color="02568A"/>
            </w:tcBorders>
          </w:tcPr>
          <w:p>
            <w:pPr>
              <w:spacing w:after="0" w:line="20" w:lineRule="exact"/>
              <w:rPr>
                <w:sz w:val="1"/>
                <w:szCs w:val="1"/>
                <w:color w:val="auto"/>
              </w:rPr>
            </w:pPr>
          </w:p>
        </w:tc>
        <w:tc>
          <w:tcPr>
            <w:tcW w:w="180" w:type="dxa"/>
            <w:vAlign w:val="bottom"/>
            <w:shd w:val="clear" w:color="auto" w:fill="02568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540" w:type="dxa"/>
            <w:vAlign w:val="bottom"/>
            <w:gridSpan w:val="28"/>
          </w:tcPr>
          <w:p>
            <w:pPr>
              <w:spacing w:after="0"/>
              <w:rPr>
                <w:rFonts w:ascii="Arial" w:cs="Arial" w:eastAsia="Arial" w:hAnsi="Arial"/>
                <w:sz w:val="22"/>
                <w:szCs w:val="22"/>
                <w:b w:val="1"/>
                <w:bCs w:val="1"/>
                <w:color w:val="02568A"/>
              </w:rPr>
            </w:pPr>
            <w:hyperlink w:anchor="page14">
              <w:r>
                <w:rPr>
                  <w:rFonts w:ascii="Arial" w:cs="Arial" w:eastAsia="Arial" w:hAnsi="Arial"/>
                  <w:sz w:val="22"/>
                  <w:szCs w:val="22"/>
                  <w:b w:val="1"/>
                  <w:bCs w:val="1"/>
                  <w:color w:val="02568A"/>
                </w:rPr>
                <w:t>Proposal 1: Election of Directors</w:t>
              </w:r>
            </w:hyperlink>
          </w:p>
        </w:tc>
        <w:tc>
          <w:tcPr>
            <w:tcW w:w="520" w:type="dxa"/>
            <w:vAlign w:val="bottom"/>
            <w:gridSpan w:val="2"/>
          </w:tcPr>
          <w:p>
            <w:pPr>
              <w:jc w:val="right"/>
              <w:spacing w:after="0"/>
              <w:rPr>
                <w:rFonts w:ascii="Arial" w:cs="Arial" w:eastAsia="Arial" w:hAnsi="Arial"/>
                <w:sz w:val="22"/>
                <w:szCs w:val="22"/>
                <w:b w:val="1"/>
                <w:bCs w:val="1"/>
                <w:color w:val="02568A"/>
              </w:rPr>
            </w:pPr>
            <w:hyperlink w:anchor="page14">
              <w:r>
                <w:rPr>
                  <w:rFonts w:ascii="Arial" w:cs="Arial" w:eastAsia="Arial" w:hAnsi="Arial"/>
                  <w:sz w:val="22"/>
                  <w:szCs w:val="22"/>
                  <w:b w:val="1"/>
                  <w:bCs w:val="1"/>
                  <w:color w:val="02568A"/>
                </w:rPr>
                <w:t>18</w:t>
              </w:r>
            </w:hyperlink>
          </w:p>
        </w:tc>
        <w:tc>
          <w:tcPr>
            <w:tcW w:w="0" w:type="dxa"/>
            <w:vAlign w:val="bottom"/>
          </w:tcPr>
          <w:p>
            <w:pPr>
              <w:spacing w:after="0"/>
              <w:rPr>
                <w:sz w:val="1"/>
                <w:szCs w:val="1"/>
                <w:color w:val="auto"/>
              </w:rPr>
            </w:pPr>
          </w:p>
        </w:tc>
      </w:tr>
      <w:tr>
        <w:trPr>
          <w:trHeight w:val="453"/>
        </w:trPr>
        <w:tc>
          <w:tcPr>
            <w:tcW w:w="360" w:type="dxa"/>
            <w:vAlign w:val="bottom"/>
            <w:tcBorders>
              <w:top w:val="single" w:sz="8" w:color="02568A"/>
            </w:tcBorders>
          </w:tcPr>
          <w:p>
            <w:pPr>
              <w:spacing w:after="0"/>
              <w:rPr>
                <w:sz w:val="24"/>
                <w:szCs w:val="24"/>
                <w:color w:val="auto"/>
              </w:rPr>
            </w:pPr>
          </w:p>
        </w:tc>
        <w:tc>
          <w:tcPr>
            <w:tcW w:w="1600" w:type="dxa"/>
            <w:vAlign w:val="bottom"/>
            <w:tcBorders>
              <w:top w:val="single" w:sz="8" w:color="02568A"/>
            </w:tcBorders>
            <w:gridSpan w:val="7"/>
          </w:tcPr>
          <w:p>
            <w:pPr>
              <w:spacing w:after="0"/>
              <w:rPr>
                <w:rFonts w:ascii="Arial" w:cs="Arial" w:eastAsia="Arial" w:hAnsi="Arial"/>
                <w:sz w:val="18"/>
                <w:szCs w:val="18"/>
                <w:color w:val="191919"/>
                <w:w w:val="89"/>
              </w:rPr>
            </w:pPr>
            <w:hyperlink w:anchor="page16">
              <w:r>
                <w:rPr>
                  <w:rFonts w:ascii="Arial" w:cs="Arial" w:eastAsia="Arial" w:hAnsi="Arial"/>
                  <w:sz w:val="18"/>
                  <w:szCs w:val="18"/>
                  <w:color w:val="191919"/>
                  <w:w w:val="89"/>
                </w:rPr>
                <w:t>Nominees for Election</w:t>
              </w:r>
            </w:hyperlink>
          </w:p>
        </w:tc>
        <w:tc>
          <w:tcPr>
            <w:tcW w:w="1040" w:type="dxa"/>
            <w:vAlign w:val="bottom"/>
            <w:tcBorders>
              <w:top w:val="single" w:sz="8" w:color="02568A"/>
            </w:tcBorders>
            <w:gridSpan w:val="13"/>
          </w:tcPr>
          <w:p>
            <w:pPr>
              <w:spacing w:after="0"/>
              <w:rPr>
                <w:sz w:val="24"/>
                <w:szCs w:val="24"/>
                <w:color w:val="auto"/>
              </w:rPr>
            </w:pPr>
          </w:p>
        </w:tc>
        <w:tc>
          <w:tcPr>
            <w:tcW w:w="540" w:type="dxa"/>
            <w:vAlign w:val="bottom"/>
            <w:gridSpan w:val="7"/>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02568A"/>
            </w:tcBorders>
          </w:tcPr>
          <w:p>
            <w:pPr>
              <w:jc w:val="right"/>
              <w:spacing w:after="0"/>
              <w:rPr>
                <w:rFonts w:ascii="Arial" w:cs="Arial" w:eastAsia="Arial" w:hAnsi="Arial"/>
                <w:sz w:val="18"/>
                <w:szCs w:val="18"/>
                <w:color w:val="191919"/>
                <w:w w:val="79"/>
              </w:rPr>
            </w:pPr>
            <w:hyperlink w:anchor="page16">
              <w:r>
                <w:rPr>
                  <w:rFonts w:ascii="Arial" w:cs="Arial" w:eastAsia="Arial" w:hAnsi="Arial"/>
                  <w:sz w:val="18"/>
                  <w:szCs w:val="18"/>
                  <w:color w:val="191919"/>
                  <w:w w:val="79"/>
                </w:rPr>
                <w:t>20</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191919"/>
          </w:tcPr>
          <w:p>
            <w:pPr>
              <w:spacing w:after="0" w:line="20" w:lineRule="exact"/>
              <w:rPr>
                <w:sz w:val="1"/>
                <w:szCs w:val="1"/>
                <w:color w:val="auto"/>
              </w:rPr>
            </w:pPr>
          </w:p>
        </w:tc>
        <w:tc>
          <w:tcPr>
            <w:tcW w:w="460" w:type="dxa"/>
            <w:vAlign w:val="bottom"/>
            <w:shd w:val="clear" w:color="auto" w:fill="191919"/>
          </w:tcPr>
          <w:p>
            <w:pPr>
              <w:spacing w:after="0" w:line="20" w:lineRule="exact"/>
              <w:rPr>
                <w:sz w:val="1"/>
                <w:szCs w:val="1"/>
                <w:color w:val="auto"/>
              </w:rPr>
            </w:pPr>
          </w:p>
        </w:tc>
        <w:tc>
          <w:tcPr>
            <w:tcW w:w="60" w:type="dxa"/>
            <w:vAlign w:val="bottom"/>
            <w:shd w:val="clear" w:color="auto" w:fill="191919"/>
          </w:tcPr>
          <w:p>
            <w:pPr>
              <w:spacing w:after="0" w:line="20" w:lineRule="exact"/>
              <w:rPr>
                <w:sz w:val="1"/>
                <w:szCs w:val="1"/>
                <w:color w:val="auto"/>
              </w:rPr>
            </w:pPr>
          </w:p>
        </w:tc>
        <w:tc>
          <w:tcPr>
            <w:tcW w:w="460" w:type="dxa"/>
            <w:vAlign w:val="bottom"/>
            <w:shd w:val="clear" w:color="auto" w:fill="191919"/>
          </w:tcPr>
          <w:p>
            <w:pPr>
              <w:spacing w:after="0" w:line="20" w:lineRule="exact"/>
              <w:rPr>
                <w:sz w:val="1"/>
                <w:szCs w:val="1"/>
                <w:color w:val="auto"/>
              </w:rPr>
            </w:pPr>
          </w:p>
        </w:tc>
        <w:tc>
          <w:tcPr>
            <w:tcW w:w="200" w:type="dxa"/>
            <w:vAlign w:val="bottom"/>
            <w:shd w:val="clear" w:color="auto" w:fill="191919"/>
          </w:tcPr>
          <w:p>
            <w:pPr>
              <w:spacing w:after="0" w:line="20" w:lineRule="exact"/>
              <w:rPr>
                <w:sz w:val="1"/>
                <w:szCs w:val="1"/>
                <w:color w:val="auto"/>
              </w:rPr>
            </w:pPr>
          </w:p>
        </w:tc>
        <w:tc>
          <w:tcPr>
            <w:tcW w:w="180" w:type="dxa"/>
            <w:vAlign w:val="bottom"/>
            <w:gridSpan w:val="2"/>
            <w:shd w:val="clear" w:color="auto" w:fill="19191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1919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tcPr>
          <w:p>
            <w:pPr>
              <w:spacing w:after="0"/>
              <w:rPr>
                <w:sz w:val="24"/>
                <w:szCs w:val="24"/>
                <w:color w:val="auto"/>
              </w:rPr>
            </w:pPr>
          </w:p>
        </w:tc>
        <w:tc>
          <w:tcPr>
            <w:tcW w:w="1600" w:type="dxa"/>
            <w:vAlign w:val="bottom"/>
            <w:gridSpan w:val="7"/>
          </w:tcPr>
          <w:p>
            <w:pPr>
              <w:spacing w:after="0"/>
              <w:rPr>
                <w:rFonts w:ascii="Arial" w:cs="Arial" w:eastAsia="Arial" w:hAnsi="Arial"/>
                <w:sz w:val="18"/>
                <w:szCs w:val="18"/>
                <w:color w:val="191919"/>
                <w:w w:val="86"/>
              </w:rPr>
            </w:pPr>
            <w:hyperlink w:anchor="page22">
              <w:r>
                <w:rPr>
                  <w:rFonts w:ascii="Arial" w:cs="Arial" w:eastAsia="Arial" w:hAnsi="Arial"/>
                  <w:sz w:val="18"/>
                  <w:szCs w:val="18"/>
                  <w:color w:val="191919"/>
                  <w:w w:val="86"/>
                </w:rPr>
                <w:t>Corporate Governance</w:t>
              </w:r>
            </w:hyperlink>
          </w:p>
        </w:tc>
        <w:tc>
          <w:tcPr>
            <w:tcW w:w="1580" w:type="dxa"/>
            <w:vAlign w:val="bottom"/>
            <w:gridSpan w:val="20"/>
          </w:tcPr>
          <w:p>
            <w:pPr>
              <w:spacing w:after="0"/>
              <w:rPr>
                <w:sz w:val="24"/>
                <w:szCs w:val="24"/>
                <w:color w:val="auto"/>
              </w:rPr>
            </w:pPr>
          </w:p>
        </w:tc>
        <w:tc>
          <w:tcPr>
            <w:tcW w:w="520" w:type="dxa"/>
            <w:vAlign w:val="bottom"/>
            <w:gridSpan w:val="2"/>
          </w:tcPr>
          <w:p>
            <w:pPr>
              <w:jc w:val="right"/>
              <w:spacing w:after="0"/>
              <w:rPr>
                <w:rFonts w:ascii="Arial" w:cs="Arial" w:eastAsia="Arial" w:hAnsi="Arial"/>
                <w:sz w:val="18"/>
                <w:szCs w:val="18"/>
                <w:color w:val="191919"/>
              </w:rPr>
            </w:pPr>
            <w:hyperlink w:anchor="page22">
              <w:r>
                <w:rPr>
                  <w:rFonts w:ascii="Arial" w:cs="Arial" w:eastAsia="Arial" w:hAnsi="Arial"/>
                  <w:sz w:val="18"/>
                  <w:szCs w:val="18"/>
                  <w:color w:val="191919"/>
                </w:rPr>
                <w:t>26</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191919"/>
          </w:tcPr>
          <w:p>
            <w:pPr>
              <w:spacing w:after="0" w:line="20" w:lineRule="exact"/>
              <w:rPr>
                <w:sz w:val="1"/>
                <w:szCs w:val="1"/>
                <w:color w:val="auto"/>
              </w:rPr>
            </w:pPr>
          </w:p>
        </w:tc>
        <w:tc>
          <w:tcPr>
            <w:tcW w:w="460" w:type="dxa"/>
            <w:vAlign w:val="bottom"/>
            <w:shd w:val="clear" w:color="auto" w:fill="191919"/>
          </w:tcPr>
          <w:p>
            <w:pPr>
              <w:spacing w:after="0" w:line="20" w:lineRule="exact"/>
              <w:rPr>
                <w:sz w:val="1"/>
                <w:szCs w:val="1"/>
                <w:color w:val="auto"/>
              </w:rPr>
            </w:pPr>
          </w:p>
        </w:tc>
        <w:tc>
          <w:tcPr>
            <w:tcW w:w="60" w:type="dxa"/>
            <w:vAlign w:val="bottom"/>
            <w:shd w:val="clear" w:color="auto" w:fill="191919"/>
          </w:tcPr>
          <w:p>
            <w:pPr>
              <w:spacing w:after="0" w:line="20" w:lineRule="exact"/>
              <w:rPr>
                <w:sz w:val="1"/>
                <w:szCs w:val="1"/>
                <w:color w:val="auto"/>
              </w:rPr>
            </w:pPr>
          </w:p>
        </w:tc>
        <w:tc>
          <w:tcPr>
            <w:tcW w:w="460" w:type="dxa"/>
            <w:vAlign w:val="bottom"/>
            <w:shd w:val="clear" w:color="auto" w:fill="191919"/>
          </w:tcPr>
          <w:p>
            <w:pPr>
              <w:spacing w:after="0" w:line="20" w:lineRule="exact"/>
              <w:rPr>
                <w:sz w:val="1"/>
                <w:szCs w:val="1"/>
                <w:color w:val="auto"/>
              </w:rPr>
            </w:pPr>
          </w:p>
        </w:tc>
        <w:tc>
          <w:tcPr>
            <w:tcW w:w="200" w:type="dxa"/>
            <w:vAlign w:val="bottom"/>
            <w:shd w:val="clear" w:color="auto" w:fill="191919"/>
          </w:tcPr>
          <w:p>
            <w:pPr>
              <w:spacing w:after="0" w:line="20" w:lineRule="exact"/>
              <w:rPr>
                <w:sz w:val="1"/>
                <w:szCs w:val="1"/>
                <w:color w:val="auto"/>
              </w:rPr>
            </w:pPr>
          </w:p>
        </w:tc>
        <w:tc>
          <w:tcPr>
            <w:tcW w:w="180" w:type="dxa"/>
            <w:vAlign w:val="bottom"/>
            <w:gridSpan w:val="2"/>
            <w:shd w:val="clear" w:color="auto" w:fill="19191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1919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tcPr>
          <w:p>
            <w:pPr>
              <w:spacing w:after="0"/>
              <w:rPr>
                <w:sz w:val="24"/>
                <w:szCs w:val="24"/>
                <w:color w:val="auto"/>
              </w:rPr>
            </w:pPr>
          </w:p>
        </w:tc>
        <w:tc>
          <w:tcPr>
            <w:tcW w:w="2660" w:type="dxa"/>
            <w:vAlign w:val="bottom"/>
            <w:gridSpan w:val="21"/>
          </w:tcPr>
          <w:p>
            <w:pPr>
              <w:spacing w:after="0"/>
              <w:rPr>
                <w:rFonts w:ascii="Arial" w:cs="Arial" w:eastAsia="Arial" w:hAnsi="Arial"/>
                <w:sz w:val="18"/>
                <w:szCs w:val="18"/>
                <w:color w:val="191919"/>
                <w:w w:val="89"/>
              </w:rPr>
            </w:pPr>
            <w:hyperlink w:anchor="page25">
              <w:r>
                <w:rPr>
                  <w:rFonts w:ascii="Arial" w:cs="Arial" w:eastAsia="Arial" w:hAnsi="Arial"/>
                  <w:sz w:val="18"/>
                  <w:szCs w:val="18"/>
                  <w:color w:val="191919"/>
                  <w:w w:val="89"/>
                </w:rPr>
                <w:t>Committees of the Board of Directors</w:t>
              </w:r>
            </w:hyperlink>
          </w:p>
        </w:tc>
        <w:tc>
          <w:tcPr>
            <w:tcW w:w="520" w:type="dxa"/>
            <w:vAlign w:val="bottom"/>
            <w:gridSpan w:val="6"/>
          </w:tcPr>
          <w:p>
            <w:pPr>
              <w:spacing w:after="0"/>
              <w:rPr>
                <w:sz w:val="24"/>
                <w:szCs w:val="24"/>
                <w:color w:val="auto"/>
              </w:rPr>
            </w:pPr>
          </w:p>
        </w:tc>
        <w:tc>
          <w:tcPr>
            <w:tcW w:w="520" w:type="dxa"/>
            <w:vAlign w:val="bottom"/>
            <w:gridSpan w:val="2"/>
          </w:tcPr>
          <w:p>
            <w:pPr>
              <w:jc w:val="right"/>
              <w:spacing w:after="0"/>
              <w:rPr>
                <w:rFonts w:ascii="Arial" w:cs="Arial" w:eastAsia="Arial" w:hAnsi="Arial"/>
                <w:sz w:val="18"/>
                <w:szCs w:val="18"/>
                <w:color w:val="191919"/>
              </w:rPr>
            </w:pPr>
            <w:hyperlink w:anchor="page25">
              <w:r>
                <w:rPr>
                  <w:rFonts w:ascii="Arial" w:cs="Arial" w:eastAsia="Arial" w:hAnsi="Arial"/>
                  <w:sz w:val="18"/>
                  <w:szCs w:val="18"/>
                  <w:color w:val="191919"/>
                </w:rPr>
                <w:t>29</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191919"/>
          </w:tcPr>
          <w:p>
            <w:pPr>
              <w:spacing w:after="0" w:line="20" w:lineRule="exact"/>
              <w:rPr>
                <w:sz w:val="1"/>
                <w:szCs w:val="1"/>
                <w:color w:val="auto"/>
              </w:rPr>
            </w:pPr>
          </w:p>
        </w:tc>
        <w:tc>
          <w:tcPr>
            <w:tcW w:w="460" w:type="dxa"/>
            <w:vAlign w:val="bottom"/>
            <w:shd w:val="clear" w:color="auto" w:fill="191919"/>
          </w:tcPr>
          <w:p>
            <w:pPr>
              <w:spacing w:after="0" w:line="20" w:lineRule="exact"/>
              <w:rPr>
                <w:sz w:val="1"/>
                <w:szCs w:val="1"/>
                <w:color w:val="auto"/>
              </w:rPr>
            </w:pPr>
          </w:p>
        </w:tc>
        <w:tc>
          <w:tcPr>
            <w:tcW w:w="60" w:type="dxa"/>
            <w:vAlign w:val="bottom"/>
            <w:shd w:val="clear" w:color="auto" w:fill="191919"/>
          </w:tcPr>
          <w:p>
            <w:pPr>
              <w:spacing w:after="0" w:line="20" w:lineRule="exact"/>
              <w:rPr>
                <w:sz w:val="1"/>
                <w:szCs w:val="1"/>
                <w:color w:val="auto"/>
              </w:rPr>
            </w:pPr>
          </w:p>
        </w:tc>
        <w:tc>
          <w:tcPr>
            <w:tcW w:w="460" w:type="dxa"/>
            <w:vAlign w:val="bottom"/>
            <w:shd w:val="clear" w:color="auto" w:fill="191919"/>
          </w:tcPr>
          <w:p>
            <w:pPr>
              <w:spacing w:after="0" w:line="20" w:lineRule="exact"/>
              <w:rPr>
                <w:sz w:val="1"/>
                <w:szCs w:val="1"/>
                <w:color w:val="auto"/>
              </w:rPr>
            </w:pPr>
          </w:p>
        </w:tc>
        <w:tc>
          <w:tcPr>
            <w:tcW w:w="200" w:type="dxa"/>
            <w:vAlign w:val="bottom"/>
            <w:shd w:val="clear" w:color="auto" w:fill="191919"/>
          </w:tcPr>
          <w:p>
            <w:pPr>
              <w:spacing w:after="0" w:line="20" w:lineRule="exact"/>
              <w:rPr>
                <w:sz w:val="1"/>
                <w:szCs w:val="1"/>
                <w:color w:val="auto"/>
              </w:rPr>
            </w:pPr>
          </w:p>
        </w:tc>
        <w:tc>
          <w:tcPr>
            <w:tcW w:w="220" w:type="dxa"/>
            <w:vAlign w:val="bottom"/>
            <w:gridSpan w:val="3"/>
            <w:shd w:val="clear" w:color="auto" w:fill="191919"/>
          </w:tcPr>
          <w:p>
            <w:pPr>
              <w:spacing w:after="0" w:line="20" w:lineRule="exact"/>
              <w:rPr>
                <w:sz w:val="1"/>
                <w:szCs w:val="1"/>
                <w:color w:val="auto"/>
              </w:rPr>
            </w:pPr>
          </w:p>
        </w:tc>
        <w:tc>
          <w:tcPr>
            <w:tcW w:w="120" w:type="dxa"/>
            <w:vAlign w:val="bottom"/>
            <w:shd w:val="clear" w:color="auto" w:fill="191919"/>
          </w:tcPr>
          <w:p>
            <w:pPr>
              <w:spacing w:after="0" w:line="20" w:lineRule="exact"/>
              <w:rPr>
                <w:sz w:val="1"/>
                <w:szCs w:val="1"/>
                <w:color w:val="auto"/>
              </w:rPr>
            </w:pPr>
          </w:p>
        </w:tc>
        <w:tc>
          <w:tcPr>
            <w:tcW w:w="40" w:type="dxa"/>
            <w:vAlign w:val="bottom"/>
            <w:tcBorders>
              <w:left w:val="single" w:sz="8" w:color="191919"/>
            </w:tcBorders>
            <w:shd w:val="clear" w:color="auto" w:fill="191919"/>
          </w:tcPr>
          <w:p>
            <w:pPr>
              <w:spacing w:after="0" w:line="20" w:lineRule="exact"/>
              <w:rPr>
                <w:sz w:val="1"/>
                <w:szCs w:val="1"/>
                <w:color w:val="auto"/>
              </w:rPr>
            </w:pPr>
          </w:p>
        </w:tc>
        <w:tc>
          <w:tcPr>
            <w:tcW w:w="20" w:type="dxa"/>
            <w:vAlign w:val="bottom"/>
            <w:shd w:val="clear" w:color="auto" w:fill="191919"/>
          </w:tcPr>
          <w:p>
            <w:pPr>
              <w:spacing w:after="0" w:line="20" w:lineRule="exact"/>
              <w:rPr>
                <w:sz w:val="1"/>
                <w:szCs w:val="1"/>
                <w:color w:val="auto"/>
              </w:rPr>
            </w:pPr>
          </w:p>
        </w:tc>
        <w:tc>
          <w:tcPr>
            <w:tcW w:w="40" w:type="dxa"/>
            <w:vAlign w:val="bottom"/>
            <w:shd w:val="clear" w:color="auto" w:fill="191919"/>
          </w:tcPr>
          <w:p>
            <w:pPr>
              <w:spacing w:after="0" w:line="20" w:lineRule="exact"/>
              <w:rPr>
                <w:sz w:val="1"/>
                <w:szCs w:val="1"/>
                <w:color w:val="auto"/>
              </w:rPr>
            </w:pPr>
          </w:p>
        </w:tc>
        <w:tc>
          <w:tcPr>
            <w:tcW w:w="140" w:type="dxa"/>
            <w:vAlign w:val="bottom"/>
            <w:shd w:val="clear" w:color="auto" w:fill="191919"/>
          </w:tcPr>
          <w:p>
            <w:pPr>
              <w:spacing w:after="0" w:line="20" w:lineRule="exact"/>
              <w:rPr>
                <w:sz w:val="1"/>
                <w:szCs w:val="1"/>
                <w:color w:val="auto"/>
              </w:rPr>
            </w:pPr>
          </w:p>
        </w:tc>
        <w:tc>
          <w:tcPr>
            <w:tcW w:w="60" w:type="dxa"/>
            <w:vAlign w:val="bottom"/>
            <w:shd w:val="clear" w:color="auto" w:fill="191919"/>
          </w:tcPr>
          <w:p>
            <w:pPr>
              <w:spacing w:after="0" w:line="20" w:lineRule="exact"/>
              <w:rPr>
                <w:sz w:val="1"/>
                <w:szCs w:val="1"/>
                <w:color w:val="auto"/>
              </w:rPr>
            </w:pPr>
          </w:p>
        </w:tc>
        <w:tc>
          <w:tcPr>
            <w:tcW w:w="300" w:type="dxa"/>
            <w:vAlign w:val="bottom"/>
            <w:gridSpan w:val="2"/>
            <w:shd w:val="clear" w:color="auto" w:fill="191919"/>
          </w:tcPr>
          <w:p>
            <w:pPr>
              <w:spacing w:after="0" w:line="20" w:lineRule="exact"/>
              <w:rPr>
                <w:sz w:val="1"/>
                <w:szCs w:val="1"/>
                <w:color w:val="auto"/>
              </w:rPr>
            </w:pPr>
          </w:p>
        </w:tc>
        <w:tc>
          <w:tcPr>
            <w:tcW w:w="120" w:type="dxa"/>
            <w:vAlign w:val="bottom"/>
            <w:shd w:val="clear" w:color="auto" w:fill="191919"/>
          </w:tcPr>
          <w:p>
            <w:pPr>
              <w:spacing w:after="0" w:line="20" w:lineRule="exact"/>
              <w:rPr>
                <w:sz w:val="1"/>
                <w:szCs w:val="1"/>
                <w:color w:val="auto"/>
              </w:rPr>
            </w:pPr>
          </w:p>
        </w:tc>
        <w:tc>
          <w:tcPr>
            <w:tcW w:w="40" w:type="dxa"/>
            <w:vAlign w:val="bottom"/>
            <w:shd w:val="clear" w:color="auto" w:fill="191919"/>
          </w:tcPr>
          <w:p>
            <w:pPr>
              <w:spacing w:after="0" w:line="20" w:lineRule="exact"/>
              <w:rPr>
                <w:sz w:val="1"/>
                <w:szCs w:val="1"/>
                <w:color w:val="auto"/>
              </w:rPr>
            </w:pPr>
          </w:p>
        </w:tc>
        <w:tc>
          <w:tcPr>
            <w:tcW w:w="100" w:type="dxa"/>
            <w:vAlign w:val="bottom"/>
            <w:shd w:val="clear" w:color="auto" w:fill="191919"/>
          </w:tcPr>
          <w:p>
            <w:pPr>
              <w:spacing w:after="0" w:line="20" w:lineRule="exact"/>
              <w:rPr>
                <w:sz w:val="1"/>
                <w:szCs w:val="1"/>
                <w:color w:val="auto"/>
              </w:rPr>
            </w:pPr>
          </w:p>
        </w:tc>
        <w:tc>
          <w:tcPr>
            <w:tcW w:w="40" w:type="dxa"/>
            <w:vAlign w:val="bottom"/>
            <w:gridSpan w:val="2"/>
            <w:shd w:val="clear" w:color="auto" w:fill="1919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1919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tcPr>
          <w:p>
            <w:pPr>
              <w:spacing w:after="0"/>
              <w:rPr>
                <w:sz w:val="24"/>
                <w:szCs w:val="24"/>
                <w:color w:val="auto"/>
              </w:rPr>
            </w:pPr>
          </w:p>
        </w:tc>
        <w:tc>
          <w:tcPr>
            <w:tcW w:w="2740" w:type="dxa"/>
            <w:vAlign w:val="bottom"/>
            <w:tcBorders>
              <w:bottom w:val="single" w:sz="8" w:color="191919"/>
            </w:tcBorders>
            <w:gridSpan w:val="23"/>
          </w:tcPr>
          <w:p>
            <w:pPr>
              <w:spacing w:after="0"/>
              <w:rPr>
                <w:rFonts w:ascii="Arial" w:cs="Arial" w:eastAsia="Arial" w:hAnsi="Arial"/>
                <w:sz w:val="18"/>
                <w:szCs w:val="18"/>
                <w:color w:val="191919"/>
                <w:w w:val="91"/>
              </w:rPr>
            </w:pPr>
            <w:hyperlink w:anchor="page29">
              <w:r>
                <w:rPr>
                  <w:rFonts w:ascii="Arial" w:cs="Arial" w:eastAsia="Arial" w:hAnsi="Arial"/>
                  <w:sz w:val="18"/>
                  <w:szCs w:val="18"/>
                  <w:color w:val="191919"/>
                  <w:w w:val="91"/>
                </w:rPr>
                <w:t>Role of the Board of Directors in Risk</w:t>
              </w:r>
            </w:hyperlink>
          </w:p>
        </w:tc>
        <w:tc>
          <w:tcPr>
            <w:tcW w:w="4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00" w:type="dxa"/>
            <w:vAlign w:val="bottom"/>
            <w:gridSpan w:val="2"/>
          </w:tcPr>
          <w:p>
            <w:pPr>
              <w:spacing w:after="0" w:line="196" w:lineRule="exact"/>
              <w:rPr>
                <w:rFonts w:ascii="Arial" w:cs="Arial" w:eastAsia="Arial" w:hAnsi="Arial"/>
                <w:sz w:val="18"/>
                <w:szCs w:val="18"/>
                <w:color w:val="191919"/>
                <w:w w:val="88"/>
              </w:rPr>
            </w:pPr>
            <w:hyperlink w:anchor="page29">
              <w:r>
                <w:rPr>
                  <w:rFonts w:ascii="Arial" w:cs="Arial" w:eastAsia="Arial" w:hAnsi="Arial"/>
                  <w:sz w:val="18"/>
                  <w:szCs w:val="18"/>
                  <w:color w:val="191919"/>
                  <w:w w:val="88"/>
                </w:rPr>
                <w:t>Oversight</w:t>
              </w:r>
            </w:hyperlink>
          </w:p>
        </w:tc>
        <w:tc>
          <w:tcPr>
            <w:tcW w:w="2480" w:type="dxa"/>
            <w:vAlign w:val="bottom"/>
            <w:gridSpan w:val="25"/>
          </w:tcPr>
          <w:p>
            <w:pPr>
              <w:spacing w:after="0"/>
              <w:rPr>
                <w:sz w:val="17"/>
                <w:szCs w:val="17"/>
                <w:color w:val="auto"/>
              </w:rPr>
            </w:pPr>
          </w:p>
        </w:tc>
        <w:tc>
          <w:tcPr>
            <w:tcW w:w="520" w:type="dxa"/>
            <w:vAlign w:val="bottom"/>
            <w:gridSpan w:val="2"/>
          </w:tcPr>
          <w:p>
            <w:pPr>
              <w:jc w:val="right"/>
              <w:spacing w:after="0" w:line="196" w:lineRule="exact"/>
              <w:rPr>
                <w:rFonts w:ascii="Arial" w:cs="Arial" w:eastAsia="Arial" w:hAnsi="Arial"/>
                <w:sz w:val="18"/>
                <w:szCs w:val="18"/>
                <w:color w:val="191919"/>
              </w:rPr>
            </w:pPr>
            <w:hyperlink w:anchor="page29">
              <w:r>
                <w:rPr>
                  <w:rFonts w:ascii="Arial" w:cs="Arial" w:eastAsia="Arial" w:hAnsi="Arial"/>
                  <w:sz w:val="18"/>
                  <w:szCs w:val="18"/>
                  <w:color w:val="191919"/>
                </w:rPr>
                <w:t>33</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191919"/>
          </w:tcPr>
          <w:p>
            <w:pPr>
              <w:spacing w:after="0" w:line="20" w:lineRule="exact"/>
              <w:rPr>
                <w:sz w:val="1"/>
                <w:szCs w:val="1"/>
                <w:color w:val="auto"/>
              </w:rPr>
            </w:pPr>
          </w:p>
        </w:tc>
        <w:tc>
          <w:tcPr>
            <w:tcW w:w="460" w:type="dxa"/>
            <w:vAlign w:val="bottom"/>
            <w:shd w:val="clear" w:color="auto" w:fill="19191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1919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tcPr>
          <w:p>
            <w:pPr>
              <w:spacing w:after="0"/>
              <w:rPr>
                <w:sz w:val="24"/>
                <w:szCs w:val="24"/>
                <w:color w:val="auto"/>
              </w:rPr>
            </w:pPr>
          </w:p>
        </w:tc>
        <w:tc>
          <w:tcPr>
            <w:tcW w:w="3180" w:type="dxa"/>
            <w:vAlign w:val="bottom"/>
            <w:gridSpan w:val="27"/>
          </w:tcPr>
          <w:p>
            <w:pPr>
              <w:spacing w:after="0"/>
              <w:rPr>
                <w:rFonts w:ascii="Arial" w:cs="Arial" w:eastAsia="Arial" w:hAnsi="Arial"/>
                <w:sz w:val="18"/>
                <w:szCs w:val="18"/>
                <w:color w:val="191919"/>
                <w:w w:val="97"/>
              </w:rPr>
            </w:pPr>
            <w:hyperlink w:anchor="page30">
              <w:r>
                <w:rPr>
                  <w:rFonts w:ascii="Arial" w:cs="Arial" w:eastAsia="Arial" w:hAnsi="Arial"/>
                  <w:sz w:val="18"/>
                  <w:szCs w:val="18"/>
                  <w:color w:val="191919"/>
                  <w:w w:val="97"/>
                </w:rPr>
                <w:t>Compensation Committee Interlocks and</w:t>
              </w:r>
            </w:hyperlink>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880" w:type="dxa"/>
            <w:vAlign w:val="bottom"/>
            <w:tcBorders>
              <w:top w:val="single" w:sz="8" w:color="191919"/>
            </w:tcBorders>
            <w:gridSpan w:val="26"/>
          </w:tcPr>
          <w:p>
            <w:pPr>
              <w:spacing w:after="0" w:line="196" w:lineRule="exact"/>
              <w:rPr>
                <w:rFonts w:ascii="Arial" w:cs="Arial" w:eastAsia="Arial" w:hAnsi="Arial"/>
                <w:sz w:val="18"/>
                <w:szCs w:val="18"/>
                <w:color w:val="191919"/>
              </w:rPr>
            </w:pPr>
            <w:hyperlink w:anchor="page30">
              <w:r>
                <w:rPr>
                  <w:rFonts w:ascii="Arial" w:cs="Arial" w:eastAsia="Arial" w:hAnsi="Arial"/>
                  <w:sz w:val="18"/>
                  <w:szCs w:val="18"/>
                  <w:color w:val="191919"/>
                </w:rPr>
                <w:t>Insider Participation</w:t>
              </w:r>
            </w:hyperlink>
          </w:p>
        </w:tc>
        <w:tc>
          <w:tcPr>
            <w:tcW w:w="300" w:type="dxa"/>
            <w:vAlign w:val="bottom"/>
          </w:tcPr>
          <w:p>
            <w:pPr>
              <w:spacing w:after="0"/>
              <w:rPr>
                <w:sz w:val="17"/>
                <w:szCs w:val="17"/>
                <w:color w:val="auto"/>
              </w:rPr>
            </w:pPr>
          </w:p>
        </w:tc>
        <w:tc>
          <w:tcPr>
            <w:tcW w:w="520" w:type="dxa"/>
            <w:vAlign w:val="bottom"/>
            <w:gridSpan w:val="2"/>
          </w:tcPr>
          <w:p>
            <w:pPr>
              <w:jc w:val="right"/>
              <w:spacing w:after="0" w:line="196" w:lineRule="exact"/>
              <w:rPr>
                <w:rFonts w:ascii="Arial" w:cs="Arial" w:eastAsia="Arial" w:hAnsi="Arial"/>
                <w:sz w:val="18"/>
                <w:szCs w:val="18"/>
                <w:color w:val="191919"/>
              </w:rPr>
            </w:pPr>
            <w:hyperlink w:anchor="page30">
              <w:r>
                <w:rPr>
                  <w:rFonts w:ascii="Arial" w:cs="Arial" w:eastAsia="Arial" w:hAnsi="Arial"/>
                  <w:sz w:val="18"/>
                  <w:szCs w:val="18"/>
                  <w:color w:val="191919"/>
                </w:rPr>
                <w:t>34</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191919"/>
          </w:tcPr>
          <w:p>
            <w:pPr>
              <w:spacing w:after="0" w:line="20" w:lineRule="exact"/>
              <w:rPr>
                <w:sz w:val="1"/>
                <w:szCs w:val="1"/>
                <w:color w:val="auto"/>
              </w:rPr>
            </w:pPr>
          </w:p>
        </w:tc>
        <w:tc>
          <w:tcPr>
            <w:tcW w:w="520" w:type="dxa"/>
            <w:vAlign w:val="bottom"/>
            <w:gridSpan w:val="2"/>
            <w:shd w:val="clear" w:color="auto" w:fill="191919"/>
          </w:tcPr>
          <w:p>
            <w:pPr>
              <w:spacing w:after="0" w:line="20" w:lineRule="exact"/>
              <w:rPr>
                <w:sz w:val="1"/>
                <w:szCs w:val="1"/>
                <w:color w:val="auto"/>
              </w:rPr>
            </w:pPr>
          </w:p>
        </w:tc>
        <w:tc>
          <w:tcPr>
            <w:tcW w:w="460" w:type="dxa"/>
            <w:vAlign w:val="bottom"/>
            <w:shd w:val="clear" w:color="auto" w:fill="191919"/>
          </w:tcPr>
          <w:p>
            <w:pPr>
              <w:spacing w:after="0" w:line="20" w:lineRule="exact"/>
              <w:rPr>
                <w:sz w:val="1"/>
                <w:szCs w:val="1"/>
                <w:color w:val="auto"/>
              </w:rPr>
            </w:pPr>
          </w:p>
        </w:tc>
        <w:tc>
          <w:tcPr>
            <w:tcW w:w="200" w:type="dxa"/>
            <w:vAlign w:val="bottom"/>
            <w:shd w:val="clear" w:color="auto" w:fill="191919"/>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1919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tcPr>
          <w:p>
            <w:pPr>
              <w:spacing w:after="0"/>
              <w:rPr>
                <w:sz w:val="24"/>
                <w:szCs w:val="24"/>
                <w:color w:val="auto"/>
              </w:rPr>
            </w:pPr>
          </w:p>
        </w:tc>
        <w:tc>
          <w:tcPr>
            <w:tcW w:w="1820" w:type="dxa"/>
            <w:vAlign w:val="bottom"/>
            <w:tcBorders>
              <w:bottom w:val="single" w:sz="8" w:color="191919"/>
            </w:tcBorders>
            <w:gridSpan w:val="11"/>
          </w:tcPr>
          <w:p>
            <w:pPr>
              <w:spacing w:after="0"/>
              <w:rPr>
                <w:rFonts w:ascii="Arial" w:cs="Arial" w:eastAsia="Arial" w:hAnsi="Arial"/>
                <w:sz w:val="18"/>
                <w:szCs w:val="18"/>
                <w:color w:val="191919"/>
                <w:w w:val="87"/>
              </w:rPr>
            </w:pPr>
            <w:hyperlink w:anchor="page30">
              <w:r>
                <w:rPr>
                  <w:rFonts w:ascii="Arial" w:cs="Arial" w:eastAsia="Arial" w:hAnsi="Arial"/>
                  <w:sz w:val="18"/>
                  <w:szCs w:val="18"/>
                  <w:color w:val="191919"/>
                  <w:w w:val="87"/>
                </w:rPr>
                <w:t>Certain Relationships and</w:t>
              </w:r>
            </w:hyperlink>
          </w:p>
        </w:tc>
        <w:tc>
          <w:tcPr>
            <w:tcW w:w="1360" w:type="dxa"/>
            <w:vAlign w:val="bottom"/>
            <w:gridSpan w:val="16"/>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000" w:type="dxa"/>
            <w:vAlign w:val="bottom"/>
            <w:gridSpan w:val="13"/>
          </w:tcPr>
          <w:p>
            <w:pPr>
              <w:spacing w:after="0" w:line="196" w:lineRule="exact"/>
              <w:rPr>
                <w:rFonts w:ascii="Arial" w:cs="Arial" w:eastAsia="Arial" w:hAnsi="Arial"/>
                <w:sz w:val="18"/>
                <w:szCs w:val="18"/>
                <w:color w:val="191919"/>
                <w:w w:val="85"/>
              </w:rPr>
            </w:pPr>
            <w:hyperlink w:anchor="page30">
              <w:r>
                <w:rPr>
                  <w:rFonts w:ascii="Arial" w:cs="Arial" w:eastAsia="Arial" w:hAnsi="Arial"/>
                  <w:sz w:val="18"/>
                  <w:szCs w:val="18"/>
                  <w:color w:val="191919"/>
                  <w:w w:val="85"/>
                </w:rPr>
                <w:t>Related Person Transactions</w:t>
              </w:r>
            </w:hyperlink>
          </w:p>
        </w:tc>
        <w:tc>
          <w:tcPr>
            <w:tcW w:w="1180" w:type="dxa"/>
            <w:vAlign w:val="bottom"/>
            <w:gridSpan w:val="14"/>
          </w:tcPr>
          <w:p>
            <w:pPr>
              <w:spacing w:after="0"/>
              <w:rPr>
                <w:sz w:val="17"/>
                <w:szCs w:val="17"/>
                <w:color w:val="auto"/>
              </w:rPr>
            </w:pPr>
          </w:p>
        </w:tc>
        <w:tc>
          <w:tcPr>
            <w:tcW w:w="520" w:type="dxa"/>
            <w:vAlign w:val="bottom"/>
            <w:gridSpan w:val="2"/>
          </w:tcPr>
          <w:p>
            <w:pPr>
              <w:jc w:val="right"/>
              <w:spacing w:after="0" w:line="196" w:lineRule="exact"/>
              <w:rPr>
                <w:rFonts w:ascii="Arial" w:cs="Arial" w:eastAsia="Arial" w:hAnsi="Arial"/>
                <w:sz w:val="18"/>
                <w:szCs w:val="18"/>
                <w:color w:val="191919"/>
              </w:rPr>
            </w:pPr>
            <w:hyperlink w:anchor="page30">
              <w:r>
                <w:rPr>
                  <w:rFonts w:ascii="Arial" w:cs="Arial" w:eastAsia="Arial" w:hAnsi="Arial"/>
                  <w:sz w:val="18"/>
                  <w:szCs w:val="18"/>
                  <w:color w:val="191919"/>
                </w:rPr>
                <w:t>34</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191919"/>
          </w:tcPr>
          <w:p>
            <w:pPr>
              <w:spacing w:after="0" w:line="20" w:lineRule="exact"/>
              <w:rPr>
                <w:sz w:val="1"/>
                <w:szCs w:val="1"/>
                <w:color w:val="auto"/>
              </w:rPr>
            </w:pPr>
          </w:p>
        </w:tc>
        <w:tc>
          <w:tcPr>
            <w:tcW w:w="520" w:type="dxa"/>
            <w:vAlign w:val="bottom"/>
            <w:gridSpan w:val="2"/>
            <w:shd w:val="clear" w:color="auto" w:fill="191919"/>
          </w:tcPr>
          <w:p>
            <w:pPr>
              <w:spacing w:after="0" w:line="20" w:lineRule="exact"/>
              <w:rPr>
                <w:sz w:val="1"/>
                <w:szCs w:val="1"/>
                <w:color w:val="auto"/>
              </w:rPr>
            </w:pPr>
          </w:p>
        </w:tc>
        <w:tc>
          <w:tcPr>
            <w:tcW w:w="460" w:type="dxa"/>
            <w:vAlign w:val="bottom"/>
            <w:shd w:val="clear" w:color="auto" w:fill="191919"/>
          </w:tcPr>
          <w:p>
            <w:pPr>
              <w:spacing w:after="0" w:line="20" w:lineRule="exact"/>
              <w:rPr>
                <w:sz w:val="1"/>
                <w:szCs w:val="1"/>
                <w:color w:val="auto"/>
              </w:rPr>
            </w:pPr>
          </w:p>
        </w:tc>
        <w:tc>
          <w:tcPr>
            <w:tcW w:w="420" w:type="dxa"/>
            <w:vAlign w:val="bottom"/>
            <w:gridSpan w:val="4"/>
            <w:shd w:val="clear" w:color="auto" w:fill="191919"/>
          </w:tcPr>
          <w:p>
            <w:pPr>
              <w:spacing w:after="0" w:line="20" w:lineRule="exact"/>
              <w:rPr>
                <w:sz w:val="1"/>
                <w:szCs w:val="1"/>
                <w:color w:val="auto"/>
              </w:rPr>
            </w:pPr>
          </w:p>
        </w:tc>
        <w:tc>
          <w:tcPr>
            <w:tcW w:w="120" w:type="dxa"/>
            <w:vAlign w:val="bottom"/>
            <w:shd w:val="clear" w:color="auto" w:fill="191919"/>
          </w:tcPr>
          <w:p>
            <w:pPr>
              <w:spacing w:after="0" w:line="20" w:lineRule="exact"/>
              <w:rPr>
                <w:sz w:val="1"/>
                <w:szCs w:val="1"/>
                <w:color w:val="auto"/>
              </w:rPr>
            </w:pPr>
          </w:p>
        </w:tc>
        <w:tc>
          <w:tcPr>
            <w:tcW w:w="40" w:type="dxa"/>
            <w:vAlign w:val="bottom"/>
            <w:tcBorders>
              <w:left w:val="single" w:sz="8" w:color="191919"/>
            </w:tcBorders>
            <w:shd w:val="clear" w:color="auto" w:fill="191919"/>
          </w:tcPr>
          <w:p>
            <w:pPr>
              <w:spacing w:after="0" w:line="20" w:lineRule="exact"/>
              <w:rPr>
                <w:sz w:val="1"/>
                <w:szCs w:val="1"/>
                <w:color w:val="auto"/>
              </w:rPr>
            </w:pPr>
          </w:p>
        </w:tc>
        <w:tc>
          <w:tcPr>
            <w:tcW w:w="60" w:type="dxa"/>
            <w:vAlign w:val="bottom"/>
            <w:gridSpan w:val="2"/>
            <w:shd w:val="clear" w:color="auto" w:fill="191919"/>
          </w:tcPr>
          <w:p>
            <w:pPr>
              <w:spacing w:after="0" w:line="20" w:lineRule="exact"/>
              <w:rPr>
                <w:sz w:val="1"/>
                <w:szCs w:val="1"/>
                <w:color w:val="auto"/>
              </w:rPr>
            </w:pPr>
          </w:p>
        </w:tc>
        <w:tc>
          <w:tcPr>
            <w:tcW w:w="140" w:type="dxa"/>
            <w:vAlign w:val="bottom"/>
            <w:shd w:val="clear" w:color="auto" w:fill="19191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1919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540" w:type="dxa"/>
            <w:vAlign w:val="bottom"/>
            <w:gridSpan w:val="28"/>
          </w:tcPr>
          <w:p>
            <w:pPr>
              <w:spacing w:after="0"/>
              <w:rPr>
                <w:rFonts w:ascii="Arial" w:cs="Arial" w:eastAsia="Arial" w:hAnsi="Arial"/>
                <w:sz w:val="22"/>
                <w:szCs w:val="22"/>
                <w:b w:val="1"/>
                <w:bCs w:val="1"/>
                <w:color w:val="02568A"/>
              </w:rPr>
            </w:pPr>
            <w:hyperlink w:anchor="page31">
              <w:r>
                <w:rPr>
                  <w:rFonts w:ascii="Arial" w:cs="Arial" w:eastAsia="Arial" w:hAnsi="Arial"/>
                  <w:sz w:val="22"/>
                  <w:szCs w:val="22"/>
                  <w:b w:val="1"/>
                  <w:bCs w:val="1"/>
                  <w:color w:val="02568A"/>
                </w:rPr>
                <w:t>Proposal 2: Ratification of</w:t>
              </w:r>
            </w:hyperlink>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2568A"/>
          </w:tcPr>
          <w:p>
            <w:pPr>
              <w:spacing w:after="0" w:line="20" w:lineRule="exact"/>
              <w:rPr>
                <w:sz w:val="1"/>
                <w:szCs w:val="1"/>
                <w:color w:val="auto"/>
              </w:rPr>
            </w:pPr>
          </w:p>
        </w:tc>
        <w:tc>
          <w:tcPr>
            <w:tcW w:w="520" w:type="dxa"/>
            <w:vAlign w:val="bottom"/>
            <w:gridSpan w:val="2"/>
            <w:shd w:val="clear" w:color="auto" w:fill="02568A"/>
          </w:tcPr>
          <w:p>
            <w:pPr>
              <w:spacing w:after="0" w:line="20" w:lineRule="exact"/>
              <w:rPr>
                <w:sz w:val="1"/>
                <w:szCs w:val="1"/>
                <w:color w:val="auto"/>
              </w:rPr>
            </w:pPr>
          </w:p>
        </w:tc>
        <w:tc>
          <w:tcPr>
            <w:tcW w:w="460" w:type="dxa"/>
            <w:vAlign w:val="bottom"/>
            <w:shd w:val="clear" w:color="auto" w:fill="02568A"/>
          </w:tcPr>
          <w:p>
            <w:pPr>
              <w:spacing w:after="0" w:line="20" w:lineRule="exact"/>
              <w:rPr>
                <w:sz w:val="1"/>
                <w:szCs w:val="1"/>
                <w:color w:val="auto"/>
              </w:rPr>
            </w:pPr>
          </w:p>
        </w:tc>
        <w:tc>
          <w:tcPr>
            <w:tcW w:w="420" w:type="dxa"/>
            <w:vAlign w:val="bottom"/>
            <w:gridSpan w:val="4"/>
            <w:shd w:val="clear" w:color="auto" w:fill="02568A"/>
          </w:tcPr>
          <w:p>
            <w:pPr>
              <w:spacing w:after="0" w:line="20" w:lineRule="exact"/>
              <w:rPr>
                <w:sz w:val="1"/>
                <w:szCs w:val="1"/>
                <w:color w:val="auto"/>
              </w:rPr>
            </w:pPr>
          </w:p>
        </w:tc>
        <w:tc>
          <w:tcPr>
            <w:tcW w:w="120" w:type="dxa"/>
            <w:vAlign w:val="bottom"/>
            <w:shd w:val="clear" w:color="auto" w:fill="02568A"/>
          </w:tcPr>
          <w:p>
            <w:pPr>
              <w:spacing w:after="0" w:line="20" w:lineRule="exact"/>
              <w:rPr>
                <w:sz w:val="1"/>
                <w:szCs w:val="1"/>
                <w:color w:val="auto"/>
              </w:rPr>
            </w:pPr>
          </w:p>
        </w:tc>
        <w:tc>
          <w:tcPr>
            <w:tcW w:w="40" w:type="dxa"/>
            <w:vAlign w:val="bottom"/>
            <w:tcBorders>
              <w:left w:val="single" w:sz="8" w:color="02568A"/>
            </w:tcBorders>
            <w:shd w:val="clear" w:color="auto" w:fill="02568A"/>
          </w:tcPr>
          <w:p>
            <w:pPr>
              <w:spacing w:after="0" w:line="20" w:lineRule="exact"/>
              <w:rPr>
                <w:sz w:val="1"/>
                <w:szCs w:val="1"/>
                <w:color w:val="auto"/>
              </w:rPr>
            </w:pPr>
          </w:p>
        </w:tc>
        <w:tc>
          <w:tcPr>
            <w:tcW w:w="60" w:type="dxa"/>
            <w:vAlign w:val="bottom"/>
            <w:gridSpan w:val="2"/>
            <w:shd w:val="clear" w:color="auto" w:fill="02568A"/>
          </w:tcPr>
          <w:p>
            <w:pPr>
              <w:spacing w:after="0" w:line="20" w:lineRule="exact"/>
              <w:rPr>
                <w:sz w:val="1"/>
                <w:szCs w:val="1"/>
                <w:color w:val="auto"/>
              </w:rPr>
            </w:pPr>
          </w:p>
        </w:tc>
        <w:tc>
          <w:tcPr>
            <w:tcW w:w="200" w:type="dxa"/>
            <w:vAlign w:val="bottom"/>
            <w:gridSpan w:val="2"/>
            <w:shd w:val="clear" w:color="auto" w:fill="02568A"/>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gridSpan w:val="28"/>
          </w:tcPr>
          <w:p>
            <w:pPr>
              <w:spacing w:after="0" w:line="223" w:lineRule="exact"/>
              <w:rPr>
                <w:rFonts w:ascii="Arial" w:cs="Arial" w:eastAsia="Arial" w:hAnsi="Arial"/>
                <w:sz w:val="22"/>
                <w:szCs w:val="22"/>
                <w:b w:val="1"/>
                <w:bCs w:val="1"/>
                <w:color w:val="02568A"/>
              </w:rPr>
            </w:pPr>
            <w:hyperlink w:anchor="page31">
              <w:r>
                <w:rPr>
                  <w:rFonts w:ascii="Arial" w:cs="Arial" w:eastAsia="Arial" w:hAnsi="Arial"/>
                  <w:sz w:val="22"/>
                  <w:szCs w:val="22"/>
                  <w:b w:val="1"/>
                  <w:bCs w:val="1"/>
                  <w:color w:val="02568A"/>
                </w:rPr>
                <w:t>Independent Registered Public</w:t>
              </w:r>
            </w:hyperlink>
          </w:p>
        </w:tc>
        <w:tc>
          <w:tcPr>
            <w:tcW w:w="520" w:type="dxa"/>
            <w:vAlign w:val="bottom"/>
            <w:gridSpan w:val="2"/>
            <w:vMerge w:val="restart"/>
          </w:tcPr>
          <w:p>
            <w:pPr>
              <w:jc w:val="right"/>
              <w:spacing w:after="0"/>
              <w:rPr>
                <w:rFonts w:ascii="Arial" w:cs="Arial" w:eastAsia="Arial" w:hAnsi="Arial"/>
                <w:sz w:val="22"/>
                <w:szCs w:val="22"/>
                <w:b w:val="1"/>
                <w:bCs w:val="1"/>
                <w:color w:val="02568A"/>
              </w:rPr>
            </w:pPr>
            <w:hyperlink w:anchor="page31">
              <w:r>
                <w:rPr>
                  <w:rFonts w:ascii="Arial" w:cs="Arial" w:eastAsia="Arial" w:hAnsi="Arial"/>
                  <w:sz w:val="22"/>
                  <w:szCs w:val="22"/>
                  <w:b w:val="1"/>
                  <w:bCs w:val="1"/>
                  <w:color w:val="02568A"/>
                </w:rPr>
                <w:t>35</w:t>
              </w:r>
            </w:hyperlink>
          </w:p>
        </w:tc>
        <w:tc>
          <w:tcPr>
            <w:tcW w:w="0" w:type="dxa"/>
            <w:vAlign w:val="bottom"/>
          </w:tcPr>
          <w:p>
            <w:pPr>
              <w:spacing w:after="0"/>
              <w:rPr>
                <w:sz w:val="1"/>
                <w:szCs w:val="1"/>
                <w:color w:val="auto"/>
              </w:rPr>
            </w:pPr>
          </w:p>
        </w:tc>
      </w:tr>
      <w:tr>
        <w:trPr>
          <w:trHeight w:val="223"/>
        </w:trPr>
        <w:tc>
          <w:tcPr>
            <w:tcW w:w="1580" w:type="dxa"/>
            <w:vAlign w:val="bottom"/>
            <w:tcBorders>
              <w:top w:val="single" w:sz="8" w:color="02568A"/>
            </w:tcBorders>
            <w:gridSpan w:val="5"/>
          </w:tcPr>
          <w:p>
            <w:pPr>
              <w:spacing w:after="0" w:line="223" w:lineRule="exact"/>
              <w:rPr>
                <w:rFonts w:ascii="Arial" w:cs="Arial" w:eastAsia="Arial" w:hAnsi="Arial"/>
                <w:sz w:val="22"/>
                <w:szCs w:val="22"/>
                <w:b w:val="1"/>
                <w:bCs w:val="1"/>
                <w:color w:val="02568A"/>
                <w:w w:val="89"/>
              </w:rPr>
            </w:pPr>
            <w:hyperlink w:anchor="page31">
              <w:r>
                <w:rPr>
                  <w:rFonts w:ascii="Arial" w:cs="Arial" w:eastAsia="Arial" w:hAnsi="Arial"/>
                  <w:sz w:val="22"/>
                  <w:szCs w:val="22"/>
                  <w:b w:val="1"/>
                  <w:bCs w:val="1"/>
                  <w:color w:val="02568A"/>
                  <w:w w:val="89"/>
                </w:rPr>
                <w:t>Accounting Firm</w:t>
              </w:r>
            </w:hyperlink>
          </w:p>
        </w:tc>
        <w:tc>
          <w:tcPr>
            <w:tcW w:w="1260" w:type="dxa"/>
            <w:vAlign w:val="bottom"/>
            <w:tcBorders>
              <w:top w:val="single" w:sz="8" w:color="02568A"/>
            </w:tcBorders>
            <w:gridSpan w:val="13"/>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60" w:type="dxa"/>
            <w:vAlign w:val="bottom"/>
            <w:tcBorders>
              <w:top w:val="single" w:sz="8" w:color="02568A"/>
            </w:tcBorders>
          </w:tcPr>
          <w:p>
            <w:pPr>
              <w:spacing w:after="0"/>
              <w:rPr>
                <w:sz w:val="24"/>
                <w:szCs w:val="24"/>
                <w:color w:val="auto"/>
              </w:rPr>
            </w:pPr>
          </w:p>
        </w:tc>
        <w:tc>
          <w:tcPr>
            <w:tcW w:w="1220" w:type="dxa"/>
            <w:vAlign w:val="bottom"/>
            <w:tcBorders>
              <w:top w:val="single" w:sz="8" w:color="02568A"/>
            </w:tcBorders>
            <w:gridSpan w:val="4"/>
          </w:tcPr>
          <w:p>
            <w:pPr>
              <w:spacing w:after="0"/>
              <w:rPr>
                <w:rFonts w:ascii="Arial" w:cs="Arial" w:eastAsia="Arial" w:hAnsi="Arial"/>
                <w:sz w:val="18"/>
                <w:szCs w:val="18"/>
                <w:color w:val="191919"/>
              </w:rPr>
            </w:pPr>
            <w:hyperlink w:anchor="page32">
              <w:r>
                <w:rPr>
                  <w:rFonts w:ascii="Arial" w:cs="Arial" w:eastAsia="Arial" w:hAnsi="Arial"/>
                  <w:sz w:val="18"/>
                  <w:szCs w:val="18"/>
                  <w:color w:val="191919"/>
                </w:rPr>
                <w:t>Audit Fees</w:t>
              </w:r>
            </w:hyperlink>
          </w:p>
        </w:tc>
        <w:tc>
          <w:tcPr>
            <w:tcW w:w="1960" w:type="dxa"/>
            <w:vAlign w:val="bottom"/>
            <w:gridSpan w:val="23"/>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02568A"/>
            </w:tcBorders>
          </w:tcPr>
          <w:p>
            <w:pPr>
              <w:jc w:val="right"/>
              <w:spacing w:after="0"/>
              <w:rPr>
                <w:rFonts w:ascii="Arial" w:cs="Arial" w:eastAsia="Arial" w:hAnsi="Arial"/>
                <w:sz w:val="18"/>
                <w:szCs w:val="18"/>
                <w:color w:val="191919"/>
                <w:w w:val="79"/>
              </w:rPr>
            </w:pPr>
            <w:hyperlink w:anchor="page32">
              <w:r>
                <w:rPr>
                  <w:rFonts w:ascii="Arial" w:cs="Arial" w:eastAsia="Arial" w:hAnsi="Arial"/>
                  <w:sz w:val="18"/>
                  <w:szCs w:val="18"/>
                  <w:color w:val="191919"/>
                  <w:w w:val="79"/>
                </w:rPr>
                <w:t>36</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191919"/>
          </w:tcPr>
          <w:p>
            <w:pPr>
              <w:spacing w:after="0" w:line="20" w:lineRule="exact"/>
              <w:rPr>
                <w:sz w:val="1"/>
                <w:szCs w:val="1"/>
                <w:color w:val="auto"/>
              </w:rPr>
            </w:pPr>
          </w:p>
        </w:tc>
        <w:tc>
          <w:tcPr>
            <w:tcW w:w="520" w:type="dxa"/>
            <w:vAlign w:val="bottom"/>
            <w:gridSpan w:val="2"/>
            <w:shd w:val="clear" w:color="auto" w:fill="191919"/>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1919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540" w:type="dxa"/>
            <w:vAlign w:val="bottom"/>
            <w:gridSpan w:val="28"/>
          </w:tcPr>
          <w:p>
            <w:pPr>
              <w:spacing w:after="0"/>
              <w:rPr>
                <w:rFonts w:ascii="Arial" w:cs="Arial" w:eastAsia="Arial" w:hAnsi="Arial"/>
                <w:sz w:val="22"/>
                <w:szCs w:val="22"/>
                <w:b w:val="1"/>
                <w:bCs w:val="1"/>
                <w:color w:val="02568A"/>
              </w:rPr>
            </w:pPr>
            <w:hyperlink w:anchor="page33">
              <w:r>
                <w:rPr>
                  <w:rFonts w:ascii="Arial" w:cs="Arial" w:eastAsia="Arial" w:hAnsi="Arial"/>
                  <w:sz w:val="22"/>
                  <w:szCs w:val="22"/>
                  <w:b w:val="1"/>
                  <w:bCs w:val="1"/>
                  <w:color w:val="02568A"/>
                </w:rPr>
                <w:t>Report of the Audit Committee</w:t>
              </w:r>
            </w:hyperlink>
          </w:p>
        </w:tc>
        <w:tc>
          <w:tcPr>
            <w:tcW w:w="520" w:type="dxa"/>
            <w:vAlign w:val="bottom"/>
            <w:gridSpan w:val="2"/>
          </w:tcPr>
          <w:p>
            <w:pPr>
              <w:jc w:val="right"/>
              <w:spacing w:after="0"/>
              <w:rPr>
                <w:rFonts w:ascii="Arial" w:cs="Arial" w:eastAsia="Arial" w:hAnsi="Arial"/>
                <w:sz w:val="22"/>
                <w:szCs w:val="22"/>
                <w:b w:val="1"/>
                <w:bCs w:val="1"/>
                <w:color w:val="02568A"/>
              </w:rPr>
            </w:pPr>
            <w:hyperlink w:anchor="page33">
              <w:r>
                <w:rPr>
                  <w:rFonts w:ascii="Arial" w:cs="Arial" w:eastAsia="Arial" w:hAnsi="Arial"/>
                  <w:sz w:val="22"/>
                  <w:szCs w:val="22"/>
                  <w:b w:val="1"/>
                  <w:bCs w:val="1"/>
                  <w:color w:val="02568A"/>
                </w:rPr>
                <w:t>37</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2568A"/>
          </w:tcPr>
          <w:p>
            <w:pPr>
              <w:spacing w:after="0" w:line="20" w:lineRule="exact"/>
              <w:rPr>
                <w:sz w:val="1"/>
                <w:szCs w:val="1"/>
                <w:color w:val="auto"/>
              </w:rPr>
            </w:pPr>
          </w:p>
        </w:tc>
        <w:tc>
          <w:tcPr>
            <w:tcW w:w="1400" w:type="dxa"/>
            <w:vAlign w:val="bottom"/>
            <w:gridSpan w:val="7"/>
            <w:shd w:val="clear" w:color="auto" w:fill="02568A"/>
          </w:tcPr>
          <w:p>
            <w:pPr>
              <w:spacing w:after="0" w:line="20" w:lineRule="exact"/>
              <w:rPr>
                <w:sz w:val="1"/>
                <w:szCs w:val="1"/>
                <w:color w:val="auto"/>
              </w:rPr>
            </w:pPr>
          </w:p>
        </w:tc>
        <w:tc>
          <w:tcPr>
            <w:tcW w:w="120" w:type="dxa"/>
            <w:vAlign w:val="bottom"/>
            <w:shd w:val="clear" w:color="auto" w:fill="02568A"/>
          </w:tcPr>
          <w:p>
            <w:pPr>
              <w:spacing w:after="0" w:line="20" w:lineRule="exact"/>
              <w:rPr>
                <w:sz w:val="1"/>
                <w:szCs w:val="1"/>
                <w:color w:val="auto"/>
              </w:rPr>
            </w:pPr>
          </w:p>
        </w:tc>
        <w:tc>
          <w:tcPr>
            <w:tcW w:w="40" w:type="dxa"/>
            <w:vAlign w:val="bottom"/>
            <w:tcBorders>
              <w:left w:val="single" w:sz="8" w:color="02568A"/>
            </w:tcBorders>
            <w:shd w:val="clear" w:color="auto" w:fill="02568A"/>
          </w:tcPr>
          <w:p>
            <w:pPr>
              <w:spacing w:after="0" w:line="20" w:lineRule="exact"/>
              <w:rPr>
                <w:sz w:val="1"/>
                <w:szCs w:val="1"/>
                <w:color w:val="auto"/>
              </w:rPr>
            </w:pPr>
          </w:p>
        </w:tc>
        <w:tc>
          <w:tcPr>
            <w:tcW w:w="60" w:type="dxa"/>
            <w:vAlign w:val="bottom"/>
            <w:gridSpan w:val="2"/>
            <w:shd w:val="clear" w:color="auto" w:fill="02568A"/>
          </w:tcPr>
          <w:p>
            <w:pPr>
              <w:spacing w:after="0" w:line="20" w:lineRule="exact"/>
              <w:rPr>
                <w:sz w:val="1"/>
                <w:szCs w:val="1"/>
                <w:color w:val="auto"/>
              </w:rPr>
            </w:pPr>
          </w:p>
        </w:tc>
        <w:tc>
          <w:tcPr>
            <w:tcW w:w="500" w:type="dxa"/>
            <w:vAlign w:val="bottom"/>
            <w:gridSpan w:val="4"/>
            <w:shd w:val="clear" w:color="auto" w:fill="02568A"/>
          </w:tcPr>
          <w:p>
            <w:pPr>
              <w:spacing w:after="0" w:line="20" w:lineRule="exact"/>
              <w:rPr>
                <w:sz w:val="1"/>
                <w:szCs w:val="1"/>
                <w:color w:val="auto"/>
              </w:rPr>
            </w:pPr>
          </w:p>
        </w:tc>
        <w:tc>
          <w:tcPr>
            <w:tcW w:w="160" w:type="dxa"/>
            <w:vAlign w:val="bottom"/>
            <w:gridSpan w:val="2"/>
            <w:shd w:val="clear" w:color="auto" w:fill="02568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Borders>
              <w:right w:val="single" w:sz="8" w:color="02568A"/>
            </w:tcBorders>
          </w:tcPr>
          <w:p>
            <w:pPr>
              <w:spacing w:after="0" w:line="20" w:lineRule="exact"/>
              <w:rPr>
                <w:sz w:val="1"/>
                <w:szCs w:val="1"/>
                <w:color w:val="auto"/>
              </w:rPr>
            </w:pPr>
          </w:p>
        </w:tc>
        <w:tc>
          <w:tcPr>
            <w:tcW w:w="180" w:type="dxa"/>
            <w:vAlign w:val="bottom"/>
            <w:shd w:val="clear" w:color="auto" w:fill="02568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540" w:type="dxa"/>
            <w:vAlign w:val="bottom"/>
            <w:gridSpan w:val="28"/>
          </w:tcPr>
          <w:p>
            <w:pPr>
              <w:spacing w:after="0"/>
              <w:rPr>
                <w:rFonts w:ascii="Arial" w:cs="Arial" w:eastAsia="Arial" w:hAnsi="Arial"/>
                <w:sz w:val="22"/>
                <w:szCs w:val="22"/>
                <w:b w:val="1"/>
                <w:bCs w:val="1"/>
                <w:color w:val="02568A"/>
              </w:rPr>
            </w:pPr>
            <w:hyperlink w:anchor="page34">
              <w:r>
                <w:rPr>
                  <w:rFonts w:ascii="Arial" w:cs="Arial" w:eastAsia="Arial" w:hAnsi="Arial"/>
                  <w:sz w:val="22"/>
                  <w:szCs w:val="22"/>
                  <w:b w:val="1"/>
                  <w:bCs w:val="1"/>
                  <w:color w:val="02568A"/>
                </w:rPr>
                <w:t>Proposal 3: Advisory Vote on the</w:t>
              </w:r>
            </w:hyperlink>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02568A"/>
            </w:tcBorders>
            <w:gridSpan w:val="23"/>
          </w:tcPr>
          <w:p>
            <w:pPr>
              <w:spacing w:after="0" w:line="223" w:lineRule="exact"/>
              <w:rPr>
                <w:rFonts w:ascii="Arial" w:cs="Arial" w:eastAsia="Arial" w:hAnsi="Arial"/>
                <w:sz w:val="22"/>
                <w:szCs w:val="22"/>
                <w:b w:val="1"/>
                <w:bCs w:val="1"/>
                <w:color w:val="02568A"/>
                <w:w w:val="99"/>
              </w:rPr>
            </w:pPr>
            <w:hyperlink w:anchor="page34">
              <w:r>
                <w:rPr>
                  <w:rFonts w:ascii="Arial" w:cs="Arial" w:eastAsia="Arial" w:hAnsi="Arial"/>
                  <w:sz w:val="22"/>
                  <w:szCs w:val="22"/>
                  <w:b w:val="1"/>
                  <w:bCs w:val="1"/>
                  <w:color w:val="02568A"/>
                  <w:w w:val="99"/>
                </w:rPr>
                <w:t>Compensation of Our Named</w:t>
              </w:r>
            </w:hyperlink>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tcBorders>
              <w:top w:val="single" w:sz="8" w:color="02568A"/>
            </w:tcBorders>
            <w:gridSpan w:val="17"/>
          </w:tcPr>
          <w:p>
            <w:pPr>
              <w:spacing w:after="0" w:line="223" w:lineRule="exact"/>
              <w:rPr>
                <w:rFonts w:ascii="Arial" w:cs="Arial" w:eastAsia="Arial" w:hAnsi="Arial"/>
                <w:sz w:val="22"/>
                <w:szCs w:val="22"/>
                <w:b w:val="1"/>
                <w:bCs w:val="1"/>
                <w:color w:val="02568A"/>
                <w:w w:val="90"/>
              </w:rPr>
            </w:pPr>
            <w:hyperlink w:anchor="page34">
              <w:r>
                <w:rPr>
                  <w:rFonts w:ascii="Arial" w:cs="Arial" w:eastAsia="Arial" w:hAnsi="Arial"/>
                  <w:sz w:val="22"/>
                  <w:szCs w:val="22"/>
                  <w:b w:val="1"/>
                  <w:bCs w:val="1"/>
                  <w:color w:val="02568A"/>
                  <w:w w:val="90"/>
                </w:rPr>
                <w:t>Executive Officers (“Say-on-</w:t>
              </w:r>
            </w:hyperlink>
          </w:p>
        </w:tc>
        <w:tc>
          <w:tcPr>
            <w:tcW w:w="820" w:type="dxa"/>
            <w:vAlign w:val="bottom"/>
            <w:gridSpan w:val="11"/>
          </w:tcPr>
          <w:p>
            <w:pPr>
              <w:spacing w:after="0" w:line="223" w:lineRule="exact"/>
              <w:rPr>
                <w:rFonts w:ascii="Arial" w:cs="Arial" w:eastAsia="Arial" w:hAnsi="Arial"/>
                <w:sz w:val="22"/>
                <w:szCs w:val="22"/>
                <w:b w:val="1"/>
                <w:bCs w:val="1"/>
                <w:color w:val="02568A"/>
              </w:rPr>
            </w:pPr>
            <w:hyperlink w:anchor="page34">
              <w:r>
                <w:rPr>
                  <w:rFonts w:ascii="Arial" w:cs="Arial" w:eastAsia="Arial" w:hAnsi="Arial"/>
                  <w:sz w:val="22"/>
                  <w:szCs w:val="22"/>
                  <w:b w:val="1"/>
                  <w:bCs w:val="1"/>
                  <w:color w:val="02568A"/>
                </w:rPr>
                <w:t>Pay</w:t>
              </w:r>
            </w:hyperlink>
          </w:p>
        </w:tc>
        <w:tc>
          <w:tcPr>
            <w:tcW w:w="520" w:type="dxa"/>
            <w:vAlign w:val="bottom"/>
            <w:gridSpan w:val="2"/>
            <w:vMerge w:val="restart"/>
          </w:tcPr>
          <w:p>
            <w:pPr>
              <w:jc w:val="right"/>
              <w:spacing w:after="0"/>
              <w:rPr>
                <w:rFonts w:ascii="Arial" w:cs="Arial" w:eastAsia="Arial" w:hAnsi="Arial"/>
                <w:sz w:val="22"/>
                <w:szCs w:val="22"/>
                <w:b w:val="1"/>
                <w:bCs w:val="1"/>
                <w:color w:val="02568A"/>
              </w:rPr>
            </w:pPr>
            <w:hyperlink w:anchor="page34">
              <w:r>
                <w:rPr>
                  <w:rFonts w:ascii="Arial" w:cs="Arial" w:eastAsia="Arial" w:hAnsi="Arial"/>
                  <w:sz w:val="22"/>
                  <w:szCs w:val="22"/>
                  <w:b w:val="1"/>
                  <w:bCs w:val="1"/>
                  <w:color w:val="02568A"/>
                </w:rPr>
                <w:t>38</w:t>
              </w:r>
            </w:hyperlink>
          </w:p>
        </w:tc>
        <w:tc>
          <w:tcPr>
            <w:tcW w:w="0" w:type="dxa"/>
            <w:vAlign w:val="bottom"/>
          </w:tcPr>
          <w:p>
            <w:pPr>
              <w:spacing w:after="0"/>
              <w:rPr>
                <w:sz w:val="1"/>
                <w:szCs w:val="1"/>
                <w:color w:val="auto"/>
              </w:rPr>
            </w:pPr>
          </w:p>
        </w:tc>
      </w:tr>
      <w:tr>
        <w:trPr>
          <w:trHeight w:val="223"/>
        </w:trPr>
        <w:tc>
          <w:tcPr>
            <w:tcW w:w="600" w:type="dxa"/>
            <w:vAlign w:val="bottom"/>
            <w:tcBorders>
              <w:top w:val="single" w:sz="8" w:color="02568A"/>
            </w:tcBorders>
            <w:gridSpan w:val="2"/>
          </w:tcPr>
          <w:p>
            <w:pPr>
              <w:spacing w:after="0" w:line="223" w:lineRule="exact"/>
              <w:rPr>
                <w:rFonts w:ascii="Arial" w:cs="Arial" w:eastAsia="Arial" w:hAnsi="Arial"/>
                <w:sz w:val="22"/>
                <w:szCs w:val="22"/>
                <w:b w:val="1"/>
                <w:bCs w:val="1"/>
                <w:color w:val="02568A"/>
                <w:w w:val="87"/>
              </w:rPr>
            </w:pPr>
            <w:hyperlink w:anchor="page34">
              <w:r>
                <w:rPr>
                  <w:rFonts w:ascii="Arial" w:cs="Arial" w:eastAsia="Arial" w:hAnsi="Arial"/>
                  <w:sz w:val="22"/>
                  <w:szCs w:val="22"/>
                  <w:b w:val="1"/>
                  <w:bCs w:val="1"/>
                  <w:color w:val="02568A"/>
                  <w:w w:val="87"/>
                </w:rPr>
                <w:t>Vote”)</w:t>
              </w:r>
            </w:hyperlink>
          </w:p>
        </w:tc>
        <w:tc>
          <w:tcPr>
            <w:tcW w:w="2380" w:type="dxa"/>
            <w:vAlign w:val="bottom"/>
            <w:tcBorders>
              <w:top w:val="single" w:sz="8" w:color="02568A"/>
            </w:tcBorders>
            <w:gridSpan w:val="18"/>
          </w:tcPr>
          <w:p>
            <w:pPr>
              <w:spacing w:after="0"/>
              <w:rPr>
                <w:sz w:val="19"/>
                <w:szCs w:val="19"/>
                <w:color w:val="auto"/>
              </w:rPr>
            </w:pPr>
          </w:p>
        </w:tc>
        <w:tc>
          <w:tcPr>
            <w:tcW w:w="12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2568A"/>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Borders>
              <w:right w:val="single" w:sz="8" w:color="02568A"/>
            </w:tcBorders>
          </w:tcPr>
          <w:p>
            <w:pPr>
              <w:spacing w:after="0" w:line="20" w:lineRule="exact"/>
              <w:rPr>
                <w:sz w:val="1"/>
                <w:szCs w:val="1"/>
                <w:color w:val="auto"/>
              </w:rPr>
            </w:pPr>
          </w:p>
        </w:tc>
        <w:tc>
          <w:tcPr>
            <w:tcW w:w="180" w:type="dxa"/>
            <w:vAlign w:val="bottom"/>
            <w:shd w:val="clear" w:color="auto" w:fill="02568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540" w:type="dxa"/>
            <w:vAlign w:val="bottom"/>
            <w:gridSpan w:val="28"/>
          </w:tcPr>
          <w:p>
            <w:pPr>
              <w:spacing w:after="0"/>
              <w:rPr>
                <w:rFonts w:ascii="Arial" w:cs="Arial" w:eastAsia="Arial" w:hAnsi="Arial"/>
                <w:sz w:val="22"/>
                <w:szCs w:val="22"/>
                <w:b w:val="1"/>
                <w:bCs w:val="1"/>
                <w:color w:val="02568A"/>
              </w:rPr>
            </w:pPr>
            <w:hyperlink w:anchor="page35">
              <w:r>
                <w:rPr>
                  <w:rFonts w:ascii="Arial" w:cs="Arial" w:eastAsia="Arial" w:hAnsi="Arial"/>
                  <w:sz w:val="22"/>
                  <w:szCs w:val="22"/>
                  <w:b w:val="1"/>
                  <w:bCs w:val="1"/>
                  <w:color w:val="02568A"/>
                </w:rPr>
                <w:t>Information About Executive and</w:t>
              </w:r>
            </w:hyperlink>
          </w:p>
        </w:tc>
        <w:tc>
          <w:tcPr>
            <w:tcW w:w="520" w:type="dxa"/>
            <w:vAlign w:val="bottom"/>
            <w:gridSpan w:val="2"/>
            <w:vMerge w:val="restart"/>
          </w:tcPr>
          <w:p>
            <w:pPr>
              <w:jc w:val="right"/>
              <w:spacing w:after="0"/>
              <w:rPr>
                <w:rFonts w:ascii="Arial" w:cs="Arial" w:eastAsia="Arial" w:hAnsi="Arial"/>
                <w:sz w:val="22"/>
                <w:szCs w:val="22"/>
                <w:b w:val="1"/>
                <w:bCs w:val="1"/>
                <w:color w:val="02568A"/>
              </w:rPr>
            </w:pPr>
            <w:hyperlink w:anchor="page35">
              <w:r>
                <w:rPr>
                  <w:rFonts w:ascii="Arial" w:cs="Arial" w:eastAsia="Arial" w:hAnsi="Arial"/>
                  <w:sz w:val="22"/>
                  <w:szCs w:val="22"/>
                  <w:b w:val="1"/>
                  <w:bCs w:val="1"/>
                  <w:color w:val="02568A"/>
                </w:rPr>
                <w:t>39</w:t>
              </w:r>
            </w:hyperlink>
          </w:p>
        </w:tc>
        <w:tc>
          <w:tcPr>
            <w:tcW w:w="0" w:type="dxa"/>
            <w:vAlign w:val="bottom"/>
          </w:tcPr>
          <w:p>
            <w:pPr>
              <w:spacing w:after="0"/>
              <w:rPr>
                <w:sz w:val="1"/>
                <w:szCs w:val="1"/>
                <w:color w:val="auto"/>
              </w:rPr>
            </w:pPr>
          </w:p>
        </w:tc>
      </w:tr>
      <w:tr>
        <w:trPr>
          <w:trHeight w:val="223"/>
        </w:trPr>
        <w:tc>
          <w:tcPr>
            <w:tcW w:w="3120" w:type="dxa"/>
            <w:vAlign w:val="bottom"/>
            <w:tcBorders>
              <w:top w:val="single" w:sz="8" w:color="02568A"/>
            </w:tcBorders>
            <w:gridSpan w:val="25"/>
          </w:tcPr>
          <w:p>
            <w:pPr>
              <w:spacing w:after="0" w:line="223" w:lineRule="exact"/>
              <w:rPr>
                <w:rFonts w:ascii="Arial" w:cs="Arial" w:eastAsia="Arial" w:hAnsi="Arial"/>
                <w:sz w:val="22"/>
                <w:szCs w:val="22"/>
                <w:b w:val="1"/>
                <w:bCs w:val="1"/>
                <w:color w:val="02568A"/>
              </w:rPr>
            </w:pPr>
            <w:hyperlink w:anchor="page35">
              <w:r>
                <w:rPr>
                  <w:rFonts w:ascii="Arial" w:cs="Arial" w:eastAsia="Arial" w:hAnsi="Arial"/>
                  <w:sz w:val="22"/>
                  <w:szCs w:val="22"/>
                  <w:b w:val="1"/>
                  <w:bCs w:val="1"/>
                  <w:color w:val="02568A"/>
                </w:rPr>
                <w:t>Director Compensation</w:t>
              </w:r>
            </w:hyperlink>
          </w:p>
        </w:tc>
        <w:tc>
          <w:tcPr>
            <w:tcW w:w="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60" w:type="dxa"/>
            <w:vAlign w:val="bottom"/>
            <w:tcBorders>
              <w:top w:val="single" w:sz="8" w:color="02568A"/>
            </w:tcBorders>
          </w:tcPr>
          <w:p>
            <w:pPr>
              <w:spacing w:after="0"/>
              <w:rPr>
                <w:sz w:val="24"/>
                <w:szCs w:val="24"/>
                <w:color w:val="auto"/>
              </w:rPr>
            </w:pPr>
          </w:p>
        </w:tc>
        <w:tc>
          <w:tcPr>
            <w:tcW w:w="1760" w:type="dxa"/>
            <w:vAlign w:val="bottom"/>
            <w:tcBorders>
              <w:top w:val="single" w:sz="8" w:color="02568A"/>
            </w:tcBorders>
            <w:gridSpan w:val="9"/>
          </w:tcPr>
          <w:p>
            <w:pPr>
              <w:spacing w:after="0"/>
              <w:rPr>
                <w:rFonts w:ascii="Arial" w:cs="Arial" w:eastAsia="Arial" w:hAnsi="Arial"/>
                <w:sz w:val="18"/>
                <w:szCs w:val="18"/>
                <w:color w:val="191919"/>
                <w:w w:val="87"/>
              </w:rPr>
            </w:pPr>
            <w:hyperlink w:anchor="page35">
              <w:r>
                <w:rPr>
                  <w:rFonts w:ascii="Arial" w:cs="Arial" w:eastAsia="Arial" w:hAnsi="Arial"/>
                  <w:sz w:val="18"/>
                  <w:szCs w:val="18"/>
                  <w:color w:val="191919"/>
                  <w:w w:val="87"/>
                </w:rPr>
                <w:t>Summary and Highlights</w:t>
              </w:r>
            </w:hyperlink>
          </w:p>
        </w:tc>
        <w:tc>
          <w:tcPr>
            <w:tcW w:w="40" w:type="dxa"/>
            <w:vAlign w:val="bottom"/>
            <w:tcBorders>
              <w:top w:val="single" w:sz="8" w:color="02568A"/>
            </w:tcBorders>
          </w:tcPr>
          <w:p>
            <w:pPr>
              <w:spacing w:after="0"/>
              <w:rPr>
                <w:sz w:val="24"/>
                <w:szCs w:val="24"/>
                <w:color w:val="auto"/>
              </w:rPr>
            </w:pPr>
          </w:p>
        </w:tc>
        <w:tc>
          <w:tcPr>
            <w:tcW w:w="1380" w:type="dxa"/>
            <w:vAlign w:val="bottom"/>
            <w:gridSpan w:val="17"/>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02568A"/>
            </w:tcBorders>
          </w:tcPr>
          <w:p>
            <w:pPr>
              <w:jc w:val="right"/>
              <w:spacing w:after="0"/>
              <w:rPr>
                <w:rFonts w:ascii="Arial" w:cs="Arial" w:eastAsia="Arial" w:hAnsi="Arial"/>
                <w:sz w:val="18"/>
                <w:szCs w:val="18"/>
                <w:color w:val="191919"/>
                <w:w w:val="79"/>
              </w:rPr>
            </w:pPr>
            <w:hyperlink w:anchor="page35">
              <w:r>
                <w:rPr>
                  <w:rFonts w:ascii="Arial" w:cs="Arial" w:eastAsia="Arial" w:hAnsi="Arial"/>
                  <w:sz w:val="18"/>
                  <w:szCs w:val="18"/>
                  <w:color w:val="191919"/>
                  <w:w w:val="79"/>
                </w:rPr>
                <w:t>39</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40" w:type="dxa"/>
            <w:vAlign w:val="bottom"/>
            <w:gridSpan w:val="8"/>
            <w:shd w:val="clear" w:color="auto" w:fill="191919"/>
          </w:tcPr>
          <w:p>
            <w:pPr>
              <w:spacing w:after="0" w:line="20" w:lineRule="exact"/>
              <w:rPr>
                <w:sz w:val="1"/>
                <w:szCs w:val="1"/>
                <w:color w:val="auto"/>
              </w:rPr>
            </w:pPr>
          </w:p>
        </w:tc>
        <w:tc>
          <w:tcPr>
            <w:tcW w:w="120" w:type="dxa"/>
            <w:vAlign w:val="bottom"/>
            <w:shd w:val="clear" w:color="auto" w:fill="191919"/>
          </w:tcPr>
          <w:p>
            <w:pPr>
              <w:spacing w:after="0" w:line="20" w:lineRule="exact"/>
              <w:rPr>
                <w:sz w:val="1"/>
                <w:szCs w:val="1"/>
                <w:color w:val="auto"/>
              </w:rPr>
            </w:pPr>
          </w:p>
        </w:tc>
        <w:tc>
          <w:tcPr>
            <w:tcW w:w="100" w:type="dxa"/>
            <w:vAlign w:val="bottom"/>
            <w:tcBorders>
              <w:left w:val="single" w:sz="8" w:color="191919"/>
            </w:tcBorders>
            <w:gridSpan w:val="3"/>
          </w:tcPr>
          <w:p>
            <w:pPr>
              <w:spacing w:after="0" w:line="20" w:lineRule="exact"/>
              <w:rPr>
                <w:sz w:val="1"/>
                <w:szCs w:val="1"/>
                <w:color w:val="auto"/>
              </w:rPr>
            </w:pPr>
          </w:p>
        </w:tc>
        <w:tc>
          <w:tcPr>
            <w:tcW w:w="88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1919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tcPr>
          <w:p>
            <w:pPr>
              <w:spacing w:after="0"/>
              <w:rPr>
                <w:sz w:val="24"/>
                <w:szCs w:val="24"/>
                <w:color w:val="auto"/>
              </w:rPr>
            </w:pPr>
          </w:p>
        </w:tc>
        <w:tc>
          <w:tcPr>
            <w:tcW w:w="3180" w:type="dxa"/>
            <w:vAlign w:val="bottom"/>
            <w:gridSpan w:val="27"/>
          </w:tcPr>
          <w:p>
            <w:pPr>
              <w:spacing w:after="0"/>
              <w:rPr>
                <w:rFonts w:ascii="Arial" w:cs="Arial" w:eastAsia="Arial" w:hAnsi="Arial"/>
                <w:sz w:val="18"/>
                <w:szCs w:val="18"/>
                <w:color w:val="191919"/>
              </w:rPr>
            </w:pPr>
            <w:hyperlink w:anchor="page37">
              <w:r>
                <w:rPr>
                  <w:rFonts w:ascii="Arial" w:cs="Arial" w:eastAsia="Arial" w:hAnsi="Arial"/>
                  <w:sz w:val="18"/>
                  <w:szCs w:val="18"/>
                  <w:color w:val="191919"/>
                </w:rPr>
                <w:t>Compensation Discussion and Analysis</w:t>
              </w:r>
            </w:hyperlink>
          </w:p>
        </w:tc>
        <w:tc>
          <w:tcPr>
            <w:tcW w:w="520" w:type="dxa"/>
            <w:vAlign w:val="bottom"/>
            <w:gridSpan w:val="2"/>
          </w:tcPr>
          <w:p>
            <w:pPr>
              <w:jc w:val="right"/>
              <w:spacing w:after="0"/>
              <w:rPr>
                <w:rFonts w:ascii="Arial" w:cs="Arial" w:eastAsia="Arial" w:hAnsi="Arial"/>
                <w:sz w:val="18"/>
                <w:szCs w:val="18"/>
                <w:color w:val="191919"/>
              </w:rPr>
            </w:pPr>
            <w:hyperlink w:anchor="page37">
              <w:r>
                <w:rPr>
                  <w:rFonts w:ascii="Arial" w:cs="Arial" w:eastAsia="Arial" w:hAnsi="Arial"/>
                  <w:sz w:val="18"/>
                  <w:szCs w:val="18"/>
                  <w:color w:val="191919"/>
                </w:rPr>
                <w:t>41</w:t>
              </w:r>
            </w:hyperlink>
          </w:p>
        </w:tc>
        <w:tc>
          <w:tcPr>
            <w:tcW w:w="0" w:type="dxa"/>
            <w:vAlign w:val="bottom"/>
          </w:tcPr>
          <w:p>
            <w:pPr>
              <w:spacing w:after="0"/>
              <w:rPr>
                <w:sz w:val="1"/>
                <w:szCs w:val="1"/>
                <w:color w:val="auto"/>
              </w:rPr>
            </w:pPr>
          </w:p>
        </w:tc>
      </w:tr>
      <w:tr>
        <w:trPr>
          <w:trHeight w:val="453"/>
        </w:trPr>
        <w:tc>
          <w:tcPr>
            <w:tcW w:w="360" w:type="dxa"/>
            <w:vAlign w:val="bottom"/>
          </w:tcPr>
          <w:p>
            <w:pPr>
              <w:spacing w:after="0"/>
              <w:rPr>
                <w:sz w:val="24"/>
                <w:szCs w:val="24"/>
                <w:color w:val="auto"/>
              </w:rPr>
            </w:pPr>
          </w:p>
        </w:tc>
        <w:tc>
          <w:tcPr>
            <w:tcW w:w="2780" w:type="dxa"/>
            <w:vAlign w:val="bottom"/>
            <w:tcBorders>
              <w:top w:val="single" w:sz="8" w:color="191919"/>
            </w:tcBorders>
            <w:gridSpan w:val="25"/>
          </w:tcPr>
          <w:p>
            <w:pPr>
              <w:spacing w:after="0"/>
              <w:rPr>
                <w:rFonts w:ascii="Arial" w:cs="Arial" w:eastAsia="Arial" w:hAnsi="Arial"/>
                <w:sz w:val="18"/>
                <w:szCs w:val="18"/>
                <w:color w:val="191919"/>
              </w:rPr>
            </w:pPr>
            <w:hyperlink w:anchor="page49">
              <w:r>
                <w:rPr>
                  <w:rFonts w:ascii="Arial" w:cs="Arial" w:eastAsia="Arial" w:hAnsi="Arial"/>
                  <w:sz w:val="18"/>
                  <w:szCs w:val="18"/>
                  <w:color w:val="191919"/>
                </w:rPr>
                <w:t>Compensation Tables for</w:t>
              </w:r>
            </w:hyperlink>
          </w:p>
        </w:tc>
        <w:tc>
          <w:tcPr>
            <w:tcW w:w="40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191919"/>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40" w:type="dxa"/>
            <w:vAlign w:val="bottom"/>
            <w:gridSpan w:val="8"/>
            <w:shd w:val="clear" w:color="auto" w:fill="191919"/>
          </w:tcPr>
          <w:p>
            <w:pPr>
              <w:spacing w:after="0" w:line="20" w:lineRule="exact"/>
              <w:rPr>
                <w:sz w:val="1"/>
                <w:szCs w:val="1"/>
                <w:color w:val="auto"/>
              </w:rPr>
            </w:pPr>
          </w:p>
        </w:tc>
        <w:tc>
          <w:tcPr>
            <w:tcW w:w="120" w:type="dxa"/>
            <w:vAlign w:val="bottom"/>
            <w:shd w:val="clear" w:color="auto" w:fill="191919"/>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80" w:type="dxa"/>
            <w:vAlign w:val="bottom"/>
            <w:gridSpan w:val="11"/>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180" w:type="dxa"/>
            <w:vAlign w:val="bottom"/>
            <w:gridSpan w:val="27"/>
          </w:tcPr>
          <w:p>
            <w:pPr>
              <w:spacing w:after="0" w:line="196" w:lineRule="exact"/>
              <w:rPr>
                <w:rFonts w:ascii="Arial" w:cs="Arial" w:eastAsia="Arial" w:hAnsi="Arial"/>
                <w:sz w:val="18"/>
                <w:szCs w:val="18"/>
                <w:color w:val="191919"/>
              </w:rPr>
            </w:pPr>
            <w:hyperlink w:anchor="page49">
              <w:r>
                <w:rPr>
                  <w:rFonts w:ascii="Arial" w:cs="Arial" w:eastAsia="Arial" w:hAnsi="Arial"/>
                  <w:sz w:val="18"/>
                  <w:szCs w:val="18"/>
                  <w:color w:val="191919"/>
                </w:rPr>
                <w:t>Named Executive Officers</w:t>
              </w:r>
            </w:hyperlink>
          </w:p>
        </w:tc>
        <w:tc>
          <w:tcPr>
            <w:tcW w:w="520" w:type="dxa"/>
            <w:vAlign w:val="bottom"/>
            <w:gridSpan w:val="2"/>
          </w:tcPr>
          <w:p>
            <w:pPr>
              <w:jc w:val="right"/>
              <w:spacing w:after="0" w:line="196" w:lineRule="exact"/>
              <w:rPr>
                <w:rFonts w:ascii="Arial" w:cs="Arial" w:eastAsia="Arial" w:hAnsi="Arial"/>
                <w:sz w:val="18"/>
                <w:szCs w:val="18"/>
                <w:color w:val="191919"/>
              </w:rPr>
            </w:pPr>
            <w:hyperlink w:anchor="page49">
              <w:r>
                <w:rPr>
                  <w:rFonts w:ascii="Arial" w:cs="Arial" w:eastAsia="Arial" w:hAnsi="Arial"/>
                  <w:sz w:val="18"/>
                  <w:szCs w:val="18"/>
                  <w:color w:val="191919"/>
                </w:rPr>
                <w:t>53</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40" w:type="dxa"/>
            <w:vAlign w:val="bottom"/>
            <w:gridSpan w:val="8"/>
            <w:shd w:val="clear" w:color="auto" w:fill="191919"/>
          </w:tcPr>
          <w:p>
            <w:pPr>
              <w:spacing w:after="0" w:line="20" w:lineRule="exact"/>
              <w:rPr>
                <w:sz w:val="1"/>
                <w:szCs w:val="1"/>
                <w:color w:val="auto"/>
              </w:rPr>
            </w:pPr>
          </w:p>
        </w:tc>
        <w:tc>
          <w:tcPr>
            <w:tcW w:w="220" w:type="dxa"/>
            <w:vAlign w:val="bottom"/>
            <w:gridSpan w:val="4"/>
            <w:shd w:val="clear" w:color="auto" w:fill="191919"/>
          </w:tcPr>
          <w:p>
            <w:pPr>
              <w:spacing w:after="0" w:line="20" w:lineRule="exact"/>
              <w:rPr>
                <w:sz w:val="1"/>
                <w:szCs w:val="1"/>
                <w:color w:val="auto"/>
              </w:rPr>
            </w:pPr>
          </w:p>
        </w:tc>
        <w:tc>
          <w:tcPr>
            <w:tcW w:w="880" w:type="dxa"/>
            <w:vAlign w:val="bottom"/>
            <w:gridSpan w:val="11"/>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1919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tcPr>
          <w:p>
            <w:pPr>
              <w:spacing w:after="0"/>
              <w:rPr>
                <w:sz w:val="24"/>
                <w:szCs w:val="24"/>
                <w:color w:val="auto"/>
              </w:rPr>
            </w:pPr>
          </w:p>
        </w:tc>
        <w:tc>
          <w:tcPr>
            <w:tcW w:w="1860" w:type="dxa"/>
            <w:vAlign w:val="bottom"/>
            <w:gridSpan w:val="12"/>
          </w:tcPr>
          <w:p>
            <w:pPr>
              <w:spacing w:after="0"/>
              <w:rPr>
                <w:rFonts w:ascii="Arial" w:cs="Arial" w:eastAsia="Arial" w:hAnsi="Arial"/>
                <w:sz w:val="18"/>
                <w:szCs w:val="18"/>
                <w:color w:val="191919"/>
                <w:w w:val="99"/>
              </w:rPr>
            </w:pPr>
            <w:hyperlink w:anchor="page59">
              <w:r>
                <w:rPr>
                  <w:rFonts w:ascii="Arial" w:cs="Arial" w:eastAsia="Arial" w:hAnsi="Arial"/>
                  <w:sz w:val="18"/>
                  <w:szCs w:val="18"/>
                  <w:color w:val="191919"/>
                  <w:w w:val="99"/>
                </w:rPr>
                <w:t>Director Compensation</w:t>
              </w:r>
            </w:hyperlink>
          </w:p>
        </w:tc>
        <w:tc>
          <w:tcPr>
            <w:tcW w:w="1320" w:type="dxa"/>
            <w:vAlign w:val="bottom"/>
            <w:gridSpan w:val="15"/>
          </w:tcPr>
          <w:p>
            <w:pPr>
              <w:spacing w:after="0"/>
              <w:rPr>
                <w:sz w:val="24"/>
                <w:szCs w:val="24"/>
                <w:color w:val="auto"/>
              </w:rPr>
            </w:pPr>
          </w:p>
        </w:tc>
        <w:tc>
          <w:tcPr>
            <w:tcW w:w="520" w:type="dxa"/>
            <w:vAlign w:val="bottom"/>
            <w:gridSpan w:val="2"/>
          </w:tcPr>
          <w:p>
            <w:pPr>
              <w:jc w:val="right"/>
              <w:spacing w:after="0"/>
              <w:rPr>
                <w:rFonts w:ascii="Arial" w:cs="Arial" w:eastAsia="Arial" w:hAnsi="Arial"/>
                <w:sz w:val="18"/>
                <w:szCs w:val="18"/>
                <w:color w:val="191919"/>
              </w:rPr>
            </w:pPr>
            <w:hyperlink w:anchor="page59">
              <w:r>
                <w:rPr>
                  <w:rFonts w:ascii="Arial" w:cs="Arial" w:eastAsia="Arial" w:hAnsi="Arial"/>
                  <w:sz w:val="18"/>
                  <w:szCs w:val="18"/>
                  <w:color w:val="191919"/>
                </w:rPr>
                <w:t>63</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40" w:type="dxa"/>
            <w:vAlign w:val="bottom"/>
            <w:gridSpan w:val="8"/>
            <w:shd w:val="clear" w:color="auto" w:fill="191919"/>
          </w:tcPr>
          <w:p>
            <w:pPr>
              <w:spacing w:after="0" w:line="20" w:lineRule="exact"/>
              <w:rPr>
                <w:sz w:val="1"/>
                <w:szCs w:val="1"/>
                <w:color w:val="auto"/>
              </w:rPr>
            </w:pPr>
          </w:p>
        </w:tc>
        <w:tc>
          <w:tcPr>
            <w:tcW w:w="1100" w:type="dxa"/>
            <w:vAlign w:val="bottom"/>
            <w:gridSpan w:val="1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1919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540" w:type="dxa"/>
            <w:vAlign w:val="bottom"/>
            <w:gridSpan w:val="28"/>
          </w:tcPr>
          <w:p>
            <w:pPr>
              <w:spacing w:after="0"/>
              <w:rPr>
                <w:rFonts w:ascii="Arial" w:cs="Arial" w:eastAsia="Arial" w:hAnsi="Arial"/>
                <w:sz w:val="22"/>
                <w:szCs w:val="22"/>
                <w:b w:val="1"/>
                <w:bCs w:val="1"/>
                <w:color w:val="02568A"/>
              </w:rPr>
            </w:pPr>
            <w:hyperlink w:anchor="page61">
              <w:r>
                <w:rPr>
                  <w:rFonts w:ascii="Arial" w:cs="Arial" w:eastAsia="Arial" w:hAnsi="Arial"/>
                  <w:sz w:val="22"/>
                  <w:szCs w:val="22"/>
                  <w:b w:val="1"/>
                  <w:bCs w:val="1"/>
                  <w:color w:val="02568A"/>
                </w:rPr>
                <w:t>Compensation Committee Report</w:t>
              </w:r>
            </w:hyperlink>
          </w:p>
        </w:tc>
        <w:tc>
          <w:tcPr>
            <w:tcW w:w="520" w:type="dxa"/>
            <w:vAlign w:val="bottom"/>
            <w:gridSpan w:val="2"/>
          </w:tcPr>
          <w:p>
            <w:pPr>
              <w:jc w:val="right"/>
              <w:spacing w:after="0"/>
              <w:rPr>
                <w:rFonts w:ascii="Arial" w:cs="Arial" w:eastAsia="Arial" w:hAnsi="Arial"/>
                <w:sz w:val="22"/>
                <w:szCs w:val="22"/>
                <w:b w:val="1"/>
                <w:bCs w:val="1"/>
                <w:color w:val="02568A"/>
              </w:rPr>
            </w:pPr>
            <w:hyperlink w:anchor="page61">
              <w:r>
                <w:rPr>
                  <w:rFonts w:ascii="Arial" w:cs="Arial" w:eastAsia="Arial" w:hAnsi="Arial"/>
                  <w:sz w:val="22"/>
                  <w:szCs w:val="22"/>
                  <w:b w:val="1"/>
                  <w:bCs w:val="1"/>
                  <w:color w:val="02568A"/>
                </w:rPr>
                <w:t>65</w:t>
              </w:r>
            </w:hyperlink>
          </w:p>
        </w:tc>
        <w:tc>
          <w:tcPr>
            <w:tcW w:w="0" w:type="dxa"/>
            <w:vAlign w:val="bottom"/>
          </w:tcPr>
          <w:p>
            <w:pPr>
              <w:spacing w:after="0"/>
              <w:rPr>
                <w:sz w:val="1"/>
                <w:szCs w:val="1"/>
                <w:color w:val="auto"/>
              </w:rPr>
            </w:pPr>
          </w:p>
        </w:tc>
      </w:tr>
      <w:tr>
        <w:trPr>
          <w:trHeight w:val="20"/>
        </w:trPr>
        <w:tc>
          <w:tcPr>
            <w:tcW w:w="360" w:type="dxa"/>
            <w:vAlign w:val="bottom"/>
            <w:shd w:val="clear" w:color="auto" w:fill="02568A"/>
          </w:tcPr>
          <w:p>
            <w:pPr>
              <w:spacing w:after="0" w:line="20" w:lineRule="exact"/>
              <w:rPr>
                <w:sz w:val="1"/>
                <w:szCs w:val="1"/>
                <w:color w:val="auto"/>
              </w:rPr>
            </w:pPr>
          </w:p>
        </w:tc>
        <w:tc>
          <w:tcPr>
            <w:tcW w:w="240" w:type="dxa"/>
            <w:vAlign w:val="bottom"/>
            <w:shd w:val="clear" w:color="auto" w:fill="02568A"/>
          </w:tcPr>
          <w:p>
            <w:pPr>
              <w:spacing w:after="0" w:line="20" w:lineRule="exact"/>
              <w:rPr>
                <w:sz w:val="1"/>
                <w:szCs w:val="1"/>
                <w:color w:val="auto"/>
              </w:rPr>
            </w:pPr>
          </w:p>
        </w:tc>
        <w:tc>
          <w:tcPr>
            <w:tcW w:w="460" w:type="dxa"/>
            <w:vAlign w:val="bottom"/>
            <w:shd w:val="clear" w:color="auto" w:fill="02568A"/>
          </w:tcPr>
          <w:p>
            <w:pPr>
              <w:spacing w:after="0" w:line="20" w:lineRule="exact"/>
              <w:rPr>
                <w:sz w:val="1"/>
                <w:szCs w:val="1"/>
                <w:color w:val="auto"/>
              </w:rPr>
            </w:pPr>
          </w:p>
        </w:tc>
        <w:tc>
          <w:tcPr>
            <w:tcW w:w="60" w:type="dxa"/>
            <w:vAlign w:val="bottom"/>
            <w:shd w:val="clear" w:color="auto" w:fill="02568A"/>
          </w:tcPr>
          <w:p>
            <w:pPr>
              <w:spacing w:after="0" w:line="20" w:lineRule="exact"/>
              <w:rPr>
                <w:sz w:val="1"/>
                <w:szCs w:val="1"/>
                <w:color w:val="auto"/>
              </w:rPr>
            </w:pPr>
          </w:p>
        </w:tc>
        <w:tc>
          <w:tcPr>
            <w:tcW w:w="460" w:type="dxa"/>
            <w:vAlign w:val="bottom"/>
            <w:shd w:val="clear" w:color="auto" w:fill="02568A"/>
          </w:tcPr>
          <w:p>
            <w:pPr>
              <w:spacing w:after="0" w:line="20" w:lineRule="exact"/>
              <w:rPr>
                <w:sz w:val="1"/>
                <w:szCs w:val="1"/>
                <w:color w:val="auto"/>
              </w:rPr>
            </w:pPr>
          </w:p>
        </w:tc>
        <w:tc>
          <w:tcPr>
            <w:tcW w:w="200" w:type="dxa"/>
            <w:vAlign w:val="bottom"/>
            <w:shd w:val="clear" w:color="auto" w:fill="02568A"/>
          </w:tcPr>
          <w:p>
            <w:pPr>
              <w:spacing w:after="0" w:line="20" w:lineRule="exact"/>
              <w:rPr>
                <w:sz w:val="1"/>
                <w:szCs w:val="1"/>
                <w:color w:val="auto"/>
              </w:rPr>
            </w:pPr>
          </w:p>
        </w:tc>
        <w:tc>
          <w:tcPr>
            <w:tcW w:w="140" w:type="dxa"/>
            <w:vAlign w:val="bottom"/>
            <w:shd w:val="clear" w:color="auto" w:fill="02568A"/>
          </w:tcPr>
          <w:p>
            <w:pPr>
              <w:spacing w:after="0" w:line="20" w:lineRule="exact"/>
              <w:rPr>
                <w:sz w:val="1"/>
                <w:szCs w:val="1"/>
                <w:color w:val="auto"/>
              </w:rPr>
            </w:pPr>
          </w:p>
        </w:tc>
        <w:tc>
          <w:tcPr>
            <w:tcW w:w="40" w:type="dxa"/>
            <w:vAlign w:val="bottom"/>
            <w:shd w:val="clear" w:color="auto" w:fill="02568A"/>
          </w:tcPr>
          <w:p>
            <w:pPr>
              <w:spacing w:after="0" w:line="20" w:lineRule="exact"/>
              <w:rPr>
                <w:sz w:val="1"/>
                <w:szCs w:val="1"/>
                <w:color w:val="auto"/>
              </w:rPr>
            </w:pPr>
          </w:p>
        </w:tc>
        <w:tc>
          <w:tcPr>
            <w:tcW w:w="40" w:type="dxa"/>
            <w:vAlign w:val="bottom"/>
            <w:shd w:val="clear" w:color="auto" w:fill="02568A"/>
          </w:tcPr>
          <w:p>
            <w:pPr>
              <w:spacing w:after="0" w:line="20" w:lineRule="exact"/>
              <w:rPr>
                <w:sz w:val="1"/>
                <w:szCs w:val="1"/>
                <w:color w:val="auto"/>
              </w:rPr>
            </w:pPr>
          </w:p>
        </w:tc>
        <w:tc>
          <w:tcPr>
            <w:tcW w:w="120" w:type="dxa"/>
            <w:vAlign w:val="bottom"/>
            <w:shd w:val="clear" w:color="auto" w:fill="02568A"/>
          </w:tcPr>
          <w:p>
            <w:pPr>
              <w:spacing w:after="0" w:line="20" w:lineRule="exact"/>
              <w:rPr>
                <w:sz w:val="1"/>
                <w:szCs w:val="1"/>
                <w:color w:val="auto"/>
              </w:rPr>
            </w:pPr>
          </w:p>
        </w:tc>
        <w:tc>
          <w:tcPr>
            <w:tcW w:w="40" w:type="dxa"/>
            <w:vAlign w:val="bottom"/>
            <w:tcBorders>
              <w:left w:val="single" w:sz="8" w:color="02568A"/>
            </w:tcBorders>
            <w:shd w:val="clear" w:color="auto" w:fill="02568A"/>
          </w:tcPr>
          <w:p>
            <w:pPr>
              <w:spacing w:after="0" w:line="20" w:lineRule="exact"/>
              <w:rPr>
                <w:sz w:val="1"/>
                <w:szCs w:val="1"/>
                <w:color w:val="auto"/>
              </w:rPr>
            </w:pPr>
          </w:p>
        </w:tc>
        <w:tc>
          <w:tcPr>
            <w:tcW w:w="20" w:type="dxa"/>
            <w:vAlign w:val="bottom"/>
            <w:shd w:val="clear" w:color="auto" w:fill="02568A"/>
          </w:tcPr>
          <w:p>
            <w:pPr>
              <w:spacing w:after="0" w:line="20" w:lineRule="exact"/>
              <w:rPr>
                <w:sz w:val="1"/>
                <w:szCs w:val="1"/>
                <w:color w:val="auto"/>
              </w:rPr>
            </w:pPr>
          </w:p>
        </w:tc>
        <w:tc>
          <w:tcPr>
            <w:tcW w:w="40" w:type="dxa"/>
            <w:vAlign w:val="bottom"/>
            <w:shd w:val="clear" w:color="auto" w:fill="02568A"/>
          </w:tcPr>
          <w:p>
            <w:pPr>
              <w:spacing w:after="0" w:line="20" w:lineRule="exact"/>
              <w:rPr>
                <w:sz w:val="1"/>
                <w:szCs w:val="1"/>
                <w:color w:val="auto"/>
              </w:rPr>
            </w:pPr>
          </w:p>
        </w:tc>
        <w:tc>
          <w:tcPr>
            <w:tcW w:w="140" w:type="dxa"/>
            <w:vAlign w:val="bottom"/>
            <w:shd w:val="clear" w:color="auto" w:fill="02568A"/>
          </w:tcPr>
          <w:p>
            <w:pPr>
              <w:spacing w:after="0" w:line="20" w:lineRule="exact"/>
              <w:rPr>
                <w:sz w:val="1"/>
                <w:szCs w:val="1"/>
                <w:color w:val="auto"/>
              </w:rPr>
            </w:pPr>
          </w:p>
        </w:tc>
        <w:tc>
          <w:tcPr>
            <w:tcW w:w="60" w:type="dxa"/>
            <w:vAlign w:val="bottom"/>
            <w:shd w:val="clear" w:color="auto" w:fill="02568A"/>
          </w:tcPr>
          <w:p>
            <w:pPr>
              <w:spacing w:after="0" w:line="20" w:lineRule="exact"/>
              <w:rPr>
                <w:sz w:val="1"/>
                <w:szCs w:val="1"/>
                <w:color w:val="auto"/>
              </w:rPr>
            </w:pPr>
          </w:p>
        </w:tc>
        <w:tc>
          <w:tcPr>
            <w:tcW w:w="80" w:type="dxa"/>
            <w:vAlign w:val="bottom"/>
            <w:shd w:val="clear" w:color="auto" w:fill="02568A"/>
          </w:tcPr>
          <w:p>
            <w:pPr>
              <w:spacing w:after="0" w:line="20" w:lineRule="exact"/>
              <w:rPr>
                <w:sz w:val="1"/>
                <w:szCs w:val="1"/>
                <w:color w:val="auto"/>
              </w:rPr>
            </w:pPr>
          </w:p>
        </w:tc>
        <w:tc>
          <w:tcPr>
            <w:tcW w:w="220" w:type="dxa"/>
            <w:vAlign w:val="bottom"/>
            <w:shd w:val="clear" w:color="auto" w:fill="02568A"/>
          </w:tcPr>
          <w:p>
            <w:pPr>
              <w:spacing w:after="0" w:line="20" w:lineRule="exact"/>
              <w:rPr>
                <w:sz w:val="1"/>
                <w:szCs w:val="1"/>
                <w:color w:val="auto"/>
              </w:rPr>
            </w:pPr>
          </w:p>
        </w:tc>
        <w:tc>
          <w:tcPr>
            <w:tcW w:w="120" w:type="dxa"/>
            <w:vAlign w:val="bottom"/>
            <w:shd w:val="clear" w:color="auto" w:fill="02568A"/>
          </w:tcPr>
          <w:p>
            <w:pPr>
              <w:spacing w:after="0" w:line="20" w:lineRule="exact"/>
              <w:rPr>
                <w:sz w:val="1"/>
                <w:szCs w:val="1"/>
                <w:color w:val="auto"/>
              </w:rPr>
            </w:pPr>
          </w:p>
        </w:tc>
        <w:tc>
          <w:tcPr>
            <w:tcW w:w="40" w:type="dxa"/>
            <w:vAlign w:val="bottom"/>
            <w:shd w:val="clear" w:color="auto" w:fill="02568A"/>
          </w:tcPr>
          <w:p>
            <w:pPr>
              <w:spacing w:after="0" w:line="20" w:lineRule="exact"/>
              <w:rPr>
                <w:sz w:val="1"/>
                <w:szCs w:val="1"/>
                <w:color w:val="auto"/>
              </w:rPr>
            </w:pPr>
          </w:p>
        </w:tc>
        <w:tc>
          <w:tcPr>
            <w:tcW w:w="100" w:type="dxa"/>
            <w:vAlign w:val="bottom"/>
            <w:shd w:val="clear" w:color="auto" w:fill="02568A"/>
          </w:tcPr>
          <w:p>
            <w:pPr>
              <w:spacing w:after="0" w:line="20" w:lineRule="exact"/>
              <w:rPr>
                <w:sz w:val="1"/>
                <w:szCs w:val="1"/>
                <w:color w:val="auto"/>
              </w:rPr>
            </w:pPr>
          </w:p>
        </w:tc>
        <w:tc>
          <w:tcPr>
            <w:tcW w:w="20" w:type="dxa"/>
            <w:vAlign w:val="bottom"/>
            <w:shd w:val="clear" w:color="auto" w:fill="02568A"/>
          </w:tcPr>
          <w:p>
            <w:pPr>
              <w:spacing w:after="0" w:line="20" w:lineRule="exact"/>
              <w:rPr>
                <w:sz w:val="1"/>
                <w:szCs w:val="1"/>
                <w:color w:val="auto"/>
              </w:rPr>
            </w:pPr>
          </w:p>
        </w:tc>
        <w:tc>
          <w:tcPr>
            <w:tcW w:w="20" w:type="dxa"/>
            <w:vAlign w:val="bottom"/>
            <w:shd w:val="clear" w:color="auto" w:fill="02568A"/>
          </w:tcPr>
          <w:p>
            <w:pPr>
              <w:spacing w:after="0" w:line="20" w:lineRule="exact"/>
              <w:rPr>
                <w:sz w:val="1"/>
                <w:szCs w:val="1"/>
                <w:color w:val="auto"/>
              </w:rPr>
            </w:pPr>
          </w:p>
        </w:tc>
        <w:tc>
          <w:tcPr>
            <w:tcW w:w="20" w:type="dxa"/>
            <w:vAlign w:val="bottom"/>
            <w:shd w:val="clear" w:color="auto" w:fill="02568A"/>
          </w:tcPr>
          <w:p>
            <w:pPr>
              <w:spacing w:after="0" w:line="20" w:lineRule="exact"/>
              <w:rPr>
                <w:sz w:val="1"/>
                <w:szCs w:val="1"/>
                <w:color w:val="auto"/>
              </w:rPr>
            </w:pPr>
          </w:p>
        </w:tc>
        <w:tc>
          <w:tcPr>
            <w:tcW w:w="60" w:type="dxa"/>
            <w:vAlign w:val="bottom"/>
            <w:tcBorders>
              <w:right w:val="single" w:sz="8" w:color="02568A"/>
            </w:tcBorders>
            <w:shd w:val="clear" w:color="auto" w:fill="02568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right w:val="single" w:sz="8" w:color="02568A"/>
            </w:tcBorders>
          </w:tcPr>
          <w:p>
            <w:pPr>
              <w:spacing w:after="0" w:line="20" w:lineRule="exact"/>
              <w:rPr>
                <w:sz w:val="1"/>
                <w:szCs w:val="1"/>
                <w:color w:val="auto"/>
              </w:rPr>
            </w:pPr>
          </w:p>
        </w:tc>
        <w:tc>
          <w:tcPr>
            <w:tcW w:w="180" w:type="dxa"/>
            <w:vAlign w:val="bottom"/>
            <w:shd w:val="clear" w:color="auto" w:fill="02568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860" w:type="dxa"/>
            <w:vAlign w:val="bottom"/>
            <w:gridSpan w:val="25"/>
          </w:tcPr>
          <w:p>
            <w:pPr>
              <w:spacing w:after="0"/>
              <w:rPr>
                <w:rFonts w:ascii="Arial" w:cs="Arial" w:eastAsia="Arial" w:hAnsi="Arial"/>
                <w:sz w:val="22"/>
                <w:szCs w:val="22"/>
                <w:b w:val="1"/>
                <w:bCs w:val="1"/>
                <w:color w:val="02568A"/>
              </w:rPr>
            </w:pPr>
            <w:hyperlink w:anchor="page62">
              <w:r>
                <w:rPr>
                  <w:rFonts w:ascii="Arial" w:cs="Arial" w:eastAsia="Arial" w:hAnsi="Arial"/>
                  <w:sz w:val="22"/>
                  <w:szCs w:val="22"/>
                  <w:b w:val="1"/>
                  <w:bCs w:val="1"/>
                  <w:color w:val="02568A"/>
                </w:rPr>
                <w:t>Proposal 4: Approval of Amendment</w:t>
              </w:r>
            </w:hyperlink>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02568A"/>
              <w:bottom w:val="single" w:sz="8" w:color="02568A"/>
            </w:tcBorders>
            <w:gridSpan w:val="21"/>
          </w:tcPr>
          <w:p>
            <w:pPr>
              <w:spacing w:after="0" w:line="223" w:lineRule="exact"/>
              <w:rPr>
                <w:rFonts w:ascii="Arial" w:cs="Arial" w:eastAsia="Arial" w:hAnsi="Arial"/>
                <w:sz w:val="22"/>
                <w:szCs w:val="22"/>
                <w:b w:val="1"/>
                <w:bCs w:val="1"/>
                <w:color w:val="02568A"/>
                <w:w w:val="85"/>
              </w:rPr>
            </w:pPr>
            <w:hyperlink w:anchor="page62">
              <w:r>
                <w:rPr>
                  <w:rFonts w:ascii="Arial" w:cs="Arial" w:eastAsia="Arial" w:hAnsi="Arial"/>
                  <w:sz w:val="22"/>
                  <w:szCs w:val="22"/>
                  <w:b w:val="1"/>
                  <w:bCs w:val="1"/>
                  <w:color w:val="02568A"/>
                  <w:w w:val="85"/>
                </w:rPr>
                <w:t>to the 2002 Employee Stock Purchase</w:t>
              </w:r>
            </w:hyperlink>
          </w:p>
        </w:tc>
        <w:tc>
          <w:tcPr>
            <w:tcW w:w="40" w:type="dxa"/>
            <w:vAlign w:val="bottom"/>
            <w:tcBorders>
              <w:bottom w:val="single" w:sz="8" w:color="02568A"/>
            </w:tcBorders>
          </w:tcPr>
          <w:p>
            <w:pPr>
              <w:spacing w:after="0"/>
              <w:rPr>
                <w:sz w:val="19"/>
                <w:szCs w:val="19"/>
                <w:color w:val="auto"/>
              </w:rPr>
            </w:pPr>
          </w:p>
        </w:tc>
        <w:tc>
          <w:tcPr>
            <w:tcW w:w="20" w:type="dxa"/>
            <w:vAlign w:val="bottom"/>
            <w:tcBorders>
              <w:bottom w:val="single" w:sz="8" w:color="02568A"/>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vMerge w:val="restart"/>
          </w:tcPr>
          <w:p>
            <w:pPr>
              <w:jc w:val="right"/>
              <w:spacing w:after="0"/>
              <w:rPr>
                <w:rFonts w:ascii="Arial" w:cs="Arial" w:eastAsia="Arial" w:hAnsi="Arial"/>
                <w:sz w:val="19"/>
                <w:szCs w:val="19"/>
                <w:b w:val="1"/>
                <w:bCs w:val="1"/>
                <w:color w:val="02568A"/>
                <w:w w:val="75"/>
              </w:rPr>
            </w:pPr>
            <w:hyperlink w:anchor="page62">
              <w:r>
                <w:rPr>
                  <w:rFonts w:ascii="Arial" w:cs="Arial" w:eastAsia="Arial" w:hAnsi="Arial"/>
                  <w:sz w:val="19"/>
                  <w:szCs w:val="19"/>
                  <w:b w:val="1"/>
                  <w:bCs w:val="1"/>
                  <w:color w:val="02568A"/>
                  <w:w w:val="75"/>
                </w:rPr>
                <w:t>66</w:t>
              </w:r>
            </w:hyperlink>
          </w:p>
        </w:tc>
        <w:tc>
          <w:tcPr>
            <w:tcW w:w="0" w:type="dxa"/>
            <w:vAlign w:val="bottom"/>
          </w:tcPr>
          <w:p>
            <w:pPr>
              <w:spacing w:after="0"/>
              <w:rPr>
                <w:sz w:val="1"/>
                <w:szCs w:val="1"/>
                <w:color w:val="auto"/>
              </w:rPr>
            </w:pPr>
          </w:p>
        </w:tc>
      </w:tr>
      <w:tr>
        <w:trPr>
          <w:trHeight w:val="223"/>
        </w:trPr>
        <w:tc>
          <w:tcPr>
            <w:tcW w:w="420" w:type="dxa"/>
            <w:vAlign w:val="bottom"/>
            <w:tcBorders>
              <w:bottom w:val="single" w:sz="8" w:color="02568A"/>
            </w:tcBorders>
          </w:tcPr>
          <w:p>
            <w:pPr>
              <w:spacing w:after="0" w:line="223" w:lineRule="exact"/>
              <w:rPr>
                <w:rFonts w:ascii="Arial" w:cs="Arial" w:eastAsia="Arial" w:hAnsi="Arial"/>
                <w:sz w:val="22"/>
                <w:szCs w:val="22"/>
                <w:b w:val="1"/>
                <w:bCs w:val="1"/>
                <w:color w:val="02568A"/>
                <w:w w:val="81"/>
              </w:rPr>
            </w:pPr>
            <w:hyperlink w:anchor="page62">
              <w:r>
                <w:rPr>
                  <w:rFonts w:ascii="Arial" w:cs="Arial" w:eastAsia="Arial" w:hAnsi="Arial"/>
                  <w:sz w:val="22"/>
                  <w:szCs w:val="22"/>
                  <w:b w:val="1"/>
                  <w:bCs w:val="1"/>
                  <w:color w:val="02568A"/>
                  <w:w w:val="81"/>
                </w:rPr>
                <w:t>Plan</w:t>
              </w:r>
            </w:hyperlink>
          </w:p>
        </w:tc>
        <w:tc>
          <w:tcPr>
            <w:tcW w:w="3040" w:type="dxa"/>
            <w:vAlign w:val="bottom"/>
            <w:gridSpan w:val="22"/>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02568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420" w:type="dxa"/>
            <w:vAlign w:val="bottom"/>
          </w:tcPr>
          <w:p>
            <w:pPr>
              <w:spacing w:after="0"/>
              <w:rPr>
                <w:sz w:val="24"/>
                <w:szCs w:val="24"/>
                <w:color w:val="auto"/>
              </w:rPr>
            </w:pPr>
          </w:p>
        </w:tc>
        <w:tc>
          <w:tcPr>
            <w:tcW w:w="3440" w:type="dxa"/>
            <w:vAlign w:val="bottom"/>
            <w:gridSpan w:val="24"/>
          </w:tcPr>
          <w:p>
            <w:pPr>
              <w:spacing w:after="0"/>
              <w:rPr>
                <w:rFonts w:ascii="Arial" w:cs="Arial" w:eastAsia="Arial" w:hAnsi="Arial"/>
                <w:sz w:val="18"/>
                <w:szCs w:val="18"/>
                <w:color w:val="191919"/>
                <w:w w:val="98"/>
              </w:rPr>
            </w:pPr>
            <w:hyperlink w:anchor="page62">
              <w:r>
                <w:rPr>
                  <w:rFonts w:ascii="Arial" w:cs="Arial" w:eastAsia="Arial" w:hAnsi="Arial"/>
                  <w:sz w:val="18"/>
                  <w:szCs w:val="18"/>
                  <w:color w:val="191919"/>
                  <w:w w:val="98"/>
                </w:rPr>
                <w:t>Description of the ESPP as Proposed to be</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620" w:type="dxa"/>
            <w:vAlign w:val="bottom"/>
            <w:tcBorders>
              <w:top w:val="single" w:sz="8" w:color="191919"/>
              <w:bottom w:val="single" w:sz="8" w:color="191919"/>
            </w:tcBorders>
            <w:gridSpan w:val="3"/>
          </w:tcPr>
          <w:p>
            <w:pPr>
              <w:spacing w:after="0" w:line="196" w:lineRule="exact"/>
              <w:rPr>
                <w:rFonts w:ascii="Arial" w:cs="Arial" w:eastAsia="Arial" w:hAnsi="Arial"/>
                <w:sz w:val="18"/>
                <w:szCs w:val="18"/>
                <w:color w:val="191919"/>
                <w:w w:val="77"/>
              </w:rPr>
            </w:pPr>
            <w:hyperlink w:anchor="page62">
              <w:r>
                <w:rPr>
                  <w:rFonts w:ascii="Arial" w:cs="Arial" w:eastAsia="Arial" w:hAnsi="Arial"/>
                  <w:sz w:val="18"/>
                  <w:szCs w:val="18"/>
                  <w:color w:val="191919"/>
                  <w:w w:val="77"/>
                </w:rPr>
                <w:t>Amended</w:t>
              </w:r>
            </w:hyperlink>
          </w:p>
        </w:tc>
        <w:tc>
          <w:tcPr>
            <w:tcW w:w="2300" w:type="dxa"/>
            <w:vAlign w:val="bottom"/>
            <w:tcBorders>
              <w:top w:val="single" w:sz="8" w:color="191919"/>
            </w:tcBorders>
            <w:gridSpan w:val="16"/>
          </w:tcPr>
          <w:p>
            <w:pPr>
              <w:spacing w:after="0"/>
              <w:rPr>
                <w:sz w:val="17"/>
                <w:szCs w:val="17"/>
                <w:color w:val="auto"/>
              </w:rPr>
            </w:pPr>
          </w:p>
        </w:tc>
        <w:tc>
          <w:tcPr>
            <w:tcW w:w="520" w:type="dxa"/>
            <w:vAlign w:val="bottom"/>
            <w:gridSpan w:val="5"/>
          </w:tcPr>
          <w:p>
            <w:pPr>
              <w:spacing w:after="0"/>
              <w:rPr>
                <w:sz w:val="17"/>
                <w:szCs w:val="17"/>
                <w:color w:val="auto"/>
              </w:rPr>
            </w:pPr>
          </w:p>
        </w:tc>
        <w:tc>
          <w:tcPr>
            <w:tcW w:w="180" w:type="dxa"/>
            <w:vAlign w:val="bottom"/>
            <w:tcBorders>
              <w:bottom w:val="single" w:sz="8" w:color="191919"/>
            </w:tcBorders>
          </w:tcPr>
          <w:p>
            <w:pPr>
              <w:jc w:val="right"/>
              <w:spacing w:after="0" w:line="196" w:lineRule="exact"/>
              <w:rPr>
                <w:rFonts w:ascii="Arial" w:cs="Arial" w:eastAsia="Arial" w:hAnsi="Arial"/>
                <w:sz w:val="18"/>
                <w:szCs w:val="18"/>
                <w:color w:val="191919"/>
                <w:w w:val="79"/>
              </w:rPr>
            </w:pPr>
            <w:hyperlink w:anchor="page62">
              <w:r>
                <w:rPr>
                  <w:rFonts w:ascii="Arial" w:cs="Arial" w:eastAsia="Arial" w:hAnsi="Arial"/>
                  <w:sz w:val="18"/>
                  <w:szCs w:val="18"/>
                  <w:color w:val="191919"/>
                  <w:w w:val="79"/>
                </w:rPr>
                <w:t>66</w:t>
              </w:r>
            </w:hyperlink>
          </w:p>
        </w:tc>
        <w:tc>
          <w:tcPr>
            <w:tcW w:w="0" w:type="dxa"/>
            <w:vAlign w:val="bottom"/>
          </w:tcPr>
          <w:p>
            <w:pPr>
              <w:spacing w:after="0"/>
              <w:rPr>
                <w:sz w:val="1"/>
                <w:szCs w:val="1"/>
                <w:color w:val="auto"/>
              </w:rPr>
            </w:pPr>
          </w:p>
        </w:tc>
      </w:tr>
      <w:tr>
        <w:trPr>
          <w:trHeight w:val="453"/>
        </w:trPr>
        <w:tc>
          <w:tcPr>
            <w:tcW w:w="420" w:type="dxa"/>
            <w:vAlign w:val="bottom"/>
          </w:tcPr>
          <w:p>
            <w:pPr>
              <w:spacing w:after="0"/>
              <w:rPr>
                <w:sz w:val="24"/>
                <w:szCs w:val="24"/>
                <w:color w:val="auto"/>
              </w:rPr>
            </w:pPr>
          </w:p>
        </w:tc>
        <w:tc>
          <w:tcPr>
            <w:tcW w:w="880" w:type="dxa"/>
            <w:vAlign w:val="bottom"/>
            <w:tcBorders>
              <w:bottom w:val="single" w:sz="8" w:color="191919"/>
            </w:tcBorders>
            <w:gridSpan w:val="4"/>
          </w:tcPr>
          <w:p>
            <w:pPr>
              <w:spacing w:after="0"/>
              <w:rPr>
                <w:rFonts w:ascii="Arial" w:cs="Arial" w:eastAsia="Arial" w:hAnsi="Arial"/>
                <w:sz w:val="18"/>
                <w:szCs w:val="18"/>
                <w:color w:val="191919"/>
                <w:w w:val="81"/>
              </w:rPr>
            </w:pPr>
            <w:hyperlink w:anchor="page66">
              <w:r>
                <w:rPr>
                  <w:rFonts w:ascii="Arial" w:cs="Arial" w:eastAsia="Arial" w:hAnsi="Arial"/>
                  <w:sz w:val="18"/>
                  <w:szCs w:val="18"/>
                  <w:color w:val="191919"/>
                  <w:w w:val="81"/>
                </w:rPr>
                <w:t>Plan Benefits</w:t>
              </w:r>
            </w:hyperlink>
          </w:p>
        </w:tc>
        <w:tc>
          <w:tcPr>
            <w:tcW w:w="2560" w:type="dxa"/>
            <w:vAlign w:val="bottom"/>
            <w:gridSpan w:val="20"/>
          </w:tcPr>
          <w:p>
            <w:pPr>
              <w:spacing w:after="0"/>
              <w:rPr>
                <w:sz w:val="24"/>
                <w:szCs w:val="24"/>
                <w:color w:val="auto"/>
              </w:rPr>
            </w:pPr>
          </w:p>
        </w:tc>
        <w:tc>
          <w:tcPr>
            <w:tcW w:w="180" w:type="dxa"/>
            <w:vAlign w:val="bottom"/>
            <w:tcBorders>
              <w:bottom w:val="single" w:sz="8" w:color="191919"/>
            </w:tcBorders>
          </w:tcPr>
          <w:p>
            <w:pPr>
              <w:jc w:val="right"/>
              <w:spacing w:after="0"/>
              <w:rPr>
                <w:rFonts w:ascii="Arial" w:cs="Arial" w:eastAsia="Arial" w:hAnsi="Arial"/>
                <w:sz w:val="18"/>
                <w:szCs w:val="18"/>
                <w:color w:val="191919"/>
                <w:w w:val="79"/>
              </w:rPr>
            </w:pPr>
            <w:hyperlink w:anchor="page66">
              <w:r>
                <w:rPr>
                  <w:rFonts w:ascii="Arial" w:cs="Arial" w:eastAsia="Arial" w:hAnsi="Arial"/>
                  <w:sz w:val="18"/>
                  <w:szCs w:val="18"/>
                  <w:color w:val="191919"/>
                  <w:w w:val="79"/>
                </w:rPr>
                <w:t>70</w:t>
              </w:r>
            </w:hyperlink>
          </w:p>
        </w:tc>
        <w:tc>
          <w:tcPr>
            <w:tcW w:w="0" w:type="dxa"/>
            <w:vAlign w:val="bottom"/>
          </w:tcPr>
          <w:p>
            <w:pPr>
              <w:spacing w:after="0"/>
              <w:rPr>
                <w:sz w:val="1"/>
                <w:szCs w:val="1"/>
                <w:color w:val="auto"/>
              </w:rPr>
            </w:pPr>
          </w:p>
        </w:tc>
      </w:tr>
      <w:tr>
        <w:trPr>
          <w:trHeight w:val="453"/>
        </w:trPr>
        <w:tc>
          <w:tcPr>
            <w:tcW w:w="420" w:type="dxa"/>
            <w:vAlign w:val="bottom"/>
          </w:tcPr>
          <w:p>
            <w:pPr>
              <w:spacing w:after="0"/>
              <w:rPr>
                <w:sz w:val="24"/>
                <w:szCs w:val="24"/>
                <w:color w:val="auto"/>
              </w:rPr>
            </w:pPr>
          </w:p>
        </w:tc>
        <w:tc>
          <w:tcPr>
            <w:tcW w:w="2700" w:type="dxa"/>
            <w:vAlign w:val="bottom"/>
            <w:tcBorders>
              <w:bottom w:val="single" w:sz="8" w:color="191919"/>
            </w:tcBorders>
            <w:gridSpan w:val="15"/>
          </w:tcPr>
          <w:p>
            <w:pPr>
              <w:spacing w:after="0"/>
              <w:rPr>
                <w:rFonts w:ascii="Arial" w:cs="Arial" w:eastAsia="Arial" w:hAnsi="Arial"/>
                <w:sz w:val="18"/>
                <w:szCs w:val="18"/>
                <w:color w:val="191919"/>
                <w:w w:val="87"/>
              </w:rPr>
            </w:pPr>
            <w:hyperlink w:anchor="page67">
              <w:r>
                <w:rPr>
                  <w:rFonts w:ascii="Arial" w:cs="Arial" w:eastAsia="Arial" w:hAnsi="Arial"/>
                  <w:sz w:val="18"/>
                  <w:szCs w:val="18"/>
                  <w:color w:val="191919"/>
                  <w:w w:val="87"/>
                </w:rPr>
                <w:t>Equity Compensation Plan Information</w:t>
              </w:r>
            </w:hyperlink>
          </w:p>
        </w:tc>
        <w:tc>
          <w:tcPr>
            <w:tcW w:w="740" w:type="dxa"/>
            <w:vAlign w:val="bottom"/>
            <w:gridSpan w:val="9"/>
          </w:tcPr>
          <w:p>
            <w:pPr>
              <w:spacing w:after="0"/>
              <w:rPr>
                <w:sz w:val="24"/>
                <w:szCs w:val="24"/>
                <w:color w:val="auto"/>
              </w:rPr>
            </w:pPr>
          </w:p>
        </w:tc>
        <w:tc>
          <w:tcPr>
            <w:tcW w:w="180" w:type="dxa"/>
            <w:vAlign w:val="bottom"/>
            <w:tcBorders>
              <w:bottom w:val="single" w:sz="8" w:color="191919"/>
            </w:tcBorders>
          </w:tcPr>
          <w:p>
            <w:pPr>
              <w:jc w:val="right"/>
              <w:spacing w:after="0"/>
              <w:rPr>
                <w:rFonts w:ascii="Arial" w:cs="Arial" w:eastAsia="Arial" w:hAnsi="Arial"/>
                <w:sz w:val="18"/>
                <w:szCs w:val="18"/>
                <w:color w:val="191919"/>
                <w:w w:val="79"/>
              </w:rPr>
            </w:pPr>
            <w:hyperlink w:anchor="page67">
              <w:r>
                <w:rPr>
                  <w:rFonts w:ascii="Arial" w:cs="Arial" w:eastAsia="Arial" w:hAnsi="Arial"/>
                  <w:sz w:val="18"/>
                  <w:szCs w:val="18"/>
                  <w:color w:val="191919"/>
                  <w:w w:val="79"/>
                </w:rPr>
                <w:t>71</w:t>
              </w:r>
            </w:hyperlink>
          </w:p>
        </w:tc>
        <w:tc>
          <w:tcPr>
            <w:tcW w:w="0" w:type="dxa"/>
            <w:vAlign w:val="bottom"/>
          </w:tcPr>
          <w:p>
            <w:pPr>
              <w:spacing w:after="0"/>
              <w:rPr>
                <w:sz w:val="1"/>
                <w:szCs w:val="1"/>
                <w:color w:val="auto"/>
              </w:rPr>
            </w:pPr>
          </w:p>
        </w:tc>
      </w:tr>
      <w:tr>
        <w:trPr>
          <w:trHeight w:val="466"/>
        </w:trPr>
        <w:tc>
          <w:tcPr>
            <w:tcW w:w="3860" w:type="dxa"/>
            <w:vAlign w:val="bottom"/>
            <w:gridSpan w:val="25"/>
          </w:tcPr>
          <w:p>
            <w:pPr>
              <w:spacing w:after="0"/>
              <w:rPr>
                <w:rFonts w:ascii="Arial" w:cs="Arial" w:eastAsia="Arial" w:hAnsi="Arial"/>
                <w:sz w:val="22"/>
                <w:szCs w:val="22"/>
                <w:b w:val="1"/>
                <w:bCs w:val="1"/>
                <w:color w:val="02568A"/>
              </w:rPr>
            </w:pPr>
            <w:hyperlink w:anchor="page68">
              <w:r>
                <w:rPr>
                  <w:rFonts w:ascii="Arial" w:cs="Arial" w:eastAsia="Arial" w:hAnsi="Arial"/>
                  <w:sz w:val="22"/>
                  <w:szCs w:val="22"/>
                  <w:b w:val="1"/>
                  <w:bCs w:val="1"/>
                  <w:color w:val="02568A"/>
                </w:rPr>
                <w:t>Proposals 5-8: Approval of</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02568A"/>
            </w:tcBorders>
            <w:gridSpan w:val="11"/>
          </w:tcPr>
          <w:p>
            <w:pPr>
              <w:spacing w:after="0" w:line="223" w:lineRule="exact"/>
              <w:rPr>
                <w:rFonts w:ascii="Arial" w:cs="Arial" w:eastAsia="Arial" w:hAnsi="Arial"/>
                <w:sz w:val="22"/>
                <w:szCs w:val="22"/>
                <w:b w:val="1"/>
                <w:bCs w:val="1"/>
                <w:color w:val="02568A"/>
                <w:w w:val="87"/>
              </w:rPr>
            </w:pPr>
            <w:hyperlink w:anchor="page68">
              <w:r>
                <w:rPr>
                  <w:rFonts w:ascii="Arial" w:cs="Arial" w:eastAsia="Arial" w:hAnsi="Arial"/>
                  <w:sz w:val="22"/>
                  <w:szCs w:val="22"/>
                  <w:b w:val="1"/>
                  <w:bCs w:val="1"/>
                  <w:color w:val="02568A"/>
                  <w:w w:val="87"/>
                </w:rPr>
                <w:t>Amendments to Charter to</w:t>
              </w:r>
            </w:hyperlink>
          </w:p>
        </w:tc>
        <w:tc>
          <w:tcPr>
            <w:tcW w:w="1400" w:type="dxa"/>
            <w:vAlign w:val="bottom"/>
            <w:gridSpan w:val="14"/>
          </w:tcPr>
          <w:p>
            <w:pPr>
              <w:ind w:left="80"/>
              <w:spacing w:after="0" w:line="223" w:lineRule="exact"/>
              <w:rPr>
                <w:rFonts w:ascii="Arial" w:cs="Arial" w:eastAsia="Arial" w:hAnsi="Arial"/>
                <w:sz w:val="22"/>
                <w:szCs w:val="22"/>
                <w:b w:val="1"/>
                <w:bCs w:val="1"/>
                <w:color w:val="02568A"/>
              </w:rPr>
            </w:pPr>
            <w:hyperlink w:anchor="page68">
              <w:r>
                <w:rPr>
                  <w:rFonts w:ascii="Arial" w:cs="Arial" w:eastAsia="Arial" w:hAnsi="Arial"/>
                  <w:sz w:val="22"/>
                  <w:szCs w:val="22"/>
                  <w:b w:val="1"/>
                  <w:bCs w:val="1"/>
                  <w:color w:val="02568A"/>
                </w:rPr>
                <w:t>Eliminate</w:t>
              </w:r>
            </w:hyperlink>
          </w:p>
        </w:tc>
        <w:tc>
          <w:tcPr>
            <w:tcW w:w="180" w:type="dxa"/>
            <w:vAlign w:val="bottom"/>
            <w:vMerge w:val="restart"/>
          </w:tcPr>
          <w:p>
            <w:pPr>
              <w:jc w:val="right"/>
              <w:spacing w:after="0"/>
              <w:rPr>
                <w:rFonts w:ascii="Arial" w:cs="Arial" w:eastAsia="Arial" w:hAnsi="Arial"/>
                <w:sz w:val="19"/>
                <w:szCs w:val="19"/>
                <w:b w:val="1"/>
                <w:bCs w:val="1"/>
                <w:color w:val="02568A"/>
                <w:w w:val="75"/>
              </w:rPr>
            </w:pPr>
            <w:hyperlink w:anchor="page68">
              <w:r>
                <w:rPr>
                  <w:rFonts w:ascii="Arial" w:cs="Arial" w:eastAsia="Arial" w:hAnsi="Arial"/>
                  <w:sz w:val="19"/>
                  <w:szCs w:val="19"/>
                  <w:b w:val="1"/>
                  <w:bCs w:val="1"/>
                  <w:color w:val="02568A"/>
                  <w:w w:val="75"/>
                </w:rPr>
                <w:t>72</w:t>
              </w:r>
            </w:hyperlink>
          </w:p>
        </w:tc>
        <w:tc>
          <w:tcPr>
            <w:tcW w:w="0" w:type="dxa"/>
            <w:vAlign w:val="bottom"/>
          </w:tcPr>
          <w:p>
            <w:pPr>
              <w:spacing w:after="0"/>
              <w:rPr>
                <w:sz w:val="1"/>
                <w:szCs w:val="1"/>
                <w:color w:val="auto"/>
              </w:rPr>
            </w:pPr>
          </w:p>
        </w:tc>
      </w:tr>
      <w:tr>
        <w:trPr>
          <w:trHeight w:val="223"/>
        </w:trPr>
        <w:tc>
          <w:tcPr>
            <w:tcW w:w="3440" w:type="dxa"/>
            <w:vAlign w:val="bottom"/>
            <w:tcBorders>
              <w:top w:val="single" w:sz="8" w:color="02568A"/>
            </w:tcBorders>
            <w:gridSpan w:val="22"/>
          </w:tcPr>
          <w:p>
            <w:pPr>
              <w:spacing w:after="0" w:line="223" w:lineRule="exact"/>
              <w:rPr>
                <w:rFonts w:ascii="Arial" w:cs="Arial" w:eastAsia="Arial" w:hAnsi="Arial"/>
                <w:sz w:val="22"/>
                <w:szCs w:val="22"/>
                <w:b w:val="1"/>
                <w:bCs w:val="1"/>
                <w:color w:val="02568A"/>
              </w:rPr>
            </w:pPr>
            <w:hyperlink w:anchor="page68">
              <w:r>
                <w:rPr>
                  <w:rFonts w:ascii="Arial" w:cs="Arial" w:eastAsia="Arial" w:hAnsi="Arial"/>
                  <w:sz w:val="22"/>
                  <w:szCs w:val="22"/>
                  <w:b w:val="1"/>
                  <w:bCs w:val="1"/>
                  <w:color w:val="02568A"/>
                </w:rPr>
                <w:t>Supermajority Vote Provisions</w:t>
              </w:r>
            </w:hyperlink>
          </w:p>
        </w:tc>
        <w:tc>
          <w:tcPr>
            <w:tcW w:w="10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2568A"/>
          </w:tcPr>
          <w:p>
            <w:pPr>
              <w:spacing w:after="0" w:line="20" w:lineRule="exact"/>
              <w:rPr>
                <w:sz w:val="1"/>
                <w:szCs w:val="1"/>
                <w:color w:val="auto"/>
              </w:rPr>
            </w:pPr>
          </w:p>
        </w:tc>
        <w:tc>
          <w:tcPr>
            <w:tcW w:w="240" w:type="dxa"/>
            <w:vAlign w:val="bottom"/>
            <w:shd w:val="clear" w:color="auto" w:fill="02568A"/>
          </w:tcPr>
          <w:p>
            <w:pPr>
              <w:spacing w:after="0" w:line="20" w:lineRule="exact"/>
              <w:rPr>
                <w:sz w:val="1"/>
                <w:szCs w:val="1"/>
                <w:color w:val="auto"/>
              </w:rPr>
            </w:pPr>
          </w:p>
        </w:tc>
        <w:tc>
          <w:tcPr>
            <w:tcW w:w="340" w:type="dxa"/>
            <w:vAlign w:val="bottom"/>
            <w:gridSpan w:val="3"/>
            <w:shd w:val="clear" w:color="auto" w:fill="02568A"/>
          </w:tcPr>
          <w:p>
            <w:pPr>
              <w:spacing w:after="0" w:line="20" w:lineRule="exact"/>
              <w:rPr>
                <w:sz w:val="1"/>
                <w:szCs w:val="1"/>
                <w:color w:val="auto"/>
              </w:rPr>
            </w:pPr>
          </w:p>
        </w:tc>
        <w:tc>
          <w:tcPr>
            <w:tcW w:w="380" w:type="dxa"/>
            <w:vAlign w:val="bottom"/>
            <w:shd w:val="clear" w:color="auto" w:fill="02568A"/>
          </w:tcPr>
          <w:p>
            <w:pPr>
              <w:spacing w:after="0" w:line="20" w:lineRule="exact"/>
              <w:rPr>
                <w:sz w:val="1"/>
                <w:szCs w:val="1"/>
                <w:color w:val="auto"/>
              </w:rPr>
            </w:pPr>
          </w:p>
        </w:tc>
        <w:tc>
          <w:tcPr>
            <w:tcW w:w="80" w:type="dxa"/>
            <w:vAlign w:val="bottom"/>
            <w:shd w:val="clear" w:color="auto" w:fill="02568A"/>
          </w:tcPr>
          <w:p>
            <w:pPr>
              <w:spacing w:after="0" w:line="20" w:lineRule="exact"/>
              <w:rPr>
                <w:sz w:val="1"/>
                <w:szCs w:val="1"/>
                <w:color w:val="auto"/>
              </w:rPr>
            </w:pPr>
          </w:p>
        </w:tc>
        <w:tc>
          <w:tcPr>
            <w:tcW w:w="320" w:type="dxa"/>
            <w:vAlign w:val="bottom"/>
            <w:shd w:val="clear" w:color="auto" w:fill="02568A"/>
          </w:tcPr>
          <w:p>
            <w:pPr>
              <w:spacing w:after="0" w:line="20" w:lineRule="exact"/>
              <w:rPr>
                <w:sz w:val="1"/>
                <w:szCs w:val="1"/>
                <w:color w:val="auto"/>
              </w:rPr>
            </w:pPr>
          </w:p>
        </w:tc>
        <w:tc>
          <w:tcPr>
            <w:tcW w:w="80" w:type="dxa"/>
            <w:vAlign w:val="bottom"/>
            <w:shd w:val="clear" w:color="auto" w:fill="02568A"/>
          </w:tcPr>
          <w:p>
            <w:pPr>
              <w:spacing w:after="0" w:line="20" w:lineRule="exact"/>
              <w:rPr>
                <w:sz w:val="1"/>
                <w:szCs w:val="1"/>
                <w:color w:val="auto"/>
              </w:rPr>
            </w:pPr>
          </w:p>
        </w:tc>
        <w:tc>
          <w:tcPr>
            <w:tcW w:w="620" w:type="dxa"/>
            <w:vAlign w:val="bottom"/>
            <w:tcBorders>
              <w:right w:val="single" w:sz="8" w:color="02568A"/>
            </w:tcBorders>
            <w:gridSpan w:val="2"/>
            <w:shd w:val="clear" w:color="auto" w:fill="02568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20" w:type="dxa"/>
            <w:vAlign w:val="bottom"/>
            <w:tcBorders>
              <w:right w:val="single" w:sz="8" w:color="02568A"/>
            </w:tcBorders>
          </w:tcPr>
          <w:p>
            <w:pPr>
              <w:spacing w:after="0" w:line="20" w:lineRule="exact"/>
              <w:rPr>
                <w:sz w:val="1"/>
                <w:szCs w:val="1"/>
                <w:color w:val="auto"/>
              </w:rPr>
            </w:pPr>
          </w:p>
        </w:tc>
        <w:tc>
          <w:tcPr>
            <w:tcW w:w="180" w:type="dxa"/>
            <w:vAlign w:val="bottom"/>
            <w:shd w:val="clear" w:color="auto" w:fill="02568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860" w:type="dxa"/>
            <w:vAlign w:val="bottom"/>
            <w:gridSpan w:val="25"/>
          </w:tcPr>
          <w:p>
            <w:pPr>
              <w:spacing w:after="0"/>
              <w:rPr>
                <w:rFonts w:ascii="Arial" w:cs="Arial" w:eastAsia="Arial" w:hAnsi="Arial"/>
                <w:sz w:val="22"/>
                <w:szCs w:val="22"/>
                <w:b w:val="1"/>
                <w:bCs w:val="1"/>
                <w:color w:val="02568A"/>
              </w:rPr>
            </w:pPr>
            <w:hyperlink w:anchor="page73">
              <w:r>
                <w:rPr>
                  <w:rFonts w:ascii="Arial" w:cs="Arial" w:eastAsia="Arial" w:hAnsi="Arial"/>
                  <w:sz w:val="22"/>
                  <w:szCs w:val="22"/>
                  <w:b w:val="1"/>
                  <w:bCs w:val="1"/>
                  <w:color w:val="02568A"/>
                </w:rPr>
                <w:t>Proposal 9: Stockholder Proposal</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02568A"/>
              <w:bottom w:val="single" w:sz="8" w:color="02568A"/>
            </w:tcBorders>
            <w:gridSpan w:val="15"/>
          </w:tcPr>
          <w:p>
            <w:pPr>
              <w:spacing w:after="0" w:line="223" w:lineRule="exact"/>
              <w:rPr>
                <w:rFonts w:ascii="Arial" w:cs="Arial" w:eastAsia="Arial" w:hAnsi="Arial"/>
                <w:sz w:val="22"/>
                <w:szCs w:val="22"/>
                <w:b w:val="1"/>
                <w:bCs w:val="1"/>
                <w:color w:val="02568A"/>
                <w:w w:val="86"/>
              </w:rPr>
            </w:pPr>
            <w:hyperlink w:anchor="page73">
              <w:r>
                <w:rPr>
                  <w:rFonts w:ascii="Arial" w:cs="Arial" w:eastAsia="Arial" w:hAnsi="Arial"/>
                  <w:sz w:val="22"/>
                  <w:szCs w:val="22"/>
                  <w:b w:val="1"/>
                  <w:bCs w:val="1"/>
                  <w:color w:val="02568A"/>
                  <w:w w:val="86"/>
                </w:rPr>
                <w:t>Regarding Right to Act by Written</w:t>
              </w:r>
            </w:hyperlink>
          </w:p>
        </w:tc>
        <w:tc>
          <w:tcPr>
            <w:tcW w:w="120" w:type="dxa"/>
            <w:vAlign w:val="bottom"/>
            <w:tcBorders>
              <w:bottom w:val="single" w:sz="8" w:color="02568A"/>
            </w:tcBorders>
            <w:gridSpan w:val="2"/>
          </w:tcPr>
          <w:p>
            <w:pPr>
              <w:spacing w:after="0"/>
              <w:rPr>
                <w:sz w:val="19"/>
                <w:szCs w:val="19"/>
                <w:color w:val="auto"/>
              </w:rPr>
            </w:pPr>
          </w:p>
        </w:tc>
        <w:tc>
          <w:tcPr>
            <w:tcW w:w="20" w:type="dxa"/>
            <w:vAlign w:val="bottom"/>
            <w:tcBorders>
              <w:bottom w:val="single" w:sz="8" w:color="02568A"/>
            </w:tcBorders>
          </w:tcPr>
          <w:p>
            <w:pPr>
              <w:spacing w:after="0"/>
              <w:rPr>
                <w:sz w:val="19"/>
                <w:szCs w:val="19"/>
                <w:color w:val="auto"/>
              </w:rPr>
            </w:pPr>
          </w:p>
        </w:tc>
        <w:tc>
          <w:tcPr>
            <w:tcW w:w="20" w:type="dxa"/>
            <w:vAlign w:val="bottom"/>
            <w:tcBorders>
              <w:bottom w:val="single" w:sz="8" w:color="02568A"/>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4"/>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vMerge w:val="restart"/>
          </w:tcPr>
          <w:p>
            <w:pPr>
              <w:jc w:val="right"/>
              <w:spacing w:after="0"/>
              <w:rPr>
                <w:rFonts w:ascii="Arial" w:cs="Arial" w:eastAsia="Arial" w:hAnsi="Arial"/>
                <w:sz w:val="19"/>
                <w:szCs w:val="19"/>
                <w:b w:val="1"/>
                <w:bCs w:val="1"/>
                <w:color w:val="02568A"/>
                <w:w w:val="75"/>
              </w:rPr>
            </w:pPr>
            <w:hyperlink w:anchor="page73">
              <w:r>
                <w:rPr>
                  <w:rFonts w:ascii="Arial" w:cs="Arial" w:eastAsia="Arial" w:hAnsi="Arial"/>
                  <w:sz w:val="19"/>
                  <w:szCs w:val="19"/>
                  <w:b w:val="1"/>
                  <w:bCs w:val="1"/>
                  <w:color w:val="02568A"/>
                  <w:w w:val="75"/>
                </w:rPr>
                <w:t>77</w:t>
              </w:r>
            </w:hyperlink>
          </w:p>
        </w:tc>
        <w:tc>
          <w:tcPr>
            <w:tcW w:w="0" w:type="dxa"/>
            <w:vAlign w:val="bottom"/>
          </w:tcPr>
          <w:p>
            <w:pPr>
              <w:spacing w:after="0"/>
              <w:rPr>
                <w:sz w:val="1"/>
                <w:szCs w:val="1"/>
                <w:color w:val="auto"/>
              </w:rPr>
            </w:pPr>
          </w:p>
        </w:tc>
      </w:tr>
      <w:tr>
        <w:trPr>
          <w:trHeight w:val="223"/>
        </w:trPr>
        <w:tc>
          <w:tcPr>
            <w:tcW w:w="760" w:type="dxa"/>
            <w:vAlign w:val="bottom"/>
            <w:tcBorders>
              <w:bottom w:val="single" w:sz="8" w:color="02568A"/>
            </w:tcBorders>
            <w:gridSpan w:val="2"/>
          </w:tcPr>
          <w:p>
            <w:pPr>
              <w:spacing w:after="0" w:line="223" w:lineRule="exact"/>
              <w:rPr>
                <w:rFonts w:ascii="Arial" w:cs="Arial" w:eastAsia="Arial" w:hAnsi="Arial"/>
                <w:sz w:val="22"/>
                <w:szCs w:val="22"/>
                <w:b w:val="1"/>
                <w:bCs w:val="1"/>
                <w:color w:val="02568A"/>
                <w:w w:val="84"/>
              </w:rPr>
            </w:pPr>
            <w:hyperlink w:anchor="page73">
              <w:r>
                <w:rPr>
                  <w:rFonts w:ascii="Arial" w:cs="Arial" w:eastAsia="Arial" w:hAnsi="Arial"/>
                  <w:sz w:val="22"/>
                  <w:szCs w:val="22"/>
                  <w:b w:val="1"/>
                  <w:bCs w:val="1"/>
                  <w:color w:val="02568A"/>
                  <w:w w:val="84"/>
                </w:rPr>
                <w:t>Consent</w:t>
              </w:r>
            </w:hyperlink>
          </w:p>
        </w:tc>
        <w:tc>
          <w:tcPr>
            <w:tcW w:w="2480" w:type="dxa"/>
            <w:vAlign w:val="bottom"/>
            <w:gridSpan w:val="17"/>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4"/>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02568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420" w:type="dxa"/>
            <w:vAlign w:val="bottom"/>
          </w:tcPr>
          <w:p>
            <w:pPr>
              <w:spacing w:after="0"/>
              <w:rPr>
                <w:sz w:val="24"/>
                <w:szCs w:val="24"/>
                <w:color w:val="auto"/>
              </w:rPr>
            </w:pPr>
          </w:p>
        </w:tc>
        <w:tc>
          <w:tcPr>
            <w:tcW w:w="2800" w:type="dxa"/>
            <w:vAlign w:val="bottom"/>
            <w:tcBorders>
              <w:bottom w:val="single" w:sz="8" w:color="191919"/>
            </w:tcBorders>
            <w:gridSpan w:val="17"/>
          </w:tcPr>
          <w:p>
            <w:pPr>
              <w:spacing w:after="0"/>
              <w:rPr>
                <w:rFonts w:ascii="Arial" w:cs="Arial" w:eastAsia="Arial" w:hAnsi="Arial"/>
                <w:sz w:val="18"/>
                <w:szCs w:val="18"/>
                <w:color w:val="191919"/>
                <w:w w:val="86"/>
              </w:rPr>
            </w:pPr>
            <w:hyperlink w:anchor="page74">
              <w:r>
                <w:rPr>
                  <w:rFonts w:ascii="Arial" w:cs="Arial" w:eastAsia="Arial" w:hAnsi="Arial"/>
                  <w:sz w:val="18"/>
                  <w:szCs w:val="18"/>
                  <w:color w:val="191919"/>
                  <w:w w:val="86"/>
                </w:rPr>
                <w:t>Statement of Opposition by the Board of</w:t>
              </w:r>
            </w:hyperlink>
          </w:p>
        </w:tc>
        <w:tc>
          <w:tcPr>
            <w:tcW w:w="64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440" w:type="dxa"/>
            <w:vAlign w:val="bottom"/>
            <w:gridSpan w:val="24"/>
          </w:tcPr>
          <w:p>
            <w:pPr>
              <w:spacing w:after="0" w:line="196" w:lineRule="exact"/>
              <w:rPr>
                <w:rFonts w:ascii="Arial" w:cs="Arial" w:eastAsia="Arial" w:hAnsi="Arial"/>
                <w:sz w:val="18"/>
                <w:szCs w:val="18"/>
                <w:color w:val="191919"/>
              </w:rPr>
            </w:pPr>
            <w:hyperlink w:anchor="page74">
              <w:r>
                <w:rPr>
                  <w:rFonts w:ascii="Arial" w:cs="Arial" w:eastAsia="Arial" w:hAnsi="Arial"/>
                  <w:sz w:val="18"/>
                  <w:szCs w:val="18"/>
                  <w:color w:val="191919"/>
                </w:rPr>
                <w:t>Directors</w:t>
              </w:r>
            </w:hyperlink>
          </w:p>
        </w:tc>
        <w:tc>
          <w:tcPr>
            <w:tcW w:w="180" w:type="dxa"/>
            <w:vAlign w:val="bottom"/>
          </w:tcPr>
          <w:p>
            <w:pPr>
              <w:jc w:val="right"/>
              <w:spacing w:after="0" w:line="196" w:lineRule="exact"/>
              <w:rPr>
                <w:rFonts w:ascii="Arial" w:cs="Arial" w:eastAsia="Arial" w:hAnsi="Arial"/>
                <w:sz w:val="18"/>
                <w:szCs w:val="18"/>
                <w:color w:val="191919"/>
                <w:w w:val="79"/>
              </w:rPr>
            </w:pPr>
            <w:hyperlink w:anchor="page74">
              <w:r>
                <w:rPr>
                  <w:rFonts w:ascii="Arial" w:cs="Arial" w:eastAsia="Arial" w:hAnsi="Arial"/>
                  <w:sz w:val="18"/>
                  <w:szCs w:val="18"/>
                  <w:color w:val="191919"/>
                  <w:w w:val="79"/>
                </w:rPr>
                <w:t>78</w:t>
              </w:r>
            </w:hyperlink>
          </w:p>
        </w:tc>
        <w:tc>
          <w:tcPr>
            <w:tcW w:w="0" w:type="dxa"/>
            <w:vAlign w:val="bottom"/>
          </w:tcPr>
          <w:p>
            <w:pPr>
              <w:spacing w:after="0"/>
              <w:rPr>
                <w:sz w:val="1"/>
                <w:szCs w:val="1"/>
                <w:color w:val="auto"/>
              </w:rPr>
            </w:pPr>
          </w:p>
        </w:tc>
      </w:tr>
      <w:tr>
        <w:trPr>
          <w:trHeight w:val="20"/>
        </w:trPr>
        <w:tc>
          <w:tcPr>
            <w:tcW w:w="420" w:type="dxa"/>
            <w:vAlign w:val="bottom"/>
            <w:tcBorders>
              <w:right w:val="single" w:sz="8" w:color="191919"/>
            </w:tcBorders>
          </w:tcPr>
          <w:p>
            <w:pPr>
              <w:spacing w:after="0" w:line="20" w:lineRule="exact"/>
              <w:rPr>
                <w:sz w:val="1"/>
                <w:szCs w:val="1"/>
                <w:color w:val="auto"/>
              </w:rPr>
            </w:pPr>
          </w:p>
        </w:tc>
        <w:tc>
          <w:tcPr>
            <w:tcW w:w="580" w:type="dxa"/>
            <w:vAlign w:val="bottom"/>
            <w:gridSpan w:val="2"/>
            <w:shd w:val="clear" w:color="auto" w:fill="191919"/>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1919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840" w:type="dxa"/>
            <w:vAlign w:val="bottom"/>
            <w:tcBorders>
              <w:bottom w:val="single" w:sz="8" w:color="02568A"/>
            </w:tcBorders>
            <w:gridSpan w:val="13"/>
          </w:tcPr>
          <w:p>
            <w:pPr>
              <w:spacing w:after="0"/>
              <w:rPr>
                <w:rFonts w:ascii="Arial" w:cs="Arial" w:eastAsia="Arial" w:hAnsi="Arial"/>
                <w:sz w:val="22"/>
                <w:szCs w:val="22"/>
                <w:b w:val="1"/>
                <w:bCs w:val="1"/>
                <w:color w:val="02568A"/>
                <w:w w:val="89"/>
              </w:rPr>
            </w:pPr>
            <w:hyperlink w:anchor="page75">
              <w:r>
                <w:rPr>
                  <w:rFonts w:ascii="Arial" w:cs="Arial" w:eastAsia="Arial" w:hAnsi="Arial"/>
                  <w:sz w:val="22"/>
                  <w:szCs w:val="22"/>
                  <w:b w:val="1"/>
                  <w:bCs w:val="1"/>
                  <w:color w:val="02568A"/>
                  <w:w w:val="89"/>
                </w:rPr>
                <w:t>Security Ownership of Certain</w:t>
              </w:r>
            </w:hyperlink>
          </w:p>
        </w:tc>
        <w:tc>
          <w:tcPr>
            <w:tcW w:w="1020" w:type="dxa"/>
            <w:vAlign w:val="bottom"/>
            <w:gridSpan w:val="12"/>
          </w:tcPr>
          <w:p>
            <w:pPr>
              <w:spacing w:after="0"/>
              <w:rPr>
                <w:sz w:val="24"/>
                <w:szCs w:val="24"/>
                <w:color w:val="auto"/>
              </w:rPr>
            </w:pPr>
          </w:p>
        </w:tc>
        <w:tc>
          <w:tcPr>
            <w:tcW w:w="180" w:type="dxa"/>
            <w:vAlign w:val="bottom"/>
            <w:vMerge w:val="restart"/>
          </w:tcPr>
          <w:p>
            <w:pPr>
              <w:jc w:val="right"/>
              <w:spacing w:after="0"/>
              <w:rPr>
                <w:rFonts w:ascii="Arial" w:cs="Arial" w:eastAsia="Arial" w:hAnsi="Arial"/>
                <w:sz w:val="19"/>
                <w:szCs w:val="19"/>
                <w:b w:val="1"/>
                <w:bCs w:val="1"/>
                <w:color w:val="02568A"/>
                <w:w w:val="75"/>
              </w:rPr>
            </w:pPr>
            <w:hyperlink w:anchor="page75">
              <w:r>
                <w:rPr>
                  <w:rFonts w:ascii="Arial" w:cs="Arial" w:eastAsia="Arial" w:hAnsi="Arial"/>
                  <w:sz w:val="19"/>
                  <w:szCs w:val="19"/>
                  <w:b w:val="1"/>
                  <w:bCs w:val="1"/>
                  <w:color w:val="02568A"/>
                  <w:w w:val="75"/>
                </w:rPr>
                <w:t>79</w:t>
              </w:r>
            </w:hyperlink>
          </w:p>
        </w:tc>
        <w:tc>
          <w:tcPr>
            <w:tcW w:w="0" w:type="dxa"/>
            <w:vAlign w:val="bottom"/>
          </w:tcPr>
          <w:p>
            <w:pPr>
              <w:spacing w:after="0"/>
              <w:rPr>
                <w:sz w:val="1"/>
                <w:szCs w:val="1"/>
                <w:color w:val="auto"/>
              </w:rPr>
            </w:pPr>
          </w:p>
        </w:tc>
      </w:tr>
      <w:tr>
        <w:trPr>
          <w:trHeight w:val="223"/>
        </w:trPr>
        <w:tc>
          <w:tcPr>
            <w:tcW w:w="3860" w:type="dxa"/>
            <w:vAlign w:val="bottom"/>
            <w:gridSpan w:val="25"/>
          </w:tcPr>
          <w:p>
            <w:pPr>
              <w:spacing w:after="0" w:line="223" w:lineRule="exact"/>
              <w:rPr>
                <w:rFonts w:ascii="Arial" w:cs="Arial" w:eastAsia="Arial" w:hAnsi="Arial"/>
                <w:sz w:val="22"/>
                <w:szCs w:val="22"/>
                <w:b w:val="1"/>
                <w:bCs w:val="1"/>
                <w:color w:val="02568A"/>
              </w:rPr>
            </w:pPr>
            <w:hyperlink w:anchor="page75">
              <w:r>
                <w:rPr>
                  <w:rFonts w:ascii="Arial" w:cs="Arial" w:eastAsia="Arial" w:hAnsi="Arial"/>
                  <w:sz w:val="22"/>
                  <w:szCs w:val="22"/>
                  <w:b w:val="1"/>
                  <w:bCs w:val="1"/>
                  <w:color w:val="02568A"/>
                </w:rPr>
                <w:t>Beneficial Owners and Management</w:t>
              </w:r>
            </w:hyperlink>
          </w:p>
        </w:tc>
        <w:tc>
          <w:tcPr>
            <w:tcW w:w="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3340" w:type="dxa"/>
            <w:vAlign w:val="bottom"/>
            <w:tcBorders>
              <w:top w:val="single" w:sz="8" w:color="02568A"/>
            </w:tcBorders>
            <w:gridSpan w:val="20"/>
          </w:tcPr>
          <w:p>
            <w:pPr>
              <w:spacing w:after="0"/>
              <w:rPr>
                <w:rFonts w:ascii="Arial" w:cs="Arial" w:eastAsia="Arial" w:hAnsi="Arial"/>
                <w:sz w:val="22"/>
                <w:szCs w:val="22"/>
                <w:b w:val="1"/>
                <w:bCs w:val="1"/>
                <w:color w:val="02568A"/>
              </w:rPr>
            </w:pPr>
            <w:hyperlink w:anchor="page77">
              <w:r>
                <w:rPr>
                  <w:rFonts w:ascii="Arial" w:cs="Arial" w:eastAsia="Arial" w:hAnsi="Arial"/>
                  <w:sz w:val="22"/>
                  <w:szCs w:val="22"/>
                  <w:b w:val="1"/>
                  <w:bCs w:val="1"/>
                  <w:color w:val="02568A"/>
                </w:rPr>
                <w:t>Other Proposed Action</w:t>
              </w:r>
            </w:hyperlink>
          </w:p>
        </w:tc>
        <w:tc>
          <w:tcPr>
            <w:tcW w:w="520" w:type="dxa"/>
            <w:vAlign w:val="bottom"/>
            <w:gridSpan w:val="5"/>
          </w:tcPr>
          <w:p>
            <w:pPr>
              <w:spacing w:after="0"/>
              <w:rPr>
                <w:sz w:val="24"/>
                <w:szCs w:val="24"/>
                <w:color w:val="auto"/>
              </w:rPr>
            </w:pPr>
          </w:p>
        </w:tc>
        <w:tc>
          <w:tcPr>
            <w:tcW w:w="180" w:type="dxa"/>
            <w:vAlign w:val="bottom"/>
            <w:tcBorders>
              <w:top w:val="single" w:sz="8" w:color="02568A"/>
            </w:tcBorders>
          </w:tcPr>
          <w:p>
            <w:pPr>
              <w:jc w:val="right"/>
              <w:spacing w:after="0"/>
              <w:rPr>
                <w:rFonts w:ascii="Arial" w:cs="Arial" w:eastAsia="Arial" w:hAnsi="Arial"/>
                <w:sz w:val="19"/>
                <w:szCs w:val="19"/>
                <w:b w:val="1"/>
                <w:bCs w:val="1"/>
                <w:color w:val="02568A"/>
                <w:w w:val="75"/>
              </w:rPr>
            </w:pPr>
            <w:hyperlink w:anchor="page77">
              <w:r>
                <w:rPr>
                  <w:rFonts w:ascii="Arial" w:cs="Arial" w:eastAsia="Arial" w:hAnsi="Arial"/>
                  <w:sz w:val="19"/>
                  <w:szCs w:val="19"/>
                  <w:b w:val="1"/>
                  <w:bCs w:val="1"/>
                  <w:color w:val="02568A"/>
                  <w:w w:val="75"/>
                </w:rPr>
                <w:t>81</w:t>
              </w:r>
            </w:hyperlink>
          </w:p>
        </w:tc>
        <w:tc>
          <w:tcPr>
            <w:tcW w:w="0" w:type="dxa"/>
            <w:vAlign w:val="bottom"/>
          </w:tcPr>
          <w:p>
            <w:pPr>
              <w:spacing w:after="0"/>
              <w:rPr>
                <w:sz w:val="1"/>
                <w:szCs w:val="1"/>
                <w:color w:val="auto"/>
              </w:rPr>
            </w:pPr>
          </w:p>
        </w:tc>
      </w:tr>
      <w:tr>
        <w:trPr>
          <w:trHeight w:val="466"/>
        </w:trPr>
        <w:tc>
          <w:tcPr>
            <w:tcW w:w="1340" w:type="dxa"/>
            <w:vAlign w:val="bottom"/>
            <w:tcBorders>
              <w:top w:val="single" w:sz="8" w:color="02568A"/>
              <w:bottom w:val="single" w:sz="8" w:color="02568A"/>
            </w:tcBorders>
            <w:gridSpan w:val="6"/>
          </w:tcPr>
          <w:p>
            <w:pPr>
              <w:spacing w:after="0"/>
              <w:rPr>
                <w:rFonts w:ascii="Arial" w:cs="Arial" w:eastAsia="Arial" w:hAnsi="Arial"/>
                <w:sz w:val="22"/>
                <w:szCs w:val="22"/>
                <w:b w:val="1"/>
                <w:bCs w:val="1"/>
                <w:color w:val="02568A"/>
                <w:w w:val="92"/>
              </w:rPr>
            </w:pPr>
            <w:hyperlink w:anchor="page77">
              <w:r>
                <w:rPr>
                  <w:rFonts w:ascii="Arial" w:cs="Arial" w:eastAsia="Arial" w:hAnsi="Arial"/>
                  <w:sz w:val="22"/>
                  <w:szCs w:val="22"/>
                  <w:b w:val="1"/>
                  <w:bCs w:val="1"/>
                  <w:color w:val="02568A"/>
                  <w:w w:val="92"/>
                </w:rPr>
                <w:t>Other Matters</w:t>
              </w:r>
            </w:hyperlink>
          </w:p>
        </w:tc>
        <w:tc>
          <w:tcPr>
            <w:tcW w:w="780" w:type="dxa"/>
            <w:vAlign w:val="bottom"/>
            <w:tcBorders>
              <w:top w:val="single" w:sz="8" w:color="02568A"/>
            </w:tcBorders>
            <w:gridSpan w:val="3"/>
          </w:tcPr>
          <w:p>
            <w:pPr>
              <w:spacing w:after="0"/>
              <w:rPr>
                <w:sz w:val="24"/>
                <w:szCs w:val="24"/>
                <w:color w:val="auto"/>
              </w:rPr>
            </w:pPr>
          </w:p>
        </w:tc>
        <w:tc>
          <w:tcPr>
            <w:tcW w:w="1740" w:type="dxa"/>
            <w:vAlign w:val="bottom"/>
            <w:gridSpan w:val="16"/>
          </w:tcPr>
          <w:p>
            <w:pPr>
              <w:spacing w:after="0"/>
              <w:rPr>
                <w:sz w:val="24"/>
                <w:szCs w:val="24"/>
                <w:color w:val="auto"/>
              </w:rPr>
            </w:pPr>
          </w:p>
        </w:tc>
        <w:tc>
          <w:tcPr>
            <w:tcW w:w="180" w:type="dxa"/>
            <w:vAlign w:val="bottom"/>
            <w:tcBorders>
              <w:top w:val="single" w:sz="8" w:color="02568A"/>
              <w:bottom w:val="single" w:sz="8" w:color="02568A"/>
            </w:tcBorders>
          </w:tcPr>
          <w:p>
            <w:pPr>
              <w:jc w:val="right"/>
              <w:spacing w:after="0"/>
              <w:rPr>
                <w:rFonts w:ascii="Arial" w:cs="Arial" w:eastAsia="Arial" w:hAnsi="Arial"/>
                <w:sz w:val="19"/>
                <w:szCs w:val="19"/>
                <w:b w:val="1"/>
                <w:bCs w:val="1"/>
                <w:color w:val="02568A"/>
                <w:w w:val="75"/>
              </w:rPr>
            </w:pPr>
            <w:hyperlink w:anchor="page77">
              <w:r>
                <w:rPr>
                  <w:rFonts w:ascii="Arial" w:cs="Arial" w:eastAsia="Arial" w:hAnsi="Arial"/>
                  <w:sz w:val="19"/>
                  <w:szCs w:val="19"/>
                  <w:b w:val="1"/>
                  <w:bCs w:val="1"/>
                  <w:color w:val="02568A"/>
                  <w:w w:val="75"/>
                </w:rPr>
                <w:t>81</w:t>
              </w:r>
            </w:hyperlink>
          </w:p>
        </w:tc>
        <w:tc>
          <w:tcPr>
            <w:tcW w:w="0" w:type="dxa"/>
            <w:vAlign w:val="bottom"/>
          </w:tcPr>
          <w:p>
            <w:pPr>
              <w:spacing w:after="0"/>
              <w:rPr>
                <w:sz w:val="1"/>
                <w:szCs w:val="1"/>
                <w:color w:val="auto"/>
              </w:rPr>
            </w:pPr>
          </w:p>
        </w:tc>
      </w:tr>
      <w:tr>
        <w:trPr>
          <w:trHeight w:val="466"/>
        </w:trPr>
        <w:tc>
          <w:tcPr>
            <w:tcW w:w="3860" w:type="dxa"/>
            <w:vAlign w:val="bottom"/>
            <w:gridSpan w:val="25"/>
          </w:tcPr>
          <w:p>
            <w:pPr>
              <w:spacing w:after="0"/>
              <w:rPr>
                <w:rFonts w:ascii="Arial" w:cs="Arial" w:eastAsia="Arial" w:hAnsi="Arial"/>
                <w:sz w:val="22"/>
                <w:szCs w:val="22"/>
                <w:b w:val="1"/>
                <w:bCs w:val="1"/>
                <w:color w:val="02568A"/>
              </w:rPr>
            </w:pPr>
            <w:hyperlink w:anchor="page79">
              <w:r>
                <w:rPr>
                  <w:rFonts w:ascii="Arial" w:cs="Arial" w:eastAsia="Arial" w:hAnsi="Arial"/>
                  <w:sz w:val="22"/>
                  <w:szCs w:val="22"/>
                  <w:b w:val="1"/>
                  <w:bCs w:val="1"/>
                  <w:color w:val="02568A"/>
                </w:rPr>
                <w:t>Appendix A: Provisions of Charter</w:t>
              </w:r>
            </w:hyperlink>
          </w:p>
        </w:tc>
        <w:tc>
          <w:tcPr>
            <w:tcW w:w="180" w:type="dxa"/>
            <w:vAlign w:val="bottom"/>
            <w:vMerge w:val="restart"/>
          </w:tcPr>
          <w:p>
            <w:pPr>
              <w:jc w:val="right"/>
              <w:spacing w:after="0"/>
              <w:rPr>
                <w:rFonts w:ascii="Arial" w:cs="Arial" w:eastAsia="Arial" w:hAnsi="Arial"/>
                <w:sz w:val="19"/>
                <w:szCs w:val="19"/>
                <w:b w:val="1"/>
                <w:bCs w:val="1"/>
                <w:color w:val="02568A"/>
                <w:w w:val="75"/>
              </w:rPr>
            </w:pPr>
            <w:hyperlink w:anchor="page79">
              <w:r>
                <w:rPr>
                  <w:rFonts w:ascii="Arial" w:cs="Arial" w:eastAsia="Arial" w:hAnsi="Arial"/>
                  <w:sz w:val="19"/>
                  <w:szCs w:val="19"/>
                  <w:b w:val="1"/>
                  <w:bCs w:val="1"/>
                  <w:color w:val="02568A"/>
                  <w:w w:val="75"/>
                </w:rPr>
                <w:t>83</w:t>
              </w:r>
            </w:hyperlink>
          </w:p>
        </w:tc>
        <w:tc>
          <w:tcPr>
            <w:tcW w:w="0" w:type="dxa"/>
            <w:vAlign w:val="bottom"/>
          </w:tcPr>
          <w:p>
            <w:pPr>
              <w:spacing w:after="0"/>
              <w:rPr>
                <w:sz w:val="1"/>
                <w:szCs w:val="1"/>
                <w:color w:val="auto"/>
              </w:rPr>
            </w:pPr>
          </w:p>
        </w:tc>
      </w:tr>
      <w:tr>
        <w:trPr>
          <w:trHeight w:val="223"/>
        </w:trPr>
        <w:tc>
          <w:tcPr>
            <w:tcW w:w="3000" w:type="dxa"/>
            <w:vAlign w:val="bottom"/>
            <w:tcBorders>
              <w:top w:val="single" w:sz="8" w:color="02568A"/>
              <w:bottom w:val="single" w:sz="8" w:color="02568A"/>
            </w:tcBorders>
            <w:gridSpan w:val="14"/>
          </w:tcPr>
          <w:p>
            <w:pPr>
              <w:spacing w:after="0" w:line="223" w:lineRule="exact"/>
              <w:rPr>
                <w:rFonts w:ascii="Arial" w:cs="Arial" w:eastAsia="Arial" w:hAnsi="Arial"/>
                <w:sz w:val="22"/>
                <w:szCs w:val="22"/>
                <w:b w:val="1"/>
                <w:bCs w:val="1"/>
                <w:color w:val="02568A"/>
                <w:w w:val="87"/>
              </w:rPr>
            </w:pPr>
            <w:hyperlink w:anchor="page79">
              <w:r>
                <w:rPr>
                  <w:rFonts w:ascii="Arial" w:cs="Arial" w:eastAsia="Arial" w:hAnsi="Arial"/>
                  <w:sz w:val="22"/>
                  <w:szCs w:val="22"/>
                  <w:b w:val="1"/>
                  <w:bCs w:val="1"/>
                  <w:color w:val="02568A"/>
                  <w:w w:val="87"/>
                </w:rPr>
                <w:t>Subject to Potential Amendment</w:t>
              </w:r>
            </w:hyperlink>
          </w:p>
        </w:tc>
        <w:tc>
          <w:tcPr>
            <w:tcW w:w="200" w:type="dxa"/>
            <w:vAlign w:val="bottom"/>
            <w:tcBorders>
              <w:top w:val="single" w:sz="8" w:color="02568A"/>
            </w:tcBorders>
            <w:gridSpan w:val="3"/>
          </w:tcPr>
          <w:p>
            <w:pPr>
              <w:spacing w:after="0"/>
              <w:rPr>
                <w:sz w:val="19"/>
                <w:szCs w:val="19"/>
                <w:color w:val="auto"/>
              </w:rPr>
            </w:pPr>
          </w:p>
        </w:tc>
        <w:tc>
          <w:tcPr>
            <w:tcW w:w="340" w:type="dxa"/>
            <w:vAlign w:val="bottom"/>
            <w:gridSpan w:val="7"/>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02568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3860" w:type="dxa"/>
            <w:vAlign w:val="bottom"/>
            <w:gridSpan w:val="25"/>
          </w:tcPr>
          <w:p>
            <w:pPr>
              <w:spacing w:after="0"/>
              <w:rPr>
                <w:rFonts w:ascii="Arial" w:cs="Arial" w:eastAsia="Arial" w:hAnsi="Arial"/>
                <w:sz w:val="22"/>
                <w:szCs w:val="22"/>
                <w:b w:val="1"/>
                <w:bCs w:val="1"/>
                <w:color w:val="02568A"/>
              </w:rPr>
            </w:pPr>
            <w:hyperlink w:anchor="page86">
              <w:r>
                <w:rPr>
                  <w:rFonts w:ascii="Arial" w:cs="Arial" w:eastAsia="Arial" w:hAnsi="Arial"/>
                  <w:sz w:val="22"/>
                  <w:szCs w:val="22"/>
                  <w:b w:val="1"/>
                  <w:bCs w:val="1"/>
                  <w:color w:val="02568A"/>
                </w:rPr>
                <w:t>Appendix B: Unaudited</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00" w:type="dxa"/>
            <w:vAlign w:val="bottom"/>
            <w:tcBorders>
              <w:top w:val="single" w:sz="8" w:color="02568A"/>
            </w:tcBorders>
            <w:gridSpan w:val="10"/>
          </w:tcPr>
          <w:p>
            <w:pPr>
              <w:spacing w:after="0" w:line="223" w:lineRule="exact"/>
              <w:rPr>
                <w:rFonts w:ascii="Arial" w:cs="Arial" w:eastAsia="Arial" w:hAnsi="Arial"/>
                <w:sz w:val="22"/>
                <w:szCs w:val="22"/>
                <w:b w:val="1"/>
                <w:bCs w:val="1"/>
                <w:color w:val="02568A"/>
                <w:w w:val="88"/>
              </w:rPr>
            </w:pPr>
            <w:hyperlink w:anchor="page86">
              <w:r>
                <w:rPr>
                  <w:rFonts w:ascii="Arial" w:cs="Arial" w:eastAsia="Arial" w:hAnsi="Arial"/>
                  <w:sz w:val="22"/>
                  <w:szCs w:val="22"/>
                  <w:b w:val="1"/>
                  <w:bCs w:val="1"/>
                  <w:color w:val="02568A"/>
                  <w:w w:val="88"/>
                </w:rPr>
                <w:t>Reconciliations of Non-</w:t>
              </w:r>
            </w:hyperlink>
          </w:p>
        </w:tc>
        <w:tc>
          <w:tcPr>
            <w:tcW w:w="1660" w:type="dxa"/>
            <w:vAlign w:val="bottom"/>
            <w:gridSpan w:val="15"/>
          </w:tcPr>
          <w:p>
            <w:pPr>
              <w:spacing w:after="0" w:line="223" w:lineRule="exact"/>
              <w:rPr>
                <w:rFonts w:ascii="Arial" w:cs="Arial" w:eastAsia="Arial" w:hAnsi="Arial"/>
                <w:sz w:val="22"/>
                <w:szCs w:val="22"/>
                <w:b w:val="1"/>
                <w:bCs w:val="1"/>
                <w:color w:val="02568A"/>
              </w:rPr>
            </w:pPr>
            <w:hyperlink w:anchor="page86">
              <w:r>
                <w:rPr>
                  <w:rFonts w:ascii="Arial" w:cs="Arial" w:eastAsia="Arial" w:hAnsi="Arial"/>
                  <w:sz w:val="22"/>
                  <w:szCs w:val="22"/>
                  <w:b w:val="1"/>
                  <w:bCs w:val="1"/>
                  <w:color w:val="02568A"/>
                </w:rPr>
                <w:t>GAAP</w:t>
              </w:r>
            </w:hyperlink>
          </w:p>
        </w:tc>
        <w:tc>
          <w:tcPr>
            <w:tcW w:w="180" w:type="dxa"/>
            <w:vAlign w:val="bottom"/>
            <w:vMerge w:val="restart"/>
          </w:tcPr>
          <w:p>
            <w:pPr>
              <w:jc w:val="right"/>
              <w:spacing w:after="0"/>
              <w:rPr>
                <w:rFonts w:ascii="Arial" w:cs="Arial" w:eastAsia="Arial" w:hAnsi="Arial"/>
                <w:sz w:val="19"/>
                <w:szCs w:val="19"/>
                <w:b w:val="1"/>
                <w:bCs w:val="1"/>
                <w:color w:val="02568A"/>
                <w:w w:val="75"/>
              </w:rPr>
            </w:pPr>
            <w:hyperlink w:anchor="page86">
              <w:r>
                <w:rPr>
                  <w:rFonts w:ascii="Arial" w:cs="Arial" w:eastAsia="Arial" w:hAnsi="Arial"/>
                  <w:sz w:val="19"/>
                  <w:szCs w:val="19"/>
                  <w:b w:val="1"/>
                  <w:bCs w:val="1"/>
                  <w:color w:val="02568A"/>
                  <w:w w:val="75"/>
                </w:rPr>
                <w:t>90</w:t>
              </w:r>
            </w:hyperlink>
          </w:p>
        </w:tc>
        <w:tc>
          <w:tcPr>
            <w:tcW w:w="0" w:type="dxa"/>
            <w:vAlign w:val="bottom"/>
          </w:tcPr>
          <w:p>
            <w:pPr>
              <w:spacing w:after="0"/>
              <w:rPr>
                <w:sz w:val="1"/>
                <w:szCs w:val="1"/>
                <w:color w:val="auto"/>
              </w:rPr>
            </w:pPr>
          </w:p>
        </w:tc>
      </w:tr>
      <w:tr>
        <w:trPr>
          <w:trHeight w:val="223"/>
        </w:trPr>
        <w:tc>
          <w:tcPr>
            <w:tcW w:w="1800" w:type="dxa"/>
            <w:vAlign w:val="bottom"/>
            <w:tcBorders>
              <w:top w:val="single" w:sz="8" w:color="02568A"/>
              <w:bottom w:val="single" w:sz="8" w:color="02568A"/>
            </w:tcBorders>
            <w:gridSpan w:val="8"/>
          </w:tcPr>
          <w:p>
            <w:pPr>
              <w:spacing w:after="0" w:line="223" w:lineRule="exact"/>
              <w:rPr>
                <w:rFonts w:ascii="Arial" w:cs="Arial" w:eastAsia="Arial" w:hAnsi="Arial"/>
                <w:sz w:val="22"/>
                <w:szCs w:val="22"/>
                <w:b w:val="1"/>
                <w:bCs w:val="1"/>
                <w:color w:val="02568A"/>
                <w:w w:val="87"/>
              </w:rPr>
            </w:pPr>
            <w:hyperlink w:anchor="page86">
              <w:r>
                <w:rPr>
                  <w:rFonts w:ascii="Arial" w:cs="Arial" w:eastAsia="Arial" w:hAnsi="Arial"/>
                  <w:sz w:val="22"/>
                  <w:szCs w:val="22"/>
                  <w:b w:val="1"/>
                  <w:bCs w:val="1"/>
                  <w:color w:val="02568A"/>
                  <w:w w:val="87"/>
                </w:rPr>
                <w:t>Financial Measures</w:t>
              </w:r>
            </w:hyperlink>
          </w:p>
        </w:tc>
        <w:tc>
          <w:tcPr>
            <w:tcW w:w="1020" w:type="dxa"/>
            <w:vAlign w:val="bottom"/>
            <w:tcBorders>
              <w:top w:val="single" w:sz="8" w:color="02568A"/>
            </w:tcBorders>
            <w:gridSpan w:val="4"/>
          </w:tcPr>
          <w:p>
            <w:pPr>
              <w:spacing w:after="0"/>
              <w:rPr>
                <w:sz w:val="19"/>
                <w:szCs w:val="19"/>
                <w:color w:val="auto"/>
              </w:rPr>
            </w:pPr>
          </w:p>
        </w:tc>
        <w:tc>
          <w:tcPr>
            <w:tcW w:w="720" w:type="dxa"/>
            <w:vAlign w:val="bottom"/>
            <w:gridSpan w:val="12"/>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02568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420" w:type="dxa"/>
            <w:vAlign w:val="bottom"/>
          </w:tcPr>
          <w:p>
            <w:pPr>
              <w:spacing w:after="0"/>
              <w:rPr>
                <w:sz w:val="24"/>
                <w:szCs w:val="24"/>
                <w:color w:val="auto"/>
              </w:rPr>
            </w:pPr>
          </w:p>
        </w:tc>
        <w:tc>
          <w:tcPr>
            <w:tcW w:w="3440" w:type="dxa"/>
            <w:vAlign w:val="bottom"/>
            <w:gridSpan w:val="24"/>
          </w:tcPr>
          <w:p>
            <w:pPr>
              <w:spacing w:after="0"/>
              <w:rPr>
                <w:rFonts w:ascii="Arial" w:cs="Arial" w:eastAsia="Arial" w:hAnsi="Arial"/>
                <w:sz w:val="18"/>
                <w:szCs w:val="18"/>
                <w:color w:val="191919"/>
                <w:w w:val="95"/>
              </w:rPr>
            </w:pPr>
            <w:hyperlink w:anchor="page87">
              <w:r>
                <w:rPr>
                  <w:rFonts w:ascii="Arial" w:cs="Arial" w:eastAsia="Arial" w:hAnsi="Arial"/>
                  <w:sz w:val="18"/>
                  <w:szCs w:val="18"/>
                  <w:color w:val="191919"/>
                  <w:w w:val="95"/>
                </w:rPr>
                <w:t>Discussion Regarding the Use of Non-GAAP</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120" w:type="dxa"/>
            <w:vAlign w:val="bottom"/>
            <w:tcBorders>
              <w:top w:val="single" w:sz="8" w:color="191919"/>
            </w:tcBorders>
            <w:gridSpan w:val="23"/>
          </w:tcPr>
          <w:p>
            <w:pPr>
              <w:spacing w:after="0" w:line="196" w:lineRule="exact"/>
              <w:rPr>
                <w:rFonts w:ascii="Arial" w:cs="Arial" w:eastAsia="Arial" w:hAnsi="Arial"/>
                <w:sz w:val="18"/>
                <w:szCs w:val="18"/>
                <w:color w:val="191919"/>
              </w:rPr>
            </w:pPr>
            <w:hyperlink w:anchor="page87">
              <w:r>
                <w:rPr>
                  <w:rFonts w:ascii="Arial" w:cs="Arial" w:eastAsia="Arial" w:hAnsi="Arial"/>
                  <w:sz w:val="18"/>
                  <w:szCs w:val="18"/>
                  <w:color w:val="191919"/>
                </w:rPr>
                <w:t>Financial Measures</w:t>
              </w:r>
            </w:hyperlink>
          </w:p>
        </w:tc>
        <w:tc>
          <w:tcPr>
            <w:tcW w:w="320" w:type="dxa"/>
            <w:vAlign w:val="bottom"/>
          </w:tcPr>
          <w:p>
            <w:pPr>
              <w:spacing w:after="0"/>
              <w:rPr>
                <w:sz w:val="17"/>
                <w:szCs w:val="17"/>
                <w:color w:val="auto"/>
              </w:rPr>
            </w:pPr>
          </w:p>
        </w:tc>
        <w:tc>
          <w:tcPr>
            <w:tcW w:w="180" w:type="dxa"/>
            <w:vAlign w:val="bottom"/>
          </w:tcPr>
          <w:p>
            <w:pPr>
              <w:jc w:val="right"/>
              <w:spacing w:after="0" w:line="196" w:lineRule="exact"/>
              <w:rPr>
                <w:rFonts w:ascii="Arial" w:cs="Arial" w:eastAsia="Arial" w:hAnsi="Arial"/>
                <w:sz w:val="18"/>
                <w:szCs w:val="18"/>
                <w:color w:val="191919"/>
                <w:w w:val="79"/>
              </w:rPr>
            </w:pPr>
            <w:hyperlink w:anchor="page87">
              <w:r>
                <w:rPr>
                  <w:rFonts w:ascii="Arial" w:cs="Arial" w:eastAsia="Arial" w:hAnsi="Arial"/>
                  <w:sz w:val="18"/>
                  <w:szCs w:val="18"/>
                  <w:color w:val="191919"/>
                  <w:w w:val="79"/>
                </w:rPr>
                <w:t>91</w:t>
              </w:r>
            </w:hyperlink>
          </w:p>
        </w:tc>
        <w:tc>
          <w:tcPr>
            <w:tcW w:w="0" w:type="dxa"/>
            <w:vAlign w:val="bottom"/>
          </w:tcPr>
          <w:p>
            <w:pPr>
              <w:spacing w:after="0"/>
              <w:rPr>
                <w:sz w:val="1"/>
                <w:szCs w:val="1"/>
                <w:color w:val="auto"/>
              </w:rPr>
            </w:pPr>
          </w:p>
        </w:tc>
      </w:tr>
      <w:tr>
        <w:trPr>
          <w:trHeight w:val="20"/>
        </w:trPr>
        <w:tc>
          <w:tcPr>
            <w:tcW w:w="420" w:type="dxa"/>
            <w:vAlign w:val="bottom"/>
            <w:tcBorders>
              <w:right w:val="single" w:sz="8" w:color="191919"/>
            </w:tcBorders>
          </w:tcPr>
          <w:p>
            <w:pPr>
              <w:spacing w:after="0" w:line="20" w:lineRule="exact"/>
              <w:rPr>
                <w:sz w:val="1"/>
                <w:szCs w:val="1"/>
                <w:color w:val="auto"/>
              </w:rPr>
            </w:pPr>
          </w:p>
        </w:tc>
        <w:tc>
          <w:tcPr>
            <w:tcW w:w="340" w:type="dxa"/>
            <w:vAlign w:val="bottom"/>
            <w:shd w:val="clear" w:color="auto" w:fill="191919"/>
          </w:tcPr>
          <w:p>
            <w:pPr>
              <w:spacing w:after="0" w:line="20" w:lineRule="exact"/>
              <w:rPr>
                <w:sz w:val="1"/>
                <w:szCs w:val="1"/>
                <w:color w:val="auto"/>
              </w:rPr>
            </w:pPr>
          </w:p>
        </w:tc>
        <w:tc>
          <w:tcPr>
            <w:tcW w:w="240" w:type="dxa"/>
            <w:vAlign w:val="bottom"/>
            <w:shd w:val="clear" w:color="auto" w:fill="191919"/>
          </w:tcPr>
          <w:p>
            <w:pPr>
              <w:spacing w:after="0" w:line="20" w:lineRule="exact"/>
              <w:rPr>
                <w:sz w:val="1"/>
                <w:szCs w:val="1"/>
                <w:color w:val="auto"/>
              </w:rPr>
            </w:pPr>
          </w:p>
        </w:tc>
        <w:tc>
          <w:tcPr>
            <w:tcW w:w="40" w:type="dxa"/>
            <w:vAlign w:val="bottom"/>
            <w:shd w:val="clear" w:color="auto" w:fill="191919"/>
          </w:tcPr>
          <w:p>
            <w:pPr>
              <w:spacing w:after="0" w:line="20" w:lineRule="exact"/>
              <w:rPr>
                <w:sz w:val="1"/>
                <w:szCs w:val="1"/>
                <w:color w:val="auto"/>
              </w:rPr>
            </w:pPr>
          </w:p>
        </w:tc>
        <w:tc>
          <w:tcPr>
            <w:tcW w:w="260" w:type="dxa"/>
            <w:vAlign w:val="bottom"/>
            <w:shd w:val="clear" w:color="auto" w:fill="191919"/>
          </w:tcPr>
          <w:p>
            <w:pPr>
              <w:spacing w:after="0" w:line="20" w:lineRule="exact"/>
              <w:rPr>
                <w:sz w:val="1"/>
                <w:szCs w:val="1"/>
                <w:color w:val="auto"/>
              </w:rPr>
            </w:pPr>
          </w:p>
        </w:tc>
        <w:tc>
          <w:tcPr>
            <w:tcW w:w="40" w:type="dxa"/>
            <w:vAlign w:val="bottom"/>
            <w:shd w:val="clear" w:color="auto" w:fill="191919"/>
          </w:tcPr>
          <w:p>
            <w:pPr>
              <w:spacing w:after="0" w:line="20" w:lineRule="exact"/>
              <w:rPr>
                <w:sz w:val="1"/>
                <w:szCs w:val="1"/>
                <w:color w:val="auto"/>
              </w:rPr>
            </w:pPr>
          </w:p>
        </w:tc>
        <w:tc>
          <w:tcPr>
            <w:tcW w:w="380" w:type="dxa"/>
            <w:vAlign w:val="bottom"/>
            <w:shd w:val="clear" w:color="auto" w:fill="19191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1919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-967105</wp:posOffset>
            </wp:positionH>
            <wp:positionV relativeFrom="paragraph">
              <wp:posOffset>1611630</wp:posOffset>
            </wp:positionV>
            <wp:extent cx="822960" cy="4883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2960" cy="488315"/>
                    </a:xfrm>
                    <a:prstGeom prst="rect">
                      <a:avLst/>
                    </a:prstGeom>
                    <a:noFill/>
                  </pic:spPr>
                </pic:pic>
              </a:graphicData>
            </a:graphic>
          </wp:anchor>
        </w:drawing>
      </w:r>
    </w:p>
    <w:p>
      <w:pPr>
        <w:spacing w:after="0" w:line="2278" w:lineRule="exact"/>
        <w:rPr>
          <w:sz w:val="20"/>
          <w:szCs w:val="20"/>
          <w:color w:val="auto"/>
        </w:rPr>
      </w:pPr>
    </w:p>
    <w:p>
      <w:pPr>
        <w:sectPr>
          <w:pgSz w:w="11900" w:h="16838" w:orient="portrait"/>
          <w:cols w:equalWidth="0" w:num="2">
            <w:col w:w="5780" w:space="720"/>
            <w:col w:w="4040"/>
          </w:cols>
          <w:pgMar w:left="320" w:top="131" w:right="1039" w:bottom="101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color w:val="000001"/>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1361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540"/>
          </w:cols>
          <w:pgMar w:left="320" w:top="131" w:right="1039" w:bottom="1018"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16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FFFFFE"/>
        </w:rPr>
        <w:t>Proxy Statement Summary</w:t>
      </w:r>
    </w:p>
    <w:p>
      <w:pPr>
        <w:spacing w:after="0" w:line="313" w:lineRule="exact"/>
        <w:rPr>
          <w:sz w:val="20"/>
          <w:szCs w:val="20"/>
          <w:color w:val="auto"/>
        </w:rPr>
      </w:pPr>
    </w:p>
    <w:p>
      <w:pPr>
        <w:ind w:right="160"/>
        <w:spacing w:after="0" w:line="369" w:lineRule="auto"/>
        <w:rPr>
          <w:sz w:val="20"/>
          <w:szCs w:val="20"/>
          <w:color w:val="auto"/>
        </w:rPr>
      </w:pPr>
      <w:r>
        <w:rPr>
          <w:rFonts w:ascii="Arial" w:cs="Arial" w:eastAsia="Arial" w:hAnsi="Arial"/>
          <w:sz w:val="15"/>
          <w:szCs w:val="15"/>
          <w:color w:val="191919"/>
        </w:rPr>
        <w:t>This summary highlights information generally contained elsewhere in this Proxy Statement. This summary does not contain all of the information that you should consider in advance of the 2020 Annual Meeting of Stockholders, and we encourage you to read the entire Proxy Statement before voting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02568A"/>
        </w:rPr>
        <w:t>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161290</wp:posOffset>
            </wp:positionV>
            <wp:extent cx="488315" cy="4883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8315" cy="48831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229870</wp:posOffset>
            </wp:positionV>
            <wp:extent cx="488950" cy="420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8950" cy="42037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289560</wp:posOffset>
            </wp:positionV>
            <wp:extent cx="394335" cy="3600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4335" cy="3600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000001"/>
        </w:rPr>
        <w:t>Date &amp; Time</w:t>
      </w:r>
    </w:p>
    <w:p>
      <w:pPr>
        <w:spacing w:after="0" w:line="44" w:lineRule="exact"/>
        <w:rPr>
          <w:sz w:val="20"/>
          <w:szCs w:val="20"/>
          <w:color w:val="auto"/>
        </w:rPr>
      </w:pPr>
    </w:p>
    <w:p>
      <w:pPr>
        <w:ind w:left="1120"/>
        <w:spacing w:after="0"/>
        <w:rPr>
          <w:sz w:val="20"/>
          <w:szCs w:val="20"/>
          <w:color w:val="auto"/>
        </w:rPr>
      </w:pPr>
      <w:r>
        <w:rPr>
          <w:rFonts w:ascii="Arial" w:cs="Arial" w:eastAsia="Arial" w:hAnsi="Arial"/>
          <w:sz w:val="16"/>
          <w:szCs w:val="16"/>
          <w:color w:val="191919"/>
        </w:rPr>
        <w:t>May 6,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000001"/>
        </w:rPr>
        <w:t>Virtual Meeting Access</w:t>
      </w:r>
    </w:p>
    <w:p>
      <w:pPr>
        <w:spacing w:after="0" w:line="21"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275F90"/>
        </w:rPr>
        <w:t>www.virtualshareholdermeeting.com/SWKS2020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000001"/>
        </w:rPr>
        <w:t>Record Date</w:t>
      </w:r>
    </w:p>
    <w:p>
      <w:pPr>
        <w:spacing w:after="0" w:line="21"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191919"/>
        </w:rPr>
        <w:t>March 12, 2020</w:t>
      </w:r>
    </w:p>
    <w:p>
      <w:pPr>
        <w:spacing w:after="0" w:line="32" w:lineRule="exact"/>
        <w:rPr>
          <w:sz w:val="20"/>
          <w:szCs w:val="20"/>
          <w:color w:val="auto"/>
        </w:rPr>
      </w:pPr>
    </w:p>
    <w:p>
      <w:pPr>
        <w:sectPr>
          <w:pgSz w:w="11900" w:h="16838" w:orient="portrait"/>
          <w:cols w:equalWidth="0" w:num="3">
            <w:col w:w="3160" w:space="720"/>
            <w:col w:w="4520" w:space="720"/>
            <w:col w:w="2120"/>
          </w:cols>
          <w:pgMar w:left="320" w:top="131" w:right="339" w:bottom="1440" w:gutter="0" w:footer="0" w:header="0"/>
          <w:type w:val="continuous"/>
        </w:sectPr>
      </w:pPr>
    </w:p>
    <w:p>
      <w:pPr>
        <w:ind w:left="960"/>
        <w:spacing w:after="0"/>
        <w:rPr>
          <w:sz w:val="20"/>
          <w:szCs w:val="20"/>
          <w:color w:val="auto"/>
        </w:rPr>
      </w:pPr>
      <w:r>
        <w:rPr>
          <w:rFonts w:ascii="Arial" w:cs="Arial" w:eastAsia="Arial" w:hAnsi="Arial"/>
          <w:sz w:val="15"/>
          <w:szCs w:val="15"/>
          <w:color w:val="191919"/>
        </w:rPr>
        <w:t>2:00 p.m. Eastern</w:t>
      </w:r>
    </w:p>
    <w:p>
      <w:pPr>
        <w:spacing w:after="0" w:line="44" w:lineRule="exact"/>
        <w:rPr>
          <w:sz w:val="20"/>
          <w:szCs w:val="20"/>
          <w:color w:val="auto"/>
        </w:rPr>
      </w:pPr>
    </w:p>
    <w:p>
      <w:pPr>
        <w:ind w:left="1060"/>
        <w:spacing w:after="0"/>
        <w:rPr>
          <w:sz w:val="20"/>
          <w:szCs w:val="20"/>
          <w:color w:val="auto"/>
        </w:rPr>
      </w:pPr>
      <w:r>
        <w:rPr>
          <w:rFonts w:ascii="Arial" w:cs="Arial" w:eastAsia="Arial" w:hAnsi="Arial"/>
          <w:sz w:val="18"/>
          <w:szCs w:val="18"/>
          <w:color w:val="191919"/>
        </w:rPr>
        <w:t>Daylight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32"/>
          <w:szCs w:val="32"/>
          <w:b w:val="1"/>
          <w:bCs w:val="1"/>
          <w:color w:val="02568A"/>
        </w:rPr>
        <w:t>Matters to be Voted Upon</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191919"/>
        </w:rPr>
        <w:t>Your vote is very important to us. Please cast your vote on all of the proposals to ensure that your shares are represented.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147955</wp:posOffset>
            </wp:positionV>
            <wp:extent cx="6711950" cy="3754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11950" cy="375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6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FFFFFE"/>
        </w:rPr>
        <w:t>General Information</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01"/>
        </w:rPr>
        <w:t>How do we refer to Skyworks in this Proxy Statement?</w:t>
      </w:r>
    </w:p>
    <w:p>
      <w:pPr>
        <w:spacing w:after="0" w:line="22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191919"/>
        </w:rPr>
        <w:t>The terms “Skyworks,” “the Company,” “we,” “us,” and “our” refer to Skyworks Solutions, Inc., a Delaware corporation, and its consolidated subsidiaries.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01"/>
        </w:rPr>
        <w:t>When and where is our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191919"/>
        </w:rPr>
        <w:t>The Company’s 2020 Annual Meeting of Stockholders (the “Annual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191919"/>
        </w:rPr>
        <w:t>Meeting”) will be held on Wednesday, May 6, 2020, at 2:00 p.m. Eastern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191919"/>
        </w:rPr>
        <w:t>Daylight Time. The Annual Meeting will be held online due to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191919"/>
        </w:rPr>
        <w:t>emerging public health impact of the coronavirus outbreak (COVID-19)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and to support the health and well-being of our partners, employees,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stockholders. You will be able to attend and participate in the Annual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191919"/>
        </w:rPr>
        <w:t>Meeting online by visiting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275F90"/>
        </w:rPr>
        <w:t>www.virtualshareholdermeeting.com/SWKS2020</w:t>
      </w:r>
      <w:r>
        <w:rPr>
          <w:rFonts w:ascii="Arial" w:cs="Arial" w:eastAsia="Arial" w:hAnsi="Arial"/>
          <w:sz w:val="16"/>
          <w:szCs w:val="16"/>
          <w:color w:val="191919"/>
        </w:rPr>
        <w:t>. In light of the public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191919"/>
        </w:rPr>
        <w:t>health and safety concerns related to COVID-19, we believe that hosting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191919"/>
        </w:rPr>
        <w:t>virtual meeting will facilitate stockholder attendance and participation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our Annual Meeting by enabling stockholders to participate remotely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any location around the world. We have designed the virtual 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Meeting to provide the same rights and opportunities to participate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stockholders would have at an in-person meeting, including the right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vote and ask questions through the virtual meeting platform. We intend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191919"/>
        </w:rPr>
        <w:t>return to holding an in-person annual meeting in 2021.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01"/>
        </w:rPr>
        <w:t>What is the purpose of the Annual Meeting?</w:t>
      </w:r>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191919"/>
        </w:rPr>
        <w:t>At the Annual Meeting, stockholders will consider and vote on the following matters:</w:t>
      </w:r>
    </w:p>
    <w:p>
      <w:pPr>
        <w:spacing w:after="0" w:line="199" w:lineRule="exact"/>
        <w:rPr>
          <w:sz w:val="20"/>
          <w:szCs w:val="20"/>
          <w:color w:val="auto"/>
        </w:rPr>
      </w:pPr>
    </w:p>
    <w:p>
      <w:pPr>
        <w:jc w:val="both"/>
        <w:ind w:left="540" w:hanging="532"/>
        <w:spacing w:after="0" w:line="259" w:lineRule="auto"/>
        <w:tabs>
          <w:tab w:leader="none" w:pos="540" w:val="left"/>
        </w:tabs>
        <w:numPr>
          <w:ilvl w:val="0"/>
          <w:numId w:val="5"/>
        </w:numPr>
        <w:rPr>
          <w:rFonts w:ascii="Arial" w:cs="Arial" w:eastAsia="Arial" w:hAnsi="Arial"/>
          <w:sz w:val="18"/>
          <w:szCs w:val="18"/>
          <w:color w:val="191919"/>
        </w:rPr>
      </w:pPr>
      <w:r>
        <w:rPr>
          <w:rFonts w:ascii="Arial" w:cs="Arial" w:eastAsia="Arial" w:hAnsi="Arial"/>
          <w:sz w:val="18"/>
          <w:szCs w:val="18"/>
          <w:color w:val="191919"/>
        </w:rPr>
        <w:t>Proposal 1: The election of the nine nominees named in this Proxy Statement to our Board of Directors to serve until the 2021 Annual Meeting of Stockholders.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12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40" w:right="100" w:hanging="539"/>
        <w:spacing w:after="0" w:line="284" w:lineRule="auto"/>
        <w:tabs>
          <w:tab w:leader="none" w:pos="540" w:val="left"/>
        </w:tabs>
        <w:numPr>
          <w:ilvl w:val="0"/>
          <w:numId w:val="6"/>
        </w:numPr>
        <w:rPr>
          <w:rFonts w:ascii="Arial" w:cs="Arial" w:eastAsia="Arial" w:hAnsi="Arial"/>
          <w:sz w:val="16"/>
          <w:szCs w:val="16"/>
          <w:color w:val="191919"/>
        </w:rPr>
      </w:pPr>
      <w:r>
        <w:rPr>
          <w:rFonts w:ascii="Arial" w:cs="Arial" w:eastAsia="Arial" w:hAnsi="Arial"/>
          <w:sz w:val="16"/>
          <w:szCs w:val="16"/>
          <w:color w:val="191919"/>
        </w:rPr>
        <w:t>Proposal 2: The ratification of the selection of KPMG LLP as our independent registered public accounting firm for the fiscal year ending October 2, 2020 (“fiscal year 2020”).</w:t>
      </w:r>
    </w:p>
    <w:p>
      <w:pPr>
        <w:spacing w:after="0" w:line="21" w:lineRule="exact"/>
        <w:rPr>
          <w:rFonts w:ascii="Arial" w:cs="Arial" w:eastAsia="Arial" w:hAnsi="Arial"/>
          <w:sz w:val="16"/>
          <w:szCs w:val="16"/>
          <w:color w:val="191919"/>
        </w:rPr>
      </w:pPr>
    </w:p>
    <w:p>
      <w:pPr>
        <w:ind w:left="540" w:right="80" w:hanging="539"/>
        <w:spacing w:after="0" w:line="283" w:lineRule="auto"/>
        <w:tabs>
          <w:tab w:leader="none" w:pos="540" w:val="left"/>
        </w:tabs>
        <w:numPr>
          <w:ilvl w:val="0"/>
          <w:numId w:val="6"/>
        </w:numPr>
        <w:rPr>
          <w:rFonts w:ascii="Arial" w:cs="Arial" w:eastAsia="Arial" w:hAnsi="Arial"/>
          <w:sz w:val="16"/>
          <w:szCs w:val="16"/>
          <w:color w:val="191919"/>
        </w:rPr>
      </w:pPr>
      <w:r>
        <w:rPr>
          <w:rFonts w:ascii="Arial" w:cs="Arial" w:eastAsia="Arial" w:hAnsi="Arial"/>
          <w:sz w:val="16"/>
          <w:szCs w:val="16"/>
          <w:color w:val="191919"/>
        </w:rPr>
        <w:t>Proposal 3: The approval, on a non-binding basis, of the compensation of our Named Executive Officers, as described below under “</w:t>
      </w:r>
      <w:r>
        <w:rPr>
          <w:rFonts w:ascii="Arial" w:cs="Arial" w:eastAsia="Arial" w:hAnsi="Arial"/>
          <w:sz w:val="16"/>
          <w:szCs w:val="16"/>
          <w:i w:val="1"/>
          <w:iCs w:val="1"/>
          <w:color w:val="191919"/>
        </w:rPr>
        <w:t>Compensation Discussion and Analysis</w:t>
      </w:r>
      <w:r>
        <w:rPr>
          <w:rFonts w:ascii="Arial" w:cs="Arial" w:eastAsia="Arial" w:hAnsi="Arial"/>
          <w:sz w:val="16"/>
          <w:szCs w:val="16"/>
          <w:color w:val="191919"/>
        </w:rPr>
        <w:t>,” and in the executive compensation tables and accompanying narrative disclosures in this Proxy Statement.</w:t>
      </w:r>
    </w:p>
    <w:p>
      <w:pPr>
        <w:spacing w:after="0" w:line="8" w:lineRule="exact"/>
        <w:rPr>
          <w:rFonts w:ascii="Arial" w:cs="Arial" w:eastAsia="Arial" w:hAnsi="Arial"/>
          <w:sz w:val="16"/>
          <w:szCs w:val="16"/>
          <w:color w:val="191919"/>
        </w:rPr>
      </w:pPr>
    </w:p>
    <w:p>
      <w:pPr>
        <w:ind w:left="540" w:hanging="539"/>
        <w:spacing w:after="0" w:line="285" w:lineRule="auto"/>
        <w:tabs>
          <w:tab w:leader="none" w:pos="540" w:val="left"/>
        </w:tabs>
        <w:numPr>
          <w:ilvl w:val="0"/>
          <w:numId w:val="6"/>
        </w:numPr>
        <w:rPr>
          <w:rFonts w:ascii="Arial" w:cs="Arial" w:eastAsia="Arial" w:hAnsi="Arial"/>
          <w:sz w:val="16"/>
          <w:szCs w:val="16"/>
          <w:color w:val="191919"/>
        </w:rPr>
      </w:pPr>
      <w:r>
        <w:rPr>
          <w:rFonts w:ascii="Arial" w:cs="Arial" w:eastAsia="Arial" w:hAnsi="Arial"/>
          <w:sz w:val="16"/>
          <w:szCs w:val="16"/>
          <w:color w:val="191919"/>
        </w:rPr>
        <w:t>Proposal 4: The approval of an amendment to the Company’s 2002 Employee Stock Purchase Plan, as Amended.</w:t>
      </w:r>
    </w:p>
    <w:p>
      <w:pPr>
        <w:spacing w:after="0" w:line="8" w:lineRule="exact"/>
        <w:rPr>
          <w:rFonts w:ascii="Arial" w:cs="Arial" w:eastAsia="Arial" w:hAnsi="Arial"/>
          <w:sz w:val="16"/>
          <w:szCs w:val="16"/>
          <w:color w:val="191919"/>
        </w:rPr>
      </w:pPr>
    </w:p>
    <w:p>
      <w:pPr>
        <w:ind w:left="540" w:right="180" w:hanging="539"/>
        <w:spacing w:after="0" w:line="284" w:lineRule="auto"/>
        <w:tabs>
          <w:tab w:leader="none" w:pos="540" w:val="left"/>
        </w:tabs>
        <w:numPr>
          <w:ilvl w:val="0"/>
          <w:numId w:val="6"/>
        </w:numPr>
        <w:rPr>
          <w:rFonts w:ascii="Arial" w:cs="Arial" w:eastAsia="Arial" w:hAnsi="Arial"/>
          <w:sz w:val="16"/>
          <w:szCs w:val="16"/>
          <w:color w:val="191919"/>
        </w:rPr>
      </w:pPr>
      <w:r>
        <w:rPr>
          <w:rFonts w:ascii="Arial" w:cs="Arial" w:eastAsia="Arial" w:hAnsi="Arial"/>
          <w:sz w:val="16"/>
          <w:szCs w:val="16"/>
          <w:color w:val="191919"/>
        </w:rPr>
        <w:t>Proposals 5, 6, 7, and 8: The approval of various amendments to the Company’s Restated Certificate of Incorporation regarding elimination of supermajority vote provisions.</w:t>
      </w:r>
    </w:p>
    <w:p>
      <w:pPr>
        <w:spacing w:after="0" w:line="21" w:lineRule="exact"/>
        <w:rPr>
          <w:rFonts w:ascii="Arial" w:cs="Arial" w:eastAsia="Arial" w:hAnsi="Arial"/>
          <w:sz w:val="16"/>
          <w:szCs w:val="16"/>
          <w:color w:val="191919"/>
        </w:rPr>
      </w:pPr>
    </w:p>
    <w:p>
      <w:pPr>
        <w:jc w:val="both"/>
        <w:ind w:left="540" w:right="100" w:hanging="539"/>
        <w:spacing w:after="0" w:line="259" w:lineRule="auto"/>
        <w:tabs>
          <w:tab w:leader="none" w:pos="540" w:val="left"/>
        </w:tabs>
        <w:numPr>
          <w:ilvl w:val="0"/>
          <w:numId w:val="6"/>
        </w:numPr>
        <w:rPr>
          <w:rFonts w:ascii="Arial" w:cs="Arial" w:eastAsia="Arial" w:hAnsi="Arial"/>
          <w:sz w:val="18"/>
          <w:szCs w:val="18"/>
          <w:color w:val="191919"/>
        </w:rPr>
      </w:pPr>
      <w:r>
        <w:rPr>
          <w:rFonts w:ascii="Arial" w:cs="Arial" w:eastAsia="Arial" w:hAnsi="Arial"/>
          <w:sz w:val="18"/>
          <w:szCs w:val="18"/>
          <w:color w:val="191919"/>
        </w:rPr>
        <w:t>Proposal 9: A non-binding stockholder proposal regarding a right by stockholders to act by written consent, if properly 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-2854325</wp:posOffset>
            </wp:positionV>
            <wp:extent cx="7132320" cy="316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7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191919"/>
        </w:rPr>
        <w:t>The stockholders will also act on any other business that may properly come before the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01"/>
        </w:rPr>
        <w:t>What is included in our proxy materials?</w:t>
      </w:r>
    </w:p>
    <w:p>
      <w:pPr>
        <w:spacing w:after="0" w:line="225"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191919"/>
        </w:rPr>
        <w:t>The Company’s Annual Report, which includes financial statements and “</w:t>
      </w:r>
      <w:r>
        <w:rPr>
          <w:rFonts w:ascii="Arial" w:cs="Arial" w:eastAsia="Arial" w:hAnsi="Arial"/>
          <w:sz w:val="16"/>
          <w:szCs w:val="16"/>
          <w:i w:val="1"/>
          <w:iCs w:val="1"/>
          <w:color w:val="191919"/>
        </w:rPr>
        <w:t>Management’s Discussion and Analysis of Financial Condition and</w:t>
      </w:r>
      <w:r>
        <w:rPr>
          <w:rFonts w:ascii="Arial" w:cs="Arial" w:eastAsia="Arial" w:hAnsi="Arial"/>
          <w:sz w:val="16"/>
          <w:szCs w:val="16"/>
          <w:color w:val="191919"/>
        </w:rPr>
        <w:t xml:space="preserve"> </w:t>
      </w:r>
      <w:r>
        <w:rPr>
          <w:rFonts w:ascii="Arial" w:cs="Arial" w:eastAsia="Arial" w:hAnsi="Arial"/>
          <w:sz w:val="16"/>
          <w:szCs w:val="16"/>
          <w:i w:val="1"/>
          <w:iCs w:val="1"/>
          <w:color w:val="191919"/>
        </w:rPr>
        <w:t>Results of Operation</w:t>
      </w:r>
      <w:r>
        <w:rPr>
          <w:rFonts w:ascii="Arial" w:cs="Arial" w:eastAsia="Arial" w:hAnsi="Arial"/>
          <w:sz w:val="16"/>
          <w:szCs w:val="16"/>
          <w:color w:val="191919"/>
        </w:rPr>
        <w:t>” for the fiscal year ended September 27, 2019</w:t>
      </w:r>
      <w:r>
        <w:rPr>
          <w:rFonts w:ascii="Arial" w:cs="Arial" w:eastAsia="Arial" w:hAnsi="Arial"/>
          <w:sz w:val="16"/>
          <w:szCs w:val="16"/>
          <w:i w:val="1"/>
          <w:iCs w:val="1"/>
          <w:color w:val="191919"/>
        </w:rPr>
        <w:t xml:space="preserve"> </w:t>
      </w:r>
      <w:r>
        <w:rPr>
          <w:rFonts w:ascii="Arial" w:cs="Arial" w:eastAsia="Arial" w:hAnsi="Arial"/>
          <w:sz w:val="16"/>
          <w:szCs w:val="16"/>
          <w:color w:val="191919"/>
        </w:rPr>
        <w:t xml:space="preserve">(“fiscal year 2019”), accompanies this Proxy Statement. This Proxy Statement and form of proxy, and/or notice of access thereto, are being first mailed to stockholders on or about March 27, 2020. The Proxy Statement and the Company’s Annual Report are available at </w:t>
      </w:r>
      <w:r>
        <w:rPr>
          <w:rFonts w:ascii="Arial" w:cs="Arial" w:eastAsia="Arial" w:hAnsi="Arial"/>
          <w:sz w:val="16"/>
          <w:szCs w:val="16"/>
          <w:color w:val="275F90"/>
        </w:rPr>
        <w:t>www.skyworksinc.com/annualreport</w:t>
      </w:r>
      <w:r>
        <w:rPr>
          <w:rFonts w:ascii="Arial" w:cs="Arial" w:eastAsia="Arial" w:hAnsi="Arial"/>
          <w:sz w:val="16"/>
          <w:szCs w:val="16"/>
          <w:color w:val="19191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887730</wp:posOffset>
            </wp:positionV>
            <wp:extent cx="71361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2">
            <w:col w:w="5240" w:space="720"/>
            <w:col w:w="5240"/>
          </w:cols>
          <w:pgMar w:left="320" w:top="131" w:right="3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01"/>
        </w:rPr>
        <w:t>Who can vote at our Annual Meeting?</w:t>
      </w:r>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191919"/>
        </w:rPr>
        <w:t>Only stockholders of record at the close of business on March 12, 2020 (the “Record Date”), are entitled to notice of and to vote at the Annual Meeting. As of the Record Date, there were 169,562,821 shares of Skyworks’ common stock issued and outstanding. Pursuant to Skyworks’ Restated Certificate of Incorporation and By-laws, and applicable Delaware law, each share of common stock entitles the holder of record at the close of business on the Record Date to one vote on each matter considered at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01"/>
        </w:rPr>
        <w:t>Is my vote important?</w:t>
      </w:r>
    </w:p>
    <w:p>
      <w:pPr>
        <w:spacing w:after="0" w:line="22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191919"/>
        </w:rPr>
        <w:t>Yes. Your vote is important no matter how many shares you own. Please take the time to vote in the way that is easiest and most convenient for you, and cast your vote as soon as possible.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01"/>
        </w:rPr>
        <w:t>How do I vote if I am a stockholder of record?</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191919"/>
        </w:rPr>
        <w:t>As a stockholder of record, you may vote in one of the following three ways whether or not you plan to attend the Annual Meeting online: (a) by completing, signing, and dating the proxy card and returning it in the postage-prepaid envelope provided for that purpose, (b) by completing and submitting your proxy using the toll-free telephone number listed on the proxy card, or (c) by completing and submitting your proxy via the Internet at the website address listed on the proxy card. If you attend the Annual Meeting online, you may vote online at the Annual Meeting even if you have previously submitted your proxy by mail or telephone, or via the Internet (and your vote at the Annual Meeting will automatically revoke your previously submitted proxy, although mere virtual attendance at the meeting without voting will not have that result).</w:t>
      </w:r>
    </w:p>
    <w:p>
      <w:pPr>
        <w:spacing w:after="0" w:line="17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000001"/>
        </w:rPr>
        <w:t>How do I vote if I am a beneficial owner of shares held in “street name”?</w:t>
      </w:r>
    </w:p>
    <w:p>
      <w:pPr>
        <w:spacing w:after="0" w:line="18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191919"/>
        </w:rPr>
        <w:t>If your shares are held on your behalf by a third party such as your broker or another person or entity who holds shares of the Company on your behalf and for your benefit, which person or entity we refer to as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90" w:lineRule="auto"/>
        <w:rPr>
          <w:sz w:val="20"/>
          <w:szCs w:val="20"/>
          <w:color w:val="auto"/>
        </w:rPr>
      </w:pPr>
      <w:r>
        <w:rPr>
          <w:rFonts w:ascii="Arial" w:cs="Arial" w:eastAsia="Arial" w:hAnsi="Arial"/>
          <w:sz w:val="16"/>
          <w:szCs w:val="16"/>
          <w:color w:val="191919"/>
        </w:rPr>
        <w:t>“nominee,” and your broker (or other nominee) is the stockholder of record of such shares, then you are the beneficial owner of such shares and we refer to those shares as being held in “street name.” As the beneficial owner of your “street name” shares, you are entitled to instruct your broker (or other nominee) as to how to vote your shares. Your broker (or other nominee) will provide you with information regarding how to instruct your broker (or other nominee) as to the voting of your “street name” shares.</w:t>
      </w:r>
    </w:p>
    <w:p>
      <w:pPr>
        <w:spacing w:after="0" w:line="17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000001"/>
        </w:rPr>
        <w:t>How do I vote if I am a participant in the Skyworks 401(k) Savings and Investment Plan?</w:t>
      </w:r>
    </w:p>
    <w:p>
      <w:pPr>
        <w:spacing w:after="0" w:line="18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191919"/>
        </w:rPr>
        <w:t>If you are a participant in the Skyworks 401(k) Savings and Investment Plan (the “401(k) Plan”), you will receive an instruction card for the Skyworks shares you own through the 401(k) Plan. That instruction card will serve as a voting instruction card for the trustee of the 401(k) Plan, and your 401(k) Plan shares will be voted as you instruct.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01"/>
        </w:rPr>
        <w:t>Can I change my vote after I have voted?</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6"/>
          <w:szCs w:val="16"/>
          <w:color w:val="191919"/>
        </w:rPr>
        <w:t>Any proxy given pursuant to this solicitation may be revoked by the person giving it at any time before it is voted at the Annual Meeting. Proxies may be revoked by (a) delivering to the Secretary of the Company, before the taking of the vote at the Annual Meeting, a written notice of revocation bearing a later date than the proxy, (b) duly completing a later-dated proxy relating to the same shares and delivering it to the Secretary of the Company before the taking of the vote at the Annual Meeting, or</w:t>
      </w:r>
    </w:p>
    <w:p>
      <w:pPr>
        <w:spacing w:after="0" w:line="5" w:lineRule="exact"/>
        <w:rPr>
          <w:sz w:val="20"/>
          <w:szCs w:val="20"/>
          <w:color w:val="auto"/>
        </w:rPr>
      </w:pPr>
    </w:p>
    <w:p>
      <w:pPr>
        <w:ind w:right="20" w:firstLine="1"/>
        <w:spacing w:after="0" w:line="286" w:lineRule="auto"/>
        <w:tabs>
          <w:tab w:leader="none" w:pos="239" w:val="left"/>
        </w:tabs>
        <w:numPr>
          <w:ilvl w:val="0"/>
          <w:numId w:val="7"/>
        </w:numPr>
        <w:rPr>
          <w:rFonts w:ascii="Arial" w:cs="Arial" w:eastAsia="Arial" w:hAnsi="Arial"/>
          <w:sz w:val="16"/>
          <w:szCs w:val="16"/>
          <w:color w:val="191919"/>
        </w:rPr>
      </w:pPr>
      <w:r>
        <w:rPr>
          <w:rFonts w:ascii="Arial" w:cs="Arial" w:eastAsia="Arial" w:hAnsi="Arial"/>
          <w:sz w:val="16"/>
          <w:szCs w:val="16"/>
          <w:color w:val="191919"/>
        </w:rPr>
        <w:t>attending the Annual Meeting online and voting (although virtual attendance at the Annual Meeting will not in and of itself constitute a revocation of a proxy). Any written notice of revocation or subsequent proxy should be delivered to the Company’s executive offices at Skyworks Solutions, Inc., 5221 California Avenue, Irvine, CA 92617, Attention: Secretary, before the taking of the vote at the Annual Meeting. If you vote your shares over the Internet prior to the Annual Meeting, only your latest Internet vote submitted prior to the Annual Meeting will be counted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149860</wp:posOffset>
            </wp:positionV>
            <wp:extent cx="713613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80" w:space="680"/>
            <w:col w:w="5280"/>
          </w:cols>
          <w:pgMar w:left="320" w:top="131"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01"/>
        </w:rPr>
        <w:t>How do I virtually attend the Annual Meeting?</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191919"/>
        </w:rPr>
        <w:t xml:space="preserve">You are invited to attend the Annual Meeting online by visiting </w:t>
      </w:r>
      <w:r>
        <w:rPr>
          <w:rFonts w:ascii="Arial" w:cs="Arial" w:eastAsia="Arial" w:hAnsi="Arial"/>
          <w:sz w:val="16"/>
          <w:szCs w:val="16"/>
          <w:color w:val="275F90"/>
        </w:rPr>
        <w:t>www.virtualshareholdermeeting.com/SWKS2020</w:t>
      </w:r>
      <w:r>
        <w:rPr>
          <w:rFonts w:ascii="Arial" w:cs="Arial" w:eastAsia="Arial" w:hAnsi="Arial"/>
          <w:sz w:val="16"/>
          <w:szCs w:val="16"/>
          <w:color w:val="191919"/>
        </w:rPr>
        <w:t>, where you will be able</w:t>
      </w:r>
      <w:r>
        <w:rPr>
          <w:rFonts w:ascii="Arial" w:cs="Arial" w:eastAsia="Arial" w:hAnsi="Arial"/>
          <w:sz w:val="16"/>
          <w:szCs w:val="16"/>
          <w:color w:val="275F90"/>
        </w:rPr>
        <w:t xml:space="preserve"> </w:t>
      </w:r>
      <w:r>
        <w:rPr>
          <w:rFonts w:ascii="Arial" w:cs="Arial" w:eastAsia="Arial" w:hAnsi="Arial"/>
          <w:sz w:val="16"/>
          <w:szCs w:val="16"/>
          <w:color w:val="191919"/>
        </w:rPr>
        <w:t xml:space="preserve">to listen to the meeting live, submit questions, and vote. The meeting will begin at 2:00 p.m. Eastern Daylight Time. In order to participate in the meeting, you will need the multi-digit number included in your proxy card, voter instruction form, or notice. Instructions on how to attend and participate online, including how to demonstrate proof of stock ownership, will be posted at </w:t>
      </w:r>
      <w:r>
        <w:rPr>
          <w:rFonts w:ascii="Arial" w:cs="Arial" w:eastAsia="Arial" w:hAnsi="Arial"/>
          <w:sz w:val="16"/>
          <w:szCs w:val="16"/>
          <w:color w:val="275F90"/>
        </w:rPr>
        <w:t>www.virtualshareholdermeeting.com/SWKS2020</w:t>
      </w:r>
      <w:r>
        <w:rPr>
          <w:rFonts w:ascii="Arial" w:cs="Arial" w:eastAsia="Arial" w:hAnsi="Arial"/>
          <w:sz w:val="16"/>
          <w:szCs w:val="16"/>
          <w:color w:val="191919"/>
        </w:rPr>
        <w:t>.</w:t>
      </w:r>
    </w:p>
    <w:p>
      <w:pPr>
        <w:spacing w:after="0" w:line="17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191919"/>
        </w:rPr>
        <w:t xml:space="preserve">Online check-in will begin at 1:45 p.m. Eastern Daylight Time on May 6, 2020, and you should allow ample time for the online check-in proceedings. We will have technicians standing by and ready to assist you with any technical difficulties you may have accessing the virtual meeting starting at 1:45 p.m. Eastern Daylight Time on May 6, 2020. If you encounter any difficulties accessing the virtual meeting during the check-in time or meeting time, please call the phone number that will be listed at that time at </w:t>
      </w:r>
      <w:r>
        <w:rPr>
          <w:rFonts w:ascii="Arial" w:cs="Arial" w:eastAsia="Arial" w:hAnsi="Arial"/>
          <w:sz w:val="16"/>
          <w:szCs w:val="16"/>
          <w:color w:val="275F90"/>
        </w:rPr>
        <w:t>www.virtualshareholdermeeting.com/SWKS2020</w:t>
      </w:r>
      <w:r>
        <w:rPr>
          <w:rFonts w:ascii="Arial" w:cs="Arial" w:eastAsia="Arial" w:hAnsi="Arial"/>
          <w:sz w:val="16"/>
          <w:szCs w:val="16"/>
          <w:color w:val="191919"/>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01"/>
        </w:rPr>
        <w:t>If I vote by proxy, how will my vote be cast?</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191919"/>
        </w:rPr>
        <w:t>The persons named as attorneys-in-fact in this Proxy Statement, Liam K. Griffin and Robert J. Terry, were selected by the Board of Directors and are officers of the Company. As attorneys-in-fact, Messrs. Griffin and Terry will vote any shares represented at the meeting by proxy. Each executed proxy card returned by a stockholder of record or proxy vote recorded via telephone or the Internet by a stockholder of record in the manner provided on the proxy card prior to the taking of the vote at the Annual Meeting will be voted. Where a choice has been specified in an executed proxy with respect to the matters to be acted upon at the Annual Meeting, the shares represented by the proxy will be voted in accordance with the choices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14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000001"/>
        </w:rPr>
        <w:t>How will my shares be voted if I do not give specific voting instructions when I deliver my proxy?</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191919"/>
        </w:rPr>
        <w:t>If you are a stockholder of record and deliver a proxy but do not give specific voting instructions, then the proxy holders will vote your shares as recommended by the Board of Directors.</w:t>
      </w:r>
    </w:p>
    <w:p>
      <w:pPr>
        <w:spacing w:after="0" w:line="1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191919"/>
        </w:rPr>
        <w:t xml:space="preserve">If your shares are held in “street name,” your broker (or other nominee) is required to vote those shares in accordance with your instructions. If you do not give instructions to your broker (or other nominee), your broker (or other nominee) will only be entitled to vote your shares with respect to “discretionary” matters, as described below, but will not be permitted to vote the shares with respect to “non-discretionary” matters. </w:t>
      </w:r>
      <w:r>
        <w:rPr>
          <w:rFonts w:ascii="Arial" w:cs="Arial" w:eastAsia="Arial" w:hAnsi="Arial"/>
          <w:sz w:val="16"/>
          <w:szCs w:val="16"/>
          <w:b w:val="1"/>
          <w:bCs w:val="1"/>
          <w:color w:val="000001"/>
        </w:rPr>
        <w:t>If you</w:t>
      </w:r>
      <w:r>
        <w:rPr>
          <w:rFonts w:ascii="Arial" w:cs="Arial" w:eastAsia="Arial" w:hAnsi="Arial"/>
          <w:sz w:val="16"/>
          <w:szCs w:val="16"/>
          <w:color w:val="191919"/>
        </w:rPr>
        <w:t xml:space="preserve"> </w:t>
      </w:r>
      <w:r>
        <w:rPr>
          <w:rFonts w:ascii="Arial" w:cs="Arial" w:eastAsia="Arial" w:hAnsi="Arial"/>
          <w:sz w:val="16"/>
          <w:szCs w:val="16"/>
          <w:b w:val="1"/>
          <w:bCs w:val="1"/>
          <w:color w:val="000001"/>
        </w:rPr>
        <w:t>beneficially own shares that are held in “street name” by your broker (or other nominee), we strongly encourage you to provide instructions to your broker (or other nominee) as to how to vote on the election of directors and all of the Proposals by signing, dating, and returning to your broker (or other nominee) the instruction card provided by your broker (or other nominee)</w:t>
      </w:r>
      <w:r>
        <w:rPr>
          <w:rFonts w:ascii="Arial" w:cs="Arial" w:eastAsia="Arial" w:hAnsi="Arial"/>
          <w:sz w:val="16"/>
          <w:szCs w:val="16"/>
          <w:color w:val="000001"/>
        </w:rPr>
        <w:t>.</w:t>
      </w:r>
    </w:p>
    <w:p>
      <w:pPr>
        <w:spacing w:after="0" w:line="1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191919"/>
        </w:rPr>
        <w:t>If you are a participant in the 401(k) Plan, the trustee of the 401(k) Plan will not vote your 401(k) Plan shares if the trustee does not receive voting instructions from you by 11:59 p.m. Eastern Time on May 1, 2020, unless otherwise required by law.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01"/>
        </w:rPr>
        <w:t>What is a “broker non-vote”?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191919"/>
        </w:rPr>
        <w:t>A “broker non-vote” occurs when your broker (or other nominee) submits a proxy for your shares (because the broker (or other nominee) has either received instructions from you on one or more proposals, but not all, or has not received instructions from you but is entitled to vote on a particular “discretionary” matter) but does not indicate a vote “</w:t>
      </w:r>
      <w:r>
        <w:rPr>
          <w:rFonts w:ascii="Arial" w:cs="Arial" w:eastAsia="Arial" w:hAnsi="Arial"/>
          <w:sz w:val="16"/>
          <w:szCs w:val="16"/>
          <w:b w:val="1"/>
          <w:bCs w:val="1"/>
          <w:color w:val="191919"/>
        </w:rPr>
        <w:t>FOR</w:t>
      </w:r>
      <w:r>
        <w:rPr>
          <w:rFonts w:ascii="Arial" w:cs="Arial" w:eastAsia="Arial" w:hAnsi="Arial"/>
          <w:sz w:val="16"/>
          <w:szCs w:val="16"/>
          <w:color w:val="191919"/>
        </w:rPr>
        <w:t>” a particular proposal because the broker (or other nominee) either does not have authority to vote on that proposal and has not received voting instructions from you or has “discretionary” authority on the proposal but chooses not to exercise it. “Broker non-votes” are not counted to determine the number of votes present for the particular proposal, nor are</w:t>
      </w:r>
    </w:p>
    <w:p>
      <w:pPr>
        <w:sectPr>
          <w:pgSz w:w="11900" w:h="16838" w:orient="portrait"/>
          <w:cols w:equalWidth="0" w:num="2">
            <w:col w:w="5280" w:space="680"/>
            <w:col w:w="5280"/>
          </w:cols>
          <w:pgMar w:left="320" w:top="131"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line="288" w:lineRule="auto"/>
        <w:rPr>
          <w:sz w:val="20"/>
          <w:szCs w:val="20"/>
          <w:color w:val="auto"/>
        </w:rPr>
      </w:pPr>
      <w:r>
        <w:rPr>
          <w:rFonts w:ascii="Arial" w:cs="Arial" w:eastAsia="Arial" w:hAnsi="Arial"/>
          <w:sz w:val="16"/>
          <w:szCs w:val="16"/>
          <w:color w:val="191919"/>
        </w:rPr>
        <w:t>they counted as votes “</w:t>
      </w:r>
      <w:r>
        <w:rPr>
          <w:rFonts w:ascii="Arial" w:cs="Arial" w:eastAsia="Arial" w:hAnsi="Arial"/>
          <w:sz w:val="16"/>
          <w:szCs w:val="16"/>
          <w:b w:val="1"/>
          <w:bCs w:val="1"/>
          <w:color w:val="191919"/>
        </w:rPr>
        <w:t>FOR</w:t>
      </w:r>
      <w:r>
        <w:rPr>
          <w:rFonts w:ascii="Arial" w:cs="Arial" w:eastAsia="Arial" w:hAnsi="Arial"/>
          <w:sz w:val="16"/>
          <w:szCs w:val="16"/>
          <w:color w:val="191919"/>
        </w:rPr>
        <w:t>” or “</w:t>
      </w:r>
      <w:r>
        <w:rPr>
          <w:rFonts w:ascii="Arial" w:cs="Arial" w:eastAsia="Arial" w:hAnsi="Arial"/>
          <w:sz w:val="16"/>
          <w:szCs w:val="16"/>
          <w:b w:val="1"/>
          <w:bCs w:val="1"/>
          <w:color w:val="191919"/>
        </w:rPr>
        <w:t>AGAINST</w:t>
      </w:r>
      <w:r>
        <w:rPr>
          <w:rFonts w:ascii="Arial" w:cs="Arial" w:eastAsia="Arial" w:hAnsi="Arial"/>
          <w:sz w:val="16"/>
          <w:szCs w:val="16"/>
          <w:color w:val="191919"/>
        </w:rPr>
        <w:t>” the proposal in question or as abstentions, except for Proposals 5, 6, 7, and 8 regarding the approval of amendments to the Company’s Restated Certificate of Incorporation, for which broker non-votes will have the same effect as votes “</w:t>
      </w:r>
      <w:r>
        <w:rPr>
          <w:rFonts w:ascii="Arial" w:cs="Arial" w:eastAsia="Arial" w:hAnsi="Arial"/>
          <w:sz w:val="16"/>
          <w:szCs w:val="16"/>
          <w:b w:val="1"/>
          <w:bCs w:val="1"/>
          <w:color w:val="191919"/>
        </w:rPr>
        <w:t>AGAINST</w:t>
      </w:r>
      <w:r>
        <w:rPr>
          <w:rFonts w:ascii="Arial" w:cs="Arial" w:eastAsia="Arial" w:hAnsi="Arial"/>
          <w:sz w:val="16"/>
          <w:szCs w:val="16"/>
          <w:color w:val="191919"/>
        </w:rPr>
        <w:t>” such proposals. We count “broker non-votes” for the purpose of determining a quorum for the Annual Meeting. If your shares are held in “street name” by your broker (or other nominee), please check the instruction card provided by your broker (or other nominee) or contact your broker (or other nominee) to determine whether you will be able to vote by telephone or via the Internet.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01"/>
        </w:rPr>
        <w:t>What vote is required for each matter?</w:t>
      </w:r>
    </w:p>
    <w:p>
      <w:pPr>
        <w:spacing w:after="0" w:line="2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i w:val="1"/>
          <w:iCs w:val="1"/>
          <w:color w:val="191919"/>
        </w:rPr>
        <w:t>Election of Directors.</w:t>
      </w:r>
      <w:r>
        <w:rPr>
          <w:sz w:val="20"/>
          <w:szCs w:val="20"/>
          <w:color w:val="auto"/>
        </w:rPr>
        <w:tab/>
      </w:r>
      <w:r>
        <w:rPr>
          <w:rFonts w:ascii="Arial" w:cs="Arial" w:eastAsia="Arial" w:hAnsi="Arial"/>
          <w:sz w:val="15"/>
          <w:szCs w:val="15"/>
          <w:color w:val="191919"/>
        </w:rPr>
        <w:t>Pursuant to the Company’s By-laws, a nominee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191919"/>
        </w:rPr>
        <w:t>will be elected to the Board of Directors if the votes cast “</w:t>
      </w:r>
      <w:r>
        <w:rPr>
          <w:rFonts w:ascii="Arial" w:cs="Arial" w:eastAsia="Arial" w:hAnsi="Arial"/>
          <w:sz w:val="16"/>
          <w:szCs w:val="16"/>
          <w:b w:val="1"/>
          <w:bCs w:val="1"/>
          <w:color w:val="191919"/>
        </w:rPr>
        <w:t>FOR</w:t>
      </w:r>
      <w:r>
        <w:rPr>
          <w:rFonts w:ascii="Arial" w:cs="Arial" w:eastAsia="Arial" w:hAnsi="Arial"/>
          <w:sz w:val="16"/>
          <w:szCs w:val="16"/>
          <w:color w:val="191919"/>
        </w:rPr>
        <w: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191919"/>
        </w:rPr>
        <w:t>nominee’s election at the Annual Meeting exceed the votes cast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91919"/>
        </w:rPr>
        <w:t>“</w:t>
      </w:r>
      <w:r>
        <w:rPr>
          <w:rFonts w:ascii="Arial" w:cs="Arial" w:eastAsia="Arial" w:hAnsi="Arial"/>
          <w:sz w:val="18"/>
          <w:szCs w:val="18"/>
          <w:b w:val="1"/>
          <w:bCs w:val="1"/>
          <w:color w:val="191919"/>
        </w:rPr>
        <w:t>AGAINST</w:t>
      </w:r>
      <w:r>
        <w:rPr>
          <w:rFonts w:ascii="Arial" w:cs="Arial" w:eastAsia="Arial" w:hAnsi="Arial"/>
          <w:sz w:val="18"/>
          <w:szCs w:val="18"/>
          <w:color w:val="191919"/>
        </w:rPr>
        <w:t>” the nominee’s election (as long as the only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91919"/>
        </w:rPr>
        <w:t>nominees are those individuals set forth in this Proxy Statement).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191919"/>
        </w:rPr>
        <w:t>Abstentions and “broker non-votes” will not count as votes “</w:t>
      </w:r>
      <w:r>
        <w:rPr>
          <w:rFonts w:ascii="Arial" w:cs="Arial" w:eastAsia="Arial" w:hAnsi="Arial"/>
          <w:sz w:val="16"/>
          <w:szCs w:val="16"/>
          <w:b w:val="1"/>
          <w:bCs w:val="1"/>
          <w:color w:val="191919"/>
        </w:rPr>
        <w:t>FOR</w:t>
      </w:r>
      <w:r>
        <w:rPr>
          <w:rFonts w:ascii="Arial" w:cs="Arial" w:eastAsia="Arial" w:hAnsi="Arial"/>
          <w:sz w:val="16"/>
          <w:szCs w:val="16"/>
          <w:color w:val="191919"/>
        </w:rPr>
        <w: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w:t>
      </w:r>
      <w:r>
        <w:rPr>
          <w:rFonts w:ascii="Arial" w:cs="Arial" w:eastAsia="Arial" w:hAnsi="Arial"/>
          <w:sz w:val="16"/>
          <w:szCs w:val="16"/>
          <w:b w:val="1"/>
          <w:bCs w:val="1"/>
          <w:color w:val="191919"/>
        </w:rPr>
        <w:t>AGAINST</w:t>
      </w:r>
      <w:r>
        <w:rPr>
          <w:rFonts w:ascii="Arial" w:cs="Arial" w:eastAsia="Arial" w:hAnsi="Arial"/>
          <w:sz w:val="16"/>
          <w:szCs w:val="16"/>
          <w:color w:val="191919"/>
        </w:rPr>
        <w:t>.” If the shares you own are held in “street name,” your broker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(or other nominee), as the record holder of your shares, is required to vote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 xml:space="preserve">your shares according to your instructions. Proposal 1 is </w:t>
      </w:r>
      <w:r>
        <w:rPr>
          <w:rFonts w:ascii="Arial" w:cs="Arial" w:eastAsia="Arial" w:hAnsi="Arial"/>
          <w:sz w:val="16"/>
          <w:szCs w:val="16"/>
          <w:i w:val="1"/>
          <w:iCs w:val="1"/>
          <w:color w:val="191919"/>
        </w:rPr>
        <w:t>not</w:t>
      </w:r>
      <w:r>
        <w:rPr>
          <w:rFonts w:ascii="Arial" w:cs="Arial" w:eastAsia="Arial" w:hAnsi="Arial"/>
          <w:sz w:val="16"/>
          <w:szCs w:val="16"/>
          <w:color w:val="191919"/>
        </w:rPr>
        <w:t xml:space="preserve"> considered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 xml:space="preserve">be a “discretionary” matter for certain brokers. </w:t>
      </w:r>
      <w:r>
        <w:rPr>
          <w:rFonts w:ascii="Arial" w:cs="Arial" w:eastAsia="Arial" w:hAnsi="Arial"/>
          <w:sz w:val="16"/>
          <w:szCs w:val="16"/>
          <w:b w:val="1"/>
          <w:bCs w:val="1"/>
          <w:color w:val="191919"/>
        </w:rPr>
        <w:t>If you do not instruct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your broker how to vote with respect to this item, your broker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 xml:space="preserve">not vote your shares with respect to the election of directors. </w:t>
      </w:r>
      <w:r>
        <w:rPr>
          <w:rFonts w:ascii="Arial" w:cs="Arial" w:eastAsia="Arial" w:hAnsi="Arial"/>
          <w:sz w:val="16"/>
          <w:szCs w:val="16"/>
          <w:color w:val="191919"/>
        </w:rPr>
        <w:t>In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case, a “broker non-vote” may occur, which will have no effect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191919"/>
        </w:rPr>
        <w:t>outcome of Proposal 1.</w:t>
      </w:r>
    </w:p>
    <w:p>
      <w:pPr>
        <w:spacing w:after="0" w:line="21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191919"/>
        </w:rPr>
        <w:t xml:space="preserve">Ratification of Independent Registered Public Accounting Firm. </w:t>
      </w:r>
      <w:r>
        <w:rPr>
          <w:rFonts w:ascii="Arial" w:cs="Arial" w:eastAsia="Arial" w:hAnsi="Arial"/>
          <w:sz w:val="16"/>
          <w:szCs w:val="16"/>
          <w:color w:val="191919"/>
        </w:rPr>
        <w:t>The</w:t>
      </w:r>
      <w:r>
        <w:rPr>
          <w:rFonts w:ascii="Arial" w:cs="Arial" w:eastAsia="Arial" w:hAnsi="Arial"/>
          <w:sz w:val="16"/>
          <w:szCs w:val="16"/>
          <w:i w:val="1"/>
          <w:iCs w:val="1"/>
          <w:color w:val="191919"/>
        </w:rPr>
        <w:t xml:space="preserve"> </w:t>
      </w:r>
      <w:r>
        <w:rPr>
          <w:rFonts w:ascii="Arial" w:cs="Arial" w:eastAsia="Arial" w:hAnsi="Arial"/>
          <w:sz w:val="16"/>
          <w:szCs w:val="16"/>
          <w:color w:val="191919"/>
        </w:rPr>
        <w:t xml:space="preserve">affirmative vote of a majority of the shares present, or represented by proxy, at the Annual Meeting, and entitled to vote on such matter at the Annual Meeting, is required to approve Proposal 2. Proposal 2 involves a matter on which a broker (or other nominee) </w:t>
      </w:r>
      <w:r>
        <w:rPr>
          <w:rFonts w:ascii="Arial" w:cs="Arial" w:eastAsia="Arial" w:hAnsi="Arial"/>
          <w:sz w:val="16"/>
          <w:szCs w:val="16"/>
          <w:i w:val="1"/>
          <w:iCs w:val="1"/>
          <w:color w:val="191919"/>
        </w:rPr>
        <w:t>does</w:t>
      </w:r>
      <w:r>
        <w:rPr>
          <w:rFonts w:ascii="Arial" w:cs="Arial" w:eastAsia="Arial" w:hAnsi="Arial"/>
          <w:sz w:val="16"/>
          <w:szCs w:val="16"/>
          <w:color w:val="191919"/>
        </w:rPr>
        <w:t xml:space="preserve"> have “discretionary” authority to vote. </w:t>
      </w:r>
      <w:r>
        <w:rPr>
          <w:rFonts w:ascii="Arial" w:cs="Arial" w:eastAsia="Arial" w:hAnsi="Arial"/>
          <w:sz w:val="16"/>
          <w:szCs w:val="16"/>
          <w:b w:val="1"/>
          <w:bCs w:val="1"/>
          <w:color w:val="191919"/>
        </w:rPr>
        <w:t>If you do not instruct your broker how to vote with</w:t>
      </w:r>
      <w:r>
        <w:rPr>
          <w:rFonts w:ascii="Arial" w:cs="Arial" w:eastAsia="Arial" w:hAnsi="Arial"/>
          <w:sz w:val="16"/>
          <w:szCs w:val="16"/>
          <w:color w:val="191919"/>
        </w:rPr>
        <w:t xml:space="preserve"> </w:t>
      </w:r>
      <w:r>
        <w:rPr>
          <w:rFonts w:ascii="Arial" w:cs="Arial" w:eastAsia="Arial" w:hAnsi="Arial"/>
          <w:sz w:val="16"/>
          <w:szCs w:val="16"/>
          <w:b w:val="1"/>
          <w:bCs w:val="1"/>
          <w:color w:val="191919"/>
        </w:rPr>
        <w:t>respect to this item, your broker may still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191919"/>
        </w:rPr>
        <w:t>your shares with respect to this proposal in its discretion. With respect to Proposal 2, a vote of “</w:t>
      </w:r>
      <w:r>
        <w:rPr>
          <w:rFonts w:ascii="Arial" w:cs="Arial" w:eastAsia="Arial" w:hAnsi="Arial"/>
          <w:sz w:val="18"/>
          <w:szCs w:val="18"/>
          <w:b w:val="1"/>
          <w:bCs w:val="1"/>
          <w:color w:val="191919"/>
        </w:rPr>
        <w:t>ABSTAIN</w:t>
      </w:r>
      <w:r>
        <w:rPr>
          <w:rFonts w:ascii="Arial" w:cs="Arial" w:eastAsia="Arial" w:hAnsi="Arial"/>
          <w:sz w:val="18"/>
          <w:szCs w:val="18"/>
          <w:color w:val="191919"/>
        </w:rPr>
        <w:t>” will have the same effect as a vote of “</w:t>
      </w:r>
      <w:r>
        <w:rPr>
          <w:rFonts w:ascii="Arial" w:cs="Arial" w:eastAsia="Arial" w:hAnsi="Arial"/>
          <w:sz w:val="18"/>
          <w:szCs w:val="18"/>
          <w:b w:val="1"/>
          <w:bCs w:val="1"/>
          <w:color w:val="191919"/>
        </w:rPr>
        <w:t>AGAINST</w:t>
      </w:r>
      <w:r>
        <w:rPr>
          <w:rFonts w:ascii="Arial" w:cs="Arial" w:eastAsia="Arial" w:hAnsi="Arial"/>
          <w:sz w:val="18"/>
          <w:szCs w:val="18"/>
          <w:color w:val="191919"/>
        </w:rPr>
        <w:t>.”</w:t>
      </w:r>
    </w:p>
    <w:p>
      <w:pPr>
        <w:spacing w:after="0" w:line="19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191919"/>
        </w:rPr>
        <w:t xml:space="preserve">Say-on-Pay Vote; Approval of 2002 Employee Stock Purchase Plan, as Amended; Stockholder Proposal. </w:t>
      </w:r>
      <w:r>
        <w:rPr>
          <w:rFonts w:ascii="Arial" w:cs="Arial" w:eastAsia="Arial" w:hAnsi="Arial"/>
          <w:sz w:val="16"/>
          <w:szCs w:val="16"/>
          <w:color w:val="191919"/>
        </w:rPr>
        <w:t>The affirmative vote of a majority of</w:t>
      </w:r>
      <w:r>
        <w:rPr>
          <w:rFonts w:ascii="Arial" w:cs="Arial" w:eastAsia="Arial" w:hAnsi="Arial"/>
          <w:sz w:val="16"/>
          <w:szCs w:val="16"/>
          <w:i w:val="1"/>
          <w:iCs w:val="1"/>
          <w:color w:val="191919"/>
        </w:rPr>
        <w:t xml:space="preserve"> </w:t>
      </w:r>
      <w:r>
        <w:rPr>
          <w:rFonts w:ascii="Arial" w:cs="Arial" w:eastAsia="Arial" w:hAnsi="Arial"/>
          <w:sz w:val="16"/>
          <w:szCs w:val="16"/>
          <w:color w:val="191919"/>
        </w:rPr>
        <w:t xml:space="preserve">the shares present online, or represented by proxy at the Annual Meeting, and entitled to vote on such matter at the Annual Meeting, is required to approve Proposals 3, 4, and 9. Proposals 3, 4, and 9 are </w:t>
      </w:r>
      <w:r>
        <w:rPr>
          <w:rFonts w:ascii="Arial" w:cs="Arial" w:eastAsia="Arial" w:hAnsi="Arial"/>
          <w:sz w:val="16"/>
          <w:szCs w:val="16"/>
          <w:i w:val="1"/>
          <w:iCs w:val="1"/>
          <w:color w:val="191919"/>
        </w:rPr>
        <w:t>not</w:t>
      </w:r>
      <w:r>
        <w:rPr>
          <w:rFonts w:ascii="Arial" w:cs="Arial" w:eastAsia="Arial" w:hAnsi="Arial"/>
          <w:sz w:val="16"/>
          <w:szCs w:val="16"/>
          <w:color w:val="191919"/>
        </w:rPr>
        <w:t xml:space="preserve"> considered to be “discretionary” matters for certain brokers. </w:t>
      </w:r>
      <w:r>
        <w:rPr>
          <w:rFonts w:ascii="Arial" w:cs="Arial" w:eastAsia="Arial" w:hAnsi="Arial"/>
          <w:sz w:val="16"/>
          <w:szCs w:val="16"/>
          <w:b w:val="1"/>
          <w:bCs w:val="1"/>
          <w:color w:val="191919"/>
        </w:rPr>
        <w:t>If you do not instruct your</w:t>
      </w:r>
      <w:r>
        <w:rPr>
          <w:rFonts w:ascii="Arial" w:cs="Arial" w:eastAsia="Arial" w:hAnsi="Arial"/>
          <w:sz w:val="16"/>
          <w:szCs w:val="16"/>
          <w:color w:val="191919"/>
        </w:rPr>
        <w:t xml:space="preserve"> </w:t>
      </w:r>
      <w:r>
        <w:rPr>
          <w:rFonts w:ascii="Arial" w:cs="Arial" w:eastAsia="Arial" w:hAnsi="Arial"/>
          <w:sz w:val="16"/>
          <w:szCs w:val="16"/>
          <w:b w:val="1"/>
          <w:bCs w:val="1"/>
          <w:color w:val="191919"/>
        </w:rPr>
        <w:t xml:space="preserve">broker how to vote with respect to these items, your broker may not vote your shares with respect to these proposals. </w:t>
      </w:r>
      <w:r>
        <w:rPr>
          <w:rFonts w:ascii="Arial" w:cs="Arial" w:eastAsia="Arial" w:hAnsi="Arial"/>
          <w:sz w:val="16"/>
          <w:szCs w:val="16"/>
          <w:color w:val="191919"/>
        </w:rPr>
        <w:t>In such case, a “broker</w:t>
      </w:r>
      <w:r>
        <w:rPr>
          <w:rFonts w:ascii="Arial" w:cs="Arial" w:eastAsia="Arial" w:hAnsi="Arial"/>
          <w:sz w:val="16"/>
          <w:szCs w:val="16"/>
          <w:b w:val="1"/>
          <w:bCs w:val="1"/>
          <w:color w:val="191919"/>
        </w:rPr>
        <w:t xml:space="preserve"> </w:t>
      </w:r>
      <w:r>
        <w:rPr>
          <w:rFonts w:ascii="Arial" w:cs="Arial" w:eastAsia="Arial" w:hAnsi="Arial"/>
          <w:sz w:val="16"/>
          <w:szCs w:val="16"/>
          <w:color w:val="191919"/>
        </w:rPr>
        <w:t>non-vote” may occur, which will have no effect on the outcome of Proposals 3, 4, and 9. Votes that are marked “</w:t>
      </w:r>
      <w:r>
        <w:rPr>
          <w:rFonts w:ascii="Arial" w:cs="Arial" w:eastAsia="Arial" w:hAnsi="Arial"/>
          <w:sz w:val="16"/>
          <w:szCs w:val="16"/>
          <w:b w:val="1"/>
          <w:bCs w:val="1"/>
          <w:color w:val="191919"/>
        </w:rPr>
        <w:t>ABSTAIN</w:t>
      </w:r>
      <w:r>
        <w:rPr>
          <w:rFonts w:ascii="Arial" w:cs="Arial" w:eastAsia="Arial" w:hAnsi="Arial"/>
          <w:sz w:val="16"/>
          <w:szCs w:val="16"/>
          <w:color w:val="191919"/>
        </w:rPr>
        <w:t>” are counted as present and entitled to vote with respect to Proposals 3, 4, and 9 and will have the same impact as a vote that is marked “</w:t>
      </w:r>
      <w:r>
        <w:rPr>
          <w:rFonts w:ascii="Arial" w:cs="Arial" w:eastAsia="Arial" w:hAnsi="Arial"/>
          <w:sz w:val="16"/>
          <w:szCs w:val="16"/>
          <w:b w:val="1"/>
          <w:bCs w:val="1"/>
          <w:color w:val="191919"/>
        </w:rPr>
        <w:t>AGAINST</w:t>
      </w:r>
      <w:r>
        <w:rPr>
          <w:rFonts w:ascii="Arial" w:cs="Arial" w:eastAsia="Arial" w:hAnsi="Arial"/>
          <w:sz w:val="16"/>
          <w:szCs w:val="16"/>
          <w:color w:val="191919"/>
        </w:rPr>
        <w:t>” for purposes of Proposals 3, 4, and 9.</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191919"/>
        </w:rPr>
        <w:t>Approval of Amendments to the Company’s Restated Certificate of</w:t>
      </w:r>
    </w:p>
    <w:p>
      <w:pPr>
        <w:spacing w:after="0" w:line="3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i w:val="1"/>
          <w:iCs w:val="1"/>
          <w:color w:val="191919"/>
        </w:rPr>
        <w:t>Incorporation.</w:t>
      </w:r>
      <w:r>
        <w:rPr>
          <w:sz w:val="20"/>
          <w:szCs w:val="20"/>
          <w:color w:val="auto"/>
        </w:rPr>
        <w:tab/>
      </w:r>
      <w:r>
        <w:rPr>
          <w:rFonts w:ascii="Arial" w:cs="Arial" w:eastAsia="Arial" w:hAnsi="Arial"/>
          <w:sz w:val="18"/>
          <w:szCs w:val="18"/>
          <w:color w:val="191919"/>
        </w:rPr>
        <w:t>Approval of Proposals 5, 6, 7, and 8 requires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191919"/>
        </w:rPr>
        <w:t>affirmative vote of the holders of at least the following percentages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shares of our outstanding common stock, respectively: 80%, 90%, 80%,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 xml:space="preserve">and 80%. Proposals 5-8 are </w:t>
      </w:r>
      <w:r>
        <w:rPr>
          <w:rFonts w:ascii="Arial" w:cs="Arial" w:eastAsia="Arial" w:hAnsi="Arial"/>
          <w:sz w:val="16"/>
          <w:szCs w:val="16"/>
          <w:i w:val="1"/>
          <w:iCs w:val="1"/>
          <w:color w:val="191919"/>
        </w:rPr>
        <w:t>not</w:t>
      </w:r>
      <w:r>
        <w:rPr>
          <w:rFonts w:ascii="Arial" w:cs="Arial" w:eastAsia="Arial" w:hAnsi="Arial"/>
          <w:sz w:val="16"/>
          <w:szCs w:val="16"/>
          <w:color w:val="191919"/>
        </w:rPr>
        <w:t xml:space="preserve"> considered to be “discretionary” matters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 xml:space="preserve">for certain brokers. </w:t>
      </w:r>
      <w:r>
        <w:rPr>
          <w:rFonts w:ascii="Arial" w:cs="Arial" w:eastAsia="Arial" w:hAnsi="Arial"/>
          <w:sz w:val="16"/>
          <w:szCs w:val="16"/>
          <w:b w:val="1"/>
          <w:bCs w:val="1"/>
          <w:color w:val="191919"/>
        </w:rPr>
        <w:t>If you do not instruct your broker how to vote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respect to one or more of these items, your broker may not vote your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color w:val="191919"/>
        </w:rPr>
        <w:t xml:space="preserve">shares with respect to such proposals. </w:t>
      </w:r>
      <w:r>
        <w:rPr>
          <w:rFonts w:ascii="Arial" w:cs="Arial" w:eastAsia="Arial" w:hAnsi="Arial"/>
          <w:sz w:val="15"/>
          <w:szCs w:val="15"/>
          <w:color w:val="191919"/>
        </w:rPr>
        <w:t>In such case, a “broker non-vote”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191919"/>
        </w:rPr>
        <w:t>may occur, which will have the same effect as a vote that is marked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191919"/>
        </w:rPr>
        <w:t>“</w:t>
      </w:r>
      <w:r>
        <w:rPr>
          <w:rFonts w:ascii="Arial" w:cs="Arial" w:eastAsia="Arial" w:hAnsi="Arial"/>
          <w:sz w:val="18"/>
          <w:szCs w:val="18"/>
          <w:b w:val="1"/>
          <w:bCs w:val="1"/>
          <w:color w:val="191919"/>
        </w:rPr>
        <w:t>AGAINST</w:t>
      </w:r>
      <w:r>
        <w:rPr>
          <w:rFonts w:ascii="Arial" w:cs="Arial" w:eastAsia="Arial" w:hAnsi="Arial"/>
          <w:sz w:val="18"/>
          <w:szCs w:val="18"/>
          <w:color w:val="191919"/>
        </w:rPr>
        <w:t>” for purposes of such proposal. Votes that are marked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191919"/>
        </w:rPr>
        <w:t>“</w:t>
      </w:r>
      <w:r>
        <w:rPr>
          <w:rFonts w:ascii="Arial" w:cs="Arial" w:eastAsia="Arial" w:hAnsi="Arial"/>
          <w:sz w:val="16"/>
          <w:szCs w:val="16"/>
          <w:b w:val="1"/>
          <w:bCs w:val="1"/>
          <w:color w:val="191919"/>
        </w:rPr>
        <w:t>ABSTAIN</w:t>
      </w:r>
      <w:r>
        <w:rPr>
          <w:rFonts w:ascii="Arial" w:cs="Arial" w:eastAsia="Arial" w:hAnsi="Arial"/>
          <w:sz w:val="16"/>
          <w:szCs w:val="16"/>
          <w:color w:val="191919"/>
        </w:rPr>
        <w:t>” as to any of Proposals 5-8 are counted as present and entitled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to vote with respect to such proposal and will have the same impact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191919"/>
        </w:rPr>
        <w:t>vote that is marked “</w:t>
      </w:r>
      <w:r>
        <w:rPr>
          <w:rFonts w:ascii="Arial" w:cs="Arial" w:eastAsia="Arial" w:hAnsi="Arial"/>
          <w:sz w:val="18"/>
          <w:szCs w:val="18"/>
          <w:b w:val="1"/>
          <w:bCs w:val="1"/>
          <w:color w:val="191919"/>
        </w:rPr>
        <w:t>AGAINST</w:t>
      </w:r>
      <w:r>
        <w:rPr>
          <w:rFonts w:ascii="Arial" w:cs="Arial" w:eastAsia="Arial" w:hAnsi="Arial"/>
          <w:sz w:val="18"/>
          <w:szCs w:val="18"/>
          <w:color w:val="191919"/>
        </w:rPr>
        <w:t>” for purposes of such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149860</wp:posOffset>
            </wp:positionV>
            <wp:extent cx="713613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80" w:space="680"/>
            <w:col w:w="5280"/>
          </w:cols>
          <w:pgMar w:left="320" w:top="131"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01"/>
        </w:rPr>
        <w:t>How does the Board of Directors recommend that I vote?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91919"/>
        </w:rPr>
        <w:t>The Board of Directors recommends that you vote: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 xml:space="preserve">FOR </w:t>
      </w:r>
      <w:r>
        <w:rPr>
          <w:rFonts w:ascii="Arial" w:cs="Arial" w:eastAsia="Arial" w:hAnsi="Arial"/>
          <w:sz w:val="16"/>
          <w:szCs w:val="16"/>
          <w:color w:val="191919"/>
        </w:rPr>
        <w:t>the election of each of the nine director nominees (Proposal 1).</w:t>
      </w:r>
    </w:p>
    <w:p>
      <w:pPr>
        <w:spacing w:after="0" w:line="248"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color w:val="191919"/>
        </w:rPr>
        <w:t xml:space="preserve">FOR </w:t>
      </w:r>
      <w:r>
        <w:rPr>
          <w:rFonts w:ascii="Arial" w:cs="Arial" w:eastAsia="Arial" w:hAnsi="Arial"/>
          <w:sz w:val="16"/>
          <w:szCs w:val="16"/>
          <w:color w:val="191919"/>
        </w:rPr>
        <w:t>the ratification of the selection of KPMG LLP as our independent</w:t>
      </w:r>
      <w:r>
        <w:rPr>
          <w:rFonts w:ascii="Arial" w:cs="Arial" w:eastAsia="Arial" w:hAnsi="Arial"/>
          <w:sz w:val="16"/>
          <w:szCs w:val="16"/>
          <w:b w:val="1"/>
          <w:bCs w:val="1"/>
          <w:color w:val="191919"/>
        </w:rPr>
        <w:t xml:space="preserve"> </w:t>
      </w:r>
      <w:r>
        <w:rPr>
          <w:rFonts w:ascii="Arial" w:cs="Arial" w:eastAsia="Arial" w:hAnsi="Arial"/>
          <w:sz w:val="16"/>
          <w:szCs w:val="16"/>
          <w:color w:val="191919"/>
        </w:rPr>
        <w:t>registered public accounting firm for fiscal year 2020 (Proposal 2).</w:t>
      </w:r>
    </w:p>
    <w:p>
      <w:pPr>
        <w:spacing w:after="0" w:line="128"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b w:val="1"/>
          <w:bCs w:val="1"/>
          <w:color w:val="191919"/>
        </w:rPr>
        <w:t xml:space="preserve">FOR </w:t>
      </w:r>
      <w:r>
        <w:rPr>
          <w:rFonts w:ascii="Arial" w:cs="Arial" w:eastAsia="Arial" w:hAnsi="Arial"/>
          <w:sz w:val="16"/>
          <w:szCs w:val="16"/>
          <w:color w:val="191919"/>
        </w:rPr>
        <w:t>the approval, on a non-binding basis, of the compensation of our</w:t>
      </w:r>
      <w:r>
        <w:rPr>
          <w:rFonts w:ascii="Arial" w:cs="Arial" w:eastAsia="Arial" w:hAnsi="Arial"/>
          <w:sz w:val="16"/>
          <w:szCs w:val="16"/>
          <w:b w:val="1"/>
          <w:bCs w:val="1"/>
          <w:color w:val="191919"/>
        </w:rPr>
        <w:t xml:space="preserve"> </w:t>
      </w:r>
      <w:r>
        <w:rPr>
          <w:rFonts w:ascii="Arial" w:cs="Arial" w:eastAsia="Arial" w:hAnsi="Arial"/>
          <w:sz w:val="16"/>
          <w:szCs w:val="16"/>
          <w:color w:val="191919"/>
        </w:rPr>
        <w:t>Named Executive Officers, as described below under “</w:t>
      </w:r>
      <w:r>
        <w:rPr>
          <w:rFonts w:ascii="Arial" w:cs="Arial" w:eastAsia="Arial" w:hAnsi="Arial"/>
          <w:sz w:val="16"/>
          <w:szCs w:val="16"/>
          <w:i w:val="1"/>
          <w:iCs w:val="1"/>
          <w:color w:val="191919"/>
        </w:rPr>
        <w:t>Compensation</w:t>
      </w:r>
      <w:r>
        <w:rPr>
          <w:rFonts w:ascii="Arial" w:cs="Arial" w:eastAsia="Arial" w:hAnsi="Arial"/>
          <w:sz w:val="16"/>
          <w:szCs w:val="16"/>
          <w:color w:val="191919"/>
        </w:rPr>
        <w:t xml:space="preserve"> </w:t>
      </w:r>
      <w:r>
        <w:rPr>
          <w:rFonts w:ascii="Arial" w:cs="Arial" w:eastAsia="Arial" w:hAnsi="Arial"/>
          <w:sz w:val="16"/>
          <w:szCs w:val="16"/>
          <w:i w:val="1"/>
          <w:iCs w:val="1"/>
          <w:color w:val="191919"/>
        </w:rPr>
        <w:t>Discussion and Analysis</w:t>
      </w:r>
      <w:r>
        <w:rPr>
          <w:rFonts w:ascii="Arial" w:cs="Arial" w:eastAsia="Arial" w:hAnsi="Arial"/>
          <w:sz w:val="16"/>
          <w:szCs w:val="16"/>
          <w:color w:val="191919"/>
        </w:rPr>
        <w:t>,” and in the executive compensation tables and</w:t>
      </w:r>
      <w:r>
        <w:rPr>
          <w:rFonts w:ascii="Arial" w:cs="Arial" w:eastAsia="Arial" w:hAnsi="Arial"/>
          <w:sz w:val="16"/>
          <w:szCs w:val="16"/>
          <w:i w:val="1"/>
          <w:iCs w:val="1"/>
          <w:color w:val="191919"/>
        </w:rPr>
        <w:t xml:space="preserve"> </w:t>
      </w:r>
      <w:r>
        <w:rPr>
          <w:rFonts w:ascii="Arial" w:cs="Arial" w:eastAsia="Arial" w:hAnsi="Arial"/>
          <w:sz w:val="16"/>
          <w:szCs w:val="16"/>
          <w:color w:val="191919"/>
        </w:rPr>
        <w:t>accompanying narrative disclosures (Proposal 3).</w:t>
      </w:r>
    </w:p>
    <w:p>
      <w:pPr>
        <w:spacing w:after="0" w:line="15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191919"/>
        </w:rPr>
        <w:t xml:space="preserve">FOR </w:t>
      </w:r>
      <w:r>
        <w:rPr>
          <w:rFonts w:ascii="Arial" w:cs="Arial" w:eastAsia="Arial" w:hAnsi="Arial"/>
          <w:sz w:val="18"/>
          <w:szCs w:val="18"/>
          <w:color w:val="191919"/>
        </w:rPr>
        <w:t>the approval of an amendment to the Company’s 2002 Employee</w:t>
      </w:r>
      <w:r>
        <w:rPr>
          <w:rFonts w:ascii="Arial" w:cs="Arial" w:eastAsia="Arial" w:hAnsi="Arial"/>
          <w:sz w:val="18"/>
          <w:szCs w:val="18"/>
          <w:b w:val="1"/>
          <w:bCs w:val="1"/>
          <w:color w:val="191919"/>
        </w:rPr>
        <w:t xml:space="preserve"> </w:t>
      </w:r>
      <w:r>
        <w:rPr>
          <w:rFonts w:ascii="Arial" w:cs="Arial" w:eastAsia="Arial" w:hAnsi="Arial"/>
          <w:sz w:val="18"/>
          <w:szCs w:val="18"/>
          <w:color w:val="191919"/>
        </w:rPr>
        <w:t>Stock Purchase Plan, as Amended (Proposal 4).</w:t>
      </w:r>
    </w:p>
    <w:p>
      <w:pPr>
        <w:spacing w:after="0" w:line="174"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191919"/>
        </w:rPr>
        <w:t xml:space="preserve">FOR </w:t>
      </w:r>
      <w:r>
        <w:rPr>
          <w:rFonts w:ascii="Arial" w:cs="Arial" w:eastAsia="Arial" w:hAnsi="Arial"/>
          <w:sz w:val="18"/>
          <w:szCs w:val="18"/>
          <w:color w:val="191919"/>
        </w:rPr>
        <w:t>the approval of amendments to the Company’s Restated Certificate</w:t>
      </w:r>
      <w:r>
        <w:rPr>
          <w:rFonts w:ascii="Arial" w:cs="Arial" w:eastAsia="Arial" w:hAnsi="Arial"/>
          <w:sz w:val="18"/>
          <w:szCs w:val="18"/>
          <w:b w:val="1"/>
          <w:bCs w:val="1"/>
          <w:color w:val="191919"/>
        </w:rPr>
        <w:t xml:space="preserve"> </w:t>
      </w:r>
      <w:r>
        <w:rPr>
          <w:rFonts w:ascii="Arial" w:cs="Arial" w:eastAsia="Arial" w:hAnsi="Arial"/>
          <w:sz w:val="18"/>
          <w:szCs w:val="18"/>
          <w:color w:val="191919"/>
        </w:rPr>
        <w:t>of Incorporation (Proposals 5-8).</w:t>
      </w:r>
    </w:p>
    <w:p>
      <w:pPr>
        <w:spacing w:after="0" w:line="174"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191919"/>
        </w:rPr>
        <w:t xml:space="preserve">AGAINST </w:t>
      </w:r>
      <w:r>
        <w:rPr>
          <w:rFonts w:ascii="Arial" w:cs="Arial" w:eastAsia="Arial" w:hAnsi="Arial"/>
          <w:sz w:val="16"/>
          <w:szCs w:val="16"/>
          <w:color w:val="191919"/>
        </w:rPr>
        <w:t>the approval, on a non-binding basis, of a stockholder proposal</w:t>
      </w:r>
      <w:r>
        <w:rPr>
          <w:rFonts w:ascii="Arial" w:cs="Arial" w:eastAsia="Arial" w:hAnsi="Arial"/>
          <w:sz w:val="16"/>
          <w:szCs w:val="16"/>
          <w:b w:val="1"/>
          <w:bCs w:val="1"/>
          <w:color w:val="191919"/>
        </w:rPr>
        <w:t xml:space="preserve"> </w:t>
      </w:r>
      <w:r>
        <w:rPr>
          <w:rFonts w:ascii="Arial" w:cs="Arial" w:eastAsia="Arial" w:hAnsi="Arial"/>
          <w:sz w:val="16"/>
          <w:szCs w:val="16"/>
          <w:color w:val="191919"/>
        </w:rPr>
        <w:t>regarding a right by stockholders to act by written consent (Proposal 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01"/>
        </w:rPr>
        <w:t>How will the votes cast at our Annual Meeting be counted?</w:t>
      </w:r>
    </w:p>
    <w:p>
      <w:pPr>
        <w:spacing w:after="0" w:line="22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191919"/>
        </w:rPr>
        <w:t>Broadridge Financial Solutions, Inc., and our independent inspector of elections will tabulate the votes at the Annual Meeting. The vote on each matter submitted to stockholders will be tabulated separately.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01"/>
        </w:rPr>
        <w:t>Where can I find the voting results of our Annual Meeting?</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191919"/>
        </w:rPr>
        <w:t>We expect to announce the preliminary voting results at our Annual Meeting. The final voting results will be reported in a Current Report on Form 8-K that will be filed with the Securities and Exchange Commission (the “SEC”) within four business days after the end of our Annual Meeting and will be posted on our website.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01"/>
        </w:rPr>
        <w:t>Will my vote be kept confidential?</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191919"/>
        </w:rPr>
        <w:t>Yes. We will keep your vote confidential unless (1) we are required by law to disclose your vote (including in connection with the pursuit or defense of a legal 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16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54" w:lineRule="auto"/>
        <w:rPr>
          <w:sz w:val="20"/>
          <w:szCs w:val="20"/>
          <w:color w:val="auto"/>
        </w:rPr>
      </w:pPr>
      <w:r>
        <w:rPr>
          <w:rFonts w:ascii="Arial" w:cs="Arial" w:eastAsia="Arial" w:hAnsi="Arial"/>
          <w:sz w:val="18"/>
          <w:szCs w:val="18"/>
          <w:color w:val="191919"/>
        </w:rPr>
        <w:t>administrative action or proceeding), or (2) there is a contested election for the Board of Directors. The inspector of elections will forward any written comments that you make on the proxy card to management without providing your name, unless you expressly request on your proxy card that your name be disclosed.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01"/>
        </w:rPr>
        <w:t>What is the quorum requirement for our Annual Meeting?</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191919"/>
        </w:rPr>
        <w:t>The holders of a majority of the issued and outstanding stock of the Company present either in person or by proxy at the Annual Meeting constitute a quorum for the transaction of business at the Annual Meeting. Shares present virtually during the Annual Meeting will be considered shares of common stock represented in person at the meeting. Shares that abstain from voting on any proposal and “broker non-votes” will be counted as shares that are present for purposes of determining whether a quorum exists at the Annual Meeting. If a “broker non-vote” occurs with respect to any shares of the Company’s common stock on any matter, then those shares will be treated as not present and not entitled to vote with respect to that matter (even though those shares are considered entitled to vote for purposes of determining whether a quorum exists because they are entitled to vote on other matters) and will not be voted.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01"/>
        </w:rPr>
        <w:t>How do I submit a question at the Annual Meeting?</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191919"/>
        </w:rPr>
        <w:t xml:space="preserve">If you wish to submit a question, beginning at 1:45 p.m. Eastern Daylight Time on May 6, 2020, you may log into the virtual meeting platform at </w:t>
      </w:r>
      <w:r>
        <w:rPr>
          <w:rFonts w:ascii="Arial" w:cs="Arial" w:eastAsia="Arial" w:hAnsi="Arial"/>
          <w:sz w:val="16"/>
          <w:szCs w:val="16"/>
          <w:color w:val="275F90"/>
        </w:rPr>
        <w:t>www.virtualshareholdermeeting.com/SWKS2020</w:t>
      </w:r>
      <w:r>
        <w:rPr>
          <w:rFonts w:ascii="Arial" w:cs="Arial" w:eastAsia="Arial" w:hAnsi="Arial"/>
          <w:sz w:val="16"/>
          <w:szCs w:val="16"/>
          <w:color w:val="191919"/>
        </w:rPr>
        <w:t>, type your question into</w:t>
      </w:r>
      <w:r>
        <w:rPr>
          <w:rFonts w:ascii="Arial" w:cs="Arial" w:eastAsia="Arial" w:hAnsi="Arial"/>
          <w:sz w:val="16"/>
          <w:szCs w:val="16"/>
          <w:color w:val="275F90"/>
        </w:rPr>
        <w:t xml:space="preserve"> </w:t>
      </w:r>
      <w:r>
        <w:rPr>
          <w:rFonts w:ascii="Arial" w:cs="Arial" w:eastAsia="Arial" w:hAnsi="Arial"/>
          <w:sz w:val="16"/>
          <w:szCs w:val="16"/>
          <w:color w:val="191919"/>
        </w:rPr>
        <w:t xml:space="preserve">the “Ask a Question” field, and click “Submit.” Our virtual meeting will be governed by our Annual Meeting Rules of Conduct which will include rules on permissible topics for stockholder questions and will be posted at </w:t>
      </w:r>
      <w:r>
        <w:rPr>
          <w:rFonts w:ascii="Arial" w:cs="Arial" w:eastAsia="Arial" w:hAnsi="Arial"/>
          <w:sz w:val="16"/>
          <w:szCs w:val="16"/>
          <w:color w:val="275F90"/>
        </w:rPr>
        <w:t>www.virtualshareholdermeeting.com/SWKS2020</w:t>
      </w:r>
      <w:r>
        <w:rPr>
          <w:rFonts w:ascii="Arial" w:cs="Arial" w:eastAsia="Arial" w:hAnsi="Arial"/>
          <w:sz w:val="16"/>
          <w:szCs w:val="16"/>
          <w:color w:val="191919"/>
        </w:rPr>
        <w:t>.</w:t>
      </w:r>
    </w:p>
    <w:p>
      <w:pPr>
        <w:spacing w:after="0" w:line="1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000001"/>
        </w:rPr>
        <w:t>When will Skyworks next hold an advisory vote on the frequency of say-on-pay votes?</w:t>
      </w:r>
    </w:p>
    <w:p>
      <w:pPr>
        <w:spacing w:after="0" w:line="18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191919"/>
        </w:rPr>
        <w:t>Skyworks currently conducts an annual say-on-pay vote. The next advisory vote on the frequency of say-on-pay votes is expected to be held at our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1064895</wp:posOffset>
            </wp:positionV>
            <wp:extent cx="713613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80" w:space="680"/>
            <w:col w:w="5260"/>
          </w:cols>
          <w:pgMar w:left="320" w:top="131" w:right="3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01"/>
        </w:rPr>
        <w:t>What is “householding”?</w:t>
      </w:r>
    </w:p>
    <w:p>
      <w:pPr>
        <w:spacing w:after="0" w:line="225" w:lineRule="exact"/>
        <w:rPr>
          <w:sz w:val="20"/>
          <w:szCs w:val="20"/>
          <w:color w:val="auto"/>
        </w:rPr>
      </w:pPr>
    </w:p>
    <w:p>
      <w:pPr>
        <w:spacing w:after="0" w:line="309" w:lineRule="auto"/>
        <w:rPr>
          <w:sz w:val="20"/>
          <w:szCs w:val="20"/>
          <w:color w:val="auto"/>
        </w:rPr>
      </w:pPr>
      <w:r>
        <w:rPr>
          <w:rFonts w:ascii="Arial" w:cs="Arial" w:eastAsia="Arial" w:hAnsi="Arial"/>
          <w:sz w:val="15"/>
          <w:szCs w:val="15"/>
          <w:color w:val="191919"/>
        </w:rPr>
        <w:t>Some brokers (or other nominees) may be participating in the practice of “householding” proxy statements and annual reports. This means that only one copy of this Proxy Statement and our Annual Report may have been sent to multiple stockholders in your household. If you are a stockholder and your household or address has received only one Annual Report and one Proxy Statement, the Company will promptly deliver a separate copy of the Annual Report and the Proxy Statement to you, upon your written request to Skyworks Solutions, Inc., 5221 California Avenue, Irvine, CA 92617, Attention: Investor Relations, or oral request to Investor Relations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191919"/>
        </w:rPr>
        <w:t>at (949) 231-3433. If you would like to receive separate copies of our Annual Report and Proxy Statement in the future, you should direct such request to your broker (or other nominee). Even if your household or address has received only one Annual Report and one Proxy Statement, a separate proxy card should have been provided for each stockholder account. Each individual proxy card should be signed, dated, and returned in the postage-prepaid envelope (or completed and submitted by telephone or via the Internet, as described on the proxy card). If your household has received multiple copies of our Annual Report and Proxy Statement, you can request the delivery of single copies in the future by contacting your broker (or other nominee), or the Company at the address or telephone number above.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149860</wp:posOffset>
            </wp:positionV>
            <wp:extent cx="71361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2">
            <w:col w:w="5240" w:space="720"/>
            <w:col w:w="5280"/>
          </w:cols>
          <w:pgMar w:left="320" w:top="131"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ind w:left="60"/>
        <w:spacing w:after="0"/>
        <w:rPr>
          <w:sz w:val="20"/>
          <w:szCs w:val="20"/>
          <w:color w:val="auto"/>
        </w:rPr>
      </w:pPr>
      <w:r>
        <w:rPr>
          <w:rFonts w:ascii="Arial" w:cs="Arial" w:eastAsia="Arial" w:hAnsi="Arial"/>
          <w:sz w:val="24"/>
          <w:szCs w:val="24"/>
          <w:b w:val="1"/>
          <w:bCs w:val="1"/>
          <w:color w:val="02568A"/>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17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FFFFFE"/>
        </w:rPr>
        <w:t>Election of Directors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spacing w:after="0" w:line="285" w:lineRule="auto"/>
        <w:rPr>
          <w:sz w:val="20"/>
          <w:szCs w:val="20"/>
          <w:color w:val="auto"/>
        </w:rPr>
      </w:pPr>
      <w:r>
        <w:rPr>
          <w:rFonts w:ascii="Arial" w:cs="Arial" w:eastAsia="Arial" w:hAnsi="Arial"/>
          <w:sz w:val="16"/>
          <w:szCs w:val="16"/>
          <w:color w:val="191919"/>
        </w:rPr>
        <w:t>Under this Proposal 1, you are being asked to consider nine nominees for election to our Board of Directors to serve until the 2021 Annual Meeting of Stockholders and until their successors are elected and qualified or until their earlier resignation or removal. The names of the nine nominees for election as directors, their current occupations, the year such nominees were first elected as directors of the Company and their Board committee memberships are set forth in the table below. Each nominee for election has agreed to serve if elected, and the Board of Directors knows of no reason why any nominee should be unable or unwilling to serve. If a nominee is unable or unwilling to serve, the attorneys-in-fact named in this Proxy Statement will vote any shares represented at the meeting by proxy for the election of another individual nominated by the Board of Directors, if any. No nominee or executive officer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191919"/>
        </w:rPr>
        <w:t>related by blood, marriage, or adoption to any other director, nominee, or executive officer. No arrangements or understandings exist between any director or person nominated for election as a director and any other person pursuant to which such person is to be selected as a director or nominee for election as a director.</w:t>
      </w:r>
    </w:p>
    <w:p>
      <w:pPr>
        <w:spacing w:after="0" w:line="169"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191919"/>
        </w:rPr>
        <w:t>Balakrishnan S. Iyer, age 63, the current chairman of the Audit Committee, has served as a director since 2002 and is not a director nominee up for reelection at the Annual Meeting. As a result, the number of directors constituting the Board of Directors will be reduced from ten</w:t>
      </w:r>
    </w:p>
    <w:p>
      <w:pPr>
        <w:spacing w:after="0" w:line="2" w:lineRule="exact"/>
        <w:rPr>
          <w:sz w:val="20"/>
          <w:szCs w:val="20"/>
          <w:color w:val="auto"/>
        </w:rPr>
      </w:pPr>
    </w:p>
    <w:p>
      <w:pPr>
        <w:ind w:right="80" w:firstLine="1"/>
        <w:spacing w:after="0" w:line="302" w:lineRule="auto"/>
        <w:tabs>
          <w:tab w:leader="none" w:pos="336" w:val="left"/>
        </w:tabs>
        <w:numPr>
          <w:ilvl w:val="0"/>
          <w:numId w:val="8"/>
        </w:numPr>
        <w:rPr>
          <w:rFonts w:ascii="Arial" w:cs="Arial" w:eastAsia="Arial" w:hAnsi="Arial"/>
          <w:sz w:val="16"/>
          <w:szCs w:val="16"/>
          <w:color w:val="191919"/>
        </w:rPr>
      </w:pPr>
      <w:r>
        <w:rPr>
          <w:rFonts w:ascii="Arial" w:cs="Arial" w:eastAsia="Arial" w:hAnsi="Arial"/>
          <w:sz w:val="16"/>
          <w:szCs w:val="16"/>
          <w:color w:val="191919"/>
        </w:rPr>
        <w:t>to nine (9) effective upon the election of directors at the Annual Meeting. Proxies cannot be voted for a greater number of individuals than the number of nominees named in this Proxy Statement.</w:t>
      </w:r>
    </w:p>
    <w:p>
      <w:pPr>
        <w:spacing w:after="0" w:line="150" w:lineRule="exact"/>
        <w:rPr>
          <w:sz w:val="20"/>
          <w:szCs w:val="20"/>
          <w:color w:val="auto"/>
        </w:rPr>
      </w:pPr>
    </w:p>
    <w:p>
      <w:pPr>
        <w:sectPr>
          <w:pgSz w:w="11900" w:h="16838" w:orient="portrait"/>
          <w:cols w:equalWidth="0" w:num="2">
            <w:col w:w="5280" w:space="680"/>
            <w:col w:w="5280"/>
          </w:cols>
          <w:pgMar w:left="320" w:top="131" w:right="339" w:bottom="1440" w:gutter="0" w:footer="0" w:header="0"/>
          <w:type w:val="continuous"/>
        </w:sectPr>
      </w:pPr>
    </w:p>
    <w:p>
      <w:pPr>
        <w:ind w:left="280"/>
        <w:spacing w:after="0"/>
        <w:rPr>
          <w:sz w:val="20"/>
          <w:szCs w:val="20"/>
          <w:color w:val="auto"/>
        </w:rPr>
      </w:pPr>
      <w:r>
        <w:rPr>
          <w:rFonts w:ascii="Arial" w:cs="Arial" w:eastAsia="Arial" w:hAnsi="Arial"/>
          <w:sz w:val="22"/>
          <w:szCs w:val="22"/>
          <w:b w:val="1"/>
          <w:bCs w:val="1"/>
          <w:i w:val="1"/>
          <w:iCs w:val="1"/>
          <w:color w:val="000001"/>
        </w:rPr>
        <w:t>Director Nominees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40" w:type="dxa"/>
            <w:vAlign w:val="bottom"/>
            <w:tcBorders>
              <w:top w:val="single" w:sz="8" w:color="02568A"/>
            </w:tcBorders>
          </w:tcPr>
          <w:p>
            <w:pPr>
              <w:spacing w:after="0"/>
              <w:rPr>
                <w:sz w:val="18"/>
                <w:szCs w:val="18"/>
                <w:color w:val="auto"/>
              </w:rPr>
            </w:pPr>
          </w:p>
        </w:tc>
        <w:tc>
          <w:tcPr>
            <w:tcW w:w="1540" w:type="dxa"/>
            <w:vAlign w:val="bottom"/>
            <w:tcBorders>
              <w:top w:val="single" w:sz="8" w:color="02568A"/>
            </w:tcBorders>
          </w:tcPr>
          <w:p>
            <w:pPr>
              <w:jc w:val="center"/>
              <w:ind w:left="552"/>
              <w:spacing w:after="0"/>
              <w:rPr>
                <w:sz w:val="20"/>
                <w:szCs w:val="20"/>
                <w:color w:val="auto"/>
              </w:rPr>
            </w:pPr>
            <w:r>
              <w:rPr>
                <w:rFonts w:ascii="Arial" w:cs="Arial" w:eastAsia="Arial" w:hAnsi="Arial"/>
                <w:sz w:val="18"/>
                <w:szCs w:val="18"/>
                <w:b w:val="1"/>
                <w:bCs w:val="1"/>
                <w:color w:val="02568A"/>
                <w:w w:val="89"/>
              </w:rPr>
              <w:t>Director</w:t>
            </w:r>
          </w:p>
        </w:tc>
        <w:tc>
          <w:tcPr>
            <w:tcW w:w="1300" w:type="dxa"/>
            <w:vAlign w:val="bottom"/>
            <w:tcBorders>
              <w:top w:val="single" w:sz="8" w:color="02568A"/>
            </w:tcBorders>
          </w:tcPr>
          <w:p>
            <w:pPr>
              <w:spacing w:after="0"/>
              <w:rPr>
                <w:sz w:val="18"/>
                <w:szCs w:val="18"/>
                <w:color w:val="auto"/>
              </w:rPr>
            </w:pPr>
          </w:p>
        </w:tc>
        <w:tc>
          <w:tcPr>
            <w:tcW w:w="2260" w:type="dxa"/>
            <w:vAlign w:val="bottom"/>
            <w:tcBorders>
              <w:top w:val="single" w:sz="8" w:color="02568A"/>
              <w:bottom w:val="single" w:sz="8" w:color="02568A"/>
            </w:tcBorders>
            <w:gridSpan w:val="3"/>
          </w:tcPr>
          <w:p>
            <w:pPr>
              <w:jc w:val="center"/>
              <w:ind w:right="196"/>
              <w:spacing w:after="0"/>
              <w:rPr>
                <w:sz w:val="20"/>
                <w:szCs w:val="20"/>
                <w:color w:val="auto"/>
              </w:rPr>
            </w:pPr>
            <w:r>
              <w:rPr>
                <w:rFonts w:ascii="Arial" w:cs="Arial" w:eastAsia="Arial" w:hAnsi="Arial"/>
                <w:sz w:val="18"/>
                <w:szCs w:val="18"/>
                <w:b w:val="1"/>
                <w:bCs w:val="1"/>
                <w:color w:val="02568A"/>
                <w:w w:val="88"/>
              </w:rPr>
              <w:t>Committee Memberships</w:t>
            </w:r>
          </w:p>
        </w:tc>
        <w:tc>
          <w:tcPr>
            <w:tcW w:w="0" w:type="dxa"/>
            <w:vAlign w:val="bottom"/>
          </w:tcPr>
          <w:p>
            <w:pPr>
              <w:spacing w:after="0"/>
              <w:rPr>
                <w:sz w:val="1"/>
                <w:szCs w:val="1"/>
                <w:color w:val="auto"/>
              </w:rPr>
            </w:pPr>
          </w:p>
        </w:tc>
      </w:tr>
      <w:tr>
        <w:trPr>
          <w:trHeight w:val="210"/>
        </w:trPr>
        <w:tc>
          <w:tcPr>
            <w:tcW w:w="6140" w:type="dxa"/>
            <w:vAlign w:val="bottom"/>
            <w:tcBorders>
              <w:bottom w:val="single" w:sz="8" w:color="02568A"/>
            </w:tcBorders>
          </w:tcPr>
          <w:p>
            <w:pPr>
              <w:ind w:left="280"/>
              <w:spacing w:after="0"/>
              <w:rPr>
                <w:sz w:val="20"/>
                <w:szCs w:val="20"/>
                <w:color w:val="auto"/>
              </w:rPr>
            </w:pPr>
            <w:r>
              <w:rPr>
                <w:rFonts w:ascii="Arial" w:cs="Arial" w:eastAsia="Arial" w:hAnsi="Arial"/>
                <w:sz w:val="18"/>
                <w:szCs w:val="18"/>
                <w:b w:val="1"/>
                <w:bCs w:val="1"/>
                <w:color w:val="02568A"/>
              </w:rPr>
              <w:t>Name and Occupation</w:t>
            </w:r>
          </w:p>
        </w:tc>
        <w:tc>
          <w:tcPr>
            <w:tcW w:w="1540" w:type="dxa"/>
            <w:vAlign w:val="bottom"/>
            <w:tcBorders>
              <w:bottom w:val="single" w:sz="8" w:color="02568A"/>
            </w:tcBorders>
          </w:tcPr>
          <w:p>
            <w:pPr>
              <w:jc w:val="center"/>
              <w:ind w:left="572"/>
              <w:spacing w:after="0"/>
              <w:rPr>
                <w:sz w:val="20"/>
                <w:szCs w:val="20"/>
                <w:color w:val="auto"/>
              </w:rPr>
            </w:pPr>
            <w:r>
              <w:rPr>
                <w:rFonts w:ascii="Arial" w:cs="Arial" w:eastAsia="Arial" w:hAnsi="Arial"/>
                <w:sz w:val="18"/>
                <w:szCs w:val="18"/>
                <w:b w:val="1"/>
                <w:bCs w:val="1"/>
                <w:color w:val="02568A"/>
                <w:w w:val="83"/>
              </w:rPr>
              <w:t>Since</w:t>
            </w:r>
          </w:p>
        </w:tc>
        <w:tc>
          <w:tcPr>
            <w:tcW w:w="1300" w:type="dxa"/>
            <w:vAlign w:val="bottom"/>
            <w:tcBorders>
              <w:bottom w:val="single" w:sz="8" w:color="02568A"/>
            </w:tcBorders>
          </w:tcPr>
          <w:p>
            <w:pPr>
              <w:jc w:val="center"/>
              <w:ind w:right="37"/>
              <w:spacing w:after="0"/>
              <w:rPr>
                <w:sz w:val="20"/>
                <w:szCs w:val="20"/>
                <w:color w:val="auto"/>
              </w:rPr>
            </w:pPr>
            <w:r>
              <w:rPr>
                <w:rFonts w:ascii="Arial" w:cs="Arial" w:eastAsia="Arial" w:hAnsi="Arial"/>
                <w:sz w:val="18"/>
                <w:szCs w:val="18"/>
                <w:b w:val="1"/>
                <w:bCs w:val="1"/>
                <w:color w:val="02568A"/>
                <w:w w:val="87"/>
              </w:rPr>
              <w:t>Independent</w:t>
            </w:r>
          </w:p>
        </w:tc>
        <w:tc>
          <w:tcPr>
            <w:tcW w:w="64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92"/>
              </w:rPr>
              <w:t>AC</w:t>
            </w:r>
          </w:p>
        </w:tc>
        <w:tc>
          <w:tcPr>
            <w:tcW w:w="64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92"/>
              </w:rPr>
              <w:t>CC</w:t>
            </w:r>
          </w:p>
        </w:tc>
        <w:tc>
          <w:tcPr>
            <w:tcW w:w="980" w:type="dxa"/>
            <w:vAlign w:val="bottom"/>
            <w:tcBorders>
              <w:bottom w:val="single" w:sz="8" w:color="02568A"/>
            </w:tcBorders>
          </w:tcPr>
          <w:p>
            <w:pPr>
              <w:jc w:val="center"/>
              <w:ind w:right="16"/>
              <w:spacing w:after="0"/>
              <w:rPr>
                <w:sz w:val="20"/>
                <w:szCs w:val="20"/>
                <w:color w:val="auto"/>
              </w:rPr>
            </w:pPr>
            <w:r>
              <w:rPr>
                <w:rFonts w:ascii="Arial" w:cs="Arial" w:eastAsia="Arial" w:hAnsi="Arial"/>
                <w:sz w:val="18"/>
                <w:szCs w:val="18"/>
                <w:b w:val="1"/>
                <w:bCs w:val="1"/>
                <w:color w:val="02568A"/>
                <w:w w:val="98"/>
              </w:rPr>
              <w:t>NCGC</w:t>
            </w:r>
          </w:p>
        </w:tc>
        <w:tc>
          <w:tcPr>
            <w:tcW w:w="0" w:type="dxa"/>
            <w:vAlign w:val="bottom"/>
          </w:tcPr>
          <w:p>
            <w:pPr>
              <w:spacing w:after="0"/>
              <w:rPr>
                <w:sz w:val="1"/>
                <w:szCs w:val="1"/>
                <w:color w:val="auto"/>
              </w:rPr>
            </w:pPr>
          </w:p>
        </w:tc>
      </w:tr>
      <w:tr>
        <w:trPr>
          <w:trHeight w:val="201"/>
        </w:trPr>
        <w:tc>
          <w:tcPr>
            <w:tcW w:w="6140" w:type="dxa"/>
            <w:vAlign w:val="bottom"/>
            <w:shd w:val="clear" w:color="auto" w:fill="CED8EA"/>
          </w:tcPr>
          <w:p>
            <w:pPr>
              <w:ind w:left="280"/>
              <w:spacing w:after="0" w:line="201" w:lineRule="exact"/>
              <w:rPr>
                <w:sz w:val="20"/>
                <w:szCs w:val="20"/>
                <w:color w:val="auto"/>
              </w:rPr>
            </w:pPr>
            <w:r>
              <w:rPr>
                <w:rFonts w:ascii="Arial" w:cs="Arial" w:eastAsia="Arial" w:hAnsi="Arial"/>
                <w:sz w:val="18"/>
                <w:szCs w:val="18"/>
                <w:b w:val="1"/>
                <w:bCs w:val="1"/>
                <w:color w:val="02568A"/>
              </w:rPr>
              <w:t>David J. Aldrich</w:t>
            </w:r>
          </w:p>
        </w:tc>
        <w:tc>
          <w:tcPr>
            <w:tcW w:w="1540" w:type="dxa"/>
            <w:vAlign w:val="bottom"/>
            <w:vMerge w:val="restart"/>
            <w:shd w:val="clear" w:color="auto" w:fill="CED8EA"/>
          </w:tcPr>
          <w:p>
            <w:pPr>
              <w:jc w:val="center"/>
              <w:ind w:left="552"/>
              <w:spacing w:after="0"/>
              <w:rPr>
                <w:sz w:val="20"/>
                <w:szCs w:val="20"/>
                <w:color w:val="auto"/>
              </w:rPr>
            </w:pPr>
            <w:r>
              <w:rPr>
                <w:rFonts w:ascii="Arial" w:cs="Arial" w:eastAsia="Arial" w:hAnsi="Arial"/>
                <w:sz w:val="18"/>
                <w:szCs w:val="18"/>
                <w:color w:val="02568A"/>
                <w:w w:val="84"/>
              </w:rPr>
              <w:t>2000</w:t>
            </w:r>
          </w:p>
        </w:tc>
        <w:tc>
          <w:tcPr>
            <w:tcW w:w="1300" w:type="dxa"/>
            <w:vAlign w:val="bottom"/>
            <w:shd w:val="clear" w:color="auto" w:fill="CED8EA"/>
          </w:tcPr>
          <w:p>
            <w:pPr>
              <w:spacing w:after="0"/>
              <w:rPr>
                <w:sz w:val="17"/>
                <w:szCs w:val="17"/>
                <w:color w:val="auto"/>
              </w:rPr>
            </w:pPr>
          </w:p>
        </w:tc>
        <w:tc>
          <w:tcPr>
            <w:tcW w:w="640" w:type="dxa"/>
            <w:vAlign w:val="bottom"/>
            <w:shd w:val="clear" w:color="auto" w:fill="CED8EA"/>
          </w:tcPr>
          <w:p>
            <w:pPr>
              <w:spacing w:after="0"/>
              <w:rPr>
                <w:sz w:val="17"/>
                <w:szCs w:val="17"/>
                <w:color w:val="auto"/>
              </w:rPr>
            </w:pPr>
          </w:p>
        </w:tc>
        <w:tc>
          <w:tcPr>
            <w:tcW w:w="640" w:type="dxa"/>
            <w:vAlign w:val="bottom"/>
            <w:shd w:val="clear" w:color="auto" w:fill="CED8EA"/>
          </w:tcPr>
          <w:p>
            <w:pPr>
              <w:spacing w:after="0"/>
              <w:rPr>
                <w:sz w:val="17"/>
                <w:szCs w:val="17"/>
                <w:color w:val="auto"/>
              </w:rPr>
            </w:pPr>
          </w:p>
        </w:tc>
        <w:tc>
          <w:tcPr>
            <w:tcW w:w="980" w:type="dxa"/>
            <w:vAlign w:val="bottom"/>
            <w:shd w:val="clear" w:color="auto" w:fill="CED8EA"/>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6140" w:type="dxa"/>
            <w:vAlign w:val="bottom"/>
            <w:vMerge w:val="restart"/>
            <w:shd w:val="clear" w:color="auto" w:fill="CED8EA"/>
          </w:tcPr>
          <w:p>
            <w:pPr>
              <w:ind w:left="280"/>
              <w:spacing w:after="0"/>
              <w:rPr>
                <w:sz w:val="20"/>
                <w:szCs w:val="20"/>
                <w:color w:val="auto"/>
              </w:rPr>
            </w:pPr>
            <w:r>
              <w:rPr>
                <w:rFonts w:ascii="Arial" w:cs="Arial" w:eastAsia="Arial" w:hAnsi="Arial"/>
                <w:sz w:val="18"/>
                <w:szCs w:val="18"/>
                <w:i w:val="1"/>
                <w:iCs w:val="1"/>
                <w:color w:val="02568A"/>
              </w:rPr>
              <w:t>Chairman of the Board, Skyworks Solutions, Inc.</w:t>
            </w:r>
          </w:p>
        </w:tc>
        <w:tc>
          <w:tcPr>
            <w:tcW w:w="1540" w:type="dxa"/>
            <w:vAlign w:val="bottom"/>
            <w:vMerge w:val="continue"/>
            <w:shd w:val="clear" w:color="auto" w:fill="CED8EA"/>
          </w:tcPr>
          <w:p>
            <w:pPr>
              <w:spacing w:after="0"/>
              <w:rPr>
                <w:sz w:val="9"/>
                <w:szCs w:val="9"/>
                <w:color w:val="auto"/>
              </w:rPr>
            </w:pPr>
          </w:p>
        </w:tc>
        <w:tc>
          <w:tcPr>
            <w:tcW w:w="1300" w:type="dxa"/>
            <w:vAlign w:val="bottom"/>
            <w:shd w:val="clear" w:color="auto" w:fill="CED8EA"/>
          </w:tcPr>
          <w:p>
            <w:pPr>
              <w:spacing w:after="0"/>
              <w:rPr>
                <w:sz w:val="9"/>
                <w:szCs w:val="9"/>
                <w:color w:val="auto"/>
              </w:rPr>
            </w:pPr>
          </w:p>
        </w:tc>
        <w:tc>
          <w:tcPr>
            <w:tcW w:w="640" w:type="dxa"/>
            <w:vAlign w:val="bottom"/>
            <w:shd w:val="clear" w:color="auto" w:fill="CED8EA"/>
          </w:tcPr>
          <w:p>
            <w:pPr>
              <w:spacing w:after="0"/>
              <w:rPr>
                <w:sz w:val="9"/>
                <w:szCs w:val="9"/>
                <w:color w:val="auto"/>
              </w:rPr>
            </w:pPr>
          </w:p>
        </w:tc>
        <w:tc>
          <w:tcPr>
            <w:tcW w:w="640" w:type="dxa"/>
            <w:vAlign w:val="bottom"/>
            <w:shd w:val="clear" w:color="auto" w:fill="CED8EA"/>
          </w:tcPr>
          <w:p>
            <w:pPr>
              <w:spacing w:after="0"/>
              <w:rPr>
                <w:sz w:val="9"/>
                <w:szCs w:val="9"/>
                <w:color w:val="auto"/>
              </w:rPr>
            </w:pPr>
          </w:p>
        </w:tc>
        <w:tc>
          <w:tcPr>
            <w:tcW w:w="980" w:type="dxa"/>
            <w:vAlign w:val="bottom"/>
            <w:shd w:val="clear" w:color="auto" w:fill="CED8EA"/>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140" w:type="dxa"/>
            <w:vAlign w:val="bottom"/>
            <w:vMerge w:val="continue"/>
            <w:shd w:val="clear" w:color="auto" w:fill="CED8EA"/>
          </w:tcPr>
          <w:p>
            <w:pPr>
              <w:spacing w:after="0"/>
              <w:rPr>
                <w:sz w:val="9"/>
                <w:szCs w:val="9"/>
                <w:color w:val="auto"/>
              </w:rPr>
            </w:pPr>
          </w:p>
        </w:tc>
        <w:tc>
          <w:tcPr>
            <w:tcW w:w="1540" w:type="dxa"/>
            <w:vAlign w:val="bottom"/>
            <w:shd w:val="clear" w:color="auto" w:fill="CED8EA"/>
          </w:tcPr>
          <w:p>
            <w:pPr>
              <w:spacing w:after="0"/>
              <w:rPr>
                <w:sz w:val="9"/>
                <w:szCs w:val="9"/>
                <w:color w:val="auto"/>
              </w:rPr>
            </w:pPr>
          </w:p>
        </w:tc>
        <w:tc>
          <w:tcPr>
            <w:tcW w:w="1300" w:type="dxa"/>
            <w:vAlign w:val="bottom"/>
            <w:shd w:val="clear" w:color="auto" w:fill="CED8EA"/>
          </w:tcPr>
          <w:p>
            <w:pPr>
              <w:spacing w:after="0"/>
              <w:rPr>
                <w:sz w:val="9"/>
                <w:szCs w:val="9"/>
                <w:color w:val="auto"/>
              </w:rPr>
            </w:pPr>
          </w:p>
        </w:tc>
        <w:tc>
          <w:tcPr>
            <w:tcW w:w="640" w:type="dxa"/>
            <w:vAlign w:val="bottom"/>
            <w:shd w:val="clear" w:color="auto" w:fill="CED8EA"/>
          </w:tcPr>
          <w:p>
            <w:pPr>
              <w:spacing w:after="0"/>
              <w:rPr>
                <w:sz w:val="9"/>
                <w:szCs w:val="9"/>
                <w:color w:val="auto"/>
              </w:rPr>
            </w:pPr>
          </w:p>
        </w:tc>
        <w:tc>
          <w:tcPr>
            <w:tcW w:w="640" w:type="dxa"/>
            <w:vAlign w:val="bottom"/>
            <w:shd w:val="clear" w:color="auto" w:fill="CED8EA"/>
          </w:tcPr>
          <w:p>
            <w:pPr>
              <w:spacing w:after="0"/>
              <w:rPr>
                <w:sz w:val="9"/>
                <w:szCs w:val="9"/>
                <w:color w:val="auto"/>
              </w:rPr>
            </w:pPr>
          </w:p>
        </w:tc>
        <w:tc>
          <w:tcPr>
            <w:tcW w:w="980" w:type="dxa"/>
            <w:vAlign w:val="bottom"/>
            <w:shd w:val="clear" w:color="auto" w:fill="CED8EA"/>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6140" w:type="dxa"/>
            <w:vAlign w:val="bottom"/>
          </w:tcPr>
          <w:p>
            <w:pPr>
              <w:ind w:left="280"/>
              <w:spacing w:after="0"/>
              <w:rPr>
                <w:sz w:val="20"/>
                <w:szCs w:val="20"/>
                <w:color w:val="auto"/>
              </w:rPr>
            </w:pPr>
            <w:r>
              <w:rPr>
                <w:rFonts w:ascii="Arial" w:cs="Arial" w:eastAsia="Arial" w:hAnsi="Arial"/>
                <w:sz w:val="18"/>
                <w:szCs w:val="18"/>
                <w:b w:val="1"/>
                <w:bCs w:val="1"/>
                <w:color w:val="02568A"/>
              </w:rPr>
              <w:t>Alan S. Batey</w:t>
            </w:r>
          </w:p>
        </w:tc>
        <w:tc>
          <w:tcPr>
            <w:tcW w:w="1540" w:type="dxa"/>
            <w:vAlign w:val="bottom"/>
            <w:vMerge w:val="restart"/>
          </w:tcPr>
          <w:p>
            <w:pPr>
              <w:jc w:val="center"/>
              <w:ind w:left="552"/>
              <w:spacing w:after="0"/>
              <w:rPr>
                <w:sz w:val="20"/>
                <w:szCs w:val="20"/>
                <w:color w:val="auto"/>
              </w:rPr>
            </w:pPr>
            <w:r>
              <w:rPr>
                <w:rFonts w:ascii="Arial" w:cs="Arial" w:eastAsia="Arial" w:hAnsi="Arial"/>
                <w:sz w:val="18"/>
                <w:szCs w:val="18"/>
                <w:color w:val="02568A"/>
                <w:w w:val="84"/>
              </w:rPr>
              <w:t>2019</w:t>
            </w:r>
          </w:p>
        </w:tc>
        <w:tc>
          <w:tcPr>
            <w:tcW w:w="1300" w:type="dxa"/>
            <w:vAlign w:val="bottom"/>
            <w:vMerge w:val="restart"/>
          </w:tcPr>
          <w:p>
            <w:pPr>
              <w:jc w:val="center"/>
              <w:ind w:right="17"/>
              <w:spacing w:after="0"/>
              <w:rPr>
                <w:sz w:val="20"/>
                <w:szCs w:val="20"/>
                <w:color w:val="auto"/>
              </w:rPr>
            </w:pPr>
            <w:r>
              <w:rPr>
                <w:rFonts w:ascii="Arial" w:cs="Arial" w:eastAsia="Arial" w:hAnsi="Arial"/>
                <w:sz w:val="16"/>
                <w:szCs w:val="16"/>
                <w:color w:val="02568A"/>
                <w:w w:val="74"/>
              </w:rPr>
              <w:t>·</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vMerge w:val="restart"/>
          </w:tcPr>
          <w:p>
            <w:pPr>
              <w:jc w:val="center"/>
              <w:ind w:right="16"/>
              <w:spacing w:after="0"/>
              <w:rPr>
                <w:sz w:val="20"/>
                <w:szCs w:val="20"/>
                <w:color w:val="auto"/>
              </w:rPr>
            </w:pPr>
            <w:r>
              <w:rPr>
                <w:rFonts w:ascii="Arial" w:cs="Arial" w:eastAsia="Arial" w:hAnsi="Arial"/>
                <w:sz w:val="16"/>
                <w:szCs w:val="16"/>
                <w:color w:val="02568A"/>
                <w:w w:val="74"/>
              </w:rPr>
              <w:t>·</w:t>
            </w:r>
          </w:p>
        </w:tc>
        <w:tc>
          <w:tcPr>
            <w:tcW w:w="0" w:type="dxa"/>
            <w:vAlign w:val="bottom"/>
          </w:tcPr>
          <w:p>
            <w:pPr>
              <w:spacing w:after="0"/>
              <w:rPr>
                <w:sz w:val="1"/>
                <w:szCs w:val="1"/>
                <w:color w:val="auto"/>
              </w:rPr>
            </w:pPr>
          </w:p>
        </w:tc>
      </w:tr>
      <w:tr>
        <w:trPr>
          <w:trHeight w:val="114"/>
        </w:trPr>
        <w:tc>
          <w:tcPr>
            <w:tcW w:w="6140" w:type="dxa"/>
            <w:vAlign w:val="bottom"/>
            <w:vMerge w:val="restart"/>
          </w:tcPr>
          <w:p>
            <w:pPr>
              <w:ind w:left="280"/>
              <w:spacing w:after="0"/>
              <w:rPr>
                <w:sz w:val="20"/>
                <w:szCs w:val="20"/>
                <w:color w:val="auto"/>
              </w:rPr>
            </w:pPr>
            <w:r>
              <w:rPr>
                <w:rFonts w:ascii="Arial" w:cs="Arial" w:eastAsia="Arial" w:hAnsi="Arial"/>
                <w:sz w:val="18"/>
                <w:szCs w:val="18"/>
                <w:i w:val="1"/>
                <w:iCs w:val="1"/>
                <w:color w:val="02568A"/>
              </w:rPr>
              <w:t>Retired Executive Vice President and President of N. A., General Motors</w:t>
            </w:r>
          </w:p>
        </w:tc>
        <w:tc>
          <w:tcPr>
            <w:tcW w:w="154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14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ED8EA"/>
          </w:tcPr>
          <w:p>
            <w:pPr>
              <w:ind w:left="280"/>
              <w:spacing w:after="0"/>
              <w:rPr>
                <w:sz w:val="20"/>
                <w:szCs w:val="20"/>
                <w:color w:val="auto"/>
              </w:rPr>
            </w:pPr>
            <w:r>
              <w:rPr>
                <w:rFonts w:ascii="Arial" w:cs="Arial" w:eastAsia="Arial" w:hAnsi="Arial"/>
                <w:sz w:val="18"/>
                <w:szCs w:val="18"/>
                <w:b w:val="1"/>
                <w:bCs w:val="1"/>
                <w:color w:val="02568A"/>
              </w:rPr>
              <w:t>Kevin L. Beebe</w:t>
            </w:r>
          </w:p>
        </w:tc>
        <w:tc>
          <w:tcPr>
            <w:tcW w:w="1540" w:type="dxa"/>
            <w:vAlign w:val="bottom"/>
            <w:vMerge w:val="restart"/>
            <w:shd w:val="clear" w:color="auto" w:fill="CED8EA"/>
          </w:tcPr>
          <w:p>
            <w:pPr>
              <w:jc w:val="center"/>
              <w:ind w:left="552"/>
              <w:spacing w:after="0"/>
              <w:rPr>
                <w:sz w:val="20"/>
                <w:szCs w:val="20"/>
                <w:color w:val="auto"/>
              </w:rPr>
            </w:pPr>
            <w:r>
              <w:rPr>
                <w:rFonts w:ascii="Arial" w:cs="Arial" w:eastAsia="Arial" w:hAnsi="Arial"/>
                <w:sz w:val="18"/>
                <w:szCs w:val="18"/>
                <w:color w:val="02568A"/>
                <w:w w:val="84"/>
              </w:rPr>
              <w:t>2004</w:t>
            </w:r>
          </w:p>
        </w:tc>
        <w:tc>
          <w:tcPr>
            <w:tcW w:w="1300" w:type="dxa"/>
            <w:vAlign w:val="bottom"/>
            <w:vMerge w:val="restart"/>
            <w:shd w:val="clear" w:color="auto" w:fill="CED8EA"/>
          </w:tcPr>
          <w:p>
            <w:pPr>
              <w:jc w:val="center"/>
              <w:ind w:right="17"/>
              <w:spacing w:after="0"/>
              <w:rPr>
                <w:sz w:val="20"/>
                <w:szCs w:val="20"/>
                <w:color w:val="auto"/>
              </w:rPr>
            </w:pPr>
            <w:r>
              <w:rPr>
                <w:rFonts w:ascii="Arial" w:cs="Arial" w:eastAsia="Arial" w:hAnsi="Arial"/>
                <w:sz w:val="16"/>
                <w:szCs w:val="16"/>
                <w:color w:val="02568A"/>
                <w:w w:val="74"/>
              </w:rPr>
              <w:t>·</w:t>
            </w:r>
          </w:p>
        </w:tc>
        <w:tc>
          <w:tcPr>
            <w:tcW w:w="640" w:type="dxa"/>
            <w:vAlign w:val="bottom"/>
            <w:shd w:val="clear" w:color="auto" w:fill="CED8EA"/>
          </w:tcPr>
          <w:p>
            <w:pPr>
              <w:spacing w:after="0"/>
              <w:rPr>
                <w:sz w:val="18"/>
                <w:szCs w:val="18"/>
                <w:color w:val="auto"/>
              </w:rPr>
            </w:pPr>
          </w:p>
        </w:tc>
        <w:tc>
          <w:tcPr>
            <w:tcW w:w="640" w:type="dxa"/>
            <w:vAlign w:val="bottom"/>
            <w:shd w:val="clear" w:color="auto" w:fill="CED8EA"/>
          </w:tcPr>
          <w:p>
            <w:pPr>
              <w:spacing w:after="0"/>
              <w:rPr>
                <w:sz w:val="18"/>
                <w:szCs w:val="18"/>
                <w:color w:val="auto"/>
              </w:rPr>
            </w:pPr>
          </w:p>
        </w:tc>
        <w:tc>
          <w:tcPr>
            <w:tcW w:w="980" w:type="dxa"/>
            <w:vAlign w:val="bottom"/>
            <w:vMerge w:val="restart"/>
            <w:shd w:val="clear" w:color="auto" w:fill="CED8EA"/>
          </w:tcPr>
          <w:p>
            <w:pPr>
              <w:jc w:val="center"/>
              <w:ind w:right="16"/>
              <w:spacing w:after="0"/>
              <w:rPr>
                <w:sz w:val="20"/>
                <w:szCs w:val="20"/>
                <w:color w:val="auto"/>
              </w:rPr>
            </w:pPr>
            <w:r>
              <w:rPr>
                <w:rFonts w:ascii="Arial" w:cs="Arial" w:eastAsia="Arial" w:hAnsi="Arial"/>
                <w:sz w:val="18"/>
                <w:szCs w:val="18"/>
                <w:color w:val="02568A"/>
                <w:w w:val="91"/>
              </w:rPr>
              <w:t>C</w:t>
            </w:r>
          </w:p>
        </w:tc>
        <w:tc>
          <w:tcPr>
            <w:tcW w:w="0" w:type="dxa"/>
            <w:vAlign w:val="bottom"/>
          </w:tcPr>
          <w:p>
            <w:pPr>
              <w:spacing w:after="0"/>
              <w:rPr>
                <w:sz w:val="1"/>
                <w:szCs w:val="1"/>
                <w:color w:val="auto"/>
              </w:rPr>
            </w:pPr>
          </w:p>
        </w:tc>
      </w:tr>
      <w:tr>
        <w:trPr>
          <w:trHeight w:val="114"/>
        </w:trPr>
        <w:tc>
          <w:tcPr>
            <w:tcW w:w="6140" w:type="dxa"/>
            <w:vAlign w:val="bottom"/>
            <w:vMerge w:val="restart"/>
            <w:shd w:val="clear" w:color="auto" w:fill="CED8EA"/>
          </w:tcPr>
          <w:p>
            <w:pPr>
              <w:ind w:left="280"/>
              <w:spacing w:after="0"/>
              <w:rPr>
                <w:sz w:val="20"/>
                <w:szCs w:val="20"/>
                <w:color w:val="auto"/>
              </w:rPr>
            </w:pPr>
            <w:r>
              <w:rPr>
                <w:rFonts w:ascii="Arial" w:cs="Arial" w:eastAsia="Arial" w:hAnsi="Arial"/>
                <w:sz w:val="18"/>
                <w:szCs w:val="18"/>
                <w:i w:val="1"/>
                <w:iCs w:val="1"/>
                <w:color w:val="02568A"/>
              </w:rPr>
              <w:t>President and Chief Executive Officer, 2BPartners, LLC</w:t>
            </w:r>
          </w:p>
        </w:tc>
        <w:tc>
          <w:tcPr>
            <w:tcW w:w="1540" w:type="dxa"/>
            <w:vAlign w:val="bottom"/>
            <w:vMerge w:val="continue"/>
            <w:shd w:val="clear" w:color="auto" w:fill="CED8EA"/>
          </w:tcPr>
          <w:p>
            <w:pPr>
              <w:spacing w:after="0"/>
              <w:rPr>
                <w:sz w:val="9"/>
                <w:szCs w:val="9"/>
                <w:color w:val="auto"/>
              </w:rPr>
            </w:pPr>
          </w:p>
        </w:tc>
        <w:tc>
          <w:tcPr>
            <w:tcW w:w="1300" w:type="dxa"/>
            <w:vAlign w:val="bottom"/>
            <w:vMerge w:val="continue"/>
            <w:shd w:val="clear" w:color="auto" w:fill="CED8EA"/>
          </w:tcPr>
          <w:p>
            <w:pPr>
              <w:spacing w:after="0"/>
              <w:rPr>
                <w:sz w:val="9"/>
                <w:szCs w:val="9"/>
                <w:color w:val="auto"/>
              </w:rPr>
            </w:pPr>
          </w:p>
        </w:tc>
        <w:tc>
          <w:tcPr>
            <w:tcW w:w="640" w:type="dxa"/>
            <w:vAlign w:val="bottom"/>
            <w:shd w:val="clear" w:color="auto" w:fill="CED8EA"/>
          </w:tcPr>
          <w:p>
            <w:pPr>
              <w:spacing w:after="0"/>
              <w:rPr>
                <w:sz w:val="9"/>
                <w:szCs w:val="9"/>
                <w:color w:val="auto"/>
              </w:rPr>
            </w:pPr>
          </w:p>
        </w:tc>
        <w:tc>
          <w:tcPr>
            <w:tcW w:w="640" w:type="dxa"/>
            <w:vAlign w:val="bottom"/>
            <w:shd w:val="clear" w:color="auto" w:fill="CED8EA"/>
          </w:tcPr>
          <w:p>
            <w:pPr>
              <w:spacing w:after="0"/>
              <w:rPr>
                <w:sz w:val="9"/>
                <w:szCs w:val="9"/>
                <w:color w:val="auto"/>
              </w:rPr>
            </w:pPr>
          </w:p>
        </w:tc>
        <w:tc>
          <w:tcPr>
            <w:tcW w:w="980" w:type="dxa"/>
            <w:vAlign w:val="bottom"/>
            <w:vMerge w:val="continue"/>
            <w:shd w:val="clear" w:color="auto" w:fill="CED8EA"/>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140" w:type="dxa"/>
            <w:vAlign w:val="bottom"/>
            <w:vMerge w:val="continue"/>
            <w:shd w:val="clear" w:color="auto" w:fill="CED8EA"/>
          </w:tcPr>
          <w:p>
            <w:pPr>
              <w:spacing w:after="0"/>
              <w:rPr>
                <w:sz w:val="9"/>
                <w:szCs w:val="9"/>
                <w:color w:val="auto"/>
              </w:rPr>
            </w:pPr>
          </w:p>
        </w:tc>
        <w:tc>
          <w:tcPr>
            <w:tcW w:w="1540" w:type="dxa"/>
            <w:vAlign w:val="bottom"/>
            <w:shd w:val="clear" w:color="auto" w:fill="CED8EA"/>
          </w:tcPr>
          <w:p>
            <w:pPr>
              <w:spacing w:after="0"/>
              <w:rPr>
                <w:sz w:val="9"/>
                <w:szCs w:val="9"/>
                <w:color w:val="auto"/>
              </w:rPr>
            </w:pPr>
          </w:p>
        </w:tc>
        <w:tc>
          <w:tcPr>
            <w:tcW w:w="1300" w:type="dxa"/>
            <w:vAlign w:val="bottom"/>
            <w:shd w:val="clear" w:color="auto" w:fill="CED8EA"/>
          </w:tcPr>
          <w:p>
            <w:pPr>
              <w:spacing w:after="0"/>
              <w:rPr>
                <w:sz w:val="9"/>
                <w:szCs w:val="9"/>
                <w:color w:val="auto"/>
              </w:rPr>
            </w:pPr>
          </w:p>
        </w:tc>
        <w:tc>
          <w:tcPr>
            <w:tcW w:w="640" w:type="dxa"/>
            <w:vAlign w:val="bottom"/>
            <w:shd w:val="clear" w:color="auto" w:fill="CED8EA"/>
          </w:tcPr>
          <w:p>
            <w:pPr>
              <w:spacing w:after="0"/>
              <w:rPr>
                <w:sz w:val="9"/>
                <w:szCs w:val="9"/>
                <w:color w:val="auto"/>
              </w:rPr>
            </w:pPr>
          </w:p>
        </w:tc>
        <w:tc>
          <w:tcPr>
            <w:tcW w:w="640" w:type="dxa"/>
            <w:vAlign w:val="bottom"/>
            <w:shd w:val="clear" w:color="auto" w:fill="CED8EA"/>
          </w:tcPr>
          <w:p>
            <w:pPr>
              <w:spacing w:after="0"/>
              <w:rPr>
                <w:sz w:val="9"/>
                <w:szCs w:val="9"/>
                <w:color w:val="auto"/>
              </w:rPr>
            </w:pPr>
          </w:p>
        </w:tc>
        <w:tc>
          <w:tcPr>
            <w:tcW w:w="980" w:type="dxa"/>
            <w:vAlign w:val="bottom"/>
            <w:shd w:val="clear" w:color="auto" w:fill="CED8EA"/>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6140" w:type="dxa"/>
            <w:vAlign w:val="bottom"/>
          </w:tcPr>
          <w:p>
            <w:pPr>
              <w:ind w:left="280"/>
              <w:spacing w:after="0"/>
              <w:rPr>
                <w:sz w:val="20"/>
                <w:szCs w:val="20"/>
                <w:color w:val="auto"/>
              </w:rPr>
            </w:pPr>
            <w:r>
              <w:rPr>
                <w:rFonts w:ascii="Arial" w:cs="Arial" w:eastAsia="Arial" w:hAnsi="Arial"/>
                <w:sz w:val="18"/>
                <w:szCs w:val="18"/>
                <w:b w:val="1"/>
                <w:bCs w:val="1"/>
                <w:color w:val="02568A"/>
              </w:rPr>
              <w:t>Timothy R. Furey</w:t>
            </w:r>
          </w:p>
        </w:tc>
        <w:tc>
          <w:tcPr>
            <w:tcW w:w="1540" w:type="dxa"/>
            <w:vAlign w:val="bottom"/>
            <w:vMerge w:val="restart"/>
          </w:tcPr>
          <w:p>
            <w:pPr>
              <w:jc w:val="center"/>
              <w:ind w:left="552"/>
              <w:spacing w:after="0"/>
              <w:rPr>
                <w:sz w:val="20"/>
                <w:szCs w:val="20"/>
                <w:color w:val="auto"/>
              </w:rPr>
            </w:pPr>
            <w:r>
              <w:rPr>
                <w:rFonts w:ascii="Arial" w:cs="Arial" w:eastAsia="Arial" w:hAnsi="Arial"/>
                <w:sz w:val="18"/>
                <w:szCs w:val="18"/>
                <w:color w:val="02568A"/>
                <w:w w:val="84"/>
              </w:rPr>
              <w:t>1998</w:t>
            </w:r>
          </w:p>
        </w:tc>
        <w:tc>
          <w:tcPr>
            <w:tcW w:w="1300" w:type="dxa"/>
            <w:vAlign w:val="bottom"/>
            <w:vMerge w:val="restart"/>
          </w:tcPr>
          <w:p>
            <w:pPr>
              <w:jc w:val="center"/>
              <w:ind w:right="17"/>
              <w:spacing w:after="0"/>
              <w:rPr>
                <w:sz w:val="20"/>
                <w:szCs w:val="20"/>
                <w:color w:val="auto"/>
              </w:rPr>
            </w:pPr>
            <w:r>
              <w:rPr>
                <w:rFonts w:ascii="Arial" w:cs="Arial" w:eastAsia="Arial" w:hAnsi="Arial"/>
                <w:sz w:val="16"/>
                <w:szCs w:val="16"/>
                <w:color w:val="02568A"/>
                <w:w w:val="74"/>
              </w:rPr>
              <w:t>·</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02568A"/>
                <w:w w:val="74"/>
              </w:rPr>
              <w:t>·</w:t>
            </w:r>
          </w:p>
        </w:tc>
        <w:tc>
          <w:tcPr>
            <w:tcW w:w="640" w:type="dxa"/>
            <w:vAlign w:val="bottom"/>
          </w:tcPr>
          <w:p>
            <w:pPr>
              <w:spacing w:after="0"/>
              <w:rPr>
                <w:sz w:val="18"/>
                <w:szCs w:val="18"/>
                <w:color w:val="auto"/>
              </w:rPr>
            </w:pPr>
          </w:p>
        </w:tc>
        <w:tc>
          <w:tcPr>
            <w:tcW w:w="980" w:type="dxa"/>
            <w:vAlign w:val="bottom"/>
            <w:vMerge w:val="restart"/>
          </w:tcPr>
          <w:p>
            <w:pPr>
              <w:jc w:val="center"/>
              <w:ind w:right="16"/>
              <w:spacing w:after="0"/>
              <w:rPr>
                <w:sz w:val="20"/>
                <w:szCs w:val="20"/>
                <w:color w:val="auto"/>
              </w:rPr>
            </w:pPr>
            <w:r>
              <w:rPr>
                <w:rFonts w:ascii="Arial" w:cs="Arial" w:eastAsia="Arial" w:hAnsi="Arial"/>
                <w:sz w:val="16"/>
                <w:szCs w:val="16"/>
                <w:color w:val="02568A"/>
                <w:w w:val="74"/>
              </w:rPr>
              <w:t>·</w:t>
            </w:r>
          </w:p>
        </w:tc>
        <w:tc>
          <w:tcPr>
            <w:tcW w:w="0" w:type="dxa"/>
            <w:vAlign w:val="bottom"/>
          </w:tcPr>
          <w:p>
            <w:pPr>
              <w:spacing w:after="0"/>
              <w:rPr>
                <w:sz w:val="1"/>
                <w:szCs w:val="1"/>
                <w:color w:val="auto"/>
              </w:rPr>
            </w:pPr>
          </w:p>
        </w:tc>
      </w:tr>
      <w:tr>
        <w:trPr>
          <w:trHeight w:val="114"/>
        </w:trPr>
        <w:tc>
          <w:tcPr>
            <w:tcW w:w="6140" w:type="dxa"/>
            <w:vAlign w:val="bottom"/>
            <w:vMerge w:val="restart"/>
          </w:tcPr>
          <w:p>
            <w:pPr>
              <w:ind w:left="280"/>
              <w:spacing w:after="0"/>
              <w:rPr>
                <w:sz w:val="20"/>
                <w:szCs w:val="20"/>
                <w:color w:val="auto"/>
              </w:rPr>
            </w:pPr>
            <w:r>
              <w:rPr>
                <w:rFonts w:ascii="Arial" w:cs="Arial" w:eastAsia="Arial" w:hAnsi="Arial"/>
                <w:sz w:val="18"/>
                <w:szCs w:val="18"/>
                <w:i w:val="1"/>
                <w:iCs w:val="1"/>
                <w:color w:val="02568A"/>
              </w:rPr>
              <w:t>Chief Executive Officer, MarketBridge</w:t>
            </w:r>
          </w:p>
        </w:tc>
        <w:tc>
          <w:tcPr>
            <w:tcW w:w="154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14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ED8EA"/>
          </w:tcPr>
          <w:p>
            <w:pPr>
              <w:ind w:left="280"/>
              <w:spacing w:after="0"/>
              <w:rPr>
                <w:sz w:val="20"/>
                <w:szCs w:val="20"/>
                <w:color w:val="auto"/>
              </w:rPr>
            </w:pPr>
            <w:r>
              <w:rPr>
                <w:rFonts w:ascii="Arial" w:cs="Arial" w:eastAsia="Arial" w:hAnsi="Arial"/>
                <w:sz w:val="18"/>
                <w:szCs w:val="18"/>
                <w:b w:val="1"/>
                <w:bCs w:val="1"/>
                <w:color w:val="02568A"/>
              </w:rPr>
              <w:t>Liam K. Griffin</w:t>
            </w:r>
          </w:p>
        </w:tc>
        <w:tc>
          <w:tcPr>
            <w:tcW w:w="1540" w:type="dxa"/>
            <w:vAlign w:val="bottom"/>
            <w:vMerge w:val="restart"/>
            <w:shd w:val="clear" w:color="auto" w:fill="CED8EA"/>
          </w:tcPr>
          <w:p>
            <w:pPr>
              <w:jc w:val="center"/>
              <w:ind w:left="552"/>
              <w:spacing w:after="0"/>
              <w:rPr>
                <w:sz w:val="20"/>
                <w:szCs w:val="20"/>
                <w:color w:val="auto"/>
              </w:rPr>
            </w:pPr>
            <w:r>
              <w:rPr>
                <w:rFonts w:ascii="Arial" w:cs="Arial" w:eastAsia="Arial" w:hAnsi="Arial"/>
                <w:sz w:val="18"/>
                <w:szCs w:val="18"/>
                <w:color w:val="02568A"/>
                <w:w w:val="84"/>
              </w:rPr>
              <w:t>2016</w:t>
            </w:r>
          </w:p>
        </w:tc>
        <w:tc>
          <w:tcPr>
            <w:tcW w:w="1300" w:type="dxa"/>
            <w:vAlign w:val="bottom"/>
            <w:shd w:val="clear" w:color="auto" w:fill="CED8EA"/>
          </w:tcPr>
          <w:p>
            <w:pPr>
              <w:spacing w:after="0"/>
              <w:rPr>
                <w:sz w:val="18"/>
                <w:szCs w:val="18"/>
                <w:color w:val="auto"/>
              </w:rPr>
            </w:pPr>
          </w:p>
        </w:tc>
        <w:tc>
          <w:tcPr>
            <w:tcW w:w="640" w:type="dxa"/>
            <w:vAlign w:val="bottom"/>
            <w:shd w:val="clear" w:color="auto" w:fill="CED8EA"/>
          </w:tcPr>
          <w:p>
            <w:pPr>
              <w:spacing w:after="0"/>
              <w:rPr>
                <w:sz w:val="18"/>
                <w:szCs w:val="18"/>
                <w:color w:val="auto"/>
              </w:rPr>
            </w:pPr>
          </w:p>
        </w:tc>
        <w:tc>
          <w:tcPr>
            <w:tcW w:w="640" w:type="dxa"/>
            <w:vAlign w:val="bottom"/>
            <w:shd w:val="clear" w:color="auto" w:fill="CED8EA"/>
          </w:tcPr>
          <w:p>
            <w:pPr>
              <w:spacing w:after="0"/>
              <w:rPr>
                <w:sz w:val="18"/>
                <w:szCs w:val="18"/>
                <w:color w:val="auto"/>
              </w:rPr>
            </w:pPr>
          </w:p>
        </w:tc>
        <w:tc>
          <w:tcPr>
            <w:tcW w:w="980" w:type="dxa"/>
            <w:vAlign w:val="bottom"/>
            <w:shd w:val="clear" w:color="auto" w:fill="CED8EA"/>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6140" w:type="dxa"/>
            <w:vAlign w:val="bottom"/>
            <w:vMerge w:val="restart"/>
            <w:shd w:val="clear" w:color="auto" w:fill="CED8EA"/>
          </w:tcPr>
          <w:p>
            <w:pPr>
              <w:ind w:left="280"/>
              <w:spacing w:after="0"/>
              <w:rPr>
                <w:sz w:val="20"/>
                <w:szCs w:val="20"/>
                <w:color w:val="auto"/>
              </w:rPr>
            </w:pPr>
            <w:r>
              <w:rPr>
                <w:rFonts w:ascii="Arial" w:cs="Arial" w:eastAsia="Arial" w:hAnsi="Arial"/>
                <w:sz w:val="18"/>
                <w:szCs w:val="18"/>
                <w:i w:val="1"/>
                <w:iCs w:val="1"/>
                <w:color w:val="02568A"/>
              </w:rPr>
              <w:t>President, Chief Executive Officer and Director</w:t>
            </w:r>
          </w:p>
        </w:tc>
        <w:tc>
          <w:tcPr>
            <w:tcW w:w="1540" w:type="dxa"/>
            <w:vAlign w:val="bottom"/>
            <w:vMerge w:val="continue"/>
            <w:shd w:val="clear" w:color="auto" w:fill="CED8EA"/>
          </w:tcPr>
          <w:p>
            <w:pPr>
              <w:spacing w:after="0"/>
              <w:rPr>
                <w:sz w:val="9"/>
                <w:szCs w:val="9"/>
                <w:color w:val="auto"/>
              </w:rPr>
            </w:pPr>
          </w:p>
        </w:tc>
        <w:tc>
          <w:tcPr>
            <w:tcW w:w="1300" w:type="dxa"/>
            <w:vAlign w:val="bottom"/>
            <w:shd w:val="clear" w:color="auto" w:fill="CED8EA"/>
          </w:tcPr>
          <w:p>
            <w:pPr>
              <w:spacing w:after="0"/>
              <w:rPr>
                <w:sz w:val="9"/>
                <w:szCs w:val="9"/>
                <w:color w:val="auto"/>
              </w:rPr>
            </w:pPr>
          </w:p>
        </w:tc>
        <w:tc>
          <w:tcPr>
            <w:tcW w:w="640" w:type="dxa"/>
            <w:vAlign w:val="bottom"/>
            <w:shd w:val="clear" w:color="auto" w:fill="CED8EA"/>
          </w:tcPr>
          <w:p>
            <w:pPr>
              <w:spacing w:after="0"/>
              <w:rPr>
                <w:sz w:val="9"/>
                <w:szCs w:val="9"/>
                <w:color w:val="auto"/>
              </w:rPr>
            </w:pPr>
          </w:p>
        </w:tc>
        <w:tc>
          <w:tcPr>
            <w:tcW w:w="640" w:type="dxa"/>
            <w:vAlign w:val="bottom"/>
            <w:shd w:val="clear" w:color="auto" w:fill="CED8EA"/>
          </w:tcPr>
          <w:p>
            <w:pPr>
              <w:spacing w:after="0"/>
              <w:rPr>
                <w:sz w:val="9"/>
                <w:szCs w:val="9"/>
                <w:color w:val="auto"/>
              </w:rPr>
            </w:pPr>
          </w:p>
        </w:tc>
        <w:tc>
          <w:tcPr>
            <w:tcW w:w="980" w:type="dxa"/>
            <w:vAlign w:val="bottom"/>
            <w:shd w:val="clear" w:color="auto" w:fill="CED8EA"/>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140" w:type="dxa"/>
            <w:vAlign w:val="bottom"/>
            <w:vMerge w:val="continue"/>
            <w:shd w:val="clear" w:color="auto" w:fill="CED8EA"/>
          </w:tcPr>
          <w:p>
            <w:pPr>
              <w:spacing w:after="0"/>
              <w:rPr>
                <w:sz w:val="9"/>
                <w:szCs w:val="9"/>
                <w:color w:val="auto"/>
              </w:rPr>
            </w:pPr>
          </w:p>
        </w:tc>
        <w:tc>
          <w:tcPr>
            <w:tcW w:w="1540" w:type="dxa"/>
            <w:vAlign w:val="bottom"/>
            <w:shd w:val="clear" w:color="auto" w:fill="CED8EA"/>
          </w:tcPr>
          <w:p>
            <w:pPr>
              <w:spacing w:after="0"/>
              <w:rPr>
                <w:sz w:val="9"/>
                <w:szCs w:val="9"/>
                <w:color w:val="auto"/>
              </w:rPr>
            </w:pPr>
          </w:p>
        </w:tc>
        <w:tc>
          <w:tcPr>
            <w:tcW w:w="1300" w:type="dxa"/>
            <w:vAlign w:val="bottom"/>
            <w:shd w:val="clear" w:color="auto" w:fill="CED8EA"/>
          </w:tcPr>
          <w:p>
            <w:pPr>
              <w:spacing w:after="0"/>
              <w:rPr>
                <w:sz w:val="9"/>
                <w:szCs w:val="9"/>
                <w:color w:val="auto"/>
              </w:rPr>
            </w:pPr>
          </w:p>
        </w:tc>
        <w:tc>
          <w:tcPr>
            <w:tcW w:w="640" w:type="dxa"/>
            <w:vAlign w:val="bottom"/>
            <w:shd w:val="clear" w:color="auto" w:fill="CED8EA"/>
          </w:tcPr>
          <w:p>
            <w:pPr>
              <w:spacing w:after="0"/>
              <w:rPr>
                <w:sz w:val="9"/>
                <w:szCs w:val="9"/>
                <w:color w:val="auto"/>
              </w:rPr>
            </w:pPr>
          </w:p>
        </w:tc>
        <w:tc>
          <w:tcPr>
            <w:tcW w:w="640" w:type="dxa"/>
            <w:vAlign w:val="bottom"/>
            <w:shd w:val="clear" w:color="auto" w:fill="CED8EA"/>
          </w:tcPr>
          <w:p>
            <w:pPr>
              <w:spacing w:after="0"/>
              <w:rPr>
                <w:sz w:val="9"/>
                <w:szCs w:val="9"/>
                <w:color w:val="auto"/>
              </w:rPr>
            </w:pPr>
          </w:p>
        </w:tc>
        <w:tc>
          <w:tcPr>
            <w:tcW w:w="980" w:type="dxa"/>
            <w:vAlign w:val="bottom"/>
            <w:shd w:val="clear" w:color="auto" w:fill="CED8EA"/>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6140" w:type="dxa"/>
            <w:vAlign w:val="bottom"/>
          </w:tcPr>
          <w:p>
            <w:pPr>
              <w:ind w:left="280"/>
              <w:spacing w:after="0"/>
              <w:rPr>
                <w:sz w:val="20"/>
                <w:szCs w:val="20"/>
                <w:color w:val="auto"/>
              </w:rPr>
            </w:pPr>
            <w:r>
              <w:rPr>
                <w:rFonts w:ascii="Arial" w:cs="Arial" w:eastAsia="Arial" w:hAnsi="Arial"/>
                <w:sz w:val="18"/>
                <w:szCs w:val="18"/>
                <w:b w:val="1"/>
                <w:bCs w:val="1"/>
                <w:color w:val="02568A"/>
              </w:rPr>
              <w:t>Christine King</w:t>
            </w:r>
          </w:p>
        </w:tc>
        <w:tc>
          <w:tcPr>
            <w:tcW w:w="1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80"/>
              <w:spacing w:after="0"/>
              <w:rPr>
                <w:sz w:val="20"/>
                <w:szCs w:val="20"/>
                <w:color w:val="auto"/>
              </w:rPr>
            </w:pPr>
            <w:r>
              <w:rPr>
                <w:rFonts w:ascii="Arial" w:cs="Arial" w:eastAsia="Arial" w:hAnsi="Arial"/>
                <w:sz w:val="18"/>
                <w:szCs w:val="18"/>
                <w:i w:val="1"/>
                <w:iCs w:val="1"/>
                <w:color w:val="02568A"/>
              </w:rPr>
              <w:t>Lead Independent Director, Skyworks Solutions, Inc.</w:t>
            </w:r>
          </w:p>
        </w:tc>
        <w:tc>
          <w:tcPr>
            <w:tcW w:w="1540" w:type="dxa"/>
            <w:vAlign w:val="bottom"/>
          </w:tcPr>
          <w:p>
            <w:pPr>
              <w:jc w:val="center"/>
              <w:ind w:left="552"/>
              <w:spacing w:after="0"/>
              <w:rPr>
                <w:sz w:val="20"/>
                <w:szCs w:val="20"/>
                <w:color w:val="auto"/>
              </w:rPr>
            </w:pPr>
            <w:r>
              <w:rPr>
                <w:rFonts w:ascii="Arial" w:cs="Arial" w:eastAsia="Arial" w:hAnsi="Arial"/>
                <w:sz w:val="18"/>
                <w:szCs w:val="18"/>
                <w:color w:val="02568A"/>
                <w:w w:val="84"/>
              </w:rPr>
              <w:t>2014</w:t>
            </w:r>
          </w:p>
        </w:tc>
        <w:tc>
          <w:tcPr>
            <w:tcW w:w="1300" w:type="dxa"/>
            <w:vAlign w:val="bottom"/>
          </w:tcPr>
          <w:p>
            <w:pPr>
              <w:jc w:val="center"/>
              <w:ind w:right="17"/>
              <w:spacing w:after="0"/>
              <w:rPr>
                <w:sz w:val="20"/>
                <w:szCs w:val="20"/>
                <w:color w:val="auto"/>
              </w:rPr>
            </w:pPr>
            <w:r>
              <w:rPr>
                <w:rFonts w:ascii="Arial" w:cs="Arial" w:eastAsia="Arial" w:hAnsi="Arial"/>
                <w:sz w:val="16"/>
                <w:szCs w:val="16"/>
                <w:color w:val="02568A"/>
                <w:w w:val="74"/>
              </w:rPr>
              <w:t>·</w:t>
            </w:r>
          </w:p>
        </w:tc>
        <w:tc>
          <w:tcPr>
            <w:tcW w:w="640" w:type="dxa"/>
            <w:vAlign w:val="bottom"/>
          </w:tcPr>
          <w:p>
            <w:pPr>
              <w:jc w:val="center"/>
              <w:spacing w:after="0"/>
              <w:rPr>
                <w:sz w:val="20"/>
                <w:szCs w:val="20"/>
                <w:color w:val="auto"/>
              </w:rPr>
            </w:pPr>
            <w:r>
              <w:rPr>
                <w:rFonts w:ascii="Arial" w:cs="Arial" w:eastAsia="Arial" w:hAnsi="Arial"/>
                <w:sz w:val="16"/>
                <w:szCs w:val="16"/>
                <w:color w:val="02568A"/>
                <w:w w:val="74"/>
              </w:rPr>
              <w:t>·</w:t>
            </w:r>
          </w:p>
        </w:tc>
        <w:tc>
          <w:tcPr>
            <w:tcW w:w="640" w:type="dxa"/>
            <w:vAlign w:val="bottom"/>
          </w:tcPr>
          <w:p>
            <w:pPr>
              <w:jc w:val="center"/>
              <w:spacing w:after="0"/>
              <w:rPr>
                <w:sz w:val="20"/>
                <w:szCs w:val="20"/>
                <w:color w:val="auto"/>
              </w:rPr>
            </w:pPr>
            <w:r>
              <w:rPr>
                <w:rFonts w:ascii="Arial" w:cs="Arial" w:eastAsia="Arial" w:hAnsi="Arial"/>
                <w:sz w:val="18"/>
                <w:szCs w:val="18"/>
                <w:color w:val="02568A"/>
                <w:w w:val="91"/>
              </w:rPr>
              <w:t>C</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tcPr>
          <w:p>
            <w:pPr>
              <w:ind w:left="280"/>
              <w:spacing w:after="0"/>
              <w:rPr>
                <w:sz w:val="20"/>
                <w:szCs w:val="20"/>
                <w:color w:val="auto"/>
              </w:rPr>
            </w:pPr>
            <w:r>
              <w:rPr>
                <w:rFonts w:ascii="Arial" w:cs="Arial" w:eastAsia="Arial" w:hAnsi="Arial"/>
                <w:sz w:val="18"/>
                <w:szCs w:val="18"/>
                <w:i w:val="1"/>
                <w:iCs w:val="1"/>
                <w:color w:val="02568A"/>
              </w:rPr>
              <w:t>Retired Executive Chairman, QLogic Corporation</w:t>
            </w:r>
          </w:p>
        </w:tc>
        <w:tc>
          <w:tcPr>
            <w:tcW w:w="1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ED8EA"/>
          </w:tcPr>
          <w:p>
            <w:pPr>
              <w:ind w:left="280"/>
              <w:spacing w:after="0"/>
              <w:rPr>
                <w:sz w:val="20"/>
                <w:szCs w:val="20"/>
                <w:color w:val="auto"/>
              </w:rPr>
            </w:pPr>
            <w:r>
              <w:rPr>
                <w:rFonts w:ascii="Arial" w:cs="Arial" w:eastAsia="Arial" w:hAnsi="Arial"/>
                <w:sz w:val="18"/>
                <w:szCs w:val="18"/>
                <w:b w:val="1"/>
                <w:bCs w:val="1"/>
                <w:color w:val="02568A"/>
              </w:rPr>
              <w:t>David P. McGlade</w:t>
            </w:r>
          </w:p>
        </w:tc>
        <w:tc>
          <w:tcPr>
            <w:tcW w:w="1540" w:type="dxa"/>
            <w:vAlign w:val="bottom"/>
            <w:vMerge w:val="restart"/>
            <w:shd w:val="clear" w:color="auto" w:fill="CED8EA"/>
          </w:tcPr>
          <w:p>
            <w:pPr>
              <w:jc w:val="center"/>
              <w:ind w:left="552"/>
              <w:spacing w:after="0"/>
              <w:rPr>
                <w:sz w:val="20"/>
                <w:szCs w:val="20"/>
                <w:color w:val="auto"/>
              </w:rPr>
            </w:pPr>
            <w:r>
              <w:rPr>
                <w:rFonts w:ascii="Arial" w:cs="Arial" w:eastAsia="Arial" w:hAnsi="Arial"/>
                <w:sz w:val="18"/>
                <w:szCs w:val="18"/>
                <w:color w:val="02568A"/>
                <w:w w:val="84"/>
              </w:rPr>
              <w:t>2005</w:t>
            </w:r>
          </w:p>
        </w:tc>
        <w:tc>
          <w:tcPr>
            <w:tcW w:w="1300" w:type="dxa"/>
            <w:vAlign w:val="bottom"/>
            <w:vMerge w:val="restart"/>
            <w:shd w:val="clear" w:color="auto" w:fill="CED8EA"/>
          </w:tcPr>
          <w:p>
            <w:pPr>
              <w:jc w:val="center"/>
              <w:ind w:right="17"/>
              <w:spacing w:after="0"/>
              <w:rPr>
                <w:sz w:val="20"/>
                <w:szCs w:val="20"/>
                <w:color w:val="auto"/>
              </w:rPr>
            </w:pPr>
            <w:r>
              <w:rPr>
                <w:rFonts w:ascii="Arial" w:cs="Arial" w:eastAsia="Arial" w:hAnsi="Arial"/>
                <w:sz w:val="16"/>
                <w:szCs w:val="16"/>
                <w:color w:val="02568A"/>
                <w:w w:val="74"/>
              </w:rPr>
              <w:t>·</w:t>
            </w:r>
          </w:p>
        </w:tc>
        <w:tc>
          <w:tcPr>
            <w:tcW w:w="640" w:type="dxa"/>
            <w:vAlign w:val="bottom"/>
            <w:vMerge w:val="restart"/>
            <w:shd w:val="clear" w:color="auto" w:fill="CED8EA"/>
          </w:tcPr>
          <w:p>
            <w:pPr>
              <w:jc w:val="center"/>
              <w:spacing w:after="0"/>
              <w:rPr>
                <w:sz w:val="20"/>
                <w:szCs w:val="20"/>
                <w:color w:val="auto"/>
              </w:rPr>
            </w:pPr>
            <w:r>
              <w:rPr>
                <w:rFonts w:ascii="Arial" w:cs="Arial" w:eastAsia="Arial" w:hAnsi="Arial"/>
                <w:sz w:val="16"/>
                <w:szCs w:val="16"/>
                <w:color w:val="02568A"/>
                <w:w w:val="74"/>
              </w:rPr>
              <w:t>·</w:t>
            </w:r>
          </w:p>
        </w:tc>
        <w:tc>
          <w:tcPr>
            <w:tcW w:w="640" w:type="dxa"/>
            <w:vAlign w:val="bottom"/>
            <w:vMerge w:val="restart"/>
            <w:shd w:val="clear" w:color="auto" w:fill="CED8EA"/>
          </w:tcPr>
          <w:p>
            <w:pPr>
              <w:jc w:val="center"/>
              <w:spacing w:after="0"/>
              <w:rPr>
                <w:sz w:val="20"/>
                <w:szCs w:val="20"/>
                <w:color w:val="auto"/>
              </w:rPr>
            </w:pPr>
            <w:r>
              <w:rPr>
                <w:rFonts w:ascii="Arial" w:cs="Arial" w:eastAsia="Arial" w:hAnsi="Arial"/>
                <w:sz w:val="16"/>
                <w:szCs w:val="16"/>
                <w:color w:val="02568A"/>
                <w:w w:val="74"/>
              </w:rPr>
              <w:t>·</w:t>
            </w:r>
          </w:p>
        </w:tc>
        <w:tc>
          <w:tcPr>
            <w:tcW w:w="980" w:type="dxa"/>
            <w:vAlign w:val="bottom"/>
            <w:shd w:val="clear" w:color="auto" w:fill="CED8EA"/>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6140" w:type="dxa"/>
            <w:vAlign w:val="bottom"/>
            <w:vMerge w:val="restart"/>
            <w:shd w:val="clear" w:color="auto" w:fill="CED8EA"/>
          </w:tcPr>
          <w:p>
            <w:pPr>
              <w:ind w:left="280"/>
              <w:spacing w:after="0"/>
              <w:rPr>
                <w:sz w:val="20"/>
                <w:szCs w:val="20"/>
                <w:color w:val="auto"/>
              </w:rPr>
            </w:pPr>
            <w:r>
              <w:rPr>
                <w:rFonts w:ascii="Arial" w:cs="Arial" w:eastAsia="Arial" w:hAnsi="Arial"/>
                <w:sz w:val="18"/>
                <w:szCs w:val="18"/>
                <w:i w:val="1"/>
                <w:iCs w:val="1"/>
                <w:color w:val="02568A"/>
              </w:rPr>
              <w:t>Chairman of the Board, Intelsat S.A.</w:t>
            </w:r>
          </w:p>
        </w:tc>
        <w:tc>
          <w:tcPr>
            <w:tcW w:w="1540" w:type="dxa"/>
            <w:vAlign w:val="bottom"/>
            <w:vMerge w:val="continue"/>
            <w:shd w:val="clear" w:color="auto" w:fill="CED8EA"/>
          </w:tcPr>
          <w:p>
            <w:pPr>
              <w:spacing w:after="0"/>
              <w:rPr>
                <w:sz w:val="9"/>
                <w:szCs w:val="9"/>
                <w:color w:val="auto"/>
              </w:rPr>
            </w:pPr>
          </w:p>
        </w:tc>
        <w:tc>
          <w:tcPr>
            <w:tcW w:w="1300" w:type="dxa"/>
            <w:vAlign w:val="bottom"/>
            <w:vMerge w:val="continue"/>
            <w:shd w:val="clear" w:color="auto" w:fill="CED8EA"/>
          </w:tcPr>
          <w:p>
            <w:pPr>
              <w:spacing w:after="0"/>
              <w:rPr>
                <w:sz w:val="9"/>
                <w:szCs w:val="9"/>
                <w:color w:val="auto"/>
              </w:rPr>
            </w:pPr>
          </w:p>
        </w:tc>
        <w:tc>
          <w:tcPr>
            <w:tcW w:w="640" w:type="dxa"/>
            <w:vAlign w:val="bottom"/>
            <w:vMerge w:val="continue"/>
            <w:shd w:val="clear" w:color="auto" w:fill="CED8EA"/>
          </w:tcPr>
          <w:p>
            <w:pPr>
              <w:spacing w:after="0"/>
              <w:rPr>
                <w:sz w:val="9"/>
                <w:szCs w:val="9"/>
                <w:color w:val="auto"/>
              </w:rPr>
            </w:pPr>
          </w:p>
        </w:tc>
        <w:tc>
          <w:tcPr>
            <w:tcW w:w="640" w:type="dxa"/>
            <w:vAlign w:val="bottom"/>
            <w:vMerge w:val="continue"/>
            <w:shd w:val="clear" w:color="auto" w:fill="CED8EA"/>
          </w:tcPr>
          <w:p>
            <w:pPr>
              <w:spacing w:after="0"/>
              <w:rPr>
                <w:sz w:val="9"/>
                <w:szCs w:val="9"/>
                <w:color w:val="auto"/>
              </w:rPr>
            </w:pPr>
          </w:p>
        </w:tc>
        <w:tc>
          <w:tcPr>
            <w:tcW w:w="980" w:type="dxa"/>
            <w:vAlign w:val="bottom"/>
            <w:shd w:val="clear" w:color="auto" w:fill="CED8EA"/>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140" w:type="dxa"/>
            <w:vAlign w:val="bottom"/>
            <w:vMerge w:val="continue"/>
            <w:shd w:val="clear" w:color="auto" w:fill="CED8EA"/>
          </w:tcPr>
          <w:p>
            <w:pPr>
              <w:spacing w:after="0"/>
              <w:rPr>
                <w:sz w:val="9"/>
                <w:szCs w:val="9"/>
                <w:color w:val="auto"/>
              </w:rPr>
            </w:pPr>
          </w:p>
        </w:tc>
        <w:tc>
          <w:tcPr>
            <w:tcW w:w="1540" w:type="dxa"/>
            <w:vAlign w:val="bottom"/>
            <w:shd w:val="clear" w:color="auto" w:fill="CED8EA"/>
          </w:tcPr>
          <w:p>
            <w:pPr>
              <w:spacing w:after="0"/>
              <w:rPr>
                <w:sz w:val="9"/>
                <w:szCs w:val="9"/>
                <w:color w:val="auto"/>
              </w:rPr>
            </w:pPr>
          </w:p>
        </w:tc>
        <w:tc>
          <w:tcPr>
            <w:tcW w:w="1300" w:type="dxa"/>
            <w:vAlign w:val="bottom"/>
            <w:shd w:val="clear" w:color="auto" w:fill="CED8EA"/>
          </w:tcPr>
          <w:p>
            <w:pPr>
              <w:spacing w:after="0"/>
              <w:rPr>
                <w:sz w:val="9"/>
                <w:szCs w:val="9"/>
                <w:color w:val="auto"/>
              </w:rPr>
            </w:pPr>
          </w:p>
        </w:tc>
        <w:tc>
          <w:tcPr>
            <w:tcW w:w="640" w:type="dxa"/>
            <w:vAlign w:val="bottom"/>
            <w:shd w:val="clear" w:color="auto" w:fill="CED8EA"/>
          </w:tcPr>
          <w:p>
            <w:pPr>
              <w:spacing w:after="0"/>
              <w:rPr>
                <w:sz w:val="9"/>
                <w:szCs w:val="9"/>
                <w:color w:val="auto"/>
              </w:rPr>
            </w:pPr>
          </w:p>
        </w:tc>
        <w:tc>
          <w:tcPr>
            <w:tcW w:w="640" w:type="dxa"/>
            <w:vAlign w:val="bottom"/>
            <w:shd w:val="clear" w:color="auto" w:fill="CED8EA"/>
          </w:tcPr>
          <w:p>
            <w:pPr>
              <w:spacing w:after="0"/>
              <w:rPr>
                <w:sz w:val="9"/>
                <w:szCs w:val="9"/>
                <w:color w:val="auto"/>
              </w:rPr>
            </w:pPr>
          </w:p>
        </w:tc>
        <w:tc>
          <w:tcPr>
            <w:tcW w:w="980" w:type="dxa"/>
            <w:vAlign w:val="bottom"/>
            <w:shd w:val="clear" w:color="auto" w:fill="CED8EA"/>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6140" w:type="dxa"/>
            <w:vAlign w:val="bottom"/>
          </w:tcPr>
          <w:p>
            <w:pPr>
              <w:ind w:left="280"/>
              <w:spacing w:after="0"/>
              <w:rPr>
                <w:sz w:val="20"/>
                <w:szCs w:val="20"/>
                <w:color w:val="auto"/>
              </w:rPr>
            </w:pPr>
            <w:r>
              <w:rPr>
                <w:rFonts w:ascii="Arial" w:cs="Arial" w:eastAsia="Arial" w:hAnsi="Arial"/>
                <w:sz w:val="18"/>
                <w:szCs w:val="18"/>
                <w:b w:val="1"/>
                <w:bCs w:val="1"/>
                <w:color w:val="02568A"/>
              </w:rPr>
              <w:t>Robert A. Schriesheim</w:t>
            </w:r>
          </w:p>
        </w:tc>
        <w:tc>
          <w:tcPr>
            <w:tcW w:w="1540" w:type="dxa"/>
            <w:vAlign w:val="bottom"/>
            <w:vMerge w:val="restart"/>
          </w:tcPr>
          <w:p>
            <w:pPr>
              <w:jc w:val="center"/>
              <w:ind w:left="552"/>
              <w:spacing w:after="0"/>
              <w:rPr>
                <w:sz w:val="20"/>
                <w:szCs w:val="20"/>
                <w:color w:val="auto"/>
              </w:rPr>
            </w:pPr>
            <w:r>
              <w:rPr>
                <w:rFonts w:ascii="Arial" w:cs="Arial" w:eastAsia="Arial" w:hAnsi="Arial"/>
                <w:sz w:val="18"/>
                <w:szCs w:val="18"/>
                <w:color w:val="02568A"/>
                <w:w w:val="84"/>
              </w:rPr>
              <w:t>2006</w:t>
            </w:r>
          </w:p>
        </w:tc>
        <w:tc>
          <w:tcPr>
            <w:tcW w:w="1300" w:type="dxa"/>
            <w:vAlign w:val="bottom"/>
            <w:vMerge w:val="restart"/>
          </w:tcPr>
          <w:p>
            <w:pPr>
              <w:jc w:val="center"/>
              <w:ind w:right="17"/>
              <w:spacing w:after="0"/>
              <w:rPr>
                <w:sz w:val="20"/>
                <w:szCs w:val="20"/>
                <w:color w:val="auto"/>
              </w:rPr>
            </w:pPr>
            <w:r>
              <w:rPr>
                <w:rFonts w:ascii="Arial" w:cs="Arial" w:eastAsia="Arial" w:hAnsi="Arial"/>
                <w:sz w:val="16"/>
                <w:szCs w:val="16"/>
                <w:color w:val="02568A"/>
                <w:w w:val="74"/>
              </w:rPr>
              <w:t>·</w:t>
            </w:r>
          </w:p>
        </w:tc>
        <w:tc>
          <w:tcPr>
            <w:tcW w:w="640" w:type="dxa"/>
            <w:vAlign w:val="bottom"/>
          </w:tcPr>
          <w:p>
            <w:pPr>
              <w:spacing w:after="0"/>
              <w:rPr>
                <w:sz w:val="18"/>
                <w:szCs w:val="18"/>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color w:val="02568A"/>
                <w:w w:val="74"/>
              </w:rPr>
              <w:t>·</w:t>
            </w:r>
          </w:p>
        </w:tc>
        <w:tc>
          <w:tcPr>
            <w:tcW w:w="980" w:type="dxa"/>
            <w:vAlign w:val="bottom"/>
            <w:vMerge w:val="restart"/>
          </w:tcPr>
          <w:p>
            <w:pPr>
              <w:jc w:val="center"/>
              <w:ind w:right="16"/>
              <w:spacing w:after="0"/>
              <w:rPr>
                <w:sz w:val="20"/>
                <w:szCs w:val="20"/>
                <w:color w:val="auto"/>
              </w:rPr>
            </w:pPr>
            <w:r>
              <w:rPr>
                <w:rFonts w:ascii="Arial" w:cs="Arial" w:eastAsia="Arial" w:hAnsi="Arial"/>
                <w:sz w:val="16"/>
                <w:szCs w:val="16"/>
                <w:color w:val="02568A"/>
                <w:w w:val="74"/>
              </w:rPr>
              <w:t>·</w:t>
            </w:r>
          </w:p>
        </w:tc>
        <w:tc>
          <w:tcPr>
            <w:tcW w:w="0" w:type="dxa"/>
            <w:vAlign w:val="bottom"/>
          </w:tcPr>
          <w:p>
            <w:pPr>
              <w:spacing w:after="0"/>
              <w:rPr>
                <w:sz w:val="1"/>
                <w:szCs w:val="1"/>
                <w:color w:val="auto"/>
              </w:rPr>
            </w:pPr>
          </w:p>
        </w:tc>
      </w:tr>
      <w:tr>
        <w:trPr>
          <w:trHeight w:val="114"/>
        </w:trPr>
        <w:tc>
          <w:tcPr>
            <w:tcW w:w="6140" w:type="dxa"/>
            <w:vAlign w:val="bottom"/>
            <w:vMerge w:val="restart"/>
          </w:tcPr>
          <w:p>
            <w:pPr>
              <w:ind w:left="280"/>
              <w:spacing w:after="0"/>
              <w:rPr>
                <w:sz w:val="20"/>
                <w:szCs w:val="20"/>
                <w:color w:val="auto"/>
              </w:rPr>
            </w:pPr>
            <w:r>
              <w:rPr>
                <w:rFonts w:ascii="Arial" w:cs="Arial" w:eastAsia="Arial" w:hAnsi="Arial"/>
                <w:sz w:val="18"/>
                <w:szCs w:val="18"/>
                <w:i w:val="1"/>
                <w:iCs w:val="1"/>
                <w:color w:val="02568A"/>
              </w:rPr>
              <w:t>Chairman, Truax Partners LLC</w:t>
            </w:r>
          </w:p>
        </w:tc>
        <w:tc>
          <w:tcPr>
            <w:tcW w:w="154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14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ED8EA"/>
          </w:tcPr>
          <w:p>
            <w:pPr>
              <w:ind w:left="280"/>
              <w:spacing w:after="0"/>
              <w:rPr>
                <w:sz w:val="20"/>
                <w:szCs w:val="20"/>
                <w:color w:val="auto"/>
              </w:rPr>
            </w:pPr>
            <w:r>
              <w:rPr>
                <w:rFonts w:ascii="Arial" w:cs="Arial" w:eastAsia="Arial" w:hAnsi="Arial"/>
                <w:sz w:val="18"/>
                <w:szCs w:val="18"/>
                <w:b w:val="1"/>
                <w:bCs w:val="1"/>
                <w:color w:val="02568A"/>
              </w:rPr>
              <w:t>Kimberly S. Stevenson</w:t>
            </w:r>
          </w:p>
        </w:tc>
        <w:tc>
          <w:tcPr>
            <w:tcW w:w="1540" w:type="dxa"/>
            <w:vAlign w:val="bottom"/>
            <w:vMerge w:val="restart"/>
            <w:shd w:val="clear" w:color="auto" w:fill="CED8EA"/>
          </w:tcPr>
          <w:p>
            <w:pPr>
              <w:jc w:val="center"/>
              <w:ind w:left="552"/>
              <w:spacing w:after="0"/>
              <w:rPr>
                <w:sz w:val="20"/>
                <w:szCs w:val="20"/>
                <w:color w:val="auto"/>
              </w:rPr>
            </w:pPr>
            <w:r>
              <w:rPr>
                <w:rFonts w:ascii="Arial" w:cs="Arial" w:eastAsia="Arial" w:hAnsi="Arial"/>
                <w:sz w:val="18"/>
                <w:szCs w:val="18"/>
                <w:color w:val="02568A"/>
                <w:w w:val="84"/>
              </w:rPr>
              <w:t>2018</w:t>
            </w:r>
          </w:p>
        </w:tc>
        <w:tc>
          <w:tcPr>
            <w:tcW w:w="1300" w:type="dxa"/>
            <w:vAlign w:val="bottom"/>
            <w:vMerge w:val="restart"/>
            <w:shd w:val="clear" w:color="auto" w:fill="CED8EA"/>
          </w:tcPr>
          <w:p>
            <w:pPr>
              <w:jc w:val="center"/>
              <w:ind w:right="17"/>
              <w:spacing w:after="0"/>
              <w:rPr>
                <w:sz w:val="20"/>
                <w:szCs w:val="20"/>
                <w:color w:val="auto"/>
              </w:rPr>
            </w:pPr>
            <w:r>
              <w:rPr>
                <w:rFonts w:ascii="Arial" w:cs="Arial" w:eastAsia="Arial" w:hAnsi="Arial"/>
                <w:sz w:val="16"/>
                <w:szCs w:val="16"/>
                <w:color w:val="02568A"/>
                <w:w w:val="74"/>
              </w:rPr>
              <w:t>·</w:t>
            </w:r>
          </w:p>
        </w:tc>
        <w:tc>
          <w:tcPr>
            <w:tcW w:w="640" w:type="dxa"/>
            <w:vAlign w:val="bottom"/>
            <w:shd w:val="clear" w:color="auto" w:fill="CED8EA"/>
          </w:tcPr>
          <w:p>
            <w:pPr>
              <w:spacing w:after="0"/>
              <w:rPr>
                <w:sz w:val="18"/>
                <w:szCs w:val="18"/>
                <w:color w:val="auto"/>
              </w:rPr>
            </w:pPr>
          </w:p>
        </w:tc>
        <w:tc>
          <w:tcPr>
            <w:tcW w:w="640" w:type="dxa"/>
            <w:vAlign w:val="bottom"/>
            <w:shd w:val="clear" w:color="auto" w:fill="CED8EA"/>
          </w:tcPr>
          <w:p>
            <w:pPr>
              <w:spacing w:after="0"/>
              <w:rPr>
                <w:sz w:val="18"/>
                <w:szCs w:val="18"/>
                <w:color w:val="auto"/>
              </w:rPr>
            </w:pPr>
          </w:p>
        </w:tc>
        <w:tc>
          <w:tcPr>
            <w:tcW w:w="980" w:type="dxa"/>
            <w:vAlign w:val="bottom"/>
            <w:vMerge w:val="restart"/>
            <w:shd w:val="clear" w:color="auto" w:fill="CED8EA"/>
          </w:tcPr>
          <w:p>
            <w:pPr>
              <w:jc w:val="center"/>
              <w:ind w:right="16"/>
              <w:spacing w:after="0"/>
              <w:rPr>
                <w:sz w:val="20"/>
                <w:szCs w:val="20"/>
                <w:color w:val="auto"/>
              </w:rPr>
            </w:pPr>
            <w:r>
              <w:rPr>
                <w:rFonts w:ascii="Arial" w:cs="Arial" w:eastAsia="Arial" w:hAnsi="Arial"/>
                <w:sz w:val="16"/>
                <w:szCs w:val="16"/>
                <w:color w:val="02568A"/>
                <w:w w:val="74"/>
              </w:rPr>
              <w:t>·</w:t>
            </w:r>
          </w:p>
        </w:tc>
        <w:tc>
          <w:tcPr>
            <w:tcW w:w="0" w:type="dxa"/>
            <w:vAlign w:val="bottom"/>
          </w:tcPr>
          <w:p>
            <w:pPr>
              <w:spacing w:after="0"/>
              <w:rPr>
                <w:sz w:val="1"/>
                <w:szCs w:val="1"/>
                <w:color w:val="auto"/>
              </w:rPr>
            </w:pPr>
          </w:p>
        </w:tc>
      </w:tr>
      <w:tr>
        <w:trPr>
          <w:trHeight w:val="114"/>
        </w:trPr>
        <w:tc>
          <w:tcPr>
            <w:tcW w:w="6140" w:type="dxa"/>
            <w:vAlign w:val="bottom"/>
            <w:vMerge w:val="restart"/>
            <w:shd w:val="clear" w:color="auto" w:fill="CED8EA"/>
          </w:tcPr>
          <w:p>
            <w:pPr>
              <w:ind w:left="280"/>
              <w:spacing w:after="0"/>
              <w:rPr>
                <w:sz w:val="20"/>
                <w:szCs w:val="20"/>
                <w:color w:val="auto"/>
              </w:rPr>
            </w:pPr>
            <w:r>
              <w:rPr>
                <w:rFonts w:ascii="Arial" w:cs="Arial" w:eastAsia="Arial" w:hAnsi="Arial"/>
                <w:sz w:val="18"/>
                <w:szCs w:val="18"/>
                <w:i w:val="1"/>
                <w:iCs w:val="1"/>
                <w:color w:val="02568A"/>
              </w:rPr>
              <w:t>Senior Vice President and General Manager, NetApp, Inc.</w:t>
            </w:r>
          </w:p>
        </w:tc>
        <w:tc>
          <w:tcPr>
            <w:tcW w:w="1540" w:type="dxa"/>
            <w:vAlign w:val="bottom"/>
            <w:vMerge w:val="continue"/>
            <w:shd w:val="clear" w:color="auto" w:fill="CED8EA"/>
          </w:tcPr>
          <w:p>
            <w:pPr>
              <w:spacing w:after="0"/>
              <w:rPr>
                <w:sz w:val="9"/>
                <w:szCs w:val="9"/>
                <w:color w:val="auto"/>
              </w:rPr>
            </w:pPr>
          </w:p>
        </w:tc>
        <w:tc>
          <w:tcPr>
            <w:tcW w:w="1300" w:type="dxa"/>
            <w:vAlign w:val="bottom"/>
            <w:vMerge w:val="continue"/>
            <w:shd w:val="clear" w:color="auto" w:fill="CED8EA"/>
          </w:tcPr>
          <w:p>
            <w:pPr>
              <w:spacing w:after="0"/>
              <w:rPr>
                <w:sz w:val="9"/>
                <w:szCs w:val="9"/>
                <w:color w:val="auto"/>
              </w:rPr>
            </w:pPr>
          </w:p>
        </w:tc>
        <w:tc>
          <w:tcPr>
            <w:tcW w:w="640" w:type="dxa"/>
            <w:vAlign w:val="bottom"/>
            <w:shd w:val="clear" w:color="auto" w:fill="CED8EA"/>
          </w:tcPr>
          <w:p>
            <w:pPr>
              <w:spacing w:after="0"/>
              <w:rPr>
                <w:sz w:val="9"/>
                <w:szCs w:val="9"/>
                <w:color w:val="auto"/>
              </w:rPr>
            </w:pPr>
          </w:p>
        </w:tc>
        <w:tc>
          <w:tcPr>
            <w:tcW w:w="640" w:type="dxa"/>
            <w:vAlign w:val="bottom"/>
            <w:shd w:val="clear" w:color="auto" w:fill="CED8EA"/>
          </w:tcPr>
          <w:p>
            <w:pPr>
              <w:spacing w:after="0"/>
              <w:rPr>
                <w:sz w:val="9"/>
                <w:szCs w:val="9"/>
                <w:color w:val="auto"/>
              </w:rPr>
            </w:pPr>
          </w:p>
        </w:tc>
        <w:tc>
          <w:tcPr>
            <w:tcW w:w="980" w:type="dxa"/>
            <w:vAlign w:val="bottom"/>
            <w:vMerge w:val="continue"/>
            <w:shd w:val="clear" w:color="auto" w:fill="CED8EA"/>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140" w:type="dxa"/>
            <w:vAlign w:val="bottom"/>
            <w:tcBorders>
              <w:bottom w:val="single" w:sz="8" w:color="02568A"/>
            </w:tcBorders>
            <w:vMerge w:val="continue"/>
            <w:shd w:val="clear" w:color="auto" w:fill="CED8EA"/>
          </w:tcPr>
          <w:p>
            <w:pPr>
              <w:spacing w:after="0"/>
              <w:rPr>
                <w:sz w:val="9"/>
                <w:szCs w:val="9"/>
                <w:color w:val="auto"/>
              </w:rPr>
            </w:pPr>
          </w:p>
        </w:tc>
        <w:tc>
          <w:tcPr>
            <w:tcW w:w="1540" w:type="dxa"/>
            <w:vAlign w:val="bottom"/>
            <w:tcBorders>
              <w:bottom w:val="single" w:sz="8" w:color="02568A"/>
            </w:tcBorders>
            <w:shd w:val="clear" w:color="auto" w:fill="CED8EA"/>
          </w:tcPr>
          <w:p>
            <w:pPr>
              <w:spacing w:after="0"/>
              <w:rPr>
                <w:sz w:val="9"/>
                <w:szCs w:val="9"/>
                <w:color w:val="auto"/>
              </w:rPr>
            </w:pPr>
          </w:p>
        </w:tc>
        <w:tc>
          <w:tcPr>
            <w:tcW w:w="1300" w:type="dxa"/>
            <w:vAlign w:val="bottom"/>
            <w:tcBorders>
              <w:bottom w:val="single" w:sz="8" w:color="02568A"/>
            </w:tcBorders>
            <w:shd w:val="clear" w:color="auto" w:fill="CED8EA"/>
          </w:tcPr>
          <w:p>
            <w:pPr>
              <w:spacing w:after="0"/>
              <w:rPr>
                <w:sz w:val="9"/>
                <w:szCs w:val="9"/>
                <w:color w:val="auto"/>
              </w:rPr>
            </w:pPr>
          </w:p>
        </w:tc>
        <w:tc>
          <w:tcPr>
            <w:tcW w:w="640" w:type="dxa"/>
            <w:vAlign w:val="bottom"/>
            <w:tcBorders>
              <w:bottom w:val="single" w:sz="8" w:color="02568A"/>
            </w:tcBorders>
            <w:shd w:val="clear" w:color="auto" w:fill="CED8EA"/>
          </w:tcPr>
          <w:p>
            <w:pPr>
              <w:spacing w:after="0"/>
              <w:rPr>
                <w:sz w:val="9"/>
                <w:szCs w:val="9"/>
                <w:color w:val="auto"/>
              </w:rPr>
            </w:pPr>
          </w:p>
        </w:tc>
        <w:tc>
          <w:tcPr>
            <w:tcW w:w="640" w:type="dxa"/>
            <w:vAlign w:val="bottom"/>
            <w:tcBorders>
              <w:bottom w:val="single" w:sz="8" w:color="02568A"/>
            </w:tcBorders>
            <w:shd w:val="clear" w:color="auto" w:fill="CED8EA"/>
          </w:tcPr>
          <w:p>
            <w:pPr>
              <w:spacing w:after="0"/>
              <w:rPr>
                <w:sz w:val="9"/>
                <w:szCs w:val="9"/>
                <w:color w:val="auto"/>
              </w:rPr>
            </w:pPr>
          </w:p>
        </w:tc>
        <w:tc>
          <w:tcPr>
            <w:tcW w:w="980" w:type="dxa"/>
            <w:vAlign w:val="bottom"/>
            <w:tcBorders>
              <w:bottom w:val="single" w:sz="8" w:color="02568A"/>
            </w:tcBorders>
            <w:shd w:val="clear" w:color="auto" w:fill="CED8EA"/>
          </w:tcPr>
          <w:p>
            <w:pPr>
              <w:spacing w:after="0"/>
              <w:rPr>
                <w:sz w:val="9"/>
                <w:szCs w:val="9"/>
                <w:color w:val="auto"/>
              </w:rPr>
            </w:pPr>
          </w:p>
        </w:tc>
        <w:tc>
          <w:tcPr>
            <w:tcW w:w="0" w:type="dxa"/>
            <w:vAlign w:val="bottom"/>
          </w:tcPr>
          <w:p>
            <w:pPr>
              <w:spacing w:after="0"/>
              <w:rPr>
                <w:sz w:val="1"/>
                <w:szCs w:val="1"/>
                <w:color w:val="auto"/>
              </w:rPr>
            </w:pPr>
          </w:p>
        </w:tc>
      </w:tr>
    </w:tbl>
    <w:p>
      <w:pPr>
        <w:ind w:left="280" w:right="440"/>
        <w:spacing w:after="0" w:line="258" w:lineRule="auto"/>
        <w:rPr>
          <w:sz w:val="20"/>
          <w:szCs w:val="20"/>
          <w:color w:val="auto"/>
        </w:rPr>
      </w:pPr>
      <w:r>
        <w:rPr>
          <w:rFonts w:ascii="Arial" w:cs="Arial" w:eastAsia="Arial" w:hAnsi="Arial"/>
          <w:sz w:val="18"/>
          <w:szCs w:val="18"/>
          <w:i w:val="1"/>
          <w:iCs w:val="1"/>
          <w:color w:val="191919"/>
        </w:rPr>
        <w:t>“AC” indicates Audit Committee, “CC” indicates Compensation Committee, “NCGC” indicates Nominating and Corporate Governance Committee, and “C” indicates Committee Chair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18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191919"/>
        </w:rPr>
        <w:t>Immediately below this proposal is biographical information about each of the director nominees, including information regarding each nominee’s business experience for the past five years, and the names of other public companies for which each nominee has served as a director during the past five years. The information presented below regarding the specific experience, qualifications, attributes, and skills of each nominee led our Nominating and Corporate Governance Committee and our Board of Directors to conclude that he or she should serve as a director.</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Majority Vote Standard for Election of Directors</w:t>
      </w: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6"/>
          <w:szCs w:val="16"/>
          <w:color w:val="191919"/>
        </w:rPr>
        <w:t>A nominee for election as a director in an uncontested election (an election where the number of nominees for election as directors is equal to or less than the number of directors to be elected) will be elected if the number of votes cast “</w:t>
      </w:r>
      <w:r>
        <w:rPr>
          <w:rFonts w:ascii="Arial" w:cs="Arial" w:eastAsia="Arial" w:hAnsi="Arial"/>
          <w:sz w:val="16"/>
          <w:szCs w:val="16"/>
          <w:b w:val="1"/>
          <w:bCs w:val="1"/>
          <w:color w:val="000001"/>
        </w:rPr>
        <w:t>FOR</w:t>
      </w:r>
      <w:r>
        <w:rPr>
          <w:rFonts w:ascii="Arial" w:cs="Arial" w:eastAsia="Arial" w:hAnsi="Arial"/>
          <w:sz w:val="16"/>
          <w:szCs w:val="16"/>
          <w:color w:val="191919"/>
        </w:rPr>
        <w:t>” such nominee’s election exceeds the number of votes cast “</w:t>
      </w:r>
      <w:r>
        <w:rPr>
          <w:rFonts w:ascii="Arial" w:cs="Arial" w:eastAsia="Arial" w:hAnsi="Arial"/>
          <w:sz w:val="16"/>
          <w:szCs w:val="16"/>
          <w:b w:val="1"/>
          <w:bCs w:val="1"/>
          <w:color w:val="000001"/>
        </w:rPr>
        <w:t>AGAINST</w:t>
      </w:r>
      <w:r>
        <w:rPr>
          <w:rFonts w:ascii="Arial" w:cs="Arial" w:eastAsia="Arial" w:hAnsi="Arial"/>
          <w:sz w:val="16"/>
          <w:szCs w:val="16"/>
          <w:color w:val="191919"/>
        </w:rPr>
        <w:t>” the nominee’s election. In a contested election (in which the number of nominees for election as directors exceeds the number of directors to be elected at such meeting), directors are elected by a plurality of all votes cast in such election. The election of directors at this Annual Meeting is uncontested. As a result, each nominee for election as a director at the Annual Meeting will only be elected if the votes cast “</w:t>
      </w:r>
      <w:r>
        <w:rPr>
          <w:rFonts w:ascii="Arial" w:cs="Arial" w:eastAsia="Arial" w:hAnsi="Arial"/>
          <w:sz w:val="16"/>
          <w:szCs w:val="16"/>
          <w:b w:val="1"/>
          <w:bCs w:val="1"/>
          <w:color w:val="000001"/>
        </w:rPr>
        <w:t>FOR</w:t>
      </w:r>
      <w:r>
        <w:rPr>
          <w:rFonts w:ascii="Arial" w:cs="Arial" w:eastAsia="Arial" w:hAnsi="Arial"/>
          <w:sz w:val="16"/>
          <w:szCs w:val="16"/>
          <w:color w:val="191919"/>
        </w:rPr>
        <w:t>” such nominee exceed the number of votes cast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191919"/>
        </w:rPr>
        <w:t>“</w:t>
      </w:r>
      <w:r>
        <w:rPr>
          <w:rFonts w:ascii="Arial" w:cs="Arial" w:eastAsia="Arial" w:hAnsi="Arial"/>
          <w:sz w:val="16"/>
          <w:szCs w:val="16"/>
          <w:b w:val="1"/>
          <w:bCs w:val="1"/>
          <w:color w:val="000001"/>
        </w:rPr>
        <w:t>AGAINST</w:t>
      </w:r>
      <w:r>
        <w:rPr>
          <w:rFonts w:ascii="Arial" w:cs="Arial" w:eastAsia="Arial" w:hAnsi="Arial"/>
          <w:sz w:val="16"/>
          <w:szCs w:val="16"/>
          <w:color w:val="191919"/>
        </w:rPr>
        <w:t xml:space="preserve">” such nominee. As required by our corporate governance guidelines, which are available on the Investor Relations portion of the Company’s website at </w:t>
      </w:r>
      <w:r>
        <w:rPr>
          <w:rFonts w:ascii="Arial" w:cs="Arial" w:eastAsia="Arial" w:hAnsi="Arial"/>
          <w:sz w:val="16"/>
          <w:szCs w:val="16"/>
          <w:color w:val="02568A"/>
        </w:rPr>
        <w:t>www.skyworksinc.com</w:t>
      </w:r>
      <w:r>
        <w:rPr>
          <w:rFonts w:ascii="Arial" w:cs="Arial" w:eastAsia="Arial" w:hAnsi="Arial"/>
          <w:sz w:val="16"/>
          <w:szCs w:val="16"/>
          <w:color w:val="191919"/>
        </w:rPr>
        <w:t>, each incumbent director who is a nominee for election as a director at the Annual Meeting submitted to the Board of Directors an irrevocable resignation that would become effective if the votes cast “</w:t>
      </w:r>
      <w:r>
        <w:rPr>
          <w:rFonts w:ascii="Arial" w:cs="Arial" w:eastAsia="Arial" w:hAnsi="Arial"/>
          <w:sz w:val="16"/>
          <w:szCs w:val="16"/>
          <w:b w:val="1"/>
          <w:bCs w:val="1"/>
          <w:color w:val="000001"/>
        </w:rPr>
        <w:t>FOR</w:t>
      </w:r>
      <w:r>
        <w:rPr>
          <w:rFonts w:ascii="Arial" w:cs="Arial" w:eastAsia="Arial" w:hAnsi="Arial"/>
          <w:sz w:val="16"/>
          <w:szCs w:val="16"/>
          <w:color w:val="191919"/>
        </w:rPr>
        <w:t>” such nominee’s election do not exceed the votes cast “</w:t>
      </w:r>
      <w:r>
        <w:rPr>
          <w:rFonts w:ascii="Arial" w:cs="Arial" w:eastAsia="Arial" w:hAnsi="Arial"/>
          <w:sz w:val="16"/>
          <w:szCs w:val="16"/>
          <w:b w:val="1"/>
          <w:bCs w:val="1"/>
          <w:color w:val="000001"/>
        </w:rPr>
        <w:t>AGAINST</w:t>
      </w:r>
      <w:r>
        <w:rPr>
          <w:rFonts w:ascii="Arial" w:cs="Arial" w:eastAsia="Arial" w:hAnsi="Arial"/>
          <w:sz w:val="16"/>
          <w:szCs w:val="16"/>
          <w:color w:val="191919"/>
        </w:rPr>
        <w:t>” such nominee’s election and our Board of Directors determines to accept his or her resignation. Upon such resignation by a nominee and pursuant to the procedures set forth in the corporate governance guidelines, the Nominating and Corporate Governance Committee will evaluate the best interests of our Company and stockholders and will recommend to our Board of Directors the action to be taken with respect to the resignation. The Board of Directors will then decide whether to accept, reject, or modify the Nominating and Corporate Governance Committee’s recommendation, and the Company will publicly disclose such decision by the Board of Directors with respect to the director nominee.</w:t>
      </w:r>
    </w:p>
    <w:p>
      <w:pPr>
        <w:spacing w:after="0" w:line="180" w:lineRule="exact"/>
        <w:rPr>
          <w:sz w:val="20"/>
          <w:szCs w:val="20"/>
          <w:color w:val="auto"/>
        </w:rPr>
      </w:pPr>
    </w:p>
    <w:p>
      <w:pPr>
        <w:jc w:val="both"/>
        <w:ind w:right="180"/>
        <w:spacing w:after="0" w:line="335" w:lineRule="auto"/>
        <w:rPr>
          <w:sz w:val="20"/>
          <w:szCs w:val="20"/>
          <w:color w:val="auto"/>
        </w:rPr>
      </w:pPr>
      <w:r>
        <w:rPr>
          <w:rFonts w:ascii="Arial" w:cs="Arial" w:eastAsia="Arial" w:hAnsi="Arial"/>
          <w:sz w:val="15"/>
          <w:szCs w:val="15"/>
          <w:color w:val="191919"/>
        </w:rPr>
        <w:t>Shares represented by all proxies received by the Board of Directors that are properly completed, but do not specify a choice as to the election of directors, will be voted “</w:t>
      </w:r>
      <w:r>
        <w:rPr>
          <w:rFonts w:ascii="Arial" w:cs="Arial" w:eastAsia="Arial" w:hAnsi="Arial"/>
          <w:sz w:val="15"/>
          <w:szCs w:val="15"/>
          <w:b w:val="1"/>
          <w:bCs w:val="1"/>
          <w:color w:val="000001"/>
        </w:rPr>
        <w:t>FOR</w:t>
      </w:r>
      <w:r>
        <w:rPr>
          <w:rFonts w:ascii="Arial" w:cs="Arial" w:eastAsia="Arial" w:hAnsi="Arial"/>
          <w:sz w:val="15"/>
          <w:szCs w:val="15"/>
          <w:color w:val="191919"/>
        </w:rPr>
        <w:t>” the election of all nine of 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386715</wp:posOffset>
            </wp:positionV>
            <wp:extent cx="6489065" cy="6000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8906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149860</wp:posOffset>
            </wp:positionV>
            <wp:extent cx="713613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80" w:space="680"/>
            <w:col w:w="5280"/>
          </w:cols>
          <w:pgMar w:left="320" w:top="131" w:right="33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p>
      <w:pPr>
        <w:spacing w:after="0" w:line="294" w:lineRule="exact"/>
        <w:rPr>
          <w:sz w:val="20"/>
          <w:szCs w:val="20"/>
          <w:color w:val="auto"/>
        </w:rPr>
      </w:pPr>
    </w:p>
    <w:p>
      <w:pPr>
        <w:spacing w:after="0"/>
        <w:rPr>
          <w:sz w:val="20"/>
          <w:szCs w:val="20"/>
          <w:color w:val="auto"/>
        </w:rPr>
      </w:pPr>
      <w:r>
        <w:rPr>
          <w:rFonts w:ascii="Arial" w:cs="Arial" w:eastAsia="Arial" w:hAnsi="Arial"/>
          <w:sz w:val="32"/>
          <w:szCs w:val="32"/>
          <w:b w:val="1"/>
          <w:bCs w:val="1"/>
          <w:color w:val="02568A"/>
        </w:rPr>
        <w:t>Nominees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161290</wp:posOffset>
            </wp:positionV>
            <wp:extent cx="2674620" cy="4286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74620" cy="42862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FFFFFE"/>
        </w:rPr>
        <w:t>David J. Aldrich</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FFFFFE"/>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6985</wp:posOffset>
            </wp:positionV>
            <wp:extent cx="2674620" cy="5657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74620" cy="565785"/>
                    </a:xfrm>
                    <a:prstGeom prst="rect">
                      <a:avLst/>
                    </a:prstGeom>
                    <a:noFill/>
                  </pic:spPr>
                </pic:pic>
              </a:graphicData>
            </a:graphic>
          </wp:anchor>
        </w:drawing>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0001"/>
        </w:rPr>
        <w:t xml:space="preserve">Director since: </w:t>
      </w:r>
      <w:r>
        <w:rPr>
          <w:rFonts w:ascii="Arial" w:cs="Arial" w:eastAsia="Arial" w:hAnsi="Arial"/>
          <w:sz w:val="18"/>
          <w:szCs w:val="18"/>
          <w:color w:val="000001"/>
        </w:rPr>
        <w:t>2000</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0001"/>
        </w:rPr>
        <w:t xml:space="preserve">Age: </w:t>
      </w:r>
      <w:r>
        <w:rPr>
          <w:rFonts w:ascii="Arial" w:cs="Arial" w:eastAsia="Arial" w:hAnsi="Arial"/>
          <w:sz w:val="18"/>
          <w:szCs w:val="18"/>
          <w:color w:val="000001"/>
        </w:rPr>
        <w:t>63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0001"/>
        </w:rPr>
        <w:t xml:space="preserve">Committee(s): </w:t>
      </w:r>
      <w:r>
        <w:rPr>
          <w:rFonts w:ascii="Arial" w:cs="Arial" w:eastAsia="Arial" w:hAnsi="Arial"/>
          <w:sz w:val="18"/>
          <w:szCs w:val="18"/>
          <w:color w:val="000001"/>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6985</wp:posOffset>
            </wp:positionV>
            <wp:extent cx="2674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Experience</w:t>
      </w:r>
    </w:p>
    <w:p>
      <w:pPr>
        <w:spacing w:after="0" w:line="219" w:lineRule="exact"/>
        <w:rPr>
          <w:sz w:val="20"/>
          <w:szCs w:val="20"/>
          <w:color w:val="auto"/>
        </w:rPr>
      </w:pPr>
    </w:p>
    <w:p>
      <w:pPr>
        <w:spacing w:after="0" w:line="310" w:lineRule="auto"/>
        <w:rPr>
          <w:sz w:val="20"/>
          <w:szCs w:val="20"/>
          <w:color w:val="auto"/>
        </w:rPr>
      </w:pPr>
      <w:r>
        <w:rPr>
          <w:rFonts w:ascii="Arial" w:cs="Arial" w:eastAsia="Arial" w:hAnsi="Arial"/>
          <w:sz w:val="15"/>
          <w:szCs w:val="15"/>
          <w:color w:val="191919"/>
        </w:rPr>
        <w:t>Mr. Aldrich serves as Chairman of the Board, a position he has held since May 2014. Mr. Aldrich also served as Executive Chairman of the Company from May 2016 to May 2018, Chief Executive Officer from May 2014 to May 2016, and as President and Chief Executive Officer and as a director from April 2000 to May 2014. From September 1999 to April 2000, Mr. Aldrich served as President and Chief Operating Officer. From May 1999 to September 1999, he served as Executive Vice President, and from May 1996 to May 1999, he served as Vice President and General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191919"/>
        </w:rPr>
        <w:t>Manager of the semiconductor products business unit. Mr. Aldrich joined the Company in 1995 as Vice President, Chief Financial Officer and Treasurer.</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Qualifications</w:t>
      </w:r>
    </w:p>
    <w:p>
      <w:pPr>
        <w:spacing w:after="0" w:line="21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191919"/>
        </w:rPr>
        <w:t>We believe that Mr. Aldrich’s qualifications to serve as a director include his leadership experience, his strategic decision-making ability, his knowledge of the semiconductor industry, and his in-depth knowledge of Skyworks’ business.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Other Public Company Boards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0001"/>
        </w:rPr>
        <w:t>Current</w:t>
      </w:r>
    </w:p>
    <w:p>
      <w:pPr>
        <w:spacing w:after="0" w:line="239" w:lineRule="exact"/>
        <w:rPr>
          <w:sz w:val="20"/>
          <w:szCs w:val="20"/>
          <w:color w:val="auto"/>
        </w:rPr>
      </w:pPr>
    </w:p>
    <w:p>
      <w:pPr>
        <w:ind w:left="540" w:hanging="539"/>
        <w:spacing w:after="0"/>
        <w:tabs>
          <w:tab w:leader="none" w:pos="540" w:val="left"/>
        </w:tabs>
        <w:numPr>
          <w:ilvl w:val="0"/>
          <w:numId w:val="9"/>
        </w:numPr>
        <w:rPr>
          <w:rFonts w:ascii="Arial" w:cs="Arial" w:eastAsia="Arial" w:hAnsi="Arial"/>
          <w:sz w:val="18"/>
          <w:szCs w:val="18"/>
          <w:color w:val="191919"/>
        </w:rPr>
      </w:pPr>
      <w:r>
        <w:rPr>
          <w:rFonts w:ascii="Arial" w:cs="Arial" w:eastAsia="Arial" w:hAnsi="Arial"/>
          <w:sz w:val="18"/>
          <w:szCs w:val="18"/>
          <w:color w:val="191919"/>
        </w:rPr>
        <w:t>Belden Inc.</w:t>
      </w:r>
    </w:p>
    <w:p>
      <w:pPr>
        <w:spacing w:after="0" w:line="252" w:lineRule="exact"/>
        <w:rPr>
          <w:rFonts w:ascii="Arial" w:cs="Arial" w:eastAsia="Arial" w:hAnsi="Arial"/>
          <w:sz w:val="18"/>
          <w:szCs w:val="18"/>
          <w:color w:val="191919"/>
        </w:rPr>
      </w:pPr>
    </w:p>
    <w:p>
      <w:pPr>
        <w:ind w:left="540" w:hanging="539"/>
        <w:spacing w:after="0"/>
        <w:tabs>
          <w:tab w:leader="none" w:pos="540" w:val="left"/>
        </w:tabs>
        <w:numPr>
          <w:ilvl w:val="0"/>
          <w:numId w:val="9"/>
        </w:numPr>
        <w:rPr>
          <w:rFonts w:ascii="Arial" w:cs="Arial" w:eastAsia="Arial" w:hAnsi="Arial"/>
          <w:sz w:val="18"/>
          <w:szCs w:val="18"/>
          <w:color w:val="191919"/>
        </w:rPr>
      </w:pPr>
      <w:r>
        <w:rPr>
          <w:rFonts w:ascii="Arial" w:cs="Arial" w:eastAsia="Arial" w:hAnsi="Arial"/>
          <w:sz w:val="18"/>
          <w:szCs w:val="18"/>
          <w:color w:val="191919"/>
        </w:rPr>
        <w:t>Acacia Communications, Inc.</w:t>
      </w:r>
    </w:p>
    <w:p>
      <w:pPr>
        <w:spacing w:after="0" w:line="200" w:lineRule="exact"/>
        <w:rPr>
          <w:sz w:val="20"/>
          <w:szCs w:val="20"/>
          <w:color w:val="auto"/>
        </w:rPr>
      </w:pPr>
    </w:p>
    <w:p>
      <w:pPr>
        <w:sectPr>
          <w:pgSz w:w="11900" w:h="16838" w:orient="portrait"/>
          <w:cols w:equalWidth="0" w:num="2">
            <w:col w:w="5260" w:space="700"/>
            <w:col w:w="5240"/>
          </w:cols>
          <w:pgMar w:left="320" w:top="131" w:right="379" w:bottom="1440" w:gutter="0" w:footer="0" w:header="0"/>
          <w:type w:val="continuous"/>
        </w:sectPr>
      </w:pPr>
    </w:p>
    <w:p>
      <w:pPr>
        <w:spacing w:after="0" w:line="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000001"/>
        </w:rPr>
        <w:t>Past 5 Years</w:t>
      </w:r>
    </w:p>
    <w:p>
      <w:pPr>
        <w:spacing w:after="0" w:line="285" w:lineRule="exact"/>
        <w:rPr>
          <w:sz w:val="20"/>
          <w:szCs w:val="20"/>
          <w:color w:val="auto"/>
        </w:rPr>
      </w:pPr>
    </w:p>
    <w:p>
      <w:pPr>
        <w:ind w:left="6500" w:hanging="539"/>
        <w:spacing w:after="0"/>
        <w:tabs>
          <w:tab w:leader="none" w:pos="6500" w:val="left"/>
        </w:tabs>
        <w:numPr>
          <w:ilvl w:val="0"/>
          <w:numId w:val="10"/>
        </w:numPr>
        <w:rPr>
          <w:rFonts w:ascii="Arial" w:cs="Arial" w:eastAsia="Arial" w:hAnsi="Arial"/>
          <w:sz w:val="18"/>
          <w:szCs w:val="18"/>
          <w:color w:val="191919"/>
        </w:rPr>
      </w:pPr>
      <w:r>
        <w:rPr>
          <w:rFonts w:ascii="Arial" w:cs="Arial" w:eastAsia="Arial" w:hAnsi="Arial"/>
          <w:sz w:val="18"/>
          <w:szCs w:val="18"/>
          <w:color w:val="191919"/>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705485</wp:posOffset>
            </wp:positionV>
            <wp:extent cx="2674620" cy="428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74620" cy="42862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FFFFFE"/>
        </w:rPr>
        <w:t>Christine King</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FFFFFE"/>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6985</wp:posOffset>
            </wp:positionV>
            <wp:extent cx="2674620" cy="5657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74620" cy="565785"/>
                    </a:xfrm>
                    <a:prstGeom prst="rect">
                      <a:avLst/>
                    </a:prstGeom>
                    <a:noFill/>
                  </pic:spPr>
                </pic:pic>
              </a:graphicData>
            </a:graphic>
          </wp:anchor>
        </w:drawing>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0001"/>
        </w:rPr>
        <w:t xml:space="preserve">Director since: </w:t>
      </w:r>
      <w:r>
        <w:rPr>
          <w:rFonts w:ascii="Arial" w:cs="Arial" w:eastAsia="Arial" w:hAnsi="Arial"/>
          <w:sz w:val="18"/>
          <w:szCs w:val="18"/>
          <w:color w:val="000001"/>
        </w:rPr>
        <w:t>2014</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0001"/>
        </w:rPr>
        <w:t xml:space="preserve">Age: </w:t>
      </w:r>
      <w:r>
        <w:rPr>
          <w:rFonts w:ascii="Arial" w:cs="Arial" w:eastAsia="Arial" w:hAnsi="Arial"/>
          <w:sz w:val="18"/>
          <w:szCs w:val="18"/>
          <w:color w:val="000001"/>
        </w:rPr>
        <w:t>70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0001"/>
        </w:rPr>
        <w:t xml:space="preserve">Committee(s): </w:t>
      </w:r>
      <w:r>
        <w:rPr>
          <w:rFonts w:ascii="Arial" w:cs="Arial" w:eastAsia="Arial" w:hAnsi="Arial"/>
          <w:sz w:val="18"/>
          <w:szCs w:val="18"/>
          <w:color w:val="000001"/>
        </w:rPr>
        <w:t>Audit, Compensation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6985</wp:posOffset>
            </wp:positionV>
            <wp:extent cx="2674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Experience</w:t>
      </w:r>
    </w:p>
    <w:p>
      <w:pPr>
        <w:spacing w:after="0" w:line="219" w:lineRule="exact"/>
        <w:rPr>
          <w:sz w:val="20"/>
          <w:szCs w:val="20"/>
          <w:color w:val="auto"/>
        </w:rPr>
      </w:pPr>
    </w:p>
    <w:p>
      <w:pPr>
        <w:spacing w:after="0" w:line="288" w:lineRule="auto"/>
        <w:rPr>
          <w:sz w:val="20"/>
          <w:szCs w:val="20"/>
          <w:color w:val="auto"/>
        </w:rPr>
      </w:pPr>
      <w:r>
        <w:rPr>
          <w:rFonts w:ascii="Arial" w:cs="Arial" w:eastAsia="Arial" w:hAnsi="Arial"/>
          <w:sz w:val="16"/>
          <w:szCs w:val="16"/>
          <w:color w:val="191919"/>
        </w:rPr>
        <w:t>Ms. King has been Lead Independent Director since May 2019. Ms. King served as Executive Chairman of QLogic Corporation (a publicly traded developer of high-performance server and storage networking connectivity products) from August 2015 until August 2016, when it was acquired by Cavium, Inc. Previously, she served as a director and as Chief Executive Officer of Standard Microsystems Corporation (a publicly traded developer of silicon-based integrated circuits utilizing analog and mixed-signal technologies) from 2008 until the company’s acquisition in 2012 by Microchip Technology, Inc. Prior to Standard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191919"/>
        </w:rPr>
        <w:t>Microsystems, Ms. King was Chief Executive Officer of AMI Semiconductor, Inc., a publicly traded company, from 2001 until it was acquired by ON Semiconductor Corp. in 2008.</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Qualifications</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8"/>
          <w:szCs w:val="18"/>
          <w:color w:val="191919"/>
        </w:rPr>
        <w:t>We believe that Ms. King’s qualifications to serve as a director include her extensive management and operational experience in the high-tech and semiconductor industries as well as her significant strategic and financial expertise.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Other Public Company Boards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0001"/>
        </w:rPr>
        <w:t>Current</w:t>
      </w:r>
    </w:p>
    <w:p>
      <w:pPr>
        <w:spacing w:after="0" w:line="239" w:lineRule="exact"/>
        <w:rPr>
          <w:sz w:val="20"/>
          <w:szCs w:val="20"/>
          <w:color w:val="auto"/>
        </w:rPr>
      </w:pPr>
    </w:p>
    <w:p>
      <w:pPr>
        <w:ind w:left="540" w:hanging="539"/>
        <w:spacing w:after="0"/>
        <w:tabs>
          <w:tab w:leader="none" w:pos="540" w:val="left"/>
        </w:tabs>
        <w:numPr>
          <w:ilvl w:val="0"/>
          <w:numId w:val="11"/>
        </w:numPr>
        <w:rPr>
          <w:rFonts w:ascii="Arial" w:cs="Arial" w:eastAsia="Arial" w:hAnsi="Arial"/>
          <w:sz w:val="18"/>
          <w:szCs w:val="18"/>
          <w:color w:val="191919"/>
        </w:rPr>
      </w:pPr>
      <w:r>
        <w:rPr>
          <w:rFonts w:ascii="Arial" w:cs="Arial" w:eastAsia="Arial" w:hAnsi="Arial"/>
          <w:sz w:val="18"/>
          <w:szCs w:val="18"/>
          <w:color w:val="191919"/>
        </w:rPr>
        <w:t>IDACORP,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000001"/>
        </w:rPr>
        <w:t>Past 5 Years</w:t>
      </w:r>
    </w:p>
    <w:p>
      <w:pPr>
        <w:spacing w:after="0" w:line="252" w:lineRule="exact"/>
        <w:rPr>
          <w:sz w:val="20"/>
          <w:szCs w:val="20"/>
          <w:color w:val="auto"/>
        </w:rPr>
      </w:pPr>
    </w:p>
    <w:p>
      <w:pPr>
        <w:ind w:left="540" w:hanging="539"/>
        <w:spacing w:after="0"/>
        <w:tabs>
          <w:tab w:leader="none" w:pos="540" w:val="left"/>
        </w:tabs>
        <w:numPr>
          <w:ilvl w:val="0"/>
          <w:numId w:val="12"/>
        </w:numPr>
        <w:rPr>
          <w:rFonts w:ascii="Arial" w:cs="Arial" w:eastAsia="Arial" w:hAnsi="Arial"/>
          <w:sz w:val="18"/>
          <w:szCs w:val="18"/>
          <w:color w:val="191919"/>
        </w:rPr>
      </w:pPr>
      <w:r>
        <w:rPr>
          <w:rFonts w:ascii="Arial" w:cs="Arial" w:eastAsia="Arial" w:hAnsi="Arial"/>
          <w:sz w:val="18"/>
          <w:szCs w:val="18"/>
          <w:color w:val="191919"/>
        </w:rPr>
        <w:t>Cirrus Logic, Inc. (until 2018)</w:t>
      </w:r>
    </w:p>
    <w:p>
      <w:pPr>
        <w:spacing w:after="0" w:line="238" w:lineRule="exact"/>
        <w:rPr>
          <w:rFonts w:ascii="Arial" w:cs="Arial" w:eastAsia="Arial" w:hAnsi="Arial"/>
          <w:sz w:val="18"/>
          <w:szCs w:val="18"/>
          <w:color w:val="191919"/>
        </w:rPr>
      </w:pPr>
    </w:p>
    <w:p>
      <w:pPr>
        <w:ind w:left="540" w:hanging="539"/>
        <w:spacing w:after="0"/>
        <w:tabs>
          <w:tab w:leader="none" w:pos="540" w:val="left"/>
        </w:tabs>
        <w:numPr>
          <w:ilvl w:val="0"/>
          <w:numId w:val="12"/>
        </w:numPr>
        <w:rPr>
          <w:rFonts w:ascii="Arial" w:cs="Arial" w:eastAsia="Arial" w:hAnsi="Arial"/>
          <w:sz w:val="18"/>
          <w:szCs w:val="18"/>
          <w:color w:val="191919"/>
        </w:rPr>
      </w:pPr>
      <w:r>
        <w:rPr>
          <w:rFonts w:ascii="Arial" w:cs="Arial" w:eastAsia="Arial" w:hAnsi="Arial"/>
          <w:sz w:val="18"/>
          <w:szCs w:val="18"/>
          <w:color w:val="191919"/>
        </w:rPr>
        <w:t>QLogic Corporation (until 2016)</w:t>
      </w:r>
    </w:p>
    <w:p>
      <w:pPr>
        <w:spacing w:after="0" w:line="200" w:lineRule="exact"/>
        <w:rPr>
          <w:sz w:val="20"/>
          <w:szCs w:val="20"/>
          <w:color w:val="auto"/>
        </w:rPr>
      </w:pPr>
    </w:p>
    <w:p>
      <w:pPr>
        <w:sectPr>
          <w:pgSz w:w="11900" w:h="16838" w:orient="portrait"/>
          <w:cols w:equalWidth="0" w:num="2">
            <w:col w:w="5260" w:space="700"/>
            <w:col w:w="5240"/>
          </w:cols>
          <w:pgMar w:left="320" w:top="131" w:right="379" w:bottom="1440" w:gutter="0" w:footer="0" w:header="0"/>
          <w:type w:val="continuous"/>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000001"/>
        </w:rPr>
        <w:t xml:space="preserve">Page 20 </w:t>
      </w:r>
      <w:r>
        <w:rPr>
          <w:rFonts w:ascii="Arial" w:cs="Arial" w:eastAsia="Arial" w:hAnsi="Arial"/>
          <w:sz w:val="15"/>
          <w:szCs w:val="15"/>
          <w:b w:val="1"/>
          <w:bCs w:val="1"/>
          <w:color w:val="000001"/>
        </w:rPr>
        <w:t>|</w:t>
      </w:r>
      <w:r>
        <w:rPr>
          <w:rFonts w:ascii="Arial" w:cs="Arial" w:eastAsia="Arial" w:hAnsi="Arial"/>
          <w:sz w:val="16"/>
          <w:szCs w:val="16"/>
          <w:b w:val="1"/>
          <w:bCs w:val="1"/>
          <w:color w:val="000001"/>
        </w:rPr>
        <w:t xml:space="preserve"> </w:t>
      </w:r>
      <w:r>
        <w:rPr>
          <w:rFonts w:ascii="Arial" w:cs="Arial" w:eastAsia="Arial" w:hAnsi="Arial"/>
          <w:sz w:val="16"/>
          <w:szCs w:val="16"/>
          <w:color w:val="000001"/>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3613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147955</wp:posOffset>
            </wp:positionV>
            <wp:extent cx="2674620" cy="4286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74620" cy="42862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FFFFFE"/>
        </w:rPr>
        <w:t>Liam K. Griffin</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FFFFFE"/>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6985</wp:posOffset>
            </wp:positionV>
            <wp:extent cx="2674620" cy="5657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74620" cy="565785"/>
                    </a:xfrm>
                    <a:prstGeom prst="rect">
                      <a:avLst/>
                    </a:prstGeom>
                    <a:noFill/>
                  </pic:spPr>
                </pic:pic>
              </a:graphicData>
            </a:graphic>
          </wp:anchor>
        </w:drawing>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0001"/>
        </w:rPr>
        <w:t xml:space="preserve">Director since: </w:t>
      </w:r>
      <w:r>
        <w:rPr>
          <w:rFonts w:ascii="Arial" w:cs="Arial" w:eastAsia="Arial" w:hAnsi="Arial"/>
          <w:sz w:val="18"/>
          <w:szCs w:val="18"/>
          <w:color w:val="000001"/>
        </w:rPr>
        <w:t>2016</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0001"/>
        </w:rPr>
        <w:t xml:space="preserve">Age: </w:t>
      </w:r>
      <w:r>
        <w:rPr>
          <w:rFonts w:ascii="Arial" w:cs="Arial" w:eastAsia="Arial" w:hAnsi="Arial"/>
          <w:sz w:val="18"/>
          <w:szCs w:val="18"/>
          <w:color w:val="000001"/>
        </w:rPr>
        <w:t>53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00001"/>
        </w:rPr>
        <w:t xml:space="preserve">Committee(s): </w:t>
      </w:r>
      <w:r>
        <w:rPr>
          <w:rFonts w:ascii="Arial" w:cs="Arial" w:eastAsia="Arial" w:hAnsi="Arial"/>
          <w:sz w:val="18"/>
          <w:szCs w:val="18"/>
          <w:color w:val="000001"/>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6985</wp:posOffset>
            </wp:positionV>
            <wp:extent cx="26746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Experience</w:t>
      </w:r>
    </w:p>
    <w:p>
      <w:pPr>
        <w:spacing w:after="0" w:line="219" w:lineRule="exact"/>
        <w:rPr>
          <w:sz w:val="20"/>
          <w:szCs w:val="20"/>
          <w:color w:val="auto"/>
        </w:rPr>
      </w:pPr>
    </w:p>
    <w:p>
      <w:pPr>
        <w:spacing w:after="0" w:line="282" w:lineRule="auto"/>
        <w:rPr>
          <w:sz w:val="20"/>
          <w:szCs w:val="20"/>
          <w:color w:val="auto"/>
        </w:rPr>
      </w:pPr>
      <w:r>
        <w:rPr>
          <w:rFonts w:ascii="Arial" w:cs="Arial" w:eastAsia="Arial" w:hAnsi="Arial"/>
          <w:sz w:val="16"/>
          <w:szCs w:val="16"/>
          <w:color w:val="191919"/>
        </w:rPr>
        <w:t>Prior to his appointment as Chief Executive Officer and to the Board of Directors in May 2016, Mr. Griffin had served as President of the Company since May 2014. He served as Executive Vice President and Corporate General Manager from November 2012 to May 2014, Executive Vice President and General Manager, High Performance Analog from May 2011 to November 2012, and Senior Vice President, Sales and Marketing from August 2001 to May 2011. Previously, Mr. Griffin was employed by Vectron International, a division of Dover Corp., as Vice President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191919"/>
        </w:rPr>
        <w:t>Worldwide Sales from 1997 to 2001 and as Vice President of North American Sales from 1995 to 1997.</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Qualifications</w:t>
      </w:r>
    </w:p>
    <w:p>
      <w:pPr>
        <w:spacing w:after="0" w:line="21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191919"/>
        </w:rPr>
        <w:t>We believe that Mr. Griffin’s qualifications to serve as a director include his strong relationships with Skyworks’ key customers, investors, employees, and other stakeholders, as well as a deep understanding of the semiconductor industry and its competitive landscape gained through serving in several different executive positions at Skyworks.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Other Public Company Boards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0001"/>
        </w:rPr>
        <w:t>Current</w:t>
      </w:r>
    </w:p>
    <w:p>
      <w:pPr>
        <w:spacing w:after="0" w:line="239" w:lineRule="exact"/>
        <w:rPr>
          <w:sz w:val="20"/>
          <w:szCs w:val="20"/>
          <w:color w:val="auto"/>
        </w:rPr>
      </w:pPr>
    </w:p>
    <w:p>
      <w:pPr>
        <w:ind w:left="540" w:hanging="539"/>
        <w:spacing w:after="0"/>
        <w:tabs>
          <w:tab w:leader="none" w:pos="540" w:val="left"/>
        </w:tabs>
        <w:numPr>
          <w:ilvl w:val="0"/>
          <w:numId w:val="13"/>
        </w:numPr>
        <w:rPr>
          <w:rFonts w:ascii="Arial" w:cs="Arial" w:eastAsia="Arial" w:hAnsi="Arial"/>
          <w:sz w:val="18"/>
          <w:szCs w:val="18"/>
          <w:color w:val="191919"/>
        </w:rPr>
      </w:pPr>
      <w:r>
        <w:rPr>
          <w:rFonts w:ascii="Arial" w:cs="Arial" w:eastAsia="Arial" w:hAnsi="Arial"/>
          <w:sz w:val="18"/>
          <w:szCs w:val="18"/>
          <w:color w:val="191919"/>
        </w:rPr>
        <w:t>National Instruments Corporation</w:t>
      </w:r>
    </w:p>
    <w:p>
      <w:pPr>
        <w:spacing w:after="0" w:line="229" w:lineRule="exact"/>
        <w:rPr>
          <w:sz w:val="20"/>
          <w:szCs w:val="20"/>
          <w:color w:val="auto"/>
        </w:rPr>
      </w:pPr>
    </w:p>
    <w:p>
      <w:pPr>
        <w:sectPr>
          <w:pgSz w:w="11900" w:h="16838" w:orient="portrait"/>
          <w:cols w:equalWidth="0" w:num="2">
            <w:col w:w="5280" w:space="680"/>
            <w:col w:w="5280"/>
          </w:cols>
          <w:pgMar w:left="320" w:top="131" w:right="339" w:bottom="1440" w:gutter="0" w:footer="0" w:header="0"/>
        </w:sectPr>
      </w:pPr>
    </w:p>
    <w:p>
      <w:pPr>
        <w:ind w:left="5960"/>
        <w:spacing w:after="0"/>
        <w:rPr>
          <w:sz w:val="20"/>
          <w:szCs w:val="20"/>
          <w:color w:val="auto"/>
        </w:rPr>
      </w:pPr>
      <w:r>
        <w:rPr>
          <w:rFonts w:ascii="Arial" w:cs="Arial" w:eastAsia="Arial" w:hAnsi="Arial"/>
          <w:sz w:val="22"/>
          <w:szCs w:val="22"/>
          <w:b w:val="1"/>
          <w:bCs w:val="1"/>
          <w:color w:val="000001"/>
        </w:rPr>
        <w:t>Past 5 Years</w:t>
      </w:r>
    </w:p>
    <w:p>
      <w:pPr>
        <w:spacing w:after="0" w:line="228" w:lineRule="exact"/>
        <w:rPr>
          <w:sz w:val="20"/>
          <w:szCs w:val="20"/>
          <w:color w:val="auto"/>
        </w:rPr>
      </w:pPr>
    </w:p>
    <w:p>
      <w:pPr>
        <w:ind w:left="6500" w:hanging="539"/>
        <w:spacing w:after="0"/>
        <w:tabs>
          <w:tab w:leader="none" w:pos="6500" w:val="left"/>
        </w:tabs>
        <w:numPr>
          <w:ilvl w:val="0"/>
          <w:numId w:val="14"/>
        </w:numPr>
        <w:rPr>
          <w:rFonts w:ascii="Arial" w:cs="Arial" w:eastAsia="Arial" w:hAnsi="Arial"/>
          <w:sz w:val="16"/>
          <w:szCs w:val="16"/>
          <w:color w:val="191919"/>
        </w:rPr>
      </w:pPr>
      <w:r>
        <w:rPr>
          <w:rFonts w:ascii="Arial" w:cs="Arial" w:eastAsia="Arial" w:hAnsi="Arial"/>
          <w:sz w:val="16"/>
          <w:szCs w:val="16"/>
          <w:color w:val="191919"/>
        </w:rPr>
        <w:t>Vicor Corp. (until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720090</wp:posOffset>
            </wp:positionV>
            <wp:extent cx="2674620" cy="291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74620" cy="29146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FFFFFE"/>
        </w:rPr>
        <w:t>Alan S. Batey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10795</wp:posOffset>
            </wp:positionV>
            <wp:extent cx="2674620" cy="5657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74620" cy="565785"/>
                    </a:xfrm>
                    <a:prstGeom prst="rect">
                      <a:avLst/>
                    </a:prstGeom>
                    <a:noFill/>
                  </pic:spPr>
                </pic:pic>
              </a:graphicData>
            </a:graphic>
          </wp:anchor>
        </w:drawing>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0001"/>
        </w:rPr>
        <w:t xml:space="preserve">Director since: </w:t>
      </w:r>
      <w:r>
        <w:rPr>
          <w:rFonts w:ascii="Arial" w:cs="Arial" w:eastAsia="Arial" w:hAnsi="Arial"/>
          <w:sz w:val="18"/>
          <w:szCs w:val="18"/>
          <w:color w:val="000001"/>
        </w:rPr>
        <w:t>2019</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0001"/>
        </w:rPr>
        <w:t xml:space="preserve">Age: </w:t>
      </w:r>
      <w:r>
        <w:rPr>
          <w:rFonts w:ascii="Arial" w:cs="Arial" w:eastAsia="Arial" w:hAnsi="Arial"/>
          <w:sz w:val="18"/>
          <w:szCs w:val="18"/>
          <w:color w:val="000001"/>
        </w:rPr>
        <w:t>57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0001"/>
        </w:rPr>
        <w:t xml:space="preserve">Committee(s): </w:t>
      </w:r>
      <w:r>
        <w:rPr>
          <w:rFonts w:ascii="Arial" w:cs="Arial" w:eastAsia="Arial" w:hAnsi="Arial"/>
          <w:sz w:val="16"/>
          <w:szCs w:val="16"/>
          <w:color w:val="000001"/>
        </w:rPr>
        <w:t>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21590</wp:posOffset>
            </wp:positionV>
            <wp:extent cx="26746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Experience</w:t>
      </w:r>
    </w:p>
    <w:p>
      <w:pPr>
        <w:spacing w:after="0" w:line="219" w:lineRule="exact"/>
        <w:rPr>
          <w:sz w:val="20"/>
          <w:szCs w:val="20"/>
          <w:color w:val="auto"/>
        </w:rPr>
      </w:pPr>
    </w:p>
    <w:p>
      <w:pPr>
        <w:spacing w:after="0" w:line="253" w:lineRule="auto"/>
        <w:rPr>
          <w:sz w:val="20"/>
          <w:szCs w:val="20"/>
          <w:color w:val="auto"/>
        </w:rPr>
      </w:pPr>
      <w:r>
        <w:rPr>
          <w:rFonts w:ascii="Arial" w:cs="Arial" w:eastAsia="Arial" w:hAnsi="Arial"/>
          <w:sz w:val="18"/>
          <w:szCs w:val="18"/>
          <w:color w:val="191919"/>
        </w:rPr>
        <w:t>Mr. Batey served as Executive Vice President and President of North America for General Motors Company (a publicly traded automotive manufacturer), as well as the Global Brand Chief for Chevrolet, a division of General Motors Company, from 2014 until 2019. His career spans more than 39 years with General Motors where he held various senior management positions in operations, marketing, and sales around the world.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Qualifications</w:t>
      </w:r>
    </w:p>
    <w:p>
      <w:pPr>
        <w:spacing w:after="0" w:line="21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191919"/>
        </w:rPr>
        <w:t>We believe that Mr. Batey’s qualifications to serve as a director include his extensive senior management experience at General Motors, where he developed expertise on a broad set of complex strategic, operational, and technological matters involving the automotive industry, an industry that is expected to be a growth market for the Company. Mr. Batey was identified as a director candidate by a search firm engaged by the Nominating and Corporate Governance Committee.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Other Public Company Boards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0001"/>
        </w:rPr>
        <w:t>Current</w:t>
      </w:r>
    </w:p>
    <w:p>
      <w:pPr>
        <w:spacing w:after="0" w:line="239" w:lineRule="exact"/>
        <w:rPr>
          <w:sz w:val="20"/>
          <w:szCs w:val="20"/>
          <w:color w:val="auto"/>
        </w:rPr>
      </w:pPr>
    </w:p>
    <w:p>
      <w:pPr>
        <w:ind w:left="540" w:hanging="539"/>
        <w:spacing w:after="0"/>
        <w:tabs>
          <w:tab w:leader="none" w:pos="540" w:val="left"/>
        </w:tabs>
        <w:numPr>
          <w:ilvl w:val="0"/>
          <w:numId w:val="15"/>
        </w:numPr>
        <w:rPr>
          <w:rFonts w:ascii="Arial" w:cs="Arial" w:eastAsia="Arial" w:hAnsi="Arial"/>
          <w:sz w:val="18"/>
          <w:szCs w:val="18"/>
          <w:color w:val="191919"/>
        </w:rPr>
      </w:pPr>
      <w:r>
        <w:rPr>
          <w:rFonts w:ascii="Arial" w:cs="Arial" w:eastAsia="Arial" w:hAnsi="Arial"/>
          <w:sz w:val="18"/>
          <w:szCs w:val="18"/>
          <w:color w:val="191919"/>
        </w:rPr>
        <w:t>None</w:t>
      </w:r>
    </w:p>
    <w:p>
      <w:pPr>
        <w:spacing w:after="0" w:line="206" w:lineRule="exact"/>
        <w:rPr>
          <w:sz w:val="20"/>
          <w:szCs w:val="20"/>
          <w:color w:val="auto"/>
        </w:rPr>
      </w:pPr>
    </w:p>
    <w:p>
      <w:pPr>
        <w:sectPr>
          <w:pgSz w:w="11900" w:h="16838" w:orient="portrait"/>
          <w:cols w:equalWidth="0" w:num="2">
            <w:col w:w="5240" w:space="720"/>
            <w:col w:w="5280"/>
          </w:cols>
          <w:pgMar w:left="320" w:top="131" w:right="339" w:bottom="1440" w:gutter="0" w:footer="0" w:header="0"/>
          <w:type w:val="continuous"/>
        </w:sectPr>
      </w:pPr>
    </w:p>
    <w:p>
      <w:pPr>
        <w:ind w:left="5960"/>
        <w:spacing w:after="0"/>
        <w:rPr>
          <w:sz w:val="20"/>
          <w:szCs w:val="20"/>
          <w:color w:val="auto"/>
        </w:rPr>
      </w:pPr>
      <w:r>
        <w:rPr>
          <w:rFonts w:ascii="Arial" w:cs="Arial" w:eastAsia="Arial" w:hAnsi="Arial"/>
          <w:sz w:val="22"/>
          <w:szCs w:val="22"/>
          <w:b w:val="1"/>
          <w:bCs w:val="1"/>
          <w:color w:val="000001"/>
        </w:rPr>
        <w:t>Past 5 Years</w:t>
      </w:r>
    </w:p>
    <w:p>
      <w:pPr>
        <w:spacing w:after="0" w:line="239" w:lineRule="exact"/>
        <w:rPr>
          <w:sz w:val="20"/>
          <w:szCs w:val="20"/>
          <w:color w:val="auto"/>
        </w:rPr>
      </w:pPr>
    </w:p>
    <w:p>
      <w:pPr>
        <w:ind w:left="6500" w:hanging="539"/>
        <w:spacing w:after="0"/>
        <w:tabs>
          <w:tab w:leader="none" w:pos="6500" w:val="left"/>
        </w:tabs>
        <w:numPr>
          <w:ilvl w:val="0"/>
          <w:numId w:val="16"/>
        </w:numPr>
        <w:rPr>
          <w:rFonts w:ascii="Arial" w:cs="Arial" w:eastAsia="Arial" w:hAnsi="Arial"/>
          <w:sz w:val="18"/>
          <w:szCs w:val="18"/>
          <w:color w:val="191919"/>
        </w:rPr>
      </w:pPr>
      <w:r>
        <w:rPr>
          <w:rFonts w:ascii="Arial" w:cs="Arial" w:eastAsia="Arial" w:hAnsi="Arial"/>
          <w:sz w:val="18"/>
          <w:szCs w:val="18"/>
          <w:color w:val="191919"/>
        </w:rPr>
        <w:t>None</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147955</wp:posOffset>
            </wp:positionV>
            <wp:extent cx="2674620" cy="291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74620" cy="29146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FFFFFE"/>
        </w:rPr>
        <w:t>Kevin L.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10795</wp:posOffset>
            </wp:positionV>
            <wp:extent cx="2674620" cy="7029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74620" cy="702945"/>
                    </a:xfrm>
                    <a:prstGeom prst="rect">
                      <a:avLst/>
                    </a:prstGeom>
                    <a:noFill/>
                  </pic:spPr>
                </pic:pic>
              </a:graphicData>
            </a:graphic>
          </wp:anchor>
        </w:drawing>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0001"/>
        </w:rPr>
        <w:t xml:space="preserve">Director since: </w:t>
      </w:r>
      <w:r>
        <w:rPr>
          <w:rFonts w:ascii="Arial" w:cs="Arial" w:eastAsia="Arial" w:hAnsi="Arial"/>
          <w:sz w:val="18"/>
          <w:szCs w:val="18"/>
          <w:color w:val="000001"/>
        </w:rPr>
        <w:t>2004</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0001"/>
        </w:rPr>
        <w:t xml:space="preserve">Age: </w:t>
      </w:r>
      <w:r>
        <w:rPr>
          <w:rFonts w:ascii="Arial" w:cs="Arial" w:eastAsia="Arial" w:hAnsi="Arial"/>
          <w:sz w:val="18"/>
          <w:szCs w:val="18"/>
          <w:color w:val="000001"/>
        </w:rPr>
        <w:t>61</w:t>
      </w:r>
    </w:p>
    <w:p>
      <w:pPr>
        <w:spacing w:after="0" w:line="9" w:lineRule="exact"/>
        <w:rPr>
          <w:sz w:val="20"/>
          <w:szCs w:val="20"/>
          <w:color w:val="auto"/>
        </w:rPr>
      </w:pPr>
    </w:p>
    <w:p>
      <w:pPr>
        <w:ind w:left="640" w:right="700"/>
        <w:spacing w:after="0" w:line="260" w:lineRule="auto"/>
        <w:rPr>
          <w:sz w:val="20"/>
          <w:szCs w:val="20"/>
          <w:color w:val="auto"/>
        </w:rPr>
      </w:pPr>
      <w:r>
        <w:rPr>
          <w:rFonts w:ascii="Arial" w:cs="Arial" w:eastAsia="Arial" w:hAnsi="Arial"/>
          <w:sz w:val="18"/>
          <w:szCs w:val="18"/>
          <w:b w:val="1"/>
          <w:bCs w:val="1"/>
          <w:color w:val="000001"/>
        </w:rPr>
        <w:t xml:space="preserve">Committee(s): </w:t>
      </w:r>
      <w:r>
        <w:rPr>
          <w:rFonts w:ascii="Arial" w:cs="Arial" w:eastAsia="Arial" w:hAnsi="Arial"/>
          <w:sz w:val="18"/>
          <w:szCs w:val="18"/>
          <w:color w:val="000001"/>
        </w:rPr>
        <w:t>Nominating and Corporate Governance</w:t>
      </w:r>
      <w:r>
        <w:rPr>
          <w:rFonts w:ascii="Arial" w:cs="Arial" w:eastAsia="Arial" w:hAnsi="Arial"/>
          <w:sz w:val="18"/>
          <w:szCs w:val="18"/>
          <w:b w:val="1"/>
          <w:bCs w:val="1"/>
          <w:color w:val="000001"/>
        </w:rPr>
        <w:t xml:space="preserve"> </w:t>
      </w:r>
      <w:r>
        <w:rPr>
          <w:rFonts w:ascii="Arial" w:cs="Arial" w:eastAsia="Arial" w:hAnsi="Arial"/>
          <w:sz w:val="18"/>
          <w:szCs w:val="18"/>
          <w:color w:val="000001"/>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-8255</wp:posOffset>
            </wp:positionV>
            <wp:extent cx="26746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Qualifications</w:t>
      </w:r>
    </w:p>
    <w:p>
      <w:pPr>
        <w:spacing w:after="0" w:line="219"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191919"/>
        </w:rPr>
        <w:t>We believe that Mr. Beebe’s qualifications to serve as a director include his two decades of experience as an operating executive in the wireless telecommunications industry as well as his experience and relationships gained from advising leading private equity firms that are transacting business in the global capital markets.</w:t>
      </w:r>
    </w:p>
    <w:p>
      <w:pPr>
        <w:spacing w:after="0" w:line="3" w:lineRule="exact"/>
        <w:rPr>
          <w:sz w:val="20"/>
          <w:szCs w:val="20"/>
          <w:color w:val="auto"/>
        </w:rPr>
      </w:pPr>
    </w:p>
    <w:p>
      <w:pPr>
        <w:sectPr>
          <w:pgSz w:w="11900" w:h="16838" w:orient="portrait"/>
          <w:cols w:equalWidth="0" w:num="2">
            <w:col w:w="5240" w:space="720"/>
            <w:col w:w="5260"/>
          </w:cols>
          <w:pgMar w:left="320" w:top="131" w:right="359" w:bottom="1440" w:gutter="0" w:footer="0" w:header="0"/>
        </w:sectPr>
      </w:pPr>
    </w:p>
    <w:p>
      <w:pPr>
        <w:spacing w:after="0"/>
        <w:rPr>
          <w:sz w:val="20"/>
          <w:szCs w:val="20"/>
          <w:color w:val="auto"/>
        </w:rPr>
      </w:pPr>
      <w:r>
        <w:rPr>
          <w:rFonts w:ascii="Arial" w:cs="Arial" w:eastAsia="Arial" w:hAnsi="Arial"/>
          <w:sz w:val="22"/>
          <w:szCs w:val="22"/>
          <w:b w:val="1"/>
          <w:bCs w:val="1"/>
          <w:i w:val="1"/>
          <w:iCs w:val="1"/>
          <w:color w:val="000001"/>
        </w:rPr>
        <w:t>Experience</w:t>
      </w:r>
    </w:p>
    <w:p>
      <w:pPr>
        <w:spacing w:after="0" w:line="219"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191919"/>
        </w:rPr>
        <w:t>Mr. Beebe has been President and Chief Executive Officer of 2BPartners, LLC (a partnership that provides strategic, financial, and operational advice to private equity investors and management) since 2007. In 2014, Mr. Beebe became a founding partner of Astra Capital Management (a private equity firm based in Washington, D.C.). Previously, beginning in 1998, he was Group President of Operations at ALLTEL Corporation (a telecommunications services 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Other Public Company Boards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0001"/>
        </w:rPr>
        <w:t>Current</w:t>
      </w:r>
    </w:p>
    <w:p>
      <w:pPr>
        <w:spacing w:after="0" w:line="239" w:lineRule="exact"/>
        <w:rPr>
          <w:sz w:val="20"/>
          <w:szCs w:val="20"/>
          <w:color w:val="auto"/>
        </w:rPr>
      </w:pPr>
    </w:p>
    <w:p>
      <w:pPr>
        <w:ind w:left="540" w:hanging="539"/>
        <w:spacing w:after="0"/>
        <w:tabs>
          <w:tab w:leader="none" w:pos="540" w:val="left"/>
        </w:tabs>
        <w:numPr>
          <w:ilvl w:val="0"/>
          <w:numId w:val="17"/>
        </w:numPr>
        <w:rPr>
          <w:rFonts w:ascii="Arial" w:cs="Arial" w:eastAsia="Arial" w:hAnsi="Arial"/>
          <w:sz w:val="16"/>
          <w:szCs w:val="16"/>
          <w:color w:val="191919"/>
        </w:rPr>
      </w:pPr>
      <w:r>
        <w:rPr>
          <w:rFonts w:ascii="Arial" w:cs="Arial" w:eastAsia="Arial" w:hAnsi="Arial"/>
          <w:sz w:val="16"/>
          <w:szCs w:val="16"/>
          <w:color w:val="191919"/>
        </w:rPr>
        <w:t>SBA Communications Corporation</w:t>
      </w:r>
    </w:p>
    <w:p>
      <w:pPr>
        <w:spacing w:after="0" w:line="275" w:lineRule="exact"/>
        <w:rPr>
          <w:rFonts w:ascii="Arial" w:cs="Arial" w:eastAsia="Arial" w:hAnsi="Arial"/>
          <w:sz w:val="16"/>
          <w:szCs w:val="16"/>
          <w:color w:val="191919"/>
        </w:rPr>
      </w:pPr>
    </w:p>
    <w:p>
      <w:pPr>
        <w:ind w:left="540" w:hanging="539"/>
        <w:spacing w:after="0"/>
        <w:tabs>
          <w:tab w:leader="none" w:pos="540" w:val="left"/>
        </w:tabs>
        <w:numPr>
          <w:ilvl w:val="0"/>
          <w:numId w:val="17"/>
        </w:numPr>
        <w:rPr>
          <w:rFonts w:ascii="Arial" w:cs="Arial" w:eastAsia="Arial" w:hAnsi="Arial"/>
          <w:sz w:val="16"/>
          <w:szCs w:val="16"/>
          <w:color w:val="191919"/>
        </w:rPr>
      </w:pPr>
      <w:r>
        <w:rPr>
          <w:rFonts w:ascii="Arial" w:cs="Arial" w:eastAsia="Arial" w:hAnsi="Arial"/>
          <w:sz w:val="16"/>
          <w:szCs w:val="16"/>
          <w:color w:val="191919"/>
        </w:rPr>
        <w:t>Frontier Communications Corporation</w:t>
      </w:r>
    </w:p>
    <w:p>
      <w:pPr>
        <w:spacing w:after="0" w:line="228" w:lineRule="exact"/>
        <w:rPr>
          <w:sz w:val="20"/>
          <w:szCs w:val="20"/>
          <w:color w:val="auto"/>
        </w:rPr>
      </w:pPr>
    </w:p>
    <w:p>
      <w:pPr>
        <w:sectPr>
          <w:pgSz w:w="11900" w:h="16838" w:orient="portrait"/>
          <w:cols w:equalWidth="0" w:num="2">
            <w:col w:w="5240" w:space="720"/>
            <w:col w:w="5260"/>
          </w:cols>
          <w:pgMar w:left="320" w:top="131" w:right="359" w:bottom="1440" w:gutter="0" w:footer="0" w:header="0"/>
          <w:type w:val="continuous"/>
        </w:sectPr>
      </w:pPr>
    </w:p>
    <w:p>
      <w:pPr>
        <w:ind w:left="5960"/>
        <w:spacing w:after="0"/>
        <w:rPr>
          <w:sz w:val="20"/>
          <w:szCs w:val="20"/>
          <w:color w:val="auto"/>
        </w:rPr>
      </w:pPr>
      <w:r>
        <w:rPr>
          <w:rFonts w:ascii="Arial" w:cs="Arial" w:eastAsia="Arial" w:hAnsi="Arial"/>
          <w:sz w:val="22"/>
          <w:szCs w:val="22"/>
          <w:b w:val="1"/>
          <w:bCs w:val="1"/>
          <w:color w:val="000001"/>
        </w:rPr>
        <w:t>Past 5 Years</w:t>
      </w:r>
    </w:p>
    <w:p>
      <w:pPr>
        <w:spacing w:after="0" w:line="239" w:lineRule="exact"/>
        <w:rPr>
          <w:sz w:val="20"/>
          <w:szCs w:val="20"/>
          <w:color w:val="auto"/>
        </w:rPr>
      </w:pPr>
    </w:p>
    <w:p>
      <w:pPr>
        <w:ind w:left="6500" w:hanging="539"/>
        <w:spacing w:after="0"/>
        <w:tabs>
          <w:tab w:leader="none" w:pos="6500" w:val="left"/>
        </w:tabs>
        <w:numPr>
          <w:ilvl w:val="0"/>
          <w:numId w:val="18"/>
        </w:numPr>
        <w:rPr>
          <w:rFonts w:ascii="Arial" w:cs="Arial" w:eastAsia="Arial" w:hAnsi="Arial"/>
          <w:sz w:val="16"/>
          <w:szCs w:val="16"/>
          <w:color w:val="191919"/>
        </w:rPr>
      </w:pPr>
      <w:r>
        <w:rPr>
          <w:rFonts w:ascii="Arial" w:cs="Arial" w:eastAsia="Arial" w:hAnsi="Arial"/>
          <w:sz w:val="16"/>
          <w:szCs w:val="16"/>
          <w:color w:val="191919"/>
        </w:rPr>
        <w:t>NII Holdings, Inc. (until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720090</wp:posOffset>
            </wp:positionV>
            <wp:extent cx="2674620" cy="291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74620" cy="29146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FFFFFE"/>
        </w:rPr>
        <w:t>Timothy R. Furey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10795</wp:posOffset>
            </wp:positionV>
            <wp:extent cx="2674620" cy="7029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74620" cy="702945"/>
                    </a:xfrm>
                    <a:prstGeom prst="rect">
                      <a:avLst/>
                    </a:prstGeom>
                    <a:noFill/>
                  </pic:spPr>
                </pic:pic>
              </a:graphicData>
            </a:graphic>
          </wp:anchor>
        </w:drawing>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0001"/>
        </w:rPr>
        <w:t xml:space="preserve">Director since: </w:t>
      </w:r>
      <w:r>
        <w:rPr>
          <w:rFonts w:ascii="Arial" w:cs="Arial" w:eastAsia="Arial" w:hAnsi="Arial"/>
          <w:sz w:val="18"/>
          <w:szCs w:val="18"/>
          <w:color w:val="000001"/>
        </w:rPr>
        <w:t>1998</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0001"/>
        </w:rPr>
        <w:t xml:space="preserve">Age: </w:t>
      </w:r>
      <w:r>
        <w:rPr>
          <w:rFonts w:ascii="Arial" w:cs="Arial" w:eastAsia="Arial" w:hAnsi="Arial"/>
          <w:sz w:val="18"/>
          <w:szCs w:val="18"/>
          <w:color w:val="000001"/>
        </w:rPr>
        <w:t>61</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0001"/>
        </w:rPr>
        <w:t xml:space="preserve">Committee(s): </w:t>
      </w:r>
      <w:r>
        <w:rPr>
          <w:rFonts w:ascii="Arial" w:cs="Arial" w:eastAsia="Arial" w:hAnsi="Arial"/>
          <w:sz w:val="18"/>
          <w:szCs w:val="18"/>
          <w:color w:val="000001"/>
        </w:rPr>
        <w:t>Audit, Nominating and Corporate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000001"/>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6985</wp:posOffset>
            </wp:positionV>
            <wp:extent cx="2674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Experience</w:t>
      </w:r>
    </w:p>
    <w:p>
      <w:pPr>
        <w:spacing w:after="0" w:line="219"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191919"/>
        </w:rPr>
        <w:t>Mr. Furey has been Chief Executive Officer of MarketBridge (a privately owned digital marketing software and services firm) since 1991. MarketBridge provides digital marketing, predictive analytics, and sales effectiveness solutions to clients that include Fortune 1000 companies in the software, communications, financial services, life sciences, and consumer products sectors. Mr. Furey also serves as Managing Partner of the Technology Marketing Group (which advises and invests in emerging 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191919"/>
        </w:rPr>
        <w:t>companies in the social media, mobile, and marketing automation markets).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Qualifications</w:t>
      </w:r>
    </w:p>
    <w:p>
      <w:pPr>
        <w:spacing w:after="0" w:line="219" w:lineRule="exact"/>
        <w:rPr>
          <w:sz w:val="20"/>
          <w:szCs w:val="20"/>
          <w:color w:val="auto"/>
        </w:rPr>
      </w:pPr>
    </w:p>
    <w:p>
      <w:pPr>
        <w:spacing w:after="0" w:line="294" w:lineRule="auto"/>
        <w:rPr>
          <w:sz w:val="20"/>
          <w:szCs w:val="20"/>
          <w:color w:val="auto"/>
        </w:rPr>
      </w:pPr>
      <w:r>
        <w:rPr>
          <w:rFonts w:ascii="Arial" w:cs="Arial" w:eastAsia="Arial" w:hAnsi="Arial"/>
          <w:sz w:val="16"/>
          <w:szCs w:val="16"/>
          <w:color w:val="191919"/>
        </w:rPr>
        <w:t>We believe that Mr. Furey’s qualifications to serve as a director include his experience as Chief Executive Officer of MarketBridge, as well as his engagements with MarketBridge’s clients (many of which are Fortune 1000 companies), which provide him with a broad range of knowledge regarding business operations and growth strategies.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Other Public Company Boards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0001"/>
        </w:rPr>
        <w:t>Current</w:t>
      </w:r>
    </w:p>
    <w:p>
      <w:pPr>
        <w:spacing w:after="0" w:line="239" w:lineRule="exact"/>
        <w:rPr>
          <w:sz w:val="20"/>
          <w:szCs w:val="20"/>
          <w:color w:val="auto"/>
        </w:rPr>
      </w:pPr>
    </w:p>
    <w:p>
      <w:pPr>
        <w:ind w:left="540" w:hanging="539"/>
        <w:spacing w:after="0"/>
        <w:tabs>
          <w:tab w:leader="none" w:pos="540" w:val="left"/>
        </w:tabs>
        <w:numPr>
          <w:ilvl w:val="0"/>
          <w:numId w:val="19"/>
        </w:numPr>
        <w:rPr>
          <w:rFonts w:ascii="Arial" w:cs="Arial" w:eastAsia="Arial" w:hAnsi="Arial"/>
          <w:sz w:val="18"/>
          <w:szCs w:val="18"/>
          <w:color w:val="191919"/>
        </w:rPr>
      </w:pPr>
      <w:r>
        <w:rPr>
          <w:rFonts w:ascii="Arial" w:cs="Arial" w:eastAsia="Arial" w:hAnsi="Arial"/>
          <w:sz w:val="18"/>
          <w:szCs w:val="18"/>
          <w:color w:val="191919"/>
        </w:rPr>
        <w:t>None</w:t>
      </w:r>
    </w:p>
    <w:p>
      <w:pPr>
        <w:spacing w:after="0" w:line="229" w:lineRule="exact"/>
        <w:rPr>
          <w:sz w:val="20"/>
          <w:szCs w:val="20"/>
          <w:color w:val="auto"/>
        </w:rPr>
      </w:pPr>
    </w:p>
    <w:p>
      <w:pPr>
        <w:sectPr>
          <w:pgSz w:w="11900" w:h="16838" w:orient="portrait"/>
          <w:cols w:equalWidth="0" w:num="2">
            <w:col w:w="5240" w:space="720"/>
            <w:col w:w="5260"/>
          </w:cols>
          <w:pgMar w:left="320" w:top="131" w:right="359" w:bottom="1440" w:gutter="0" w:footer="0" w:header="0"/>
          <w:type w:val="continuous"/>
        </w:sectPr>
      </w:pPr>
    </w:p>
    <w:p>
      <w:pPr>
        <w:ind w:left="5960"/>
        <w:spacing w:after="0"/>
        <w:rPr>
          <w:sz w:val="20"/>
          <w:szCs w:val="20"/>
          <w:color w:val="auto"/>
        </w:rPr>
      </w:pPr>
      <w:r>
        <w:rPr>
          <w:rFonts w:ascii="Arial" w:cs="Arial" w:eastAsia="Arial" w:hAnsi="Arial"/>
          <w:sz w:val="18"/>
          <w:szCs w:val="18"/>
          <w:b w:val="1"/>
          <w:bCs w:val="1"/>
          <w:color w:val="000001"/>
        </w:rPr>
        <w:t>Past 5 Years</w:t>
      </w:r>
    </w:p>
    <w:p>
      <w:pPr>
        <w:spacing w:after="0" w:line="247" w:lineRule="exact"/>
        <w:rPr>
          <w:sz w:val="20"/>
          <w:szCs w:val="20"/>
          <w:color w:val="auto"/>
        </w:rPr>
      </w:pPr>
    </w:p>
    <w:p>
      <w:pPr>
        <w:ind w:left="5960"/>
        <w:spacing w:after="0"/>
        <w:tabs>
          <w:tab w:leader="none" w:pos="6480" w:val="left"/>
        </w:tabs>
        <w:rPr>
          <w:sz w:val="20"/>
          <w:szCs w:val="20"/>
          <w:color w:val="auto"/>
        </w:rPr>
      </w:pPr>
      <w:r>
        <w:rPr>
          <w:rFonts w:ascii="Arial" w:cs="Arial" w:eastAsia="Arial" w:hAnsi="Arial"/>
          <w:sz w:val="18"/>
          <w:szCs w:val="18"/>
          <w:color w:val="191919"/>
        </w:rPr>
        <w:t>•</w:t>
      </w:r>
      <w:r>
        <w:rPr>
          <w:sz w:val="20"/>
          <w:szCs w:val="20"/>
          <w:color w:val="auto"/>
        </w:rPr>
        <w:tab/>
      </w:r>
      <w:r>
        <w:rPr>
          <w:rFonts w:ascii="Arial" w:cs="Arial" w:eastAsia="Arial" w:hAnsi="Arial"/>
          <w:sz w:val="18"/>
          <w:szCs w:val="18"/>
          <w:color w:val="191919"/>
        </w:rPr>
        <w:t>None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22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613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147955</wp:posOffset>
            </wp:positionV>
            <wp:extent cx="2674620" cy="291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74620" cy="29146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FFFFFE"/>
        </w:rPr>
        <w:t>David P. McGlade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10795</wp:posOffset>
            </wp:positionV>
            <wp:extent cx="2674620" cy="5657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74620" cy="565785"/>
                    </a:xfrm>
                    <a:prstGeom prst="rect">
                      <a:avLst/>
                    </a:prstGeom>
                    <a:noFill/>
                  </pic:spPr>
                </pic:pic>
              </a:graphicData>
            </a:graphic>
          </wp:anchor>
        </w:drawing>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0001"/>
        </w:rPr>
        <w:t xml:space="preserve">Director since: </w:t>
      </w:r>
      <w:r>
        <w:rPr>
          <w:rFonts w:ascii="Arial" w:cs="Arial" w:eastAsia="Arial" w:hAnsi="Arial"/>
          <w:sz w:val="18"/>
          <w:szCs w:val="18"/>
          <w:color w:val="000001"/>
        </w:rPr>
        <w:t>2005</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0001"/>
        </w:rPr>
        <w:t xml:space="preserve">Age: </w:t>
      </w:r>
      <w:r>
        <w:rPr>
          <w:rFonts w:ascii="Arial" w:cs="Arial" w:eastAsia="Arial" w:hAnsi="Arial"/>
          <w:sz w:val="18"/>
          <w:szCs w:val="18"/>
          <w:color w:val="000001"/>
        </w:rPr>
        <w:t>59</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0001"/>
        </w:rPr>
        <w:t xml:space="preserve">Committee(s): </w:t>
      </w:r>
      <w:r>
        <w:rPr>
          <w:rFonts w:ascii="Arial" w:cs="Arial" w:eastAsia="Arial" w:hAnsi="Arial"/>
          <w:sz w:val="18"/>
          <w:szCs w:val="18"/>
          <w:color w:val="000001"/>
        </w:rPr>
        <w:t>Audit,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6985</wp:posOffset>
            </wp:positionV>
            <wp:extent cx="26746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Experience</w:t>
      </w:r>
    </w:p>
    <w:p>
      <w:pPr>
        <w:spacing w:after="0" w:line="219" w:lineRule="exact"/>
        <w:rPr>
          <w:sz w:val="20"/>
          <w:szCs w:val="20"/>
          <w:color w:val="auto"/>
        </w:rPr>
      </w:pPr>
    </w:p>
    <w:p>
      <w:pPr>
        <w:spacing w:after="0" w:line="282" w:lineRule="auto"/>
        <w:rPr>
          <w:sz w:val="20"/>
          <w:szCs w:val="20"/>
          <w:color w:val="auto"/>
        </w:rPr>
      </w:pPr>
      <w:r>
        <w:rPr>
          <w:rFonts w:ascii="Arial" w:cs="Arial" w:eastAsia="Arial" w:hAnsi="Arial"/>
          <w:sz w:val="16"/>
          <w:szCs w:val="16"/>
          <w:color w:val="191919"/>
        </w:rPr>
        <w:t>Mr. McGlade serves as Chairman of the Board of Intelsat S.A. (a publicly traded worldwide provider of satellite communication services), a position he has held since April 2013. Mr. McGlade served as Executive Chairman of Intelsat from April 2015 to March 2018, prior to which he served as Chairman and Chief Executive Officer. Mr. McGlade joined Intelsat in April 2005 and was the Deputy Chairman of Intelsat from August 2008 until April 2013. Previously, Mr. McGlade served as an Executive Director of mmO2 PLC and as the Chief 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191919"/>
        </w:rPr>
        <w:t>Officer of O2 UK (a subsidiary of mmO2), a position he held from October 2000 until March 2005.</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Qualifications</w:t>
      </w:r>
    </w:p>
    <w:p>
      <w:pPr>
        <w:spacing w:after="0" w:line="21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191919"/>
        </w:rPr>
        <w:t>We believe that Mr. McGlade’s qualifications to serve as a director include his significant operational, strategic, and financial acumen, as well as his knowledge about global capital markets, developed over his 30 years of experience in the telecommunications business.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Other Public Company Boards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0001"/>
        </w:rPr>
        <w:t>Current</w:t>
      </w:r>
    </w:p>
    <w:p>
      <w:pPr>
        <w:spacing w:after="0" w:line="239" w:lineRule="exact"/>
        <w:rPr>
          <w:sz w:val="20"/>
          <w:szCs w:val="20"/>
          <w:color w:val="auto"/>
        </w:rPr>
      </w:pPr>
    </w:p>
    <w:p>
      <w:pPr>
        <w:ind w:left="540" w:hanging="539"/>
        <w:spacing w:after="0"/>
        <w:tabs>
          <w:tab w:leader="none" w:pos="540" w:val="left"/>
        </w:tabs>
        <w:numPr>
          <w:ilvl w:val="0"/>
          <w:numId w:val="20"/>
        </w:numPr>
        <w:rPr>
          <w:rFonts w:ascii="Arial" w:cs="Arial" w:eastAsia="Arial" w:hAnsi="Arial"/>
          <w:sz w:val="18"/>
          <w:szCs w:val="18"/>
          <w:color w:val="191919"/>
        </w:rPr>
      </w:pPr>
      <w:r>
        <w:rPr>
          <w:rFonts w:ascii="Arial" w:cs="Arial" w:eastAsia="Arial" w:hAnsi="Arial"/>
          <w:sz w:val="18"/>
          <w:szCs w:val="18"/>
          <w:color w:val="191919"/>
        </w:rPr>
        <w:t>Intelsat S.A.</w:t>
      </w:r>
    </w:p>
    <w:p>
      <w:pPr>
        <w:spacing w:after="0" w:line="229" w:lineRule="exact"/>
        <w:rPr>
          <w:sz w:val="20"/>
          <w:szCs w:val="20"/>
          <w:color w:val="auto"/>
        </w:rPr>
      </w:pPr>
    </w:p>
    <w:p>
      <w:pPr>
        <w:sectPr>
          <w:pgSz w:w="11900" w:h="16838" w:orient="portrait"/>
          <w:cols w:equalWidth="0" w:num="2">
            <w:col w:w="5280" w:space="680"/>
            <w:col w:w="5280"/>
          </w:cols>
          <w:pgMar w:left="320" w:top="131" w:right="339" w:bottom="1440" w:gutter="0" w:footer="0" w:header="0"/>
        </w:sectPr>
      </w:pPr>
    </w:p>
    <w:p>
      <w:pPr>
        <w:ind w:left="5960"/>
        <w:spacing w:after="0"/>
        <w:rPr>
          <w:sz w:val="20"/>
          <w:szCs w:val="20"/>
          <w:color w:val="auto"/>
        </w:rPr>
      </w:pPr>
      <w:r>
        <w:rPr>
          <w:rFonts w:ascii="Arial" w:cs="Arial" w:eastAsia="Arial" w:hAnsi="Arial"/>
          <w:sz w:val="18"/>
          <w:szCs w:val="18"/>
          <w:b w:val="1"/>
          <w:bCs w:val="1"/>
          <w:color w:val="000001"/>
        </w:rPr>
        <w:t>Past 5 Years</w:t>
      </w:r>
    </w:p>
    <w:p>
      <w:pPr>
        <w:spacing w:after="0" w:line="274" w:lineRule="exact"/>
        <w:rPr>
          <w:sz w:val="20"/>
          <w:szCs w:val="20"/>
          <w:color w:val="auto"/>
        </w:rPr>
      </w:pPr>
    </w:p>
    <w:p>
      <w:pPr>
        <w:ind w:left="6500" w:hanging="539"/>
        <w:spacing w:after="0"/>
        <w:tabs>
          <w:tab w:leader="none" w:pos="6500" w:val="left"/>
        </w:tabs>
        <w:numPr>
          <w:ilvl w:val="0"/>
          <w:numId w:val="21"/>
        </w:numPr>
        <w:rPr>
          <w:rFonts w:ascii="Arial" w:cs="Arial" w:eastAsia="Arial" w:hAnsi="Arial"/>
          <w:sz w:val="18"/>
          <w:szCs w:val="18"/>
          <w:color w:val="191919"/>
        </w:rPr>
      </w:pPr>
      <w:r>
        <w:rPr>
          <w:rFonts w:ascii="Arial" w:cs="Arial" w:eastAsia="Arial" w:hAnsi="Arial"/>
          <w:sz w:val="18"/>
          <w:szCs w:val="18"/>
          <w:color w:val="191919"/>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705485</wp:posOffset>
            </wp:positionV>
            <wp:extent cx="2674620" cy="291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74620" cy="29146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FFFFFE"/>
        </w:rPr>
        <w:t>Robert A. Schriesheim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10795</wp:posOffset>
            </wp:positionV>
            <wp:extent cx="2674620" cy="7029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74620" cy="702945"/>
                    </a:xfrm>
                    <a:prstGeom prst="rect">
                      <a:avLst/>
                    </a:prstGeom>
                    <a:noFill/>
                  </pic:spPr>
                </pic:pic>
              </a:graphicData>
            </a:graphic>
          </wp:anchor>
        </w:drawing>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0001"/>
        </w:rPr>
        <w:t xml:space="preserve">Director since: </w:t>
      </w:r>
      <w:r>
        <w:rPr>
          <w:rFonts w:ascii="Arial" w:cs="Arial" w:eastAsia="Arial" w:hAnsi="Arial"/>
          <w:sz w:val="18"/>
          <w:szCs w:val="18"/>
          <w:color w:val="000001"/>
        </w:rPr>
        <w:t>2006</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0001"/>
        </w:rPr>
        <w:t xml:space="preserve">Age: </w:t>
      </w:r>
      <w:r>
        <w:rPr>
          <w:rFonts w:ascii="Arial" w:cs="Arial" w:eastAsia="Arial" w:hAnsi="Arial"/>
          <w:sz w:val="18"/>
          <w:szCs w:val="18"/>
          <w:color w:val="000001"/>
        </w:rPr>
        <w:t>59</w:t>
      </w:r>
    </w:p>
    <w:p>
      <w:pPr>
        <w:spacing w:after="0" w:line="9" w:lineRule="exact"/>
        <w:rPr>
          <w:sz w:val="20"/>
          <w:szCs w:val="20"/>
          <w:color w:val="auto"/>
        </w:rPr>
      </w:pPr>
    </w:p>
    <w:p>
      <w:pPr>
        <w:ind w:left="640" w:right="500"/>
        <w:spacing w:after="0" w:line="260" w:lineRule="auto"/>
        <w:rPr>
          <w:sz w:val="20"/>
          <w:szCs w:val="20"/>
          <w:color w:val="auto"/>
        </w:rPr>
      </w:pPr>
      <w:r>
        <w:rPr>
          <w:rFonts w:ascii="Arial" w:cs="Arial" w:eastAsia="Arial" w:hAnsi="Arial"/>
          <w:sz w:val="18"/>
          <w:szCs w:val="18"/>
          <w:b w:val="1"/>
          <w:bCs w:val="1"/>
          <w:color w:val="000001"/>
        </w:rPr>
        <w:t xml:space="preserve">Committee(s): </w:t>
      </w:r>
      <w:r>
        <w:rPr>
          <w:rFonts w:ascii="Arial" w:cs="Arial" w:eastAsia="Arial" w:hAnsi="Arial"/>
          <w:sz w:val="18"/>
          <w:szCs w:val="18"/>
          <w:color w:val="000001"/>
        </w:rPr>
        <w:t>Compensation, Nominating and Corporate</w:t>
      </w:r>
      <w:r>
        <w:rPr>
          <w:rFonts w:ascii="Arial" w:cs="Arial" w:eastAsia="Arial" w:hAnsi="Arial"/>
          <w:sz w:val="18"/>
          <w:szCs w:val="18"/>
          <w:b w:val="1"/>
          <w:bCs w:val="1"/>
          <w:color w:val="000001"/>
        </w:rPr>
        <w:t xml:space="preserve"> </w:t>
      </w:r>
      <w:r>
        <w:rPr>
          <w:rFonts w:ascii="Arial" w:cs="Arial" w:eastAsia="Arial" w:hAnsi="Arial"/>
          <w:sz w:val="18"/>
          <w:szCs w:val="18"/>
          <w:color w:val="000001"/>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-8255</wp:posOffset>
            </wp:positionV>
            <wp:extent cx="26746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Experience</w:t>
      </w:r>
    </w:p>
    <w:p>
      <w:pPr>
        <w:spacing w:after="0" w:line="21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191919"/>
        </w:rPr>
        <w:t>Mr. Schriesheim currently serves as chairman of Truax Partners LLC (a consulting firm). He served as Executive Vice President and Chief Financial Officer of Sears Holdings Corporation (a publicly traded nationwide retailer) from August 2011 to October 2016. From January 2010 to October 2010, Mr. Schriesheim was Chief Financial Officer of Hewitt Associates, Inc. (a global human resources consulting and outsourcing company that was acquired by Aon Corporation). From October 2006 until December 2009, he was the Executive Vice President and Chief Financial Officer of Lawson Software, Inc. (a publicly traded ERP software provider).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Qualifications</w:t>
      </w:r>
    </w:p>
    <w:p>
      <w:pPr>
        <w:spacing w:after="0" w:line="21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191919"/>
        </w:rPr>
        <w:t>We believe that Mr. Schriesheim’s qualifications to serve as a director include his extensive knowledge of the capital markets and corporate financial capital structures, his expertise evaluating and structuring merger and acquisition transactions within the technology sector, and his experience gained through leading companies through major strategic and financial corporate transformations.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Other Public Company Boards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0001"/>
        </w:rPr>
        <w:t>Current</w:t>
      </w:r>
    </w:p>
    <w:p>
      <w:pPr>
        <w:spacing w:after="0" w:line="239" w:lineRule="exact"/>
        <w:rPr>
          <w:sz w:val="20"/>
          <w:szCs w:val="20"/>
          <w:color w:val="auto"/>
        </w:rPr>
      </w:pPr>
    </w:p>
    <w:p>
      <w:pPr>
        <w:ind w:left="540" w:hanging="539"/>
        <w:spacing w:after="0"/>
        <w:tabs>
          <w:tab w:leader="none" w:pos="540" w:val="left"/>
        </w:tabs>
        <w:numPr>
          <w:ilvl w:val="0"/>
          <w:numId w:val="22"/>
        </w:numPr>
        <w:rPr>
          <w:rFonts w:ascii="Arial" w:cs="Arial" w:eastAsia="Arial" w:hAnsi="Arial"/>
          <w:sz w:val="18"/>
          <w:szCs w:val="18"/>
          <w:color w:val="191919"/>
        </w:rPr>
      </w:pPr>
      <w:r>
        <w:rPr>
          <w:rFonts w:ascii="Arial" w:cs="Arial" w:eastAsia="Arial" w:hAnsi="Arial"/>
          <w:sz w:val="18"/>
          <w:szCs w:val="18"/>
          <w:color w:val="191919"/>
        </w:rPr>
        <w:t>Frontier Communications Corporation</w:t>
      </w:r>
    </w:p>
    <w:p>
      <w:pPr>
        <w:spacing w:after="0" w:line="238" w:lineRule="exact"/>
        <w:rPr>
          <w:rFonts w:ascii="Arial" w:cs="Arial" w:eastAsia="Arial" w:hAnsi="Arial"/>
          <w:sz w:val="18"/>
          <w:szCs w:val="18"/>
          <w:color w:val="191919"/>
        </w:rPr>
      </w:pPr>
    </w:p>
    <w:p>
      <w:pPr>
        <w:ind w:left="540" w:hanging="539"/>
        <w:spacing w:after="0"/>
        <w:tabs>
          <w:tab w:leader="none" w:pos="540" w:val="left"/>
        </w:tabs>
        <w:numPr>
          <w:ilvl w:val="0"/>
          <w:numId w:val="22"/>
        </w:numPr>
        <w:rPr>
          <w:rFonts w:ascii="Arial" w:cs="Arial" w:eastAsia="Arial" w:hAnsi="Arial"/>
          <w:sz w:val="18"/>
          <w:szCs w:val="18"/>
          <w:color w:val="191919"/>
        </w:rPr>
      </w:pPr>
      <w:r>
        <w:rPr>
          <w:rFonts w:ascii="Arial" w:cs="Arial" w:eastAsia="Arial" w:hAnsi="Arial"/>
          <w:sz w:val="18"/>
          <w:szCs w:val="18"/>
          <w:color w:val="191919"/>
        </w:rPr>
        <w:t>Houlihan Lokey,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000001"/>
        </w:rPr>
        <w:t>Past 5 Years</w:t>
      </w:r>
    </w:p>
    <w:p>
      <w:pPr>
        <w:spacing w:after="0" w:line="252" w:lineRule="exact"/>
        <w:rPr>
          <w:sz w:val="20"/>
          <w:szCs w:val="20"/>
          <w:color w:val="auto"/>
        </w:rPr>
      </w:pPr>
    </w:p>
    <w:p>
      <w:pPr>
        <w:ind w:left="540" w:hanging="539"/>
        <w:spacing w:after="0"/>
        <w:tabs>
          <w:tab w:leader="none" w:pos="540" w:val="left"/>
        </w:tabs>
        <w:numPr>
          <w:ilvl w:val="0"/>
          <w:numId w:val="23"/>
        </w:numPr>
        <w:rPr>
          <w:rFonts w:ascii="Arial" w:cs="Arial" w:eastAsia="Arial" w:hAnsi="Arial"/>
          <w:sz w:val="18"/>
          <w:szCs w:val="18"/>
          <w:color w:val="191919"/>
        </w:rPr>
      </w:pPr>
      <w:r>
        <w:rPr>
          <w:rFonts w:ascii="Arial" w:cs="Arial" w:eastAsia="Arial" w:hAnsi="Arial"/>
          <w:sz w:val="18"/>
          <w:szCs w:val="18"/>
          <w:color w:val="191919"/>
        </w:rPr>
        <w:t>Forest City Realty Trust (until 2018)</w:t>
      </w:r>
    </w:p>
    <w:p>
      <w:pPr>
        <w:spacing w:after="0" w:line="200" w:lineRule="exact"/>
        <w:rPr>
          <w:sz w:val="20"/>
          <w:szCs w:val="20"/>
          <w:color w:val="auto"/>
        </w:rPr>
      </w:pPr>
    </w:p>
    <w:p>
      <w:pPr>
        <w:sectPr>
          <w:pgSz w:w="11900" w:h="16838" w:orient="portrait"/>
          <w:cols w:equalWidth="0" w:num="2">
            <w:col w:w="5240" w:space="720"/>
            <w:col w:w="5280"/>
          </w:cols>
          <w:pgMar w:left="320" w:top="131" w:right="339" w:bottom="1440" w:gutter="0" w:footer="0" w:header="0"/>
          <w:type w:val="continuous"/>
        </w:sectPr>
      </w:pPr>
    </w:p>
    <w:p>
      <w:pPr>
        <w:spacing w:after="0" w:line="39" w:lineRule="exact"/>
        <w:rPr>
          <w:sz w:val="20"/>
          <w:szCs w:val="20"/>
          <w:color w:val="auto"/>
        </w:rPr>
      </w:pPr>
    </w:p>
    <w:p>
      <w:pPr>
        <w:ind w:left="6500" w:hanging="539"/>
        <w:spacing w:after="0"/>
        <w:tabs>
          <w:tab w:leader="none" w:pos="6500" w:val="left"/>
        </w:tabs>
        <w:numPr>
          <w:ilvl w:val="0"/>
          <w:numId w:val="24"/>
        </w:numPr>
        <w:rPr>
          <w:rFonts w:ascii="Arial" w:cs="Arial" w:eastAsia="Arial" w:hAnsi="Arial"/>
          <w:sz w:val="18"/>
          <w:szCs w:val="18"/>
          <w:color w:val="191919"/>
        </w:rPr>
      </w:pPr>
      <w:r>
        <w:rPr>
          <w:rFonts w:ascii="Arial" w:cs="Arial" w:eastAsia="Arial" w:hAnsi="Arial"/>
          <w:sz w:val="18"/>
          <w:szCs w:val="18"/>
          <w:color w:val="191919"/>
        </w:rPr>
        <w:t>NII Holdings, Inc. (until 2019)</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147955</wp:posOffset>
            </wp:positionV>
            <wp:extent cx="2674620" cy="291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74620" cy="29146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FFFFFE"/>
        </w:rPr>
        <w:t>Kimberly S.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10795</wp:posOffset>
            </wp:positionV>
            <wp:extent cx="2674620" cy="5657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74620" cy="565785"/>
                    </a:xfrm>
                    <a:prstGeom prst="rect">
                      <a:avLst/>
                    </a:prstGeom>
                    <a:noFill/>
                  </pic:spPr>
                </pic:pic>
              </a:graphicData>
            </a:graphic>
          </wp:anchor>
        </w:drawing>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0001"/>
        </w:rPr>
        <w:t xml:space="preserve">Director since: </w:t>
      </w:r>
      <w:r>
        <w:rPr>
          <w:rFonts w:ascii="Arial" w:cs="Arial" w:eastAsia="Arial" w:hAnsi="Arial"/>
          <w:sz w:val="18"/>
          <w:szCs w:val="18"/>
          <w:color w:val="000001"/>
        </w:rPr>
        <w:t>2018</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0001"/>
        </w:rPr>
        <w:t xml:space="preserve">Age: </w:t>
      </w:r>
      <w:r>
        <w:rPr>
          <w:rFonts w:ascii="Arial" w:cs="Arial" w:eastAsia="Arial" w:hAnsi="Arial"/>
          <w:sz w:val="18"/>
          <w:szCs w:val="18"/>
          <w:color w:val="000001"/>
        </w:rPr>
        <w:t>57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0001"/>
        </w:rPr>
        <w:t xml:space="preserve">Committee(s): </w:t>
      </w:r>
      <w:r>
        <w:rPr>
          <w:rFonts w:ascii="Arial" w:cs="Arial" w:eastAsia="Arial" w:hAnsi="Arial"/>
          <w:sz w:val="16"/>
          <w:szCs w:val="16"/>
          <w:color w:val="000001"/>
        </w:rPr>
        <w:t>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21590</wp:posOffset>
            </wp:positionV>
            <wp:extent cx="26746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Experience</w:t>
      </w:r>
    </w:p>
    <w:p>
      <w:pPr>
        <w:spacing w:after="0" w:line="219"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191919"/>
        </w:rPr>
        <w:t>In January 2020, Ms. Stevenson became Senior Vice President and General Manager, Foundational Data Services Business Unit, at NetApp, Inc. (a publicly traded provider of cloud data services). From February 2019 to January 2020, she was a venture partner at RIDGE-LANE Limited Partners (a strategic advisory and venture development firm). Previously, Ms. Stevenson served as Senior Vice President and General Manager, Data Center Products and Solutions, at Lenovo Group Ltd. (a publicly traded manufacturer of personal computers, data center equipment, smartphones, and tablets) from May 2017 to October 2018. From September 2009 to February 2017, she served as a Corporate Vice President at Intel Corporation (a publicly traded semiconductor designer and manufacturer), holding various positions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24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191919"/>
        </w:rPr>
        <w:t>Chief Operating Officer for the Client and Internet of Things Businesses and Systems Architecture Group from September 2016 to February 2017, Chief Information Officer from February 2012 to August 2016, and General Manager, IT Operations and Services, from September 2009 to January 2012.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Qualifications</w:t>
      </w:r>
    </w:p>
    <w:p>
      <w:pPr>
        <w:spacing w:after="0" w:line="219" w:lineRule="exact"/>
        <w:rPr>
          <w:sz w:val="20"/>
          <w:szCs w:val="20"/>
          <w:color w:val="auto"/>
        </w:rPr>
      </w:pPr>
    </w:p>
    <w:p>
      <w:pPr>
        <w:spacing w:after="0" w:line="298" w:lineRule="auto"/>
        <w:rPr>
          <w:sz w:val="20"/>
          <w:szCs w:val="20"/>
          <w:color w:val="auto"/>
        </w:rPr>
      </w:pPr>
      <w:r>
        <w:rPr>
          <w:rFonts w:ascii="Arial" w:cs="Arial" w:eastAsia="Arial" w:hAnsi="Arial"/>
          <w:sz w:val="16"/>
          <w:szCs w:val="16"/>
          <w:color w:val="191919"/>
        </w:rPr>
        <w:t>We believe that Ms. Stevenson’s qualifications to serve as a director include her extensive senior management experience in the semiconductor and technology industries and her expertise on best practices within information systems and operational risk management.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Other Public Company Boards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0001"/>
        </w:rPr>
        <w:t>Current</w:t>
      </w:r>
    </w:p>
    <w:p>
      <w:pPr>
        <w:spacing w:after="0" w:line="239" w:lineRule="exact"/>
        <w:rPr>
          <w:sz w:val="20"/>
          <w:szCs w:val="20"/>
          <w:color w:val="auto"/>
        </w:rPr>
      </w:pPr>
    </w:p>
    <w:p>
      <w:pPr>
        <w:ind w:left="540" w:hanging="539"/>
        <w:spacing w:after="0"/>
        <w:tabs>
          <w:tab w:leader="none" w:pos="540" w:val="left"/>
        </w:tabs>
        <w:numPr>
          <w:ilvl w:val="0"/>
          <w:numId w:val="25"/>
        </w:numPr>
        <w:rPr>
          <w:rFonts w:ascii="Arial" w:cs="Arial" w:eastAsia="Arial" w:hAnsi="Arial"/>
          <w:sz w:val="18"/>
          <w:szCs w:val="18"/>
          <w:color w:val="191919"/>
        </w:rPr>
      </w:pPr>
      <w:r>
        <w:rPr>
          <w:rFonts w:ascii="Arial" w:cs="Arial" w:eastAsia="Arial" w:hAnsi="Arial"/>
          <w:sz w:val="18"/>
          <w:szCs w:val="18"/>
          <w:color w:val="191919"/>
        </w:rPr>
        <w:t>Boston Private Financial Holdings,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000001"/>
        </w:rPr>
        <w:t>Past 5 Years</w:t>
      </w:r>
    </w:p>
    <w:p>
      <w:pPr>
        <w:spacing w:after="0" w:line="252" w:lineRule="exact"/>
        <w:rPr>
          <w:sz w:val="20"/>
          <w:szCs w:val="20"/>
          <w:color w:val="auto"/>
        </w:rPr>
      </w:pPr>
    </w:p>
    <w:p>
      <w:pPr>
        <w:ind w:left="540" w:hanging="539"/>
        <w:spacing w:after="0"/>
        <w:tabs>
          <w:tab w:leader="none" w:pos="540" w:val="left"/>
        </w:tabs>
        <w:numPr>
          <w:ilvl w:val="0"/>
          <w:numId w:val="26"/>
        </w:numPr>
        <w:rPr>
          <w:rFonts w:ascii="Arial" w:cs="Arial" w:eastAsia="Arial" w:hAnsi="Arial"/>
          <w:sz w:val="18"/>
          <w:szCs w:val="18"/>
          <w:color w:val="191919"/>
        </w:rPr>
      </w:pPr>
      <w:r>
        <w:rPr>
          <w:rFonts w:ascii="Arial" w:cs="Arial" w:eastAsia="Arial" w:hAnsi="Arial"/>
          <w:sz w:val="18"/>
          <w:szCs w:val="18"/>
          <w:color w:val="191919"/>
        </w:rPr>
        <w:t>Riverbed Technology, Inc. (until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557530</wp:posOffset>
            </wp:positionV>
            <wp:extent cx="713613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40" w:space="720"/>
            <w:col w:w="5220"/>
          </w:cols>
          <w:pgMar w:left="320" w:top="131" w:right="3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54" w:lineRule="auto"/>
        <w:rPr>
          <w:sz w:val="20"/>
          <w:szCs w:val="20"/>
          <w:color w:val="auto"/>
        </w:rPr>
      </w:pPr>
      <w:r>
        <w:rPr>
          <w:rFonts w:ascii="Arial" w:cs="Arial" w:eastAsia="Arial" w:hAnsi="Arial"/>
          <w:sz w:val="18"/>
          <w:szCs w:val="18"/>
          <w:color w:val="191919"/>
        </w:rPr>
        <w:t>Nine of our currently serving directors have been nominated for election to our Board of Directors to serve until the 2021 Annual Meeting of Stockholders and until their successors are elected and qualified or until their earlier resignation or removal. The table below summarizes the key qualifications and attributes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191919"/>
        </w:rPr>
        <w:t>In addition to the information presented above regarding each director’s specific experience, qualifications, attributes and skills that led our Board of Directors to conclude that he or she should serve as a director, we also believe that each of our directors has a reputation for integrity, honesty, and adherence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191919"/>
        </w:rPr>
        <w:t>relied upon by the Board of Directors in nominating our current directors for election. Marks indicate specific areas of focus or expertise relied on by the Board of Directors. The lack of a mark in a particular area does not necessarily signify a director’s lack of qualification or experience in such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269875</wp:posOffset>
            </wp:positionV>
            <wp:extent cx="6515100" cy="60693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15100" cy="6069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191919"/>
        </w:rPr>
        <w:t>to high ethical standards. They have each demonstrated business acumen, an ability to exercise sound judgment, knowledge of our business and industry, and the willingness to devote the time needed to be an effective director.</w:t>
      </w:r>
    </w:p>
    <w:p>
      <w:pPr>
        <w:spacing w:after="0" w:line="412" w:lineRule="exact"/>
        <w:rPr>
          <w:sz w:val="20"/>
          <w:szCs w:val="20"/>
          <w:color w:val="auto"/>
        </w:rPr>
      </w:pPr>
    </w:p>
    <w:p>
      <w:pPr>
        <w:sectPr>
          <w:pgSz w:w="11900" w:h="16838" w:orient="portrait"/>
          <w:cols w:equalWidth="0" w:num="2">
            <w:col w:w="5280" w:space="680"/>
            <w:col w:w="5280"/>
          </w:cols>
          <w:pgMar w:left="320" w:top="131" w:right="339" w:bottom="1440" w:gutter="0" w:footer="0" w:header="0"/>
        </w:sectPr>
      </w:pPr>
    </w:p>
    <w:p>
      <w:pPr>
        <w:spacing w:after="0" w:line="211" w:lineRule="exact"/>
        <w:rPr>
          <w:sz w:val="20"/>
          <w:szCs w:val="20"/>
          <w:color w:val="auto"/>
        </w:rPr>
      </w:pPr>
    </w:p>
    <w:p>
      <w:pPr>
        <w:ind w:left="9280"/>
        <w:spacing w:after="0"/>
        <w:rPr>
          <w:sz w:val="20"/>
          <w:szCs w:val="20"/>
          <w:color w:val="auto"/>
        </w:rPr>
      </w:pPr>
      <w:r>
        <w:rPr>
          <w:rFonts w:ascii="Arial" w:cs="Arial" w:eastAsia="Arial" w:hAnsi="Arial"/>
          <w:sz w:val="16"/>
          <w:szCs w:val="16"/>
          <w:color w:val="000001"/>
        </w:rPr>
        <w:t xml:space="preserve">Proxy Statement </w:t>
      </w:r>
      <w:r>
        <w:rPr>
          <w:rFonts w:ascii="Arial" w:cs="Arial" w:eastAsia="Arial" w:hAnsi="Arial"/>
          <w:sz w:val="15"/>
          <w:szCs w:val="15"/>
          <w:b w:val="1"/>
          <w:bCs w:val="1"/>
          <w:color w:val="000001"/>
        </w:rPr>
        <w:t>|</w:t>
      </w:r>
      <w:r>
        <w:rPr>
          <w:rFonts w:ascii="Arial" w:cs="Arial" w:eastAsia="Arial" w:hAnsi="Arial"/>
          <w:sz w:val="16"/>
          <w:szCs w:val="16"/>
          <w:color w:val="000001"/>
        </w:rPr>
        <w:t xml:space="preserve"> </w:t>
      </w:r>
      <w:r>
        <w:rPr>
          <w:rFonts w:ascii="Arial" w:cs="Arial" w:eastAsia="Arial" w:hAnsi="Arial"/>
          <w:sz w:val="16"/>
          <w:szCs w:val="16"/>
          <w:b w:val="1"/>
          <w:bCs w:val="1"/>
          <w:color w:val="000001"/>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361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1" w:name="page22"/>
    <w:bookmarkEnd w:id="21"/>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p>
      <w:pPr>
        <w:spacing w:after="0" w:line="294" w:lineRule="exact"/>
        <w:rPr>
          <w:sz w:val="20"/>
          <w:szCs w:val="20"/>
          <w:color w:val="auto"/>
        </w:rPr>
      </w:pPr>
    </w:p>
    <w:p>
      <w:pPr>
        <w:spacing w:after="0"/>
        <w:rPr>
          <w:sz w:val="20"/>
          <w:szCs w:val="20"/>
          <w:color w:val="auto"/>
        </w:rPr>
      </w:pPr>
      <w:r>
        <w:rPr>
          <w:rFonts w:ascii="Arial" w:cs="Arial" w:eastAsia="Arial" w:hAnsi="Arial"/>
          <w:sz w:val="32"/>
          <w:szCs w:val="32"/>
          <w:b w:val="1"/>
          <w:bCs w:val="1"/>
          <w:color w:val="02568A"/>
        </w:rPr>
        <w:t>Corporate Governance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Stockholder Engagement and Best Practices</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8"/>
          <w:szCs w:val="18"/>
          <w:color w:val="191919"/>
        </w:rPr>
        <w:t>The following actions and policies, some of which were adopted in recent years after receiving feedback from our stockholders, demonstrate the commitment of our Board of Directors to robust corporate governance and responsiveness to stockholders:</w:t>
      </w:r>
    </w:p>
    <w:p>
      <w:pPr>
        <w:spacing w:after="0" w:line="210" w:lineRule="exact"/>
        <w:rPr>
          <w:sz w:val="20"/>
          <w:szCs w:val="20"/>
          <w:color w:val="auto"/>
        </w:rPr>
      </w:pPr>
    </w:p>
    <w:p>
      <w:pPr>
        <w:ind w:left="540" w:right="40" w:hanging="532"/>
        <w:spacing w:after="0" w:line="284" w:lineRule="auto"/>
        <w:tabs>
          <w:tab w:leader="none" w:pos="540" w:val="left"/>
        </w:tabs>
        <w:numPr>
          <w:ilvl w:val="0"/>
          <w:numId w:val="27"/>
        </w:numPr>
        <w:rPr>
          <w:rFonts w:ascii="Arial" w:cs="Arial" w:eastAsia="Arial" w:hAnsi="Arial"/>
          <w:sz w:val="16"/>
          <w:szCs w:val="16"/>
          <w:color w:val="191919"/>
        </w:rPr>
      </w:pPr>
      <w:r>
        <w:rPr>
          <w:rFonts w:ascii="Arial" w:cs="Arial" w:eastAsia="Arial" w:hAnsi="Arial"/>
          <w:sz w:val="16"/>
          <w:szCs w:val="16"/>
          <w:color w:val="191919"/>
        </w:rPr>
        <w:t>all of our directors are elected annually by a majority of votes cast in uncontested elections, and directors can be removed by a majority of shares entitled to vote in the election of directors;</w:t>
      </w:r>
    </w:p>
    <w:p>
      <w:pPr>
        <w:spacing w:after="0" w:line="21" w:lineRule="exact"/>
        <w:rPr>
          <w:rFonts w:ascii="Arial" w:cs="Arial" w:eastAsia="Arial" w:hAnsi="Arial"/>
          <w:sz w:val="16"/>
          <w:szCs w:val="16"/>
          <w:color w:val="191919"/>
        </w:rPr>
      </w:pPr>
    </w:p>
    <w:p>
      <w:pPr>
        <w:jc w:val="both"/>
        <w:ind w:left="540" w:right="40" w:hanging="532"/>
        <w:spacing w:after="0" w:line="303" w:lineRule="auto"/>
        <w:tabs>
          <w:tab w:leader="none" w:pos="540" w:val="left"/>
        </w:tabs>
        <w:numPr>
          <w:ilvl w:val="0"/>
          <w:numId w:val="27"/>
        </w:numPr>
        <w:rPr>
          <w:rFonts w:ascii="Arial" w:cs="Arial" w:eastAsia="Arial" w:hAnsi="Arial"/>
          <w:sz w:val="15"/>
          <w:szCs w:val="15"/>
          <w:color w:val="191919"/>
        </w:rPr>
      </w:pPr>
      <w:r>
        <w:rPr>
          <w:rFonts w:ascii="Arial" w:cs="Arial" w:eastAsia="Arial" w:hAnsi="Arial"/>
          <w:sz w:val="15"/>
          <w:szCs w:val="15"/>
          <w:color w:val="191919"/>
        </w:rPr>
        <w:t>stockholders who meet the applicable requirements may nominate and include in the Company’s proxy materials director nominees, under the “proxy access” provisions in the Company’s By-laws;</w:t>
      </w:r>
    </w:p>
    <w:p>
      <w:pPr>
        <w:spacing w:after="0" w:line="8" w:lineRule="exact"/>
        <w:rPr>
          <w:rFonts w:ascii="Arial" w:cs="Arial" w:eastAsia="Arial" w:hAnsi="Arial"/>
          <w:sz w:val="15"/>
          <w:szCs w:val="15"/>
          <w:color w:val="191919"/>
        </w:rPr>
      </w:pPr>
    </w:p>
    <w:p>
      <w:pPr>
        <w:ind w:left="540" w:hanging="532"/>
        <w:spacing w:after="0" w:line="252" w:lineRule="auto"/>
        <w:tabs>
          <w:tab w:leader="none" w:pos="540" w:val="left"/>
        </w:tabs>
        <w:numPr>
          <w:ilvl w:val="0"/>
          <w:numId w:val="27"/>
        </w:numPr>
        <w:rPr>
          <w:rFonts w:ascii="Arial" w:cs="Arial" w:eastAsia="Arial" w:hAnsi="Arial"/>
          <w:sz w:val="18"/>
          <w:szCs w:val="18"/>
          <w:color w:val="191919"/>
        </w:rPr>
      </w:pPr>
      <w:r>
        <w:rPr>
          <w:rFonts w:ascii="Arial" w:cs="Arial" w:eastAsia="Arial" w:hAnsi="Arial"/>
          <w:sz w:val="18"/>
          <w:szCs w:val="18"/>
          <w:color w:val="191919"/>
        </w:rPr>
        <w:t>our Lead Independent Director provides leadership to the Board of Directors if there is a real or perceived conflict of interest with regard to a particular matter between our Chairman and our Company or our stockholders;</w:t>
      </w:r>
    </w:p>
    <w:p>
      <w:pPr>
        <w:spacing w:after="0" w:line="8" w:lineRule="exact"/>
        <w:rPr>
          <w:rFonts w:ascii="Arial" w:cs="Arial" w:eastAsia="Arial" w:hAnsi="Arial"/>
          <w:sz w:val="18"/>
          <w:szCs w:val="18"/>
          <w:color w:val="191919"/>
        </w:rPr>
      </w:pPr>
    </w:p>
    <w:p>
      <w:pPr>
        <w:jc w:val="both"/>
        <w:ind w:left="540" w:right="100" w:hanging="532"/>
        <w:spacing w:after="0" w:line="252" w:lineRule="auto"/>
        <w:tabs>
          <w:tab w:leader="none" w:pos="540" w:val="left"/>
        </w:tabs>
        <w:numPr>
          <w:ilvl w:val="0"/>
          <w:numId w:val="27"/>
        </w:numPr>
        <w:rPr>
          <w:rFonts w:ascii="Arial" w:cs="Arial" w:eastAsia="Arial" w:hAnsi="Arial"/>
          <w:sz w:val="18"/>
          <w:szCs w:val="18"/>
          <w:color w:val="191919"/>
        </w:rPr>
      </w:pPr>
      <w:r>
        <w:rPr>
          <w:rFonts w:ascii="Arial" w:cs="Arial" w:eastAsia="Arial" w:hAnsi="Arial"/>
          <w:sz w:val="18"/>
          <w:szCs w:val="18"/>
          <w:color w:val="191919"/>
        </w:rPr>
        <w:t>the Board of Directors voluntarily implemented an amendment to the Company’s By-laws to provide a stockholder special meeting right; and</w:t>
      </w:r>
    </w:p>
    <w:p>
      <w:pPr>
        <w:spacing w:after="0" w:line="23" w:lineRule="exact"/>
        <w:rPr>
          <w:rFonts w:ascii="Arial" w:cs="Arial" w:eastAsia="Arial" w:hAnsi="Arial"/>
          <w:sz w:val="18"/>
          <w:szCs w:val="18"/>
          <w:color w:val="191919"/>
        </w:rPr>
      </w:pPr>
    </w:p>
    <w:p>
      <w:pPr>
        <w:jc w:val="both"/>
        <w:ind w:left="540" w:right="100" w:hanging="532"/>
        <w:spacing w:after="0" w:line="369" w:lineRule="auto"/>
        <w:tabs>
          <w:tab w:leader="none" w:pos="540" w:val="left"/>
        </w:tabs>
        <w:numPr>
          <w:ilvl w:val="0"/>
          <w:numId w:val="27"/>
        </w:numPr>
        <w:rPr>
          <w:rFonts w:ascii="Arial" w:cs="Arial" w:eastAsia="Arial" w:hAnsi="Arial"/>
          <w:sz w:val="15"/>
          <w:szCs w:val="15"/>
          <w:color w:val="191919"/>
        </w:rPr>
      </w:pPr>
      <w:r>
        <w:rPr>
          <w:rFonts w:ascii="Arial" w:cs="Arial" w:eastAsia="Arial" w:hAnsi="Arial"/>
          <w:sz w:val="15"/>
          <w:szCs w:val="15"/>
          <w:color w:val="191919"/>
        </w:rPr>
        <w:t>most recently, the Board of Directors has taken an additional step to refresh its membership, appointing Mr. Batey in August 2019.</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191919"/>
        </w:rPr>
        <w:t>Because responsiveness to the Company’s stockholders is a critical part of our commitment to corporate governance, we conduct outreach to our stockholders to understand their perspectives on various governance matters. Most recently, we engaged in formal stockholder outreach following the 2019 Annual Meeting at which our stockholders voted to approve a shareholder proposal requesting that the Board of Directors take steps to remove the supermajority provisions in the Company’s Restated Certificate of Incorporation, as amended, which we refer to as our Charter. Specifically, in addition to soliciting feedback from institutional stockholders on compensation-related topics related to the vote on our 2019 “Say-on-Pay” proposal, as discussed below under “</w:t>
      </w:r>
      <w:r>
        <w:rPr>
          <w:rFonts w:ascii="Arial" w:cs="Arial" w:eastAsia="Arial" w:hAnsi="Arial"/>
          <w:sz w:val="16"/>
          <w:szCs w:val="16"/>
          <w:i w:val="1"/>
          <w:iCs w:val="1"/>
          <w:color w:val="191919"/>
        </w:rPr>
        <w:t>Compensation</w:t>
      </w:r>
      <w:r>
        <w:rPr>
          <w:rFonts w:ascii="Arial" w:cs="Arial" w:eastAsia="Arial" w:hAnsi="Arial"/>
          <w:sz w:val="16"/>
          <w:szCs w:val="16"/>
          <w:color w:val="191919"/>
        </w:rPr>
        <w:t xml:space="preserve"> </w:t>
      </w:r>
      <w:r>
        <w:rPr>
          <w:rFonts w:ascii="Arial" w:cs="Arial" w:eastAsia="Arial" w:hAnsi="Arial"/>
          <w:sz w:val="16"/>
          <w:szCs w:val="16"/>
          <w:i w:val="1"/>
          <w:iCs w:val="1"/>
          <w:color w:val="191919"/>
        </w:rPr>
        <w:t>Discussion and Analysis</w:t>
      </w:r>
      <w:r>
        <w:rPr>
          <w:rFonts w:ascii="Arial" w:cs="Arial" w:eastAsia="Arial" w:hAnsi="Arial"/>
          <w:sz w:val="16"/>
          <w:szCs w:val="16"/>
          <w:color w:val="191919"/>
        </w:rPr>
        <w:t>,” we solicited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26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191919"/>
        </w:rPr>
        <w:t>investors’ input regarding whether the Board of Directors should reintroduce for stockholder vote four proposals that had previously been voted upon by stockholders in 2016 and would have eliminated all remaining supermajority voting provisions in the Charter, but had not received sufficient stockholder support. The majority of institutional stockholders with whom we spoke expressed their preference that the four proposals be reintroduced. The Board of Directors considered this input and decided to submit for stockholder vote at the Annual Meeting four proposals that would eliminate supermajority voting provisions in the Charter. In addition, as described further below, the Company has decided to engage in enhanced solicitation of stockholder votes for the Annual Meeting, with the objective of obtaining sufficient votes to approve the proposals.</w:t>
      </w:r>
    </w:p>
    <w:p>
      <w:pPr>
        <w:spacing w:after="0" w:line="18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191919"/>
        </w:rPr>
        <w:t>Our Board of Directors values the opinions expressed by our stockholders and will continue to consider the voting results from stockholder meetings, as well as feedback obtained through our stockholder engagement efforts, when making future decisions regarding corporate governance matters.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Board of Director Meetings</w:t>
      </w:r>
    </w:p>
    <w:p>
      <w:pPr>
        <w:spacing w:after="0" w:line="21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191919"/>
        </w:rPr>
        <w:t xml:space="preserve">The Board of Directors met five (5) times during fiscal year 2019. During fiscal year 2019, each director attended at least 75% of the aggregate of the total number of meetings of the Board of Directors and the total number of meetings held by all committees of the Board of Directors on which he or she served. The Company’s policy with respect to directors’ attendance at the Annual Meeting is included in our corporate governance guidelines, which are available on the Investor Relations portion of the Company’s website at </w:t>
      </w:r>
      <w:r>
        <w:rPr>
          <w:rFonts w:ascii="Arial" w:cs="Arial" w:eastAsia="Arial" w:hAnsi="Arial"/>
          <w:sz w:val="16"/>
          <w:szCs w:val="16"/>
          <w:color w:val="02568A"/>
        </w:rPr>
        <w:t>www.skyworksinc.com</w:t>
      </w:r>
      <w:r>
        <w:rPr>
          <w:rFonts w:ascii="Arial" w:cs="Arial" w:eastAsia="Arial" w:hAnsi="Arial"/>
          <w:sz w:val="16"/>
          <w:szCs w:val="16"/>
          <w:color w:val="191919"/>
        </w:rPr>
        <w:t>. At the 2019 Annual Meeting, each director then in office was in attendance, with the exception of Mr. Schriesheim.</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Director Independence</w:t>
      </w:r>
    </w:p>
    <w:p>
      <w:pPr>
        <w:spacing w:after="0" w:line="21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191919"/>
        </w:rPr>
        <w:t>Each year, the Board of Directors reviews the relationships that each director has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532765</wp:posOffset>
            </wp:positionV>
            <wp:extent cx="713613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40" w:space="720"/>
            <w:col w:w="5260"/>
          </w:cols>
          <w:pgMar w:left="320" w:top="131" w:right="35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4" w:lineRule="auto"/>
        <w:rPr>
          <w:sz w:val="20"/>
          <w:szCs w:val="20"/>
          <w:color w:val="auto"/>
        </w:rPr>
      </w:pPr>
      <w:r>
        <w:rPr>
          <w:rFonts w:ascii="Arial" w:cs="Arial" w:eastAsia="Arial" w:hAnsi="Arial"/>
          <w:sz w:val="16"/>
          <w:szCs w:val="16"/>
          <w:color w:val="191919"/>
        </w:rPr>
        <w:t>and with other parties. Only those directors who do not have any of the categorical relationships that preclude them from being independent within the meaning of the applicable Listing Rules of the Nasdaq Stock</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6"/>
          <w:szCs w:val="16"/>
          <w:color w:val="191919"/>
        </w:rPr>
        <w:t>Market LLC (the “Nasdaq Rules”) and who the Board of Directors affirmatively determines have no relationships that would interfere with the exercise of independent judgment in carrying out the responsibilities of a director, are considered to be independent directors. The Board of Directors has reviewed a number of factors to evaluate the independence of each of its members. These factors include its members’ current and historic relationships with the Company and its competitors, suppliers, and customers; their relationships with management and other directors; the relationships their current and former employers have with the Company; and the relationships between the Company and other companies of which a member of the Company’s Board of Directors is a director or executive officer. After evaluating these factors, the Board of Directors has determined that a majority of the members of the Board of Directors, namely, Alan S. Batey, Kevin L. Beebe, Timothy R. Furey, Balakrishnan S. Iyer, Christine King, David P. McGlade, Robert A. Schriesheim, and Kimberly S. Stevenson, do not have any relationships that would interfere with the exercise of independent judgment in carrying out their responsibilities as directors and that each such director is an independent director of the Company within the meaning of applicable Nasdaq Rules.</w:t>
      </w: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Corporate Governance Guidelines</w:t>
      </w:r>
    </w:p>
    <w:p>
      <w:pPr>
        <w:spacing w:after="0" w:line="219" w:lineRule="exact"/>
        <w:rPr>
          <w:sz w:val="20"/>
          <w:szCs w:val="20"/>
          <w:color w:val="auto"/>
        </w:rPr>
      </w:pPr>
    </w:p>
    <w:p>
      <w:pPr>
        <w:spacing w:after="0" w:line="288" w:lineRule="auto"/>
        <w:rPr>
          <w:sz w:val="20"/>
          <w:szCs w:val="20"/>
          <w:color w:val="auto"/>
        </w:rPr>
      </w:pPr>
      <w:r>
        <w:rPr>
          <w:rFonts w:ascii="Arial" w:cs="Arial" w:eastAsia="Arial" w:hAnsi="Arial"/>
          <w:sz w:val="16"/>
          <w:szCs w:val="16"/>
          <w:color w:val="191919"/>
        </w:rPr>
        <w:t>The Board of Directors has adopted corporate governance practices to help fulfill its responsibilities to the stockholders in overseeing the work of management and the Company’s business results. These guidelines are intended to ensure that the Board of Directors has the necessary authority and practices in place to review and evaluate the Company’s business operations, as needed, and to make decisions that are independent of the Company’s management. In addition, the guidelines are intended to align the interests of directors and management with those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191919"/>
        </w:rPr>
        <w:t xml:space="preserve">the Company’s stockholders. A copy of the Company’s corporate governance guidelines is available on the Investor Relations portion of the Company’s website at </w:t>
      </w:r>
      <w:r>
        <w:rPr>
          <w:rFonts w:ascii="Arial" w:cs="Arial" w:eastAsia="Arial" w:hAnsi="Arial"/>
          <w:sz w:val="18"/>
          <w:szCs w:val="18"/>
          <w:color w:val="02568A"/>
        </w:rPr>
        <w:t>www.skyworksinc.com</w:t>
      </w:r>
      <w:r>
        <w:rPr>
          <w:rFonts w:ascii="Arial" w:cs="Arial" w:eastAsia="Arial" w:hAnsi="Arial"/>
          <w:sz w:val="18"/>
          <w:szCs w:val="18"/>
          <w:color w:val="191919"/>
        </w:rPr>
        <w:t>.</w:t>
      </w:r>
    </w:p>
    <w:p>
      <w:pPr>
        <w:spacing w:after="0" w:line="194" w:lineRule="exact"/>
        <w:rPr>
          <w:sz w:val="20"/>
          <w:szCs w:val="20"/>
          <w:color w:val="auto"/>
        </w:rPr>
      </w:pPr>
    </w:p>
    <w:p>
      <w:pPr>
        <w:ind w:right="260"/>
        <w:spacing w:after="0" w:line="303" w:lineRule="auto"/>
        <w:rPr>
          <w:sz w:val="20"/>
          <w:szCs w:val="20"/>
          <w:color w:val="auto"/>
        </w:rPr>
      </w:pPr>
      <w:r>
        <w:rPr>
          <w:rFonts w:ascii="Arial" w:cs="Arial" w:eastAsia="Arial" w:hAnsi="Arial"/>
          <w:sz w:val="15"/>
          <w:szCs w:val="15"/>
          <w:color w:val="191919"/>
        </w:rPr>
        <w:t>In accordance with these corporate governance guidelines, independent members of the Board of Directors of the Company met in executive session without management present four (4) times during fiscal year</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191919"/>
        </w:rPr>
        <w:t>2019. The Lead Independent Director served as presiding director for these meetings.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Stockholder Communications</w:t>
      </w:r>
    </w:p>
    <w:p>
      <w:pPr>
        <w:spacing w:after="0" w:line="219"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191919"/>
        </w:rPr>
        <w:t>Our stockholders may communicate directly with the Board of Directors as a whole or to individual directors by letter addressed directly to such individual or individuals at the following address: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191919"/>
        </w:rPr>
        <w:t>c/o Skyworks Solutions,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191919"/>
        </w:rPr>
        <w:t>5221 California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91919"/>
        </w:rPr>
        <w:t>Irvine, CA 92617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91919"/>
        </w:rPr>
        <w:t>Attention: Secretary</w:t>
      </w:r>
    </w:p>
    <w:p>
      <w:pPr>
        <w:spacing w:after="0" w:line="21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191919"/>
        </w:rPr>
        <w:t>The Company will forward to each director to whom such communication is addressed, and to the Chairman of the Board in his capacity as representative of the entire Board of Directors, any mail received at the Company’s corporate office to the address specified by such director and the Chairman of the Board.</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Code of Ethics</w:t>
      </w:r>
    </w:p>
    <w:p>
      <w:pPr>
        <w:spacing w:after="0" w:line="219" w:lineRule="exact"/>
        <w:rPr>
          <w:sz w:val="20"/>
          <w:szCs w:val="20"/>
          <w:color w:val="auto"/>
        </w:rPr>
      </w:pPr>
    </w:p>
    <w:p>
      <w:pPr>
        <w:spacing w:after="0" w:line="288" w:lineRule="auto"/>
        <w:rPr>
          <w:sz w:val="20"/>
          <w:szCs w:val="20"/>
          <w:color w:val="auto"/>
        </w:rPr>
      </w:pPr>
      <w:r>
        <w:rPr>
          <w:rFonts w:ascii="Arial" w:cs="Arial" w:eastAsia="Arial" w:hAnsi="Arial"/>
          <w:sz w:val="16"/>
          <w:szCs w:val="16"/>
          <w:color w:val="191919"/>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 through our website at </w:t>
      </w:r>
      <w:r>
        <w:rPr>
          <w:rFonts w:ascii="Arial" w:cs="Arial" w:eastAsia="Arial" w:hAnsi="Arial"/>
          <w:sz w:val="16"/>
          <w:szCs w:val="16"/>
          <w:color w:val="02568A"/>
        </w:rPr>
        <w:t>www.skyworksinc.com</w:t>
      </w:r>
      <w:r>
        <w:rPr>
          <w:rFonts w:ascii="Arial" w:cs="Arial" w:eastAsia="Arial" w:hAnsi="Arial"/>
          <w:sz w:val="16"/>
          <w:szCs w:val="16"/>
          <w:color w:val="191919"/>
        </w:rPr>
        <w:t>. We intend to disclose any amendments to, or</w:t>
      </w:r>
      <w:r>
        <w:rPr>
          <w:rFonts w:ascii="Arial" w:cs="Arial" w:eastAsia="Arial" w:hAnsi="Arial"/>
          <w:sz w:val="16"/>
          <w:szCs w:val="16"/>
          <w:color w:val="02568A"/>
        </w:rPr>
        <w:t xml:space="preserve"> </w:t>
      </w:r>
      <w:r>
        <w:rPr>
          <w:rFonts w:ascii="Arial" w:cs="Arial" w:eastAsia="Arial" w:hAnsi="Arial"/>
          <w:sz w:val="16"/>
          <w:szCs w:val="16"/>
          <w:color w:val="191919"/>
        </w:rPr>
        <w:t>waivers from, our code of business conduct and ethics that are required to be publicly disclosed by posting any such amendment or waivers on our website pursuant to SEC requirements and Nasdaq Rules.</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149860</wp:posOffset>
            </wp:positionV>
            <wp:extent cx="713613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80" w:space="680"/>
            <w:col w:w="5280"/>
          </w:cols>
          <w:pgMar w:left="320" w:top="131"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940"/>
        <w:spacing w:after="0" w:line="250" w:lineRule="auto"/>
        <w:rPr>
          <w:sz w:val="20"/>
          <w:szCs w:val="20"/>
          <w:color w:val="auto"/>
        </w:rPr>
      </w:pPr>
      <w:r>
        <w:rPr>
          <w:rFonts w:ascii="Arial" w:cs="Arial" w:eastAsia="Arial" w:hAnsi="Arial"/>
          <w:sz w:val="22"/>
          <w:szCs w:val="22"/>
          <w:b w:val="1"/>
          <w:bCs w:val="1"/>
          <w:i w:val="1"/>
          <w:iCs w:val="1"/>
          <w:color w:val="000001"/>
        </w:rPr>
        <w:t>Executive Officer and Director Stock Ownership Requirements</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191919"/>
        </w:rPr>
        <w:t>As described in detail below under “</w:t>
      </w:r>
      <w:r>
        <w:rPr>
          <w:rFonts w:ascii="Arial" w:cs="Arial" w:eastAsia="Arial" w:hAnsi="Arial"/>
          <w:sz w:val="16"/>
          <w:szCs w:val="16"/>
          <w:i w:val="1"/>
          <w:iCs w:val="1"/>
          <w:color w:val="191919"/>
        </w:rPr>
        <w:t>Compensation Discussion and</w:t>
      </w:r>
      <w:r>
        <w:rPr>
          <w:rFonts w:ascii="Arial" w:cs="Arial" w:eastAsia="Arial" w:hAnsi="Arial"/>
          <w:sz w:val="16"/>
          <w:szCs w:val="16"/>
          <w:color w:val="191919"/>
        </w:rPr>
        <w:t xml:space="preserve"> </w:t>
      </w:r>
      <w:r>
        <w:rPr>
          <w:rFonts w:ascii="Arial" w:cs="Arial" w:eastAsia="Arial" w:hAnsi="Arial"/>
          <w:sz w:val="16"/>
          <w:szCs w:val="16"/>
          <w:i w:val="1"/>
          <w:iCs w:val="1"/>
          <w:color w:val="191919"/>
        </w:rPr>
        <w:t>Analysis</w:t>
      </w:r>
      <w:r>
        <w:rPr>
          <w:rFonts w:ascii="Arial" w:cs="Arial" w:eastAsia="Arial" w:hAnsi="Arial"/>
          <w:sz w:val="16"/>
          <w:szCs w:val="16"/>
          <w:color w:val="191919"/>
        </w:rPr>
        <w:t>,” we have adopted Executive Officer and Director Stock</w:t>
      </w:r>
      <w:r>
        <w:rPr>
          <w:rFonts w:ascii="Arial" w:cs="Arial" w:eastAsia="Arial" w:hAnsi="Arial"/>
          <w:sz w:val="16"/>
          <w:szCs w:val="16"/>
          <w:i w:val="1"/>
          <w:iCs w:val="1"/>
          <w:color w:val="191919"/>
        </w:rPr>
        <w:t xml:space="preserve"> </w:t>
      </w:r>
      <w:r>
        <w:rPr>
          <w:rFonts w:ascii="Arial" w:cs="Arial" w:eastAsia="Arial" w:hAnsi="Arial"/>
          <w:sz w:val="16"/>
          <w:szCs w:val="16"/>
          <w:color w:val="191919"/>
        </w:rPr>
        <w:t>Ownership programs that require our executive officers (including those Named Executive Officers who are still currently serving as executive officers) and non-employee directors to hold a significant equity interest in Skyworks with the objective of more closely aligning the interests of our executive officers and directors with those of our stockholders. All of our Named Executive Officers and directors have met the stock ownership guidelines as of the date hereof (with the exception of Ms. Stevenson and Mr. Batey, who are not required to comply with the guidelines until the fifth anniversary of their respective appointment to the Board of Directors).</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Board Leadership Structure</w:t>
      </w:r>
    </w:p>
    <w:p>
      <w:pPr>
        <w:spacing w:after="0" w:line="219" w:lineRule="exact"/>
        <w:rPr>
          <w:sz w:val="20"/>
          <w:szCs w:val="20"/>
          <w:color w:val="auto"/>
        </w:rPr>
      </w:pPr>
    </w:p>
    <w:p>
      <w:pPr>
        <w:spacing w:after="0" w:line="285" w:lineRule="auto"/>
        <w:rPr>
          <w:sz w:val="20"/>
          <w:szCs w:val="20"/>
          <w:color w:val="auto"/>
        </w:rPr>
      </w:pPr>
      <w:r>
        <w:rPr>
          <w:rFonts w:ascii="Arial" w:cs="Arial" w:eastAsia="Arial" w:hAnsi="Arial"/>
          <w:sz w:val="16"/>
          <w:szCs w:val="16"/>
          <w:color w:val="191919"/>
        </w:rPr>
        <w:t>Our Board of Directors selects the Company’s Chairman of the Board and Chief Executive Officer in the manner it determines to be in the best interests of the Company. Mr. Aldrich, the former Chief Executive Officer of the Company, has served as the Chairman of the Board since May 2014 and, as noted above, is standing for reelection as a non-employee director at the Annual Meeting. Mr. Griffin was appointed by our Board of Directors in May 2016 to succeed Mr. Aldrich as Chief Executive Officer and also to serve as a director, and he is standing for reelection at the Annual Meeting. In May 2014, at the time of Mr. Aldrich’s appointment as Chairman of the Board, our Board of Directors also first appointed an independent director within the meaning of applicable Nasdaq Rules (see above under “</w:t>
      </w:r>
      <w:r>
        <w:rPr>
          <w:rFonts w:ascii="Arial" w:cs="Arial" w:eastAsia="Arial" w:hAnsi="Arial"/>
          <w:sz w:val="16"/>
          <w:szCs w:val="16"/>
          <w:i w:val="1"/>
          <w:iCs w:val="1"/>
          <w:color w:val="191919"/>
        </w:rPr>
        <w:t>Director Independence</w:t>
      </w:r>
      <w:r>
        <w:rPr>
          <w:rFonts w:ascii="Arial" w:cs="Arial" w:eastAsia="Arial" w:hAnsi="Arial"/>
          <w:sz w:val="16"/>
          <w:szCs w:val="16"/>
          <w:color w:val="191919"/>
        </w:rPr>
        <w:t>”) to serve as the Lead Independent Director. Ms. King was appointed in May 2019 to be the current Lead Independent Director and is standing for reelection at the Annual Meeting.</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28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191919"/>
        </w:rPr>
        <w:t>The duties of the Lead Independent Director, as set forth in our corporate governance guidelines, include the following:</w:t>
      </w:r>
    </w:p>
    <w:p>
      <w:pPr>
        <w:spacing w:after="0" w:line="199" w:lineRule="exact"/>
        <w:rPr>
          <w:sz w:val="20"/>
          <w:szCs w:val="20"/>
          <w:color w:val="auto"/>
        </w:rPr>
      </w:pPr>
    </w:p>
    <w:p>
      <w:pPr>
        <w:ind w:left="540" w:right="60" w:hanging="539"/>
        <w:spacing w:after="0" w:line="252" w:lineRule="auto"/>
        <w:tabs>
          <w:tab w:leader="none" w:pos="540" w:val="left"/>
        </w:tabs>
        <w:numPr>
          <w:ilvl w:val="0"/>
          <w:numId w:val="28"/>
        </w:numPr>
        <w:rPr>
          <w:rFonts w:ascii="Arial" w:cs="Arial" w:eastAsia="Arial" w:hAnsi="Arial"/>
          <w:sz w:val="18"/>
          <w:szCs w:val="18"/>
          <w:color w:val="191919"/>
        </w:rPr>
      </w:pPr>
      <w:r>
        <w:rPr>
          <w:rFonts w:ascii="Arial" w:cs="Arial" w:eastAsia="Arial" w:hAnsi="Arial"/>
          <w:sz w:val="18"/>
          <w:szCs w:val="18"/>
          <w:color w:val="191919"/>
        </w:rPr>
        <w:t>presiding at all meetings of the Board of Directors at which the Chairman of the Board is not present, including executive sessions of the independent directors;</w:t>
      </w:r>
    </w:p>
    <w:p>
      <w:pPr>
        <w:spacing w:after="0" w:line="23" w:lineRule="exact"/>
        <w:rPr>
          <w:rFonts w:ascii="Arial" w:cs="Arial" w:eastAsia="Arial" w:hAnsi="Arial"/>
          <w:sz w:val="18"/>
          <w:szCs w:val="18"/>
          <w:color w:val="191919"/>
        </w:rPr>
      </w:pPr>
    </w:p>
    <w:p>
      <w:pPr>
        <w:ind w:left="540" w:right="180" w:hanging="539"/>
        <w:spacing w:after="0" w:line="284" w:lineRule="auto"/>
        <w:tabs>
          <w:tab w:leader="none" w:pos="540" w:val="left"/>
        </w:tabs>
        <w:numPr>
          <w:ilvl w:val="0"/>
          <w:numId w:val="28"/>
        </w:numPr>
        <w:rPr>
          <w:rFonts w:ascii="Arial" w:cs="Arial" w:eastAsia="Arial" w:hAnsi="Arial"/>
          <w:sz w:val="16"/>
          <w:szCs w:val="16"/>
          <w:color w:val="191919"/>
        </w:rPr>
      </w:pPr>
      <w:r>
        <w:rPr>
          <w:rFonts w:ascii="Arial" w:cs="Arial" w:eastAsia="Arial" w:hAnsi="Arial"/>
          <w:sz w:val="16"/>
          <w:szCs w:val="16"/>
          <w:color w:val="191919"/>
        </w:rPr>
        <w:t>calling meetings of the independent directors, as he or she deems appropriate, and assuring that the independent directors meet independently at least twice each year;</w:t>
      </w:r>
    </w:p>
    <w:p>
      <w:pPr>
        <w:spacing w:after="0" w:line="8" w:lineRule="exact"/>
        <w:rPr>
          <w:rFonts w:ascii="Arial" w:cs="Arial" w:eastAsia="Arial" w:hAnsi="Arial"/>
          <w:sz w:val="16"/>
          <w:szCs w:val="16"/>
          <w:color w:val="191919"/>
        </w:rPr>
      </w:pPr>
    </w:p>
    <w:p>
      <w:pPr>
        <w:ind w:left="540" w:right="140" w:hanging="539"/>
        <w:spacing w:after="0" w:line="283" w:lineRule="auto"/>
        <w:tabs>
          <w:tab w:leader="none" w:pos="540" w:val="left"/>
        </w:tabs>
        <w:numPr>
          <w:ilvl w:val="0"/>
          <w:numId w:val="28"/>
        </w:numPr>
        <w:rPr>
          <w:rFonts w:ascii="Arial" w:cs="Arial" w:eastAsia="Arial" w:hAnsi="Arial"/>
          <w:sz w:val="16"/>
          <w:szCs w:val="16"/>
          <w:color w:val="191919"/>
        </w:rPr>
      </w:pPr>
      <w:r>
        <w:rPr>
          <w:rFonts w:ascii="Arial" w:cs="Arial" w:eastAsia="Arial" w:hAnsi="Arial"/>
          <w:sz w:val="16"/>
          <w:szCs w:val="16"/>
          <w:color w:val="191919"/>
        </w:rPr>
        <w:t>providing leadership to the Board of Directors if circumstances arise in which the Chairman of the Board may be, or may be perceived to be, in conflict with the interests of the Company and its stockholders with regard to a particular matter;</w:t>
      </w:r>
    </w:p>
    <w:p>
      <w:pPr>
        <w:spacing w:after="0" w:line="9" w:lineRule="exact"/>
        <w:rPr>
          <w:rFonts w:ascii="Arial" w:cs="Arial" w:eastAsia="Arial" w:hAnsi="Arial"/>
          <w:sz w:val="16"/>
          <w:szCs w:val="16"/>
          <w:color w:val="191919"/>
        </w:rPr>
      </w:pPr>
    </w:p>
    <w:p>
      <w:pPr>
        <w:ind w:left="540" w:right="100" w:hanging="539"/>
        <w:spacing w:after="0" w:line="252" w:lineRule="auto"/>
        <w:tabs>
          <w:tab w:leader="none" w:pos="540" w:val="left"/>
        </w:tabs>
        <w:numPr>
          <w:ilvl w:val="0"/>
          <w:numId w:val="28"/>
        </w:numPr>
        <w:rPr>
          <w:rFonts w:ascii="Arial" w:cs="Arial" w:eastAsia="Arial" w:hAnsi="Arial"/>
          <w:sz w:val="18"/>
          <w:szCs w:val="18"/>
          <w:color w:val="191919"/>
        </w:rPr>
      </w:pPr>
      <w:r>
        <w:rPr>
          <w:rFonts w:ascii="Arial" w:cs="Arial" w:eastAsia="Arial" w:hAnsi="Arial"/>
          <w:sz w:val="18"/>
          <w:szCs w:val="18"/>
          <w:color w:val="191919"/>
        </w:rPr>
        <w:t>facilitating communications and serving as a liaison, when necessary, between the independent directors and the Chairman of the Board and/or the Chief Executive Officer;</w:t>
      </w:r>
    </w:p>
    <w:p>
      <w:pPr>
        <w:spacing w:after="0" w:line="23" w:lineRule="exact"/>
        <w:rPr>
          <w:rFonts w:ascii="Arial" w:cs="Arial" w:eastAsia="Arial" w:hAnsi="Arial"/>
          <w:sz w:val="18"/>
          <w:szCs w:val="18"/>
          <w:color w:val="191919"/>
        </w:rPr>
      </w:pPr>
    </w:p>
    <w:p>
      <w:pPr>
        <w:ind w:left="540" w:hanging="539"/>
        <w:spacing w:after="0" w:line="283" w:lineRule="auto"/>
        <w:tabs>
          <w:tab w:leader="none" w:pos="540" w:val="left"/>
        </w:tabs>
        <w:numPr>
          <w:ilvl w:val="0"/>
          <w:numId w:val="28"/>
        </w:numPr>
        <w:rPr>
          <w:rFonts w:ascii="Arial" w:cs="Arial" w:eastAsia="Arial" w:hAnsi="Arial"/>
          <w:sz w:val="16"/>
          <w:szCs w:val="16"/>
          <w:color w:val="191919"/>
        </w:rPr>
      </w:pPr>
      <w:r>
        <w:rPr>
          <w:rFonts w:ascii="Arial" w:cs="Arial" w:eastAsia="Arial" w:hAnsi="Arial"/>
          <w:sz w:val="16"/>
          <w:szCs w:val="16"/>
          <w:color w:val="191919"/>
        </w:rPr>
        <w:t>consulting with the Chairman of the Board in the preparation of the schedules, agendas, and information provided to the Board of Directors for each meeting, and ensuring that there is sufficient time at each meeting for discussion of all agenda items;</w:t>
      </w:r>
    </w:p>
    <w:p>
      <w:pPr>
        <w:spacing w:after="0" w:line="9" w:lineRule="exact"/>
        <w:rPr>
          <w:rFonts w:ascii="Arial" w:cs="Arial" w:eastAsia="Arial" w:hAnsi="Arial"/>
          <w:sz w:val="16"/>
          <w:szCs w:val="16"/>
          <w:color w:val="191919"/>
        </w:rPr>
      </w:pPr>
    </w:p>
    <w:p>
      <w:pPr>
        <w:ind w:left="540" w:right="80" w:hanging="539"/>
        <w:spacing w:after="0" w:line="252" w:lineRule="auto"/>
        <w:tabs>
          <w:tab w:leader="none" w:pos="540" w:val="left"/>
        </w:tabs>
        <w:numPr>
          <w:ilvl w:val="0"/>
          <w:numId w:val="28"/>
        </w:numPr>
        <w:rPr>
          <w:rFonts w:ascii="Arial" w:cs="Arial" w:eastAsia="Arial" w:hAnsi="Arial"/>
          <w:sz w:val="18"/>
          <w:szCs w:val="18"/>
          <w:color w:val="191919"/>
        </w:rPr>
      </w:pPr>
      <w:r>
        <w:rPr>
          <w:rFonts w:ascii="Arial" w:cs="Arial" w:eastAsia="Arial" w:hAnsi="Arial"/>
          <w:sz w:val="18"/>
          <w:szCs w:val="18"/>
          <w:color w:val="191919"/>
        </w:rPr>
        <w:t>retaining independent advisors on behalf of the Board of Directors as the Board of Directors or the independent directors may deem necessary or appropriate; and</w:t>
      </w:r>
    </w:p>
    <w:p>
      <w:pPr>
        <w:spacing w:after="0" w:line="9" w:lineRule="exact"/>
        <w:rPr>
          <w:rFonts w:ascii="Arial" w:cs="Arial" w:eastAsia="Arial" w:hAnsi="Arial"/>
          <w:sz w:val="18"/>
          <w:szCs w:val="18"/>
          <w:color w:val="191919"/>
        </w:rPr>
      </w:pPr>
    </w:p>
    <w:p>
      <w:pPr>
        <w:ind w:left="540" w:right="240" w:hanging="539"/>
        <w:spacing w:after="0" w:line="331" w:lineRule="auto"/>
        <w:tabs>
          <w:tab w:leader="none" w:pos="540" w:val="left"/>
        </w:tabs>
        <w:numPr>
          <w:ilvl w:val="0"/>
          <w:numId w:val="28"/>
        </w:numPr>
        <w:rPr>
          <w:rFonts w:ascii="Arial" w:cs="Arial" w:eastAsia="Arial" w:hAnsi="Arial"/>
          <w:sz w:val="16"/>
          <w:szCs w:val="16"/>
          <w:color w:val="191919"/>
        </w:rPr>
      </w:pPr>
      <w:r>
        <w:rPr>
          <w:rFonts w:ascii="Arial" w:cs="Arial" w:eastAsia="Arial" w:hAnsi="Arial"/>
          <w:sz w:val="16"/>
          <w:szCs w:val="16"/>
          <w:color w:val="191919"/>
        </w:rPr>
        <w:t>being available for consultation and direct communication upon the reasonable request of major stockholders.</w:t>
      </w:r>
    </w:p>
    <w:p>
      <w:pPr>
        <w:spacing w:after="0" w:line="141"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191919"/>
        </w:rPr>
        <w:t>The Board believes our current leadership structure is appropriate and that the duties of the Lead Independent Director appropriately and effectively complement the duties of the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902335</wp:posOffset>
            </wp:positionV>
            <wp:extent cx="71361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2">
            <w:col w:w="5260" w:space="700"/>
            <w:col w:w="5280"/>
          </w:cols>
          <w:pgMar w:left="320" w:top="131" w:right="33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p>
      <w:pPr>
        <w:spacing w:after="0" w:line="294" w:lineRule="exact"/>
        <w:rPr>
          <w:sz w:val="20"/>
          <w:szCs w:val="20"/>
          <w:color w:val="auto"/>
        </w:rPr>
      </w:pPr>
    </w:p>
    <w:p>
      <w:pPr>
        <w:spacing w:after="0"/>
        <w:rPr>
          <w:sz w:val="20"/>
          <w:szCs w:val="20"/>
          <w:color w:val="auto"/>
        </w:rPr>
      </w:pPr>
      <w:r>
        <w:rPr>
          <w:rFonts w:ascii="Arial" w:cs="Arial" w:eastAsia="Arial" w:hAnsi="Arial"/>
          <w:sz w:val="29"/>
          <w:szCs w:val="29"/>
          <w:b w:val="1"/>
          <w:bCs w:val="1"/>
          <w:color w:val="02568A"/>
        </w:rPr>
        <w:t>Committees of the Board of Directors</w:t>
      </w:r>
    </w:p>
    <w:p>
      <w:pPr>
        <w:spacing w:after="0" w:line="200" w:lineRule="exact"/>
        <w:rPr>
          <w:sz w:val="20"/>
          <w:szCs w:val="20"/>
          <w:color w:val="auto"/>
        </w:rPr>
      </w:pPr>
    </w:p>
    <w:p>
      <w:pPr>
        <w:spacing w:after="0" w:line="296" w:lineRule="exact"/>
        <w:rPr>
          <w:sz w:val="20"/>
          <w:szCs w:val="20"/>
          <w:color w:val="auto"/>
        </w:rPr>
      </w:pPr>
    </w:p>
    <w:p>
      <w:pPr>
        <w:ind w:right="200"/>
        <w:spacing w:after="0" w:line="369" w:lineRule="auto"/>
        <w:rPr>
          <w:sz w:val="20"/>
          <w:szCs w:val="20"/>
          <w:color w:val="auto"/>
        </w:rPr>
      </w:pPr>
      <w:r>
        <w:rPr>
          <w:rFonts w:ascii="Arial" w:cs="Arial" w:eastAsia="Arial" w:hAnsi="Arial"/>
          <w:sz w:val="15"/>
          <w:szCs w:val="15"/>
          <w:color w:val="191919"/>
        </w:rPr>
        <w:t>The Board of Directors has a standing Audit Committee, Compensation Committee, and Nominating and Corporate Governance Committee.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Audit Committee</w:t>
      </w:r>
    </w:p>
    <w:p>
      <w:pPr>
        <w:spacing w:after="0" w:line="219"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191919"/>
        </w:rPr>
        <w:t>We have established an Audit Committee consisting of the following individuals, each of whom the Board of Directors has determined is “independent” within the meaning of applicable Nasdaq Rules and meets the criteria for independence set forth in Rule 10A-3(b)(1) under the Securities Exchange Act of 1934, as amended (the “Exchange Act”):</w:t>
      </w:r>
    </w:p>
    <w:p>
      <w:pPr>
        <w:spacing w:after="0" w:line="2"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191919"/>
        </w:rPr>
        <w:t>Mr. Iyer (Chairman), Mr. Furey, Ms. King, and Mr. McGlade. As Mr. Iyer is not a director nominee up for reelection at the Annual Meeting, the Board of Directors intends to appoint a new Audit Committee Chairman following the election of directors at the Annual Meeting.</w:t>
      </w:r>
    </w:p>
    <w:p>
      <w:pPr>
        <w:spacing w:after="0" w:line="169" w:lineRule="exact"/>
        <w:rPr>
          <w:sz w:val="20"/>
          <w:szCs w:val="20"/>
          <w:color w:val="auto"/>
        </w:rPr>
      </w:pPr>
    </w:p>
    <w:p>
      <w:pPr>
        <w:spacing w:after="0" w:line="285" w:lineRule="auto"/>
        <w:rPr>
          <w:sz w:val="20"/>
          <w:szCs w:val="20"/>
          <w:color w:val="auto"/>
        </w:rPr>
      </w:pPr>
      <w:r>
        <w:rPr>
          <w:rFonts w:ascii="Arial" w:cs="Arial" w:eastAsia="Arial" w:hAnsi="Arial"/>
          <w:sz w:val="16"/>
          <w:szCs w:val="16"/>
          <w:color w:val="191919"/>
        </w:rPr>
        <w:t xml:space="preserve">The primary responsibility of the Audit Committee is the oversight of the quality and integrity of the Company’s financial statements, the Company’s internal financial and accounting processes, and the independent audit process. Additionally, the Audit Committee has the responsibilities and authority necessary to comply with Rule 10A-3 under the Exchange Act. The Audit Committee meets privately with the independent registered public accounting firm, reviews their performance and independence from management, and has the sole authority to retain and dismiss the independent registered public accounting firm. These and other aspects of the Audit Committee’s authority are more particularly described in the Company’s Audit Committee Charter, which the Board of Directors adopted and is reviewed annually by the committee and is available on the Investor Relations portion of our website at </w:t>
      </w:r>
      <w:r>
        <w:rPr>
          <w:rFonts w:ascii="Arial" w:cs="Arial" w:eastAsia="Arial" w:hAnsi="Arial"/>
          <w:sz w:val="16"/>
          <w:szCs w:val="16"/>
          <w:color w:val="02568A"/>
        </w:rPr>
        <w:t>www.skyworksinc.com.</w:t>
      </w:r>
    </w:p>
    <w:p>
      <w:pPr>
        <w:spacing w:after="0" w:line="18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191919"/>
        </w:rPr>
        <w:t>The Audit Committee has adopted a formal policy concerning approval of audit and non-audit services to be provided to the Company by its independent registered public accounting firm, KPMG LLP.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191919"/>
        </w:rPr>
        <w:t>policy requires that all services provided by KPMG LLP, including audit services and permitted audit-related and non-audit services, be preapproved by the Audit Committee. The Audit Committee preapproved all audit and non-audit services provided by KPMG LLP for fiscal year 2019. The Audit Committee met six (6) times during fiscal year 2019.</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02568A"/>
        </w:rPr>
        <w:t>Audit Committee Financial Expert</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191919"/>
        </w:rPr>
        <w:t>The Board of Directors has determined that each of Mr. Iyer (Chairman), Ms. King, and Mr. McGlade meets the qualifications of an “audit committee financial expert” under SEC rules and the qualifications of “financial sophistication” under the applicable Nasdaq Rules, and qualifies as “independent” as defined under the applicable Nasdaq Rules.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Compensation Committee</w:t>
      </w:r>
    </w:p>
    <w:p>
      <w:pPr>
        <w:spacing w:after="0" w:line="21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191919"/>
        </w:rPr>
        <w:t xml:space="preserve">We have established a Compensation Committee consisting of the following individuals, each of whom the Board of Directors has determined is “independent” within the meaning of applicable Nasdaq Rules: Ms. King (Chairman), Mr. McGlade, and Mr. Schriesheim. The Compensation Committee met five (5) times during fiscal year 2019. The functions of the Compensation Committee include establishing the appropriate level of compensation, including short and long-term incentive compensation of the Chief Executive Officer, all other executive officers, and any other officers or employees who report directly to the Chief Executive Officer. The Compensation Committee also administers Skyworks’ equity-based compensation plans. The Compensation Committee’s authority to grant equity awards to the Company’s executive officers may not be delegated to the Company’s management or others. The Board of Directors has adopted a written charter for the Compensation Committee, and it is available on the Investor Relations portion of the Company’s website at </w:t>
      </w:r>
      <w:r>
        <w:rPr>
          <w:rFonts w:ascii="Arial" w:cs="Arial" w:eastAsia="Arial" w:hAnsi="Arial"/>
          <w:sz w:val="16"/>
          <w:szCs w:val="16"/>
          <w:color w:val="02568A"/>
        </w:rPr>
        <w:t>www.skyworksinc.com.</w:t>
      </w: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149860</wp:posOffset>
            </wp:positionV>
            <wp:extent cx="71361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2">
            <w:col w:w="5240" w:space="720"/>
            <w:col w:w="5280"/>
          </w:cols>
          <w:pgMar w:left="320" w:top="131"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191919"/>
        </w:rPr>
        <w:t>The Compensation Committee has engaged Aon/Radford Consulting (“Aon/Radford”) to assist it in determining the components and amounts of executive compensation. The consultant reports directly to the Compensation Committee, through its Chairman, and the Compensation Committee retains the right to terminate or replace the consultant at any time.</w:t>
      </w:r>
    </w:p>
    <w:p>
      <w:pPr>
        <w:spacing w:after="0" w:line="19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191919"/>
        </w:rPr>
        <w:t>The process and procedures followed by the Compensation Committee in considering and determining executive and director compensation are described below under “</w:t>
      </w:r>
      <w:r>
        <w:rPr>
          <w:rFonts w:ascii="Arial" w:cs="Arial" w:eastAsia="Arial" w:hAnsi="Arial"/>
          <w:sz w:val="16"/>
          <w:szCs w:val="16"/>
          <w:i w:val="1"/>
          <w:iCs w:val="1"/>
          <w:color w:val="191919"/>
        </w:rPr>
        <w:t>Compensation Discussion and Analysis</w:t>
      </w:r>
      <w:r>
        <w:rPr>
          <w:rFonts w:ascii="Arial" w:cs="Arial" w:eastAsia="Arial" w:hAnsi="Arial"/>
          <w:sz w:val="16"/>
          <w:szCs w:val="16"/>
          <w:color w:val="191919"/>
        </w:rPr>
        <w: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Nominating and Corporate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Governance Committee</w:t>
      </w:r>
    </w:p>
    <w:p>
      <w:pPr>
        <w:spacing w:after="0" w:line="20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191919"/>
        </w:rPr>
        <w:t xml:space="preserve">We have established a Nominating and Corporate Governance Committee consisting of the following individuals, each of whom the Board of Directors has determined is “independent” within the meaning of applicable Nasdaq Rules: Mr. Beebe (Chairman), Mr. Batey, Mr. Furey, Mr. Schriesheim, and Ms. Stevenson. The Nominating and Corporate Governance Committee met four (4) times during fiscal year 2019. The Nominating and Corporate Governance Committee is responsible for evaluating and recommending individuals for election or reelection to the Board of Directors and its committees, including any recommendations that may be submitted by stockholders, as well as the evaluation and recommendation of corporate governance policies. The Nominating and Corporate Governance Committee oversees the annual evaluation process for the Board of Directors, each committee, and individual directors, by soliciting from each director his or her assessment of the effectiveness of the Board of Directors, the committees on which he or she serves, and other individual directors. These and other aspects of the Nominating and Corporate Governance Committee’s authority are more particularly described in the Nominating and Corporate Governance Committee Charter, which the Board of Directors adopted and is available on the Investor Relations portion of the Company’s website at </w:t>
      </w:r>
      <w:r>
        <w:rPr>
          <w:rFonts w:ascii="Arial" w:cs="Arial" w:eastAsia="Arial" w:hAnsi="Arial"/>
          <w:sz w:val="16"/>
          <w:szCs w:val="16"/>
          <w:color w:val="02568A"/>
        </w:rPr>
        <w:t>www.skyworksinc.com.</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30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02568A"/>
        </w:rPr>
        <w:t>Director Nomination Procedures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191919"/>
        </w:rPr>
        <w:t>The Nominating and Corporate Governance Committee evaluates director candidates in the context of the overall composition and needs of the Board of Directors, with the objective of recommending a group that can best manage the business and affairs of the Company and represent the interests of the Company’s stockholders using its diversity of experience. The committee seeks directors who possess certain minimum qualifications, including the following:</w:t>
      </w:r>
    </w:p>
    <w:p>
      <w:pPr>
        <w:spacing w:after="0" w:line="185" w:lineRule="exact"/>
        <w:rPr>
          <w:sz w:val="20"/>
          <w:szCs w:val="20"/>
          <w:color w:val="auto"/>
        </w:rPr>
      </w:pPr>
    </w:p>
    <w:p>
      <w:pPr>
        <w:ind w:left="540" w:right="160" w:hanging="539"/>
        <w:spacing w:after="0" w:line="283" w:lineRule="auto"/>
        <w:tabs>
          <w:tab w:leader="none" w:pos="540" w:val="left"/>
        </w:tabs>
        <w:numPr>
          <w:ilvl w:val="0"/>
          <w:numId w:val="29"/>
        </w:numPr>
        <w:rPr>
          <w:rFonts w:ascii="Arial" w:cs="Arial" w:eastAsia="Arial" w:hAnsi="Arial"/>
          <w:sz w:val="16"/>
          <w:szCs w:val="16"/>
          <w:color w:val="191919"/>
        </w:rPr>
      </w:pPr>
      <w:r>
        <w:rPr>
          <w:rFonts w:ascii="Arial" w:cs="Arial" w:eastAsia="Arial" w:hAnsi="Arial"/>
          <w:sz w:val="16"/>
          <w:szCs w:val="16"/>
          <w:color w:val="191919"/>
        </w:rPr>
        <w:t>A director must have substantial or significant business or professional experience or an understanding of technology, finance, marketing, financial reporting, international business, or other disciplines relevant to the business of the Company.</w:t>
      </w:r>
    </w:p>
    <w:p>
      <w:pPr>
        <w:spacing w:after="0" w:line="23" w:lineRule="exact"/>
        <w:rPr>
          <w:rFonts w:ascii="Arial" w:cs="Arial" w:eastAsia="Arial" w:hAnsi="Arial"/>
          <w:sz w:val="16"/>
          <w:szCs w:val="16"/>
          <w:color w:val="191919"/>
        </w:rPr>
      </w:pPr>
    </w:p>
    <w:p>
      <w:pPr>
        <w:ind w:left="540" w:hanging="539"/>
        <w:spacing w:after="0" w:line="283" w:lineRule="auto"/>
        <w:tabs>
          <w:tab w:leader="none" w:pos="540" w:val="left"/>
        </w:tabs>
        <w:numPr>
          <w:ilvl w:val="0"/>
          <w:numId w:val="29"/>
        </w:numPr>
        <w:rPr>
          <w:rFonts w:ascii="Arial" w:cs="Arial" w:eastAsia="Arial" w:hAnsi="Arial"/>
          <w:sz w:val="16"/>
          <w:szCs w:val="16"/>
          <w:color w:val="191919"/>
        </w:rPr>
      </w:pPr>
      <w:r>
        <w:rPr>
          <w:rFonts w:ascii="Arial" w:cs="Arial" w:eastAsia="Arial" w:hAnsi="Arial"/>
          <w:sz w:val="16"/>
          <w:szCs w:val="16"/>
          <w:color w:val="191919"/>
        </w:rPr>
        <w:t>A director (other than an employee-director) must be free from any relationship that, in the opinion of the Board of Directors, would interfere with the exercise of his or her independent judgment as a member of the Board of Directors or of a Board committee.</w:t>
      </w:r>
    </w:p>
    <w:p>
      <w:pPr>
        <w:spacing w:after="0" w:line="9" w:lineRule="exact"/>
        <w:rPr>
          <w:rFonts w:ascii="Arial" w:cs="Arial" w:eastAsia="Arial" w:hAnsi="Arial"/>
          <w:sz w:val="16"/>
          <w:szCs w:val="16"/>
          <w:color w:val="191919"/>
        </w:rPr>
      </w:pPr>
    </w:p>
    <w:p>
      <w:pPr>
        <w:jc w:val="both"/>
        <w:ind w:left="540" w:right="240" w:hanging="539"/>
        <w:spacing w:after="0" w:line="306" w:lineRule="auto"/>
        <w:tabs>
          <w:tab w:leader="none" w:pos="540" w:val="left"/>
        </w:tabs>
        <w:numPr>
          <w:ilvl w:val="0"/>
          <w:numId w:val="29"/>
        </w:numPr>
        <w:rPr>
          <w:rFonts w:ascii="Arial" w:cs="Arial" w:eastAsia="Arial" w:hAnsi="Arial"/>
          <w:sz w:val="16"/>
          <w:szCs w:val="16"/>
          <w:color w:val="191919"/>
        </w:rPr>
      </w:pPr>
      <w:r>
        <w:rPr>
          <w:rFonts w:ascii="Arial" w:cs="Arial" w:eastAsia="Arial" w:hAnsi="Arial"/>
          <w:sz w:val="16"/>
          <w:szCs w:val="16"/>
          <w:color w:val="191919"/>
        </w:rPr>
        <w:t>The committee also considers the following qualities and skills, among others, in its selection of directors and as candidates for appointment to the committees of the Board of Directors:</w:t>
      </w:r>
    </w:p>
    <w:p>
      <w:pPr>
        <w:spacing w:after="0" w:line="147" w:lineRule="exact"/>
        <w:rPr>
          <w:sz w:val="20"/>
          <w:szCs w:val="20"/>
          <w:color w:val="auto"/>
        </w:rPr>
      </w:pPr>
    </w:p>
    <w:p>
      <w:pPr>
        <w:ind w:left="1080" w:right="100" w:hanging="539"/>
        <w:spacing w:after="0" w:line="216" w:lineRule="auto"/>
        <w:tabs>
          <w:tab w:leader="none" w:pos="1080" w:val="left"/>
        </w:tabs>
        <w:numPr>
          <w:ilvl w:val="0"/>
          <w:numId w:val="30"/>
        </w:numPr>
        <w:rPr>
          <w:rFonts w:ascii="Courier New" w:cs="Courier New" w:eastAsia="Courier New" w:hAnsi="Courier New"/>
          <w:sz w:val="27"/>
          <w:szCs w:val="27"/>
          <w:color w:val="191919"/>
          <w:vertAlign w:val="superscript"/>
        </w:rPr>
      </w:pPr>
      <w:r>
        <w:rPr>
          <w:rFonts w:ascii="Arial" w:cs="Arial" w:eastAsia="Arial" w:hAnsi="Arial"/>
          <w:sz w:val="18"/>
          <w:szCs w:val="18"/>
          <w:color w:val="191919"/>
        </w:rPr>
        <w:t>economic, technical, scientific, academic, financial, accounting, legal, marketing, or other expertise applicable to the business of the Company;</w:t>
      </w:r>
    </w:p>
    <w:p>
      <w:pPr>
        <w:ind w:left="1080" w:right="280" w:hanging="539"/>
        <w:spacing w:after="0" w:line="195" w:lineRule="auto"/>
        <w:tabs>
          <w:tab w:leader="none" w:pos="1080" w:val="left"/>
        </w:tabs>
        <w:numPr>
          <w:ilvl w:val="0"/>
          <w:numId w:val="30"/>
        </w:numPr>
        <w:rPr>
          <w:rFonts w:ascii="Courier New" w:cs="Courier New" w:eastAsia="Courier New" w:hAnsi="Courier New"/>
          <w:sz w:val="27"/>
          <w:szCs w:val="27"/>
          <w:color w:val="191919"/>
          <w:vertAlign w:val="superscript"/>
        </w:rPr>
      </w:pPr>
      <w:r>
        <w:rPr>
          <w:rFonts w:ascii="Arial" w:cs="Arial" w:eastAsia="Arial" w:hAnsi="Arial"/>
          <w:sz w:val="18"/>
          <w:szCs w:val="18"/>
          <w:color w:val="191919"/>
        </w:rPr>
        <w:t>leadership or substantial achievement in their particular fields;</w:t>
      </w:r>
    </w:p>
    <w:p>
      <w:pPr>
        <w:spacing w:after="0" w:line="1" w:lineRule="exact"/>
        <w:rPr>
          <w:rFonts w:ascii="Courier New" w:cs="Courier New" w:eastAsia="Courier New" w:hAnsi="Courier New"/>
          <w:sz w:val="27"/>
          <w:szCs w:val="27"/>
          <w:color w:val="191919"/>
          <w:vertAlign w:val="superscript"/>
        </w:rPr>
      </w:pPr>
    </w:p>
    <w:p>
      <w:pPr>
        <w:ind w:left="1080" w:hanging="539"/>
        <w:spacing w:after="0" w:line="186" w:lineRule="auto"/>
        <w:tabs>
          <w:tab w:leader="none" w:pos="1080" w:val="left"/>
        </w:tabs>
        <w:numPr>
          <w:ilvl w:val="0"/>
          <w:numId w:val="30"/>
        </w:numPr>
        <w:rPr>
          <w:rFonts w:ascii="Courier New" w:cs="Courier New" w:eastAsia="Courier New" w:hAnsi="Courier New"/>
          <w:sz w:val="23"/>
          <w:szCs w:val="23"/>
          <w:color w:val="191919"/>
          <w:vertAlign w:val="superscript"/>
        </w:rPr>
      </w:pPr>
      <w:r>
        <w:rPr>
          <w:rFonts w:ascii="Arial" w:cs="Arial" w:eastAsia="Arial" w:hAnsi="Arial"/>
          <w:sz w:val="15"/>
          <w:szCs w:val="15"/>
          <w:color w:val="191919"/>
        </w:rPr>
        <w:t>demonstrated ability to exercise sound business judgment;</w:t>
      </w:r>
    </w:p>
    <w:p>
      <w:pPr>
        <w:ind w:left="1080" w:hanging="539"/>
        <w:spacing w:after="0" w:line="186" w:lineRule="auto"/>
        <w:tabs>
          <w:tab w:leader="none" w:pos="1080" w:val="left"/>
        </w:tabs>
        <w:numPr>
          <w:ilvl w:val="0"/>
          <w:numId w:val="30"/>
        </w:numPr>
        <w:rPr>
          <w:rFonts w:ascii="Courier New" w:cs="Courier New" w:eastAsia="Courier New" w:hAnsi="Courier New"/>
          <w:sz w:val="23"/>
          <w:szCs w:val="23"/>
          <w:color w:val="191919"/>
          <w:vertAlign w:val="superscript"/>
        </w:rPr>
      </w:pPr>
      <w:r>
        <w:rPr>
          <w:rFonts w:ascii="Arial" w:cs="Arial" w:eastAsia="Arial" w:hAnsi="Arial"/>
          <w:sz w:val="15"/>
          <w:szCs w:val="15"/>
          <w:color w:val="191919"/>
        </w:rPr>
        <w:t>integrity and high moral and ethical character;</w:t>
      </w:r>
    </w:p>
    <w:p>
      <w:pPr>
        <w:ind w:left="1080" w:right="60" w:hanging="539"/>
        <w:spacing w:after="0" w:line="211" w:lineRule="auto"/>
        <w:tabs>
          <w:tab w:leader="none" w:pos="1080" w:val="left"/>
        </w:tabs>
        <w:numPr>
          <w:ilvl w:val="0"/>
          <w:numId w:val="30"/>
        </w:numPr>
        <w:rPr>
          <w:rFonts w:ascii="Courier New" w:cs="Courier New" w:eastAsia="Courier New" w:hAnsi="Courier New"/>
          <w:sz w:val="27"/>
          <w:szCs w:val="27"/>
          <w:color w:val="191919"/>
          <w:vertAlign w:val="superscript"/>
        </w:rPr>
      </w:pPr>
      <w:r>
        <w:rPr>
          <w:rFonts w:ascii="Arial" w:cs="Arial" w:eastAsia="Arial" w:hAnsi="Arial"/>
          <w:sz w:val="18"/>
          <w:szCs w:val="18"/>
          <w:color w:val="191919"/>
        </w:rPr>
        <w:t>potential to contribute to the diversity of viewpoints, backgrounds, or experiences of the Board of Directors as a whole;</w:t>
      </w:r>
    </w:p>
    <w:p>
      <w:pPr>
        <w:spacing w:after="0" w:line="1" w:lineRule="exact"/>
        <w:rPr>
          <w:rFonts w:ascii="Courier New" w:cs="Courier New" w:eastAsia="Courier New" w:hAnsi="Courier New"/>
          <w:sz w:val="27"/>
          <w:szCs w:val="27"/>
          <w:color w:val="191919"/>
          <w:vertAlign w:val="superscript"/>
        </w:rPr>
      </w:pPr>
    </w:p>
    <w:p>
      <w:pPr>
        <w:ind w:left="1080" w:right="40" w:hanging="539"/>
        <w:spacing w:after="0" w:line="211" w:lineRule="auto"/>
        <w:tabs>
          <w:tab w:leader="none" w:pos="1080" w:val="left"/>
        </w:tabs>
        <w:numPr>
          <w:ilvl w:val="0"/>
          <w:numId w:val="30"/>
        </w:numPr>
        <w:rPr>
          <w:rFonts w:ascii="Courier New" w:cs="Courier New" w:eastAsia="Courier New" w:hAnsi="Courier New"/>
          <w:sz w:val="27"/>
          <w:szCs w:val="27"/>
          <w:color w:val="191919"/>
          <w:vertAlign w:val="superscript"/>
        </w:rPr>
      </w:pPr>
      <w:r>
        <w:rPr>
          <w:rFonts w:ascii="Arial" w:cs="Arial" w:eastAsia="Arial" w:hAnsi="Arial"/>
          <w:sz w:val="18"/>
          <w:szCs w:val="18"/>
          <w:color w:val="191919"/>
        </w:rPr>
        <w:t>capacity and desire to represent the balanced, best interests of the Company as a whole and not primarily a special interest group or constituency;</w:t>
      </w:r>
    </w:p>
    <w:p>
      <w:pPr>
        <w:spacing w:after="0" w:line="1" w:lineRule="exact"/>
        <w:rPr>
          <w:rFonts w:ascii="Courier New" w:cs="Courier New" w:eastAsia="Courier New" w:hAnsi="Courier New"/>
          <w:sz w:val="27"/>
          <w:szCs w:val="27"/>
          <w:color w:val="191919"/>
          <w:vertAlign w:val="superscript"/>
        </w:rPr>
      </w:pPr>
    </w:p>
    <w:p>
      <w:pPr>
        <w:ind w:left="1080" w:hanging="539"/>
        <w:spacing w:after="0" w:line="186" w:lineRule="auto"/>
        <w:tabs>
          <w:tab w:leader="none" w:pos="1080" w:val="left"/>
        </w:tabs>
        <w:numPr>
          <w:ilvl w:val="0"/>
          <w:numId w:val="30"/>
        </w:numPr>
        <w:rPr>
          <w:rFonts w:ascii="Courier New" w:cs="Courier New" w:eastAsia="Courier New" w:hAnsi="Courier New"/>
          <w:sz w:val="23"/>
          <w:szCs w:val="23"/>
          <w:color w:val="191919"/>
          <w:vertAlign w:val="superscript"/>
        </w:rPr>
      </w:pPr>
      <w:r>
        <w:rPr>
          <w:rFonts w:ascii="Arial" w:cs="Arial" w:eastAsia="Arial" w:hAnsi="Arial"/>
          <w:sz w:val="15"/>
          <w:szCs w:val="15"/>
          <w:color w:val="191919"/>
        </w:rPr>
        <w:t>ability to work well with others;</w:t>
      </w:r>
    </w:p>
    <w:p>
      <w:pPr>
        <w:ind w:left="1080" w:hanging="539"/>
        <w:spacing w:after="0" w:line="183" w:lineRule="auto"/>
        <w:tabs>
          <w:tab w:leader="none" w:pos="1080" w:val="left"/>
        </w:tabs>
        <w:numPr>
          <w:ilvl w:val="0"/>
          <w:numId w:val="30"/>
        </w:numPr>
        <w:rPr>
          <w:rFonts w:ascii="Courier New" w:cs="Courier New" w:eastAsia="Courier New" w:hAnsi="Courier New"/>
          <w:sz w:val="24"/>
          <w:szCs w:val="24"/>
          <w:color w:val="191919"/>
          <w:vertAlign w:val="superscript"/>
        </w:rPr>
      </w:pPr>
      <w:r>
        <w:rPr>
          <w:rFonts w:ascii="Arial" w:cs="Arial" w:eastAsia="Arial" w:hAnsi="Arial"/>
          <w:sz w:val="16"/>
          <w:szCs w:val="16"/>
          <w:color w:val="191919"/>
        </w:rPr>
        <w:t>high degree of interest in the business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548640</wp:posOffset>
            </wp:positionV>
            <wp:extent cx="713613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40" w:space="720"/>
            <w:col w:w="5260"/>
          </w:cols>
          <w:pgMar w:left="320" w:top="131"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338" w:lineRule="exact"/>
        <w:rPr>
          <w:sz w:val="20"/>
          <w:szCs w:val="20"/>
          <w:color w:val="auto"/>
        </w:rPr>
      </w:pPr>
    </w:p>
    <w:p>
      <w:pPr>
        <w:ind w:left="1080" w:hanging="532"/>
        <w:spacing w:after="0"/>
        <w:tabs>
          <w:tab w:leader="none" w:pos="1080" w:val="left"/>
        </w:tabs>
        <w:numPr>
          <w:ilvl w:val="0"/>
          <w:numId w:val="31"/>
        </w:numPr>
        <w:rPr>
          <w:rFonts w:ascii="Courier New" w:cs="Courier New" w:eastAsia="Courier New" w:hAnsi="Courier New"/>
          <w:sz w:val="27"/>
          <w:szCs w:val="27"/>
          <w:color w:val="191919"/>
          <w:vertAlign w:val="superscript"/>
        </w:rPr>
      </w:pPr>
      <w:r>
        <w:rPr>
          <w:rFonts w:ascii="Arial" w:cs="Arial" w:eastAsia="Arial" w:hAnsi="Arial"/>
          <w:sz w:val="18"/>
          <w:szCs w:val="18"/>
          <w:color w:val="191919"/>
        </w:rPr>
        <w:t>dedication to the success of the Company;</w:t>
      </w:r>
    </w:p>
    <w:p>
      <w:pPr>
        <w:ind w:left="1080" w:hanging="532"/>
        <w:spacing w:after="0" w:line="186" w:lineRule="auto"/>
        <w:tabs>
          <w:tab w:leader="none" w:pos="1080" w:val="left"/>
        </w:tabs>
        <w:numPr>
          <w:ilvl w:val="0"/>
          <w:numId w:val="31"/>
        </w:numPr>
        <w:rPr>
          <w:rFonts w:ascii="Courier New" w:cs="Courier New" w:eastAsia="Courier New" w:hAnsi="Courier New"/>
          <w:sz w:val="23"/>
          <w:szCs w:val="23"/>
          <w:color w:val="191919"/>
          <w:vertAlign w:val="superscript"/>
        </w:rPr>
      </w:pPr>
      <w:r>
        <w:rPr>
          <w:rFonts w:ascii="Arial" w:cs="Arial" w:eastAsia="Arial" w:hAnsi="Arial"/>
          <w:sz w:val="15"/>
          <w:szCs w:val="15"/>
          <w:color w:val="191919"/>
        </w:rPr>
        <w:t>commitment to the responsibilities of a director; and</w:t>
      </w:r>
    </w:p>
    <w:p>
      <w:pPr>
        <w:ind w:left="1080" w:hanging="532"/>
        <w:spacing w:after="0" w:line="183" w:lineRule="auto"/>
        <w:tabs>
          <w:tab w:leader="none" w:pos="1080" w:val="left"/>
        </w:tabs>
        <w:numPr>
          <w:ilvl w:val="0"/>
          <w:numId w:val="31"/>
        </w:numPr>
        <w:rPr>
          <w:rFonts w:ascii="Courier New" w:cs="Courier New" w:eastAsia="Courier New" w:hAnsi="Courier New"/>
          <w:sz w:val="24"/>
          <w:szCs w:val="24"/>
          <w:color w:val="191919"/>
          <w:vertAlign w:val="superscript"/>
        </w:rPr>
      </w:pPr>
      <w:r>
        <w:rPr>
          <w:rFonts w:ascii="Arial" w:cs="Arial" w:eastAsia="Arial" w:hAnsi="Arial"/>
          <w:sz w:val="16"/>
          <w:szCs w:val="16"/>
          <w:color w:val="191919"/>
        </w:rPr>
        <w:t>international business or professional experience.</w:t>
      </w:r>
    </w:p>
    <w:p>
      <w:pPr>
        <w:spacing w:after="0" w:line="211" w:lineRule="exact"/>
        <w:rPr>
          <w:sz w:val="20"/>
          <w:szCs w:val="20"/>
          <w:color w:val="auto"/>
        </w:rPr>
      </w:pPr>
    </w:p>
    <w:p>
      <w:pPr>
        <w:spacing w:after="0" w:line="283" w:lineRule="auto"/>
        <w:rPr>
          <w:sz w:val="20"/>
          <w:szCs w:val="20"/>
          <w:color w:val="auto"/>
        </w:rPr>
      </w:pPr>
      <w:r>
        <w:rPr>
          <w:rFonts w:ascii="Arial" w:cs="Arial" w:eastAsia="Arial" w:hAnsi="Arial"/>
          <w:sz w:val="16"/>
          <w:szCs w:val="16"/>
          <w:color w:val="191919"/>
        </w:rPr>
        <w:t>The committee believes that our Board of Directors, taken as a whole, should embody a diverse set of skills, experiences, and backgrounds in order to better inform its decisions. The committee considers age, tenure, gender, race, and ethnicity, in addition to business experience and other specific areas of focus or expertise, in its holistic approach to assessing and identifying director nominees. With respect to the recent director search that culminated with the appointment of Mr. Batey in August 2019, the Nominating and Corporate Governance Committee instructed its retained search firm to include candidates reflecting gender and ethnic diversity in the pool of potential director nominees to be considered by the committee. The committee will also take into account the fact that a majority of the Board of Directors must meet the independence requirements of the applicable Nasdaq Rules. The Company expects that a director’s existing and future commitments will not materially interfere with such director’s obligations to the Company. For candidates who are incumbent directors, the committee considers each director’s past attendance at meetings and participation in and contributions to the activities of the Board of Directors. The committee identifies candidates for director nominees in consultation with the Chief Executive Officer of the Company and the Chairman of the Board, through the use of search firms or other advisors or through such other methods as the committee deems to be helpful to identify candidates. Once candidates have been identified, the committee confirms that the candidates meet all of the minimum qualifications for director nominees set forth above through interviews, background checks, or any other means that the committee deems to be helpful in the evaluation process. The committee then meets to discuss and evaluate the qualities and skills of each candidate, both on an individual basis and taking into account the overall composition and needs of the Board of Directors. Based on the results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191919"/>
        </w:rPr>
        <w:t>evaluation process, the committee recommends candidates for director nominees for election to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2568A"/>
        </w:rPr>
        <w:t>Stockholder Nominees</w:t>
      </w:r>
    </w:p>
    <w:p>
      <w:pPr>
        <w:spacing w:after="0" w:line="225"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191919"/>
        </w:rPr>
        <w:t>The Nominating and Corporate Governance Committee will consider director candidates recommended by stockholders provided such stockholders follow the procedures set forth below. The committee does not intend to alter the manner in which it evaluates candidates, including the criteria set forth above, based on whether the candidate was recommended by a stockholder or otherwise. Stockholders who wish to nominate director candidates for election at the 2021 Annual Meeting, but who are not to be included in the Company’s proxy materials pursuant to the proxy access provisions in our By-laws, may do so in accordance with the provisions of our By-laws by submitting a written recommendation to the Secretary of the Company at the address below no earlier than the close of business on January 6, 2021, and no later than the close of business on February 5, 2021. In the event that the 2021 Annual Meeting is held more than thirty (30) days before or after the first anniversary of the Company’s 2020 Annual Meeting, then the required notice must be delivered in writing to the Secretary of the Company at the address below no earlier than 120 days prior to the date of the 2021 Annual Meeting and no later than the later of 90 days prior to the 2021 Annual Meeting or the 10th day following the day on which the public announcement of the date of the 2021 Annual Meeting is first made by the Company. For nominees for election to the Board of Directors proposed by stockholders to be considered, the recommendation for nomination must be in writing and must include the following information:</w:t>
      </w:r>
    </w:p>
    <w:p>
      <w:pPr>
        <w:spacing w:after="0" w:line="200" w:lineRule="exact"/>
        <w:rPr>
          <w:sz w:val="20"/>
          <w:szCs w:val="20"/>
          <w:color w:val="auto"/>
        </w:rPr>
      </w:pPr>
    </w:p>
    <w:p>
      <w:pPr>
        <w:spacing w:after="0" w:line="207" w:lineRule="exact"/>
        <w:rPr>
          <w:sz w:val="20"/>
          <w:szCs w:val="20"/>
          <w:color w:val="auto"/>
        </w:rPr>
      </w:pPr>
    </w:p>
    <w:p>
      <w:pPr>
        <w:ind w:left="540" w:right="540" w:hanging="539"/>
        <w:spacing w:after="0" w:line="254" w:lineRule="auto"/>
        <w:tabs>
          <w:tab w:leader="none" w:pos="540" w:val="left"/>
        </w:tabs>
        <w:numPr>
          <w:ilvl w:val="0"/>
          <w:numId w:val="32"/>
        </w:numPr>
        <w:rPr>
          <w:rFonts w:ascii="Arial" w:cs="Arial" w:eastAsia="Arial" w:hAnsi="Arial"/>
          <w:sz w:val="18"/>
          <w:szCs w:val="18"/>
          <w:color w:val="191919"/>
        </w:rPr>
      </w:pPr>
      <w:r>
        <w:rPr>
          <w:rFonts w:ascii="Arial" w:cs="Arial" w:eastAsia="Arial" w:hAnsi="Arial"/>
          <w:sz w:val="18"/>
          <w:szCs w:val="18"/>
          <w:color w:val="191919"/>
        </w:rPr>
        <w:t>name of the stockholder, whether an entity or an individual, making the recommendation;</w:t>
      </w:r>
    </w:p>
    <w:p>
      <w:pPr>
        <w:spacing w:after="0" w:line="20" w:lineRule="exact"/>
        <w:rPr>
          <w:rFonts w:ascii="Arial" w:cs="Arial" w:eastAsia="Arial" w:hAnsi="Arial"/>
          <w:sz w:val="18"/>
          <w:szCs w:val="18"/>
          <w:color w:val="191919"/>
        </w:rPr>
      </w:pPr>
    </w:p>
    <w:p>
      <w:pPr>
        <w:ind w:left="540" w:right="560" w:hanging="539"/>
        <w:spacing w:after="0" w:line="268" w:lineRule="auto"/>
        <w:tabs>
          <w:tab w:leader="none" w:pos="540" w:val="left"/>
        </w:tabs>
        <w:numPr>
          <w:ilvl w:val="0"/>
          <w:numId w:val="32"/>
        </w:numPr>
        <w:rPr>
          <w:rFonts w:ascii="Arial" w:cs="Arial" w:eastAsia="Arial" w:hAnsi="Arial"/>
          <w:sz w:val="18"/>
          <w:szCs w:val="18"/>
          <w:color w:val="191919"/>
        </w:rPr>
      </w:pPr>
      <w:r>
        <w:rPr>
          <w:rFonts w:ascii="Arial" w:cs="Arial" w:eastAsia="Arial" w:hAnsi="Arial"/>
          <w:sz w:val="18"/>
          <w:szCs w:val="18"/>
          <w:color w:val="191919"/>
        </w:rPr>
        <w:t>a written statement disclosing such stockholder’s beneficial ownership of the Company’s capital stock;</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158115</wp:posOffset>
            </wp:positionV>
            <wp:extent cx="71361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2">
            <w:col w:w="5240" w:space="720"/>
            <w:col w:w="5280"/>
          </w:cols>
          <w:pgMar w:left="320" w:top="131"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540" w:right="540" w:hanging="532"/>
        <w:spacing w:after="0" w:line="254" w:lineRule="auto"/>
        <w:tabs>
          <w:tab w:leader="none" w:pos="540" w:val="left"/>
        </w:tabs>
        <w:numPr>
          <w:ilvl w:val="0"/>
          <w:numId w:val="33"/>
        </w:numPr>
        <w:rPr>
          <w:rFonts w:ascii="Arial" w:cs="Arial" w:eastAsia="Arial" w:hAnsi="Arial"/>
          <w:sz w:val="18"/>
          <w:szCs w:val="18"/>
          <w:color w:val="191919"/>
        </w:rPr>
      </w:pPr>
      <w:r>
        <w:rPr>
          <w:rFonts w:ascii="Arial" w:cs="Arial" w:eastAsia="Arial" w:hAnsi="Arial"/>
          <w:sz w:val="18"/>
          <w:szCs w:val="18"/>
          <w:color w:val="191919"/>
        </w:rPr>
        <w:t>name of the individual recommended for consideration as a director nominee;</w:t>
      </w:r>
    </w:p>
    <w:p>
      <w:pPr>
        <w:spacing w:after="0" w:line="20" w:lineRule="exact"/>
        <w:rPr>
          <w:rFonts w:ascii="Arial" w:cs="Arial" w:eastAsia="Arial" w:hAnsi="Arial"/>
          <w:sz w:val="18"/>
          <w:szCs w:val="18"/>
          <w:color w:val="191919"/>
        </w:rPr>
      </w:pPr>
    </w:p>
    <w:p>
      <w:pPr>
        <w:ind w:left="540" w:right="80" w:hanging="532"/>
        <w:spacing w:after="0" w:line="252" w:lineRule="auto"/>
        <w:tabs>
          <w:tab w:leader="none" w:pos="540" w:val="left"/>
        </w:tabs>
        <w:numPr>
          <w:ilvl w:val="0"/>
          <w:numId w:val="33"/>
        </w:numPr>
        <w:rPr>
          <w:rFonts w:ascii="Arial" w:cs="Arial" w:eastAsia="Arial" w:hAnsi="Arial"/>
          <w:sz w:val="18"/>
          <w:szCs w:val="18"/>
          <w:color w:val="191919"/>
        </w:rPr>
      </w:pPr>
      <w:r>
        <w:rPr>
          <w:rFonts w:ascii="Arial" w:cs="Arial" w:eastAsia="Arial" w:hAnsi="Arial"/>
          <w:sz w:val="18"/>
          <w:szCs w:val="18"/>
          <w:color w:val="191919"/>
        </w:rPr>
        <w:t>a written statement from the stockholder making the recommendation stating why such recommended candidate would be able to fulfill the duties of a director;</w:t>
      </w:r>
    </w:p>
    <w:p>
      <w:pPr>
        <w:spacing w:after="0" w:line="9" w:lineRule="exact"/>
        <w:rPr>
          <w:rFonts w:ascii="Arial" w:cs="Arial" w:eastAsia="Arial" w:hAnsi="Arial"/>
          <w:sz w:val="18"/>
          <w:szCs w:val="18"/>
          <w:color w:val="191919"/>
        </w:rPr>
      </w:pPr>
    </w:p>
    <w:p>
      <w:pPr>
        <w:ind w:left="540" w:right="200" w:hanging="532"/>
        <w:spacing w:after="0" w:line="283" w:lineRule="auto"/>
        <w:tabs>
          <w:tab w:leader="none" w:pos="540" w:val="left"/>
        </w:tabs>
        <w:numPr>
          <w:ilvl w:val="0"/>
          <w:numId w:val="33"/>
        </w:numPr>
        <w:rPr>
          <w:rFonts w:ascii="Arial" w:cs="Arial" w:eastAsia="Arial" w:hAnsi="Arial"/>
          <w:sz w:val="16"/>
          <w:szCs w:val="16"/>
          <w:color w:val="191919"/>
        </w:rPr>
      </w:pPr>
      <w:r>
        <w:rPr>
          <w:rFonts w:ascii="Arial" w:cs="Arial" w:eastAsia="Arial" w:hAnsi="Arial"/>
          <w:sz w:val="16"/>
          <w:szCs w:val="16"/>
          <w:color w:val="191919"/>
        </w:rPr>
        <w:t>a written statement from the stockholder making the recommendation stating how the recommended candidate meets the independence requirements established by the SEC and the applicable Nasdaq Rules;</w:t>
      </w:r>
    </w:p>
    <w:p>
      <w:pPr>
        <w:spacing w:after="0" w:line="9" w:lineRule="exact"/>
        <w:rPr>
          <w:rFonts w:ascii="Arial" w:cs="Arial" w:eastAsia="Arial" w:hAnsi="Arial"/>
          <w:sz w:val="16"/>
          <w:szCs w:val="16"/>
          <w:color w:val="191919"/>
        </w:rPr>
      </w:pPr>
    </w:p>
    <w:p>
      <w:pPr>
        <w:ind w:left="540" w:right="500" w:hanging="532"/>
        <w:spacing w:after="0" w:line="304" w:lineRule="auto"/>
        <w:tabs>
          <w:tab w:leader="none" w:pos="540" w:val="left"/>
        </w:tabs>
        <w:numPr>
          <w:ilvl w:val="0"/>
          <w:numId w:val="33"/>
        </w:numPr>
        <w:rPr>
          <w:rFonts w:ascii="Arial" w:cs="Arial" w:eastAsia="Arial" w:hAnsi="Arial"/>
          <w:sz w:val="15"/>
          <w:szCs w:val="15"/>
          <w:color w:val="191919"/>
        </w:rPr>
      </w:pPr>
      <w:r>
        <w:rPr>
          <w:rFonts w:ascii="Arial" w:cs="Arial" w:eastAsia="Arial" w:hAnsi="Arial"/>
          <w:sz w:val="15"/>
          <w:szCs w:val="15"/>
          <w:color w:val="191919"/>
        </w:rPr>
        <w:t>a written statement disclosing the recommended candidate’s beneficial ownership of the Company’s capital stock; and</w:t>
      </w:r>
    </w:p>
    <w:p>
      <w:pPr>
        <w:spacing w:after="0" w:line="22" w:lineRule="exact"/>
        <w:rPr>
          <w:rFonts w:ascii="Arial" w:cs="Arial" w:eastAsia="Arial" w:hAnsi="Arial"/>
          <w:sz w:val="15"/>
          <w:szCs w:val="15"/>
          <w:color w:val="191919"/>
        </w:rPr>
      </w:pPr>
    </w:p>
    <w:p>
      <w:pPr>
        <w:ind w:left="540" w:right="220" w:hanging="532"/>
        <w:spacing w:after="0" w:line="259" w:lineRule="auto"/>
        <w:tabs>
          <w:tab w:leader="none" w:pos="540" w:val="left"/>
        </w:tabs>
        <w:numPr>
          <w:ilvl w:val="0"/>
          <w:numId w:val="33"/>
        </w:numPr>
        <w:rPr>
          <w:rFonts w:ascii="Arial" w:cs="Arial" w:eastAsia="Arial" w:hAnsi="Arial"/>
          <w:sz w:val="18"/>
          <w:szCs w:val="18"/>
          <w:color w:val="191919"/>
        </w:rPr>
      </w:pPr>
      <w:r>
        <w:rPr>
          <w:rFonts w:ascii="Arial" w:cs="Arial" w:eastAsia="Arial" w:hAnsi="Arial"/>
          <w:sz w:val="18"/>
          <w:szCs w:val="18"/>
          <w:color w:val="191919"/>
        </w:rPr>
        <w:t>a written statement disclosing relationships between the recommended candidate and the Company that may constitute a conflict of interest.</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color w:val="191919"/>
        </w:rPr>
        <w:t>A stockholder (or a group of up to twenty stockholders) who has owned at least three percent of the Company’s outstanding shares of common stock continuously for at least three years, and has complied with the other requirements in the Company’s By-laws, may nominate and include in the Company’s proxy materials a number of director nominees up to the greater of two individuals or 20% of the Board of Directors. Written notice of a proxy access nomination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32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82" w:lineRule="auto"/>
        <w:rPr>
          <w:sz w:val="20"/>
          <w:szCs w:val="20"/>
          <w:color w:val="auto"/>
        </w:rPr>
      </w:pPr>
      <w:r>
        <w:rPr>
          <w:rFonts w:ascii="Arial" w:cs="Arial" w:eastAsia="Arial" w:hAnsi="Arial"/>
          <w:sz w:val="16"/>
          <w:szCs w:val="16"/>
          <w:color w:val="191919"/>
        </w:rPr>
        <w:t>for inclusion in our proxy statement for the 2021 Annual Meeting of Stockholders must be submitted to the Secretary of the Company at the address below no earlier than the open of business on December 7, 2020, and no later than the close of business on January 6, 2021. In the event that the 2021 Annual Meeting is held more than thirty (30) days before, or more than sixty (60) days after, the first anniversary of the Company’s 2020 Annual Meeting, then the required notice must be delivered in writing to the Secretary of the Company at the address below no earlier than 150 days prior to the date of the 2021 Annual Meeting and no later than the later of 120 days prior to the 2021 Annual Meeting or the</w:t>
      </w:r>
    </w:p>
    <w:p>
      <w:pPr>
        <w:spacing w:after="0" w:line="5"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191919"/>
        </w:rPr>
        <w:t>10th day following the day on which the public announcement of the date of the 2021 Annual Meeting is first made by the Company.</w:t>
      </w:r>
    </w:p>
    <w:p>
      <w:pPr>
        <w:spacing w:after="0" w:line="146"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191919"/>
        </w:rPr>
        <w:t>Written notice of proxy access nominations and written recommendations for nomination may be sent to the General Counsel and Secretary of the Company via U.S. mail or expedited delivery service to: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191919"/>
        </w:rPr>
        <w:t>Skyworks Solutions,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191919"/>
        </w:rPr>
        <w:t>5221 California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91919"/>
        </w:rPr>
        <w:t>Irvine, California 92617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887730</wp:posOffset>
            </wp:positionV>
            <wp:extent cx="713613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60" w:space="700"/>
            <w:col w:w="5280"/>
          </w:cols>
          <w:pgMar w:left="320" w:top="13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02568A"/>
        </w:rPr>
        <w:t>Role of the Board of Directors in Risk Oversight</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spacing w:after="0" w:line="284" w:lineRule="auto"/>
        <w:rPr>
          <w:sz w:val="20"/>
          <w:szCs w:val="20"/>
          <w:color w:val="auto"/>
        </w:rPr>
      </w:pPr>
      <w:r>
        <w:rPr>
          <w:rFonts w:ascii="Arial" w:cs="Arial" w:eastAsia="Arial" w:hAnsi="Arial"/>
          <w:sz w:val="16"/>
          <w:szCs w:val="16"/>
          <w:color w:val="191919"/>
        </w:rPr>
        <w:t>Our Board of Directors oversees our risk management processes directly and through its committees. Our management team is responsible for risk management on a day-to-day basis. The role of our Board of Directors and its committees is to oversee the risk management activities of our management team. They fulfill this duty by discussing with management the policies and practices utilized by management in assessing and managing risks and providing input on those policies and practices. In general, our Board of Directors oversees risk management activities relating to business strategy, capital allocation, organizational structure, certain operational risks, and acquisitions; our Audit Committee oversees risk management activities related to financial controls, legal and compliance risks, and cybersecurity risk; our Compensation Committee oversees risk management activities relating to our compensation policies and practices as well as management succession planning; and our Nominating and Corporate Governance Committee oversees risk management activities relating to Board composition. Each committee reports to the Board of Directors on a regular basis, including reports with respect to the committee’s risk oversight activities as appropriate. For example, the Board of Directors periodically reviews and approves the executive succession plan in consultation with the Compensation Committee and the Chief Executive Officer. In addition, since risk issues often overlap, committees from time to time request that the Board of Directors discuss particular risks.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191919"/>
        </w:rPr>
        <w:t>Our Compensation Committee does not believe that any risks arising from our employee compensation policies and practices are reasonably likely to have a material adverse effect on our company. Our Compensation Committee believes that any such risks are mitigated by:</w:t>
      </w:r>
    </w:p>
    <w:p>
      <w:pPr>
        <w:spacing w:after="0" w:line="180" w:lineRule="exact"/>
        <w:rPr>
          <w:sz w:val="20"/>
          <w:szCs w:val="20"/>
          <w:color w:val="auto"/>
        </w:rPr>
      </w:pPr>
    </w:p>
    <w:p>
      <w:pPr>
        <w:ind w:left="540" w:right="20" w:hanging="539"/>
        <w:spacing w:after="0" w:line="302" w:lineRule="auto"/>
        <w:tabs>
          <w:tab w:leader="none" w:pos="540" w:val="left"/>
        </w:tabs>
        <w:numPr>
          <w:ilvl w:val="0"/>
          <w:numId w:val="34"/>
        </w:numPr>
        <w:rPr>
          <w:rFonts w:ascii="Arial" w:cs="Arial" w:eastAsia="Arial" w:hAnsi="Arial"/>
          <w:sz w:val="15"/>
          <w:szCs w:val="15"/>
          <w:color w:val="191919"/>
        </w:rPr>
      </w:pPr>
      <w:r>
        <w:rPr>
          <w:rFonts w:ascii="Arial" w:cs="Arial" w:eastAsia="Arial" w:hAnsi="Arial"/>
          <w:sz w:val="15"/>
          <w:szCs w:val="15"/>
          <w:color w:val="191919"/>
        </w:rPr>
        <w:t>The multiple elements of our compensation packages, including base salary, our annual short-term incentive compensation plan and (for our executive officers and other key employees) equity awards that vest (or are issuable) over multiple years and are intended to motivate employees to take a long-term view of our business.</w:t>
      </w:r>
    </w:p>
    <w:p>
      <w:pPr>
        <w:spacing w:after="0" w:line="21" w:lineRule="exact"/>
        <w:rPr>
          <w:rFonts w:ascii="Arial" w:cs="Arial" w:eastAsia="Arial" w:hAnsi="Arial"/>
          <w:sz w:val="15"/>
          <w:szCs w:val="15"/>
          <w:color w:val="191919"/>
        </w:rPr>
      </w:pPr>
    </w:p>
    <w:p>
      <w:pPr>
        <w:ind w:left="540" w:right="20" w:hanging="539"/>
        <w:spacing w:after="0" w:line="307" w:lineRule="auto"/>
        <w:tabs>
          <w:tab w:leader="none" w:pos="540" w:val="left"/>
        </w:tabs>
        <w:numPr>
          <w:ilvl w:val="0"/>
          <w:numId w:val="34"/>
        </w:numPr>
        <w:rPr>
          <w:rFonts w:ascii="Arial" w:cs="Arial" w:eastAsia="Arial" w:hAnsi="Arial"/>
          <w:sz w:val="15"/>
          <w:szCs w:val="15"/>
          <w:color w:val="191919"/>
        </w:rPr>
      </w:pPr>
      <w:r>
        <w:rPr>
          <w:rFonts w:ascii="Arial" w:cs="Arial" w:eastAsia="Arial" w:hAnsi="Arial"/>
          <w:sz w:val="15"/>
          <w:szCs w:val="15"/>
          <w:color w:val="191919"/>
        </w:rPr>
        <w:t>The structure of our short-term incentive compensation plan (described in greater detail in this Proxy Statement under “</w:t>
      </w:r>
      <w:r>
        <w:rPr>
          <w:rFonts w:ascii="Arial" w:cs="Arial" w:eastAsia="Arial" w:hAnsi="Arial"/>
          <w:sz w:val="15"/>
          <w:szCs w:val="15"/>
          <w:i w:val="1"/>
          <w:iCs w:val="1"/>
          <w:color w:val="191919"/>
        </w:rPr>
        <w:t>Compensation Discussion and Analysis</w:t>
      </w:r>
      <w:r>
        <w:rPr>
          <w:rFonts w:ascii="Arial" w:cs="Arial" w:eastAsia="Arial" w:hAnsi="Arial"/>
          <w:sz w:val="15"/>
          <w:szCs w:val="15"/>
          <w:color w:val="191919"/>
        </w:rPr>
        <w:t>”), which is based on (i) a number of different financial and operating performance metrics to avoid employees placing undue emphasis on any particular performance metric at the expense of other aspects of our business, and (ii) performance targets that we believe are appropriately aggressive yet will not require undue risk-taking to achieve. Further, the structure of the short-term incentive compensation plan aids in driving sustained long-term financial performance as the goals and targets from the prior year’s plan are significant factors used in determining goals for the current year’s plan.</w:t>
      </w:r>
    </w:p>
    <w:p>
      <w:pPr>
        <w:spacing w:after="0" w:line="579" w:lineRule="exact"/>
        <w:rPr>
          <w:sz w:val="20"/>
          <w:szCs w:val="20"/>
          <w:color w:val="auto"/>
        </w:rPr>
      </w:pPr>
    </w:p>
    <w:p>
      <w:pPr>
        <w:sectPr>
          <w:pgSz w:w="11900" w:h="16838" w:orient="portrait"/>
          <w:cols w:equalWidth="0" w:num="2">
            <w:col w:w="5240" w:space="720"/>
            <w:col w:w="5280"/>
          </w:cols>
          <w:pgMar w:left="320" w:top="131" w:right="339" w:bottom="1440" w:gutter="0" w:footer="0" w:header="0"/>
          <w:type w:val="continuous"/>
        </w:sectPr>
      </w:pPr>
    </w:p>
    <w:p>
      <w:pPr>
        <w:spacing w:after="0" w:line="187" w:lineRule="exact"/>
        <w:rPr>
          <w:sz w:val="20"/>
          <w:szCs w:val="20"/>
          <w:color w:val="auto"/>
        </w:rPr>
      </w:pPr>
    </w:p>
    <w:p>
      <w:pPr>
        <w:ind w:left="9280"/>
        <w:spacing w:after="0"/>
        <w:rPr>
          <w:sz w:val="20"/>
          <w:szCs w:val="20"/>
          <w:color w:val="auto"/>
        </w:rPr>
      </w:pPr>
      <w:r>
        <w:rPr>
          <w:rFonts w:ascii="Arial" w:cs="Arial" w:eastAsia="Arial" w:hAnsi="Arial"/>
          <w:sz w:val="16"/>
          <w:szCs w:val="16"/>
          <w:color w:val="000001"/>
        </w:rPr>
        <w:t xml:space="preserve">Proxy Statement </w:t>
      </w:r>
      <w:r>
        <w:rPr>
          <w:rFonts w:ascii="Arial" w:cs="Arial" w:eastAsia="Arial" w:hAnsi="Arial"/>
          <w:sz w:val="15"/>
          <w:szCs w:val="15"/>
          <w:b w:val="1"/>
          <w:bCs w:val="1"/>
          <w:color w:val="000001"/>
        </w:rPr>
        <w:t>|</w:t>
      </w:r>
      <w:r>
        <w:rPr>
          <w:rFonts w:ascii="Arial" w:cs="Arial" w:eastAsia="Arial" w:hAnsi="Arial"/>
          <w:sz w:val="16"/>
          <w:szCs w:val="16"/>
          <w:color w:val="000001"/>
        </w:rPr>
        <w:t xml:space="preserve"> </w:t>
      </w:r>
      <w:r>
        <w:rPr>
          <w:rFonts w:ascii="Arial" w:cs="Arial" w:eastAsia="Arial" w:hAnsi="Arial"/>
          <w:sz w:val="16"/>
          <w:szCs w:val="16"/>
          <w:b w:val="1"/>
          <w:bCs w:val="1"/>
          <w:color w:val="000001"/>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3613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02568A"/>
        </w:rPr>
        <w:t>Compensation Committee Interlocks and Insider Participation</w:t>
      </w:r>
    </w:p>
    <w:p>
      <w:pPr>
        <w:sectPr>
          <w:pgSz w:w="11900" w:h="16838" w:orient="portrait"/>
          <w:cols w:equalWidth="0" w:num="1">
            <w:col w:w="11200"/>
          </w:cols>
          <w:pgMar w:left="320" w:top="131" w:right="37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spacing w:after="0" w:line="290" w:lineRule="auto"/>
        <w:rPr>
          <w:sz w:val="20"/>
          <w:szCs w:val="20"/>
          <w:color w:val="auto"/>
        </w:rPr>
      </w:pPr>
      <w:r>
        <w:rPr>
          <w:rFonts w:ascii="Arial" w:cs="Arial" w:eastAsia="Arial" w:hAnsi="Arial"/>
          <w:sz w:val="16"/>
          <w:szCs w:val="16"/>
          <w:color w:val="191919"/>
        </w:rPr>
        <w:t>The Compensation Committee of the Board of Directors currently consists of Ms. King (Chairman), Mr. McGlade, and Mr. Schriesheim. Mr. Beebe and Mr. Furey served on the Compensation Committee until January 30, 2019, when Mr. Schriesheim was appointed to the Compensation Committee. No member of this committee was at any time during fiscal year 2019 an officer or employee of the Company, was formerly an officer of the Company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291" w:lineRule="auto"/>
        <w:rPr>
          <w:sz w:val="20"/>
          <w:szCs w:val="20"/>
          <w:color w:val="auto"/>
        </w:rPr>
      </w:pPr>
      <w:r>
        <w:rPr>
          <w:rFonts w:ascii="Arial" w:cs="Arial" w:eastAsia="Arial" w:hAnsi="Arial"/>
          <w:sz w:val="16"/>
          <w:szCs w:val="16"/>
          <w:color w:val="191919"/>
        </w:rPr>
        <w:t>any of its subsidiaries, or had any employment relationship with the Company or any of its subsidiaries. No executive officer of the Company has served as a director or member of the compensation committee (or other committee serving an equivalent function) of any other entity, one of whose executive officers served as a director of or member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389890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7" w:lineRule="exact"/>
        <w:rPr>
          <w:sz w:val="20"/>
          <w:szCs w:val="20"/>
          <w:color w:val="auto"/>
        </w:rPr>
      </w:pPr>
    </w:p>
    <w:p>
      <w:pPr>
        <w:sectPr>
          <w:pgSz w:w="11900" w:h="16838" w:orient="portrait"/>
          <w:cols w:equalWidth="0" w:num="2">
            <w:col w:w="5240" w:space="720"/>
            <w:col w:w="5240"/>
          </w:cols>
          <w:pgMar w:left="320" w:top="131" w:right="379"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b w:val="1"/>
          <w:bCs w:val="1"/>
          <w:color w:val="02568A"/>
        </w:rPr>
        <w:t>Certain Relationships and Related Person Transactions</w:t>
      </w:r>
    </w:p>
    <w:p>
      <w:pPr>
        <w:sectPr>
          <w:pgSz w:w="11900" w:h="16838" w:orient="portrait"/>
          <w:cols w:equalWidth="0" w:num="1">
            <w:col w:w="11200"/>
          </w:cols>
          <w:pgMar w:left="320" w:top="131" w:right="379"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spacing w:after="0" w:line="286" w:lineRule="auto"/>
        <w:rPr>
          <w:sz w:val="20"/>
          <w:szCs w:val="20"/>
          <w:color w:val="auto"/>
        </w:rPr>
      </w:pPr>
      <w:r>
        <w:rPr>
          <w:rFonts w:ascii="Arial" w:cs="Arial" w:eastAsia="Arial" w:hAnsi="Arial"/>
          <w:sz w:val="16"/>
          <w:szCs w:val="16"/>
          <w:color w:val="191919"/>
        </w:rPr>
        <w:t>Other than compensation agreements and other arrangements described below under “</w:t>
      </w:r>
      <w:r>
        <w:rPr>
          <w:rFonts w:ascii="Arial" w:cs="Arial" w:eastAsia="Arial" w:hAnsi="Arial"/>
          <w:sz w:val="16"/>
          <w:szCs w:val="16"/>
          <w:i w:val="1"/>
          <w:iCs w:val="1"/>
          <w:color w:val="191919"/>
        </w:rPr>
        <w:t>Information About Executive and Director Compensation</w:t>
      </w:r>
      <w:r>
        <w:rPr>
          <w:rFonts w:ascii="Arial" w:cs="Arial" w:eastAsia="Arial" w:hAnsi="Arial"/>
          <w:sz w:val="16"/>
          <w:szCs w:val="16"/>
          <w:color w:val="191919"/>
        </w:rPr>
        <w:t>,” since September 29, 2018, there has not been a transaction or series of related transactions to which the Company was or is a party involving an amount in excess of $120,000 and in which any director, executive officer, holder of more than five percent (5%) of any class of our voting securities, or any member of the immediate family of any of the foregoing persons, had or will have a direct or indirect material interest. In January 2008, the Board of Directors adopted a written related person transaction approval policy, which was amended in November 2018, and which sets forth the Company’s policies and procedures for the review,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286" w:lineRule="auto"/>
        <w:rPr>
          <w:sz w:val="20"/>
          <w:szCs w:val="20"/>
          <w:color w:val="auto"/>
        </w:rPr>
      </w:pPr>
      <w:r>
        <w:rPr>
          <w:rFonts w:ascii="Arial" w:cs="Arial" w:eastAsia="Arial" w:hAnsi="Arial"/>
          <w:sz w:val="16"/>
          <w:szCs w:val="16"/>
          <w:color w:val="191919"/>
        </w:rPr>
        <w:t>approval or ratification of any transaction required to be reported in its filings with the SEC. The Company’s policy with regard to related person transactions is that all related person transactions between the Company and any related person (as defined in Item 404 of Regulation S-K) or their affiliates, in which the amount involved is equal to or greater than $120,000, be reviewed by the Company’s General Counsel and approved by the Audit Committee. In addition, the Company’s Code of Business Conduct and Ethics requires that employees discuss with the Company’s Compliance Officer any significant relationship (or transaction) that might raise doubt about such employee’s ability to act in the best interest of the Company.</w:t>
      </w:r>
    </w:p>
    <w:p>
      <w:pPr>
        <w:spacing w:after="0" w:line="200" w:lineRule="exact"/>
        <w:rPr>
          <w:sz w:val="20"/>
          <w:szCs w:val="20"/>
          <w:color w:val="auto"/>
        </w:rPr>
      </w:pPr>
    </w:p>
    <w:p>
      <w:pPr>
        <w:sectPr>
          <w:pgSz w:w="11900" w:h="16838" w:orient="portrait"/>
          <w:cols w:equalWidth="0" w:num="2">
            <w:col w:w="5260" w:space="700"/>
            <w:col w:w="5240"/>
          </w:cols>
          <w:pgMar w:left="320" w:top="131" w:right="379" w:bottom="1440" w:gutter="0" w:footer="0" w:header="0"/>
          <w:type w:val="continuous"/>
        </w:sectPr>
      </w:pP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000001"/>
        </w:rPr>
        <w:t xml:space="preserve">Page 34 </w:t>
      </w:r>
      <w:r>
        <w:rPr>
          <w:rFonts w:ascii="Arial" w:cs="Arial" w:eastAsia="Arial" w:hAnsi="Arial"/>
          <w:sz w:val="15"/>
          <w:szCs w:val="15"/>
          <w:b w:val="1"/>
          <w:bCs w:val="1"/>
          <w:color w:val="000001"/>
        </w:rPr>
        <w:t>|</w:t>
      </w:r>
      <w:r>
        <w:rPr>
          <w:rFonts w:ascii="Arial" w:cs="Arial" w:eastAsia="Arial" w:hAnsi="Arial"/>
          <w:sz w:val="16"/>
          <w:szCs w:val="16"/>
          <w:b w:val="1"/>
          <w:bCs w:val="1"/>
          <w:color w:val="000001"/>
        </w:rPr>
        <w:t xml:space="preserve"> </w:t>
      </w:r>
      <w:r>
        <w:rPr>
          <w:rFonts w:ascii="Arial" w:cs="Arial" w:eastAsia="Arial" w:hAnsi="Arial"/>
          <w:sz w:val="16"/>
          <w:szCs w:val="16"/>
          <w:color w:val="000001"/>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361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ind w:left="60"/>
        <w:spacing w:after="0"/>
        <w:rPr>
          <w:sz w:val="20"/>
          <w:szCs w:val="20"/>
          <w:color w:val="auto"/>
        </w:rPr>
      </w:pPr>
      <w:r>
        <w:rPr>
          <w:rFonts w:ascii="Arial" w:cs="Arial" w:eastAsia="Arial" w:hAnsi="Arial"/>
          <w:sz w:val="24"/>
          <w:szCs w:val="24"/>
          <w:b w:val="1"/>
          <w:bCs w:val="1"/>
          <w:color w:val="02568A"/>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16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FFFFFE"/>
        </w:rPr>
        <w:t>Ratification of Independent Registered Public Accounting Firm</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spacing w:after="0" w:line="287" w:lineRule="auto"/>
        <w:rPr>
          <w:sz w:val="20"/>
          <w:szCs w:val="20"/>
          <w:color w:val="auto"/>
        </w:rPr>
      </w:pPr>
      <w:r>
        <w:rPr>
          <w:rFonts w:ascii="Arial" w:cs="Arial" w:eastAsia="Arial" w:hAnsi="Arial"/>
          <w:sz w:val="16"/>
          <w:szCs w:val="16"/>
          <w:color w:val="191919"/>
        </w:rPr>
        <w:t>The Audit Committee has selected KPMG LLP as the Company’s independent registered public accounting firm for fiscal year 2020 and has further directed that management submit the selection of the independent registered public accounting firm for ratification by the stockholders at the Annual Meeting. KPMG LLP was the independent registered public accounting firm for the Company for fiscal year 2019, and has been the independent registered public accounting firm for the Company since 2002. We are asking the stockholders to ratify the selection of KPMG LLP as the Company’s independent registered public accounting firm for fiscal year 2020.</w:t>
      </w:r>
    </w:p>
    <w:p>
      <w:pPr>
        <w:spacing w:after="0" w:line="17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191919"/>
        </w:rPr>
        <w:t>Representatives of KPMG LLP are expected to attend the Annual Meeting online. They will have an opportunity to make a statement if they desire to do so and will be available to respond to appropriate stockholder questions.</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191919"/>
        </w:rPr>
        <w:t>Stockholder ratification of the selection of KPMG LLP as the Company’s independent registered public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191919"/>
        </w:rPr>
        <w:t>accounting firm is not required by the Company’s By-laws or other applicable legal requirements. However, the Audit Committee is submitting the selection of KPMG LLP to the stockholders for ratification as a matter of good corporate practice. The affirmative vote of a majority of the shares present online or represented by proxy at the Annual Meeting and entitled to vote on such matter at the Annual Meeting is required to approve the selection of KPMG LLP as the Company’s independent registered public accounting firm. In the event stockholders fail to ratify the appointment, the Audit Committee may reconsider this appointment. Even if the appointment is ratified, the Audit Committee, in its discretion, may direct the appointment of a different independent registered public accounting firm at any time during the year if the Audit Committee determines that such a change would be in the Company’s and stockholders’ best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806450</wp:posOffset>
            </wp:positionV>
            <wp:extent cx="6489065" cy="6000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89065" cy="600075"/>
                    </a:xfrm>
                    <a:prstGeom prst="rect">
                      <a:avLst/>
                    </a:prstGeom>
                    <a:noFill/>
                  </pic:spPr>
                </pic:pic>
              </a:graphicData>
            </a:graphic>
          </wp:anchor>
        </w:drawing>
      </w:r>
    </w:p>
    <w:p>
      <w:pPr>
        <w:spacing w:after="0" w:line="1059" w:lineRule="exact"/>
        <w:rPr>
          <w:sz w:val="20"/>
          <w:szCs w:val="20"/>
          <w:color w:val="auto"/>
        </w:rPr>
      </w:pPr>
    </w:p>
    <w:p>
      <w:pPr>
        <w:sectPr>
          <w:pgSz w:w="11900" w:h="16838" w:orient="portrait"/>
          <w:cols w:equalWidth="0" w:num="2">
            <w:col w:w="5260" w:space="700"/>
            <w:col w:w="5280"/>
          </w:cols>
          <w:pgMar w:left="320" w:top="1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280"/>
        <w:spacing w:after="0"/>
        <w:rPr>
          <w:sz w:val="20"/>
          <w:szCs w:val="20"/>
          <w:color w:val="auto"/>
        </w:rPr>
      </w:pPr>
      <w:r>
        <w:rPr>
          <w:rFonts w:ascii="Arial" w:cs="Arial" w:eastAsia="Arial" w:hAnsi="Arial"/>
          <w:sz w:val="16"/>
          <w:szCs w:val="16"/>
          <w:color w:val="000001"/>
        </w:rPr>
        <w:t xml:space="preserve">Proxy Statement </w:t>
      </w:r>
      <w:r>
        <w:rPr>
          <w:rFonts w:ascii="Arial" w:cs="Arial" w:eastAsia="Arial" w:hAnsi="Arial"/>
          <w:sz w:val="15"/>
          <w:szCs w:val="15"/>
          <w:b w:val="1"/>
          <w:bCs w:val="1"/>
          <w:color w:val="000001"/>
        </w:rPr>
        <w:t>|</w:t>
      </w:r>
      <w:r>
        <w:rPr>
          <w:rFonts w:ascii="Arial" w:cs="Arial" w:eastAsia="Arial" w:hAnsi="Arial"/>
          <w:sz w:val="16"/>
          <w:szCs w:val="16"/>
          <w:color w:val="000001"/>
        </w:rPr>
        <w:t xml:space="preserve"> </w:t>
      </w:r>
      <w:r>
        <w:rPr>
          <w:rFonts w:ascii="Arial" w:cs="Arial" w:eastAsia="Arial" w:hAnsi="Arial"/>
          <w:sz w:val="16"/>
          <w:szCs w:val="16"/>
          <w:b w:val="1"/>
          <w:bCs w:val="1"/>
          <w:color w:val="000001"/>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361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02568A"/>
        </w:rPr>
        <w:t>Audit Fees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191919"/>
        </w:rPr>
        <w:t>KPMG LLP provided audit services to the Company consisting of the annual audit of the Company’s 2019 consolidated financial statements contained in the Company’s Annual Report on Form 10-K and reviews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191919"/>
        </w:rPr>
        <w:t>of the financial statements contained in the Company’s Quarterly Reports on Form 10-Q for fiscal year 2019. The following table summarizes the fees of KPMG LLP billed to the Company for the last two fiscal years.</w:t>
      </w:r>
    </w:p>
    <w:p>
      <w:pPr>
        <w:spacing w:after="0" w:line="130" w:lineRule="exact"/>
        <w:rPr>
          <w:sz w:val="20"/>
          <w:szCs w:val="20"/>
          <w:color w:val="auto"/>
        </w:rPr>
      </w:pPr>
    </w:p>
    <w:p>
      <w:pPr>
        <w:sectPr>
          <w:pgSz w:w="11900" w:h="16838" w:orient="portrait"/>
          <w:cols w:equalWidth="0" w:num="2">
            <w:col w:w="5240" w:space="720"/>
            <w:col w:w="5280"/>
          </w:cols>
          <w:pgMar w:left="320" w:top="131" w:right="339" w:bottom="1440" w:gutter="0" w:footer="0" w:header="0"/>
          <w:type w:val="continuous"/>
        </w:sectPr>
      </w:pPr>
    </w:p>
    <w:tbl>
      <w:tblPr>
        <w:tblLayout w:type="fixed"/>
        <w:tblInd w:w="1120" w:type="dxa"/>
        <w:tblCellMar>
          <w:top w:w="0" w:type="dxa"/>
          <w:left w:w="0" w:type="dxa"/>
          <w:bottom w:w="0" w:type="dxa"/>
          <w:right w:w="0" w:type="dxa"/>
        </w:tblCellMar>
      </w:tblPr>
      <w:tr>
        <w:trPr>
          <w:trHeight w:val="215"/>
        </w:trPr>
        <w:tc>
          <w:tcPr>
            <w:tcW w:w="2780" w:type="dxa"/>
            <w:vAlign w:val="bottom"/>
            <w:tcBorders>
              <w:top w:val="single" w:sz="8" w:color="02568A"/>
            </w:tcBorders>
          </w:tcPr>
          <w:p>
            <w:pPr>
              <w:spacing w:after="0"/>
              <w:rPr>
                <w:sz w:val="18"/>
                <w:szCs w:val="18"/>
                <w:color w:val="auto"/>
              </w:rPr>
            </w:pPr>
          </w:p>
        </w:tc>
        <w:tc>
          <w:tcPr>
            <w:tcW w:w="2340" w:type="dxa"/>
            <w:vAlign w:val="bottom"/>
            <w:tcBorders>
              <w:top w:val="single" w:sz="8" w:color="02568A"/>
            </w:tcBorders>
          </w:tcPr>
          <w:p>
            <w:pPr>
              <w:jc w:val="right"/>
              <w:ind w:right="272"/>
              <w:spacing w:after="0"/>
              <w:rPr>
                <w:sz w:val="20"/>
                <w:szCs w:val="20"/>
                <w:color w:val="auto"/>
              </w:rPr>
            </w:pPr>
            <w:r>
              <w:rPr>
                <w:rFonts w:ascii="Arial" w:cs="Arial" w:eastAsia="Arial" w:hAnsi="Arial"/>
                <w:sz w:val="18"/>
                <w:szCs w:val="18"/>
                <w:b w:val="1"/>
                <w:bCs w:val="1"/>
                <w:color w:val="02568A"/>
              </w:rPr>
              <w:t>Fiscal Year</w:t>
            </w:r>
          </w:p>
        </w:tc>
        <w:tc>
          <w:tcPr>
            <w:tcW w:w="1240" w:type="dxa"/>
            <w:vAlign w:val="bottom"/>
            <w:tcBorders>
              <w:top w:val="single" w:sz="8" w:color="02568A"/>
            </w:tcBorders>
          </w:tcPr>
          <w:p>
            <w:pPr>
              <w:jc w:val="right"/>
              <w:ind w:right="432"/>
              <w:spacing w:after="0"/>
              <w:rPr>
                <w:sz w:val="20"/>
                <w:szCs w:val="20"/>
                <w:color w:val="auto"/>
              </w:rPr>
            </w:pPr>
            <w:r>
              <w:rPr>
                <w:rFonts w:ascii="Arial" w:cs="Arial" w:eastAsia="Arial" w:hAnsi="Arial"/>
                <w:sz w:val="18"/>
                <w:szCs w:val="18"/>
                <w:b w:val="1"/>
                <w:bCs w:val="1"/>
                <w:color w:val="02568A"/>
              </w:rPr>
              <w:t>% of</w:t>
            </w:r>
          </w:p>
        </w:tc>
        <w:tc>
          <w:tcPr>
            <w:tcW w:w="1340" w:type="dxa"/>
            <w:vAlign w:val="bottom"/>
            <w:tcBorders>
              <w:top w:val="single" w:sz="8" w:color="02568A"/>
            </w:tcBorders>
          </w:tcPr>
          <w:p>
            <w:pPr>
              <w:jc w:val="right"/>
              <w:ind w:right="252"/>
              <w:spacing w:after="0"/>
              <w:rPr>
                <w:sz w:val="20"/>
                <w:szCs w:val="20"/>
                <w:color w:val="auto"/>
              </w:rPr>
            </w:pPr>
            <w:r>
              <w:rPr>
                <w:rFonts w:ascii="Arial" w:cs="Arial" w:eastAsia="Arial" w:hAnsi="Arial"/>
                <w:sz w:val="18"/>
                <w:szCs w:val="18"/>
                <w:b w:val="1"/>
                <w:bCs w:val="1"/>
                <w:color w:val="02568A"/>
              </w:rPr>
              <w:t>Fiscal Year</w:t>
            </w:r>
          </w:p>
        </w:tc>
        <w:tc>
          <w:tcPr>
            <w:tcW w:w="1360" w:type="dxa"/>
            <w:vAlign w:val="bottom"/>
            <w:tcBorders>
              <w:top w:val="single" w:sz="8" w:color="02568A"/>
            </w:tcBorders>
          </w:tcPr>
          <w:p>
            <w:pPr>
              <w:jc w:val="right"/>
              <w:ind w:right="552"/>
              <w:spacing w:after="0"/>
              <w:rPr>
                <w:sz w:val="20"/>
                <w:szCs w:val="20"/>
                <w:color w:val="auto"/>
              </w:rPr>
            </w:pPr>
            <w:r>
              <w:rPr>
                <w:rFonts w:ascii="Arial" w:cs="Arial" w:eastAsia="Arial" w:hAnsi="Arial"/>
                <w:sz w:val="18"/>
                <w:szCs w:val="18"/>
                <w:b w:val="1"/>
                <w:bCs w:val="1"/>
                <w:color w:val="02568A"/>
              </w:rPr>
              <w:t>% of</w:t>
            </w:r>
          </w:p>
        </w:tc>
      </w:tr>
      <w:tr>
        <w:trPr>
          <w:trHeight w:val="229"/>
        </w:trPr>
        <w:tc>
          <w:tcPr>
            <w:tcW w:w="2780" w:type="dxa"/>
            <w:vAlign w:val="bottom"/>
            <w:tcBorders>
              <w:bottom w:val="single" w:sz="8" w:color="02568A"/>
            </w:tcBorders>
          </w:tcPr>
          <w:p>
            <w:pPr>
              <w:ind w:left="280"/>
              <w:spacing w:after="0"/>
              <w:rPr>
                <w:sz w:val="20"/>
                <w:szCs w:val="20"/>
                <w:color w:val="auto"/>
              </w:rPr>
            </w:pPr>
            <w:r>
              <w:rPr>
                <w:rFonts w:ascii="Arial" w:cs="Arial" w:eastAsia="Arial" w:hAnsi="Arial"/>
                <w:sz w:val="18"/>
                <w:szCs w:val="18"/>
                <w:b w:val="1"/>
                <w:bCs w:val="1"/>
                <w:color w:val="02568A"/>
              </w:rPr>
              <w:t>Fee Category</w:t>
            </w:r>
          </w:p>
        </w:tc>
        <w:tc>
          <w:tcPr>
            <w:tcW w:w="2340" w:type="dxa"/>
            <w:vAlign w:val="bottom"/>
            <w:tcBorders>
              <w:bottom w:val="single" w:sz="8" w:color="02568A"/>
            </w:tcBorders>
          </w:tcPr>
          <w:p>
            <w:pPr>
              <w:jc w:val="right"/>
              <w:ind w:right="372"/>
              <w:spacing w:after="0"/>
              <w:rPr>
                <w:sz w:val="20"/>
                <w:szCs w:val="20"/>
                <w:color w:val="auto"/>
              </w:rPr>
            </w:pPr>
            <w:r>
              <w:rPr>
                <w:rFonts w:ascii="Arial" w:cs="Arial" w:eastAsia="Arial" w:hAnsi="Arial"/>
                <w:sz w:val="18"/>
                <w:szCs w:val="18"/>
                <w:b w:val="1"/>
                <w:bCs w:val="1"/>
                <w:color w:val="02568A"/>
              </w:rPr>
              <w:t>2019 ($)</w:t>
            </w:r>
          </w:p>
        </w:tc>
        <w:tc>
          <w:tcPr>
            <w:tcW w:w="1240" w:type="dxa"/>
            <w:vAlign w:val="bottom"/>
            <w:tcBorders>
              <w:bottom w:val="single" w:sz="8" w:color="02568A"/>
            </w:tcBorders>
          </w:tcPr>
          <w:p>
            <w:pPr>
              <w:jc w:val="right"/>
              <w:ind w:right="272"/>
              <w:spacing w:after="0"/>
              <w:rPr>
                <w:sz w:val="20"/>
                <w:szCs w:val="20"/>
                <w:color w:val="auto"/>
              </w:rPr>
            </w:pPr>
            <w:r>
              <w:rPr>
                <w:rFonts w:ascii="Arial" w:cs="Arial" w:eastAsia="Arial" w:hAnsi="Arial"/>
                <w:sz w:val="18"/>
                <w:szCs w:val="18"/>
                <w:b w:val="1"/>
                <w:bCs w:val="1"/>
                <w:color w:val="02568A"/>
              </w:rPr>
              <w:t>Total (%)</w:t>
            </w:r>
          </w:p>
        </w:tc>
        <w:tc>
          <w:tcPr>
            <w:tcW w:w="1340" w:type="dxa"/>
            <w:vAlign w:val="bottom"/>
            <w:tcBorders>
              <w:bottom w:val="single" w:sz="8" w:color="02568A"/>
            </w:tcBorders>
          </w:tcPr>
          <w:p>
            <w:pPr>
              <w:jc w:val="right"/>
              <w:ind w:right="372"/>
              <w:spacing w:after="0"/>
              <w:rPr>
                <w:sz w:val="20"/>
                <w:szCs w:val="20"/>
                <w:color w:val="auto"/>
              </w:rPr>
            </w:pPr>
            <w:r>
              <w:rPr>
                <w:rFonts w:ascii="Arial" w:cs="Arial" w:eastAsia="Arial" w:hAnsi="Arial"/>
                <w:sz w:val="18"/>
                <w:szCs w:val="18"/>
                <w:b w:val="1"/>
                <w:bCs w:val="1"/>
                <w:color w:val="02568A"/>
              </w:rPr>
              <w:t>2018 ($)</w:t>
            </w:r>
          </w:p>
        </w:tc>
        <w:tc>
          <w:tcPr>
            <w:tcW w:w="1360" w:type="dxa"/>
            <w:vAlign w:val="bottom"/>
            <w:tcBorders>
              <w:bottom w:val="single" w:sz="8" w:color="02568A"/>
            </w:tcBorders>
          </w:tcPr>
          <w:p>
            <w:pPr>
              <w:jc w:val="right"/>
              <w:ind w:right="372"/>
              <w:spacing w:after="0"/>
              <w:rPr>
                <w:sz w:val="20"/>
                <w:szCs w:val="20"/>
                <w:color w:val="auto"/>
              </w:rPr>
            </w:pPr>
            <w:r>
              <w:rPr>
                <w:rFonts w:ascii="Arial" w:cs="Arial" w:eastAsia="Arial" w:hAnsi="Arial"/>
                <w:sz w:val="18"/>
                <w:szCs w:val="18"/>
                <w:b w:val="1"/>
                <w:bCs w:val="1"/>
                <w:color w:val="02568A"/>
              </w:rPr>
              <w:t>Total (%)</w:t>
            </w:r>
          </w:p>
        </w:tc>
      </w:tr>
      <w:tr>
        <w:trPr>
          <w:trHeight w:val="211"/>
        </w:trPr>
        <w:tc>
          <w:tcPr>
            <w:tcW w:w="278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color w:val="02568A"/>
              </w:rPr>
              <w:t>Audit Fees(1)</w:t>
            </w:r>
          </w:p>
        </w:tc>
        <w:tc>
          <w:tcPr>
            <w:tcW w:w="2340" w:type="dxa"/>
            <w:vAlign w:val="bottom"/>
            <w:tcBorders>
              <w:bottom w:val="single" w:sz="8" w:color="D1D2D4"/>
            </w:tcBorders>
            <w:shd w:val="clear" w:color="auto" w:fill="CED8EA"/>
          </w:tcPr>
          <w:p>
            <w:pPr>
              <w:jc w:val="right"/>
              <w:ind w:right="92"/>
              <w:spacing w:after="0"/>
              <w:rPr>
                <w:sz w:val="20"/>
                <w:szCs w:val="20"/>
                <w:color w:val="auto"/>
              </w:rPr>
            </w:pPr>
            <w:r>
              <w:rPr>
                <w:rFonts w:ascii="Arial" w:cs="Arial" w:eastAsia="Arial" w:hAnsi="Arial"/>
                <w:sz w:val="18"/>
                <w:szCs w:val="18"/>
                <w:color w:val="02568A"/>
              </w:rPr>
              <w:t>2,315,150</w:t>
            </w:r>
          </w:p>
        </w:tc>
        <w:tc>
          <w:tcPr>
            <w:tcW w:w="1240" w:type="dxa"/>
            <w:vAlign w:val="bottom"/>
            <w:tcBorders>
              <w:bottom w:val="single" w:sz="8" w:color="D1D2D4"/>
            </w:tcBorders>
            <w:shd w:val="clear" w:color="auto" w:fill="CED8EA"/>
          </w:tcPr>
          <w:p>
            <w:pPr>
              <w:jc w:val="right"/>
              <w:ind w:right="72"/>
              <w:spacing w:after="0"/>
              <w:rPr>
                <w:sz w:val="20"/>
                <w:szCs w:val="20"/>
                <w:color w:val="auto"/>
              </w:rPr>
            </w:pPr>
            <w:r>
              <w:rPr>
                <w:rFonts w:ascii="Arial" w:cs="Arial" w:eastAsia="Arial" w:hAnsi="Arial"/>
                <w:sz w:val="18"/>
                <w:szCs w:val="18"/>
                <w:color w:val="02568A"/>
              </w:rPr>
              <w:t>93.1</w:t>
            </w:r>
          </w:p>
        </w:tc>
        <w:tc>
          <w:tcPr>
            <w:tcW w:w="1340" w:type="dxa"/>
            <w:vAlign w:val="bottom"/>
            <w:tcBorders>
              <w:bottom w:val="single" w:sz="8" w:color="D1D2D4"/>
            </w:tcBorders>
            <w:shd w:val="clear" w:color="auto" w:fill="CED8EA"/>
          </w:tcPr>
          <w:p>
            <w:pPr>
              <w:jc w:val="right"/>
              <w:ind w:right="72"/>
              <w:spacing w:after="0"/>
              <w:rPr>
                <w:sz w:val="20"/>
                <w:szCs w:val="20"/>
                <w:color w:val="auto"/>
              </w:rPr>
            </w:pPr>
            <w:r>
              <w:rPr>
                <w:rFonts w:ascii="Arial" w:cs="Arial" w:eastAsia="Arial" w:hAnsi="Arial"/>
                <w:sz w:val="18"/>
                <w:szCs w:val="18"/>
                <w:color w:val="02568A"/>
              </w:rPr>
              <w:t>2,479,090</w:t>
            </w:r>
          </w:p>
        </w:tc>
        <w:tc>
          <w:tcPr>
            <w:tcW w:w="1360" w:type="dxa"/>
            <w:vAlign w:val="bottom"/>
            <w:tcBorders>
              <w:bottom w:val="single" w:sz="8" w:color="D1D2D4"/>
            </w:tcBorders>
            <w:shd w:val="clear" w:color="auto" w:fill="CED8EA"/>
          </w:tcPr>
          <w:p>
            <w:pPr>
              <w:jc w:val="right"/>
              <w:ind w:right="192"/>
              <w:spacing w:after="0"/>
              <w:rPr>
                <w:sz w:val="20"/>
                <w:szCs w:val="20"/>
                <w:color w:val="auto"/>
              </w:rPr>
            </w:pPr>
            <w:r>
              <w:rPr>
                <w:rFonts w:ascii="Arial" w:cs="Arial" w:eastAsia="Arial" w:hAnsi="Arial"/>
                <w:sz w:val="18"/>
                <w:szCs w:val="18"/>
                <w:color w:val="02568A"/>
              </w:rPr>
              <w:t>89.9</w:t>
            </w:r>
          </w:p>
        </w:tc>
      </w:tr>
      <w:tr>
        <w:trPr>
          <w:trHeight w:val="209"/>
        </w:trPr>
        <w:tc>
          <w:tcPr>
            <w:tcW w:w="2780" w:type="dxa"/>
            <w:vAlign w:val="bottom"/>
            <w:tcBorders>
              <w:bottom w:val="single" w:sz="8" w:color="D1D2D4"/>
            </w:tcBorders>
          </w:tcPr>
          <w:p>
            <w:pPr>
              <w:ind w:left="280"/>
              <w:spacing w:after="0"/>
              <w:rPr>
                <w:sz w:val="20"/>
                <w:szCs w:val="20"/>
                <w:color w:val="auto"/>
              </w:rPr>
            </w:pPr>
            <w:r>
              <w:rPr>
                <w:rFonts w:ascii="Arial" w:cs="Arial" w:eastAsia="Arial" w:hAnsi="Arial"/>
                <w:sz w:val="18"/>
                <w:szCs w:val="18"/>
                <w:color w:val="02568A"/>
              </w:rPr>
              <w:t>Audit-Related Fees</w:t>
            </w:r>
          </w:p>
        </w:tc>
        <w:tc>
          <w:tcPr>
            <w:tcW w:w="2340" w:type="dxa"/>
            <w:vAlign w:val="bottom"/>
            <w:tcBorders>
              <w:bottom w:val="single" w:sz="8" w:color="D1D2D4"/>
            </w:tcBorders>
          </w:tcPr>
          <w:p>
            <w:pPr>
              <w:jc w:val="right"/>
              <w:ind w:right="92"/>
              <w:spacing w:after="0"/>
              <w:rPr>
                <w:sz w:val="20"/>
                <w:szCs w:val="20"/>
                <w:color w:val="auto"/>
              </w:rPr>
            </w:pPr>
            <w:r>
              <w:rPr>
                <w:rFonts w:ascii="Arial" w:cs="Arial" w:eastAsia="Arial" w:hAnsi="Arial"/>
                <w:sz w:val="18"/>
                <w:szCs w:val="18"/>
                <w:color w:val="02568A"/>
              </w:rPr>
              <w:t>—</w:t>
            </w:r>
          </w:p>
        </w:tc>
        <w:tc>
          <w:tcPr>
            <w:tcW w:w="1240" w:type="dxa"/>
            <w:vAlign w:val="bottom"/>
            <w:tcBorders>
              <w:bottom w:val="single" w:sz="8" w:color="D1D2D4"/>
            </w:tcBorders>
          </w:tcPr>
          <w:p>
            <w:pPr>
              <w:jc w:val="right"/>
              <w:ind w:right="72"/>
              <w:spacing w:after="0"/>
              <w:rPr>
                <w:sz w:val="20"/>
                <w:szCs w:val="20"/>
                <w:color w:val="auto"/>
              </w:rPr>
            </w:pPr>
            <w:r>
              <w:rPr>
                <w:rFonts w:ascii="Arial" w:cs="Arial" w:eastAsia="Arial" w:hAnsi="Arial"/>
                <w:sz w:val="18"/>
                <w:szCs w:val="18"/>
                <w:color w:val="02568A"/>
              </w:rPr>
              <w:t>—</w:t>
            </w:r>
          </w:p>
        </w:tc>
        <w:tc>
          <w:tcPr>
            <w:tcW w:w="1340" w:type="dxa"/>
            <w:vAlign w:val="bottom"/>
            <w:tcBorders>
              <w:bottom w:val="single" w:sz="8" w:color="D1D2D4"/>
            </w:tcBorders>
          </w:tcPr>
          <w:p>
            <w:pPr>
              <w:jc w:val="right"/>
              <w:ind w:right="72"/>
              <w:spacing w:after="0"/>
              <w:rPr>
                <w:sz w:val="20"/>
                <w:szCs w:val="20"/>
                <w:color w:val="auto"/>
              </w:rPr>
            </w:pPr>
            <w:r>
              <w:rPr>
                <w:rFonts w:ascii="Arial" w:cs="Arial" w:eastAsia="Arial" w:hAnsi="Arial"/>
                <w:sz w:val="18"/>
                <w:szCs w:val="18"/>
                <w:color w:val="02568A"/>
              </w:rPr>
              <w:t>—</w:t>
            </w:r>
          </w:p>
        </w:tc>
        <w:tc>
          <w:tcPr>
            <w:tcW w:w="1360" w:type="dxa"/>
            <w:vAlign w:val="bottom"/>
            <w:tcBorders>
              <w:bottom w:val="single" w:sz="8" w:color="D1D2D4"/>
            </w:tcBorders>
          </w:tcPr>
          <w:p>
            <w:pPr>
              <w:jc w:val="right"/>
              <w:ind w:right="192"/>
              <w:spacing w:after="0"/>
              <w:rPr>
                <w:sz w:val="20"/>
                <w:szCs w:val="20"/>
                <w:color w:val="auto"/>
              </w:rPr>
            </w:pPr>
            <w:r>
              <w:rPr>
                <w:rFonts w:ascii="Arial" w:cs="Arial" w:eastAsia="Arial" w:hAnsi="Arial"/>
                <w:sz w:val="18"/>
                <w:szCs w:val="18"/>
                <w:color w:val="02568A"/>
              </w:rPr>
              <w:t>—</w:t>
            </w:r>
          </w:p>
        </w:tc>
      </w:tr>
      <w:tr>
        <w:trPr>
          <w:trHeight w:val="210"/>
        </w:trPr>
        <w:tc>
          <w:tcPr>
            <w:tcW w:w="278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color w:val="02568A"/>
              </w:rPr>
              <w:t>Tax Fees(2)</w:t>
            </w:r>
          </w:p>
        </w:tc>
        <w:tc>
          <w:tcPr>
            <w:tcW w:w="2340" w:type="dxa"/>
            <w:vAlign w:val="bottom"/>
            <w:tcBorders>
              <w:bottom w:val="single" w:sz="8" w:color="D1D2D4"/>
            </w:tcBorders>
            <w:shd w:val="clear" w:color="auto" w:fill="CED8EA"/>
          </w:tcPr>
          <w:p>
            <w:pPr>
              <w:jc w:val="right"/>
              <w:ind w:right="92"/>
              <w:spacing w:after="0"/>
              <w:rPr>
                <w:sz w:val="20"/>
                <w:szCs w:val="20"/>
                <w:color w:val="auto"/>
              </w:rPr>
            </w:pPr>
            <w:r>
              <w:rPr>
                <w:rFonts w:ascii="Arial" w:cs="Arial" w:eastAsia="Arial" w:hAnsi="Arial"/>
                <w:sz w:val="18"/>
                <w:szCs w:val="18"/>
                <w:color w:val="02568A"/>
              </w:rPr>
              <w:t>170,500</w:t>
            </w:r>
          </w:p>
        </w:tc>
        <w:tc>
          <w:tcPr>
            <w:tcW w:w="1240" w:type="dxa"/>
            <w:vAlign w:val="bottom"/>
            <w:tcBorders>
              <w:bottom w:val="single" w:sz="8" w:color="D1D2D4"/>
            </w:tcBorders>
            <w:shd w:val="clear" w:color="auto" w:fill="CED8EA"/>
          </w:tcPr>
          <w:p>
            <w:pPr>
              <w:jc w:val="right"/>
              <w:ind w:right="72"/>
              <w:spacing w:after="0"/>
              <w:rPr>
                <w:sz w:val="20"/>
                <w:szCs w:val="20"/>
                <w:color w:val="auto"/>
              </w:rPr>
            </w:pPr>
            <w:r>
              <w:rPr>
                <w:rFonts w:ascii="Arial" w:cs="Arial" w:eastAsia="Arial" w:hAnsi="Arial"/>
                <w:sz w:val="18"/>
                <w:szCs w:val="18"/>
                <w:color w:val="02568A"/>
              </w:rPr>
              <w:t>6.9</w:t>
            </w:r>
          </w:p>
        </w:tc>
        <w:tc>
          <w:tcPr>
            <w:tcW w:w="1340" w:type="dxa"/>
            <w:vAlign w:val="bottom"/>
            <w:tcBorders>
              <w:bottom w:val="single" w:sz="8" w:color="D1D2D4"/>
            </w:tcBorders>
            <w:shd w:val="clear" w:color="auto" w:fill="CED8EA"/>
          </w:tcPr>
          <w:p>
            <w:pPr>
              <w:jc w:val="right"/>
              <w:ind w:right="72"/>
              <w:spacing w:after="0"/>
              <w:rPr>
                <w:sz w:val="20"/>
                <w:szCs w:val="20"/>
                <w:color w:val="auto"/>
              </w:rPr>
            </w:pPr>
            <w:r>
              <w:rPr>
                <w:rFonts w:ascii="Arial" w:cs="Arial" w:eastAsia="Arial" w:hAnsi="Arial"/>
                <w:sz w:val="18"/>
                <w:szCs w:val="18"/>
                <w:color w:val="02568A"/>
              </w:rPr>
              <w:t>240,500</w:t>
            </w:r>
          </w:p>
        </w:tc>
        <w:tc>
          <w:tcPr>
            <w:tcW w:w="1360" w:type="dxa"/>
            <w:vAlign w:val="bottom"/>
            <w:tcBorders>
              <w:bottom w:val="single" w:sz="8" w:color="D1D2D4"/>
            </w:tcBorders>
            <w:shd w:val="clear" w:color="auto" w:fill="CED8EA"/>
          </w:tcPr>
          <w:p>
            <w:pPr>
              <w:jc w:val="right"/>
              <w:ind w:right="192"/>
              <w:spacing w:after="0"/>
              <w:rPr>
                <w:sz w:val="20"/>
                <w:szCs w:val="20"/>
                <w:color w:val="auto"/>
              </w:rPr>
            </w:pPr>
            <w:r>
              <w:rPr>
                <w:rFonts w:ascii="Arial" w:cs="Arial" w:eastAsia="Arial" w:hAnsi="Arial"/>
                <w:sz w:val="18"/>
                <w:szCs w:val="18"/>
                <w:color w:val="02568A"/>
              </w:rPr>
              <w:t>8.7</w:t>
            </w:r>
          </w:p>
        </w:tc>
      </w:tr>
      <w:tr>
        <w:trPr>
          <w:trHeight w:val="209"/>
        </w:trPr>
        <w:tc>
          <w:tcPr>
            <w:tcW w:w="2780" w:type="dxa"/>
            <w:vAlign w:val="bottom"/>
            <w:tcBorders>
              <w:bottom w:val="single" w:sz="8" w:color="D1D2D4"/>
            </w:tcBorders>
          </w:tcPr>
          <w:p>
            <w:pPr>
              <w:ind w:left="280"/>
              <w:spacing w:after="0"/>
              <w:rPr>
                <w:sz w:val="20"/>
                <w:szCs w:val="20"/>
                <w:color w:val="auto"/>
              </w:rPr>
            </w:pPr>
            <w:r>
              <w:rPr>
                <w:rFonts w:ascii="Arial" w:cs="Arial" w:eastAsia="Arial" w:hAnsi="Arial"/>
                <w:sz w:val="18"/>
                <w:szCs w:val="18"/>
                <w:color w:val="02568A"/>
              </w:rPr>
              <w:t>All Other Fees(3)</w:t>
            </w:r>
          </w:p>
        </w:tc>
        <w:tc>
          <w:tcPr>
            <w:tcW w:w="2340" w:type="dxa"/>
            <w:vAlign w:val="bottom"/>
            <w:tcBorders>
              <w:bottom w:val="single" w:sz="8" w:color="D1D2D4"/>
            </w:tcBorders>
          </w:tcPr>
          <w:p>
            <w:pPr>
              <w:jc w:val="right"/>
              <w:ind w:right="92"/>
              <w:spacing w:after="0"/>
              <w:rPr>
                <w:sz w:val="20"/>
                <w:szCs w:val="20"/>
                <w:color w:val="auto"/>
              </w:rPr>
            </w:pPr>
            <w:r>
              <w:rPr>
                <w:rFonts w:ascii="Arial" w:cs="Arial" w:eastAsia="Arial" w:hAnsi="Arial"/>
                <w:sz w:val="18"/>
                <w:szCs w:val="18"/>
                <w:color w:val="02568A"/>
              </w:rPr>
              <w:t>—</w:t>
            </w:r>
          </w:p>
        </w:tc>
        <w:tc>
          <w:tcPr>
            <w:tcW w:w="1240" w:type="dxa"/>
            <w:vAlign w:val="bottom"/>
            <w:tcBorders>
              <w:bottom w:val="single" w:sz="8" w:color="D1D2D4"/>
            </w:tcBorders>
          </w:tcPr>
          <w:p>
            <w:pPr>
              <w:jc w:val="right"/>
              <w:ind w:right="72"/>
              <w:spacing w:after="0"/>
              <w:rPr>
                <w:sz w:val="20"/>
                <w:szCs w:val="20"/>
                <w:color w:val="auto"/>
              </w:rPr>
            </w:pPr>
            <w:r>
              <w:rPr>
                <w:rFonts w:ascii="Arial" w:cs="Arial" w:eastAsia="Arial" w:hAnsi="Arial"/>
                <w:sz w:val="18"/>
                <w:szCs w:val="18"/>
                <w:color w:val="02568A"/>
              </w:rPr>
              <w:t>—</w:t>
            </w:r>
          </w:p>
        </w:tc>
        <w:tc>
          <w:tcPr>
            <w:tcW w:w="1340" w:type="dxa"/>
            <w:vAlign w:val="bottom"/>
            <w:tcBorders>
              <w:bottom w:val="single" w:sz="8" w:color="D1D2D4"/>
            </w:tcBorders>
          </w:tcPr>
          <w:p>
            <w:pPr>
              <w:jc w:val="right"/>
              <w:ind w:right="72"/>
              <w:spacing w:after="0"/>
              <w:rPr>
                <w:sz w:val="20"/>
                <w:szCs w:val="20"/>
                <w:color w:val="auto"/>
              </w:rPr>
            </w:pPr>
            <w:r>
              <w:rPr>
                <w:rFonts w:ascii="Arial" w:cs="Arial" w:eastAsia="Arial" w:hAnsi="Arial"/>
                <w:sz w:val="18"/>
                <w:szCs w:val="18"/>
                <w:color w:val="02568A"/>
              </w:rPr>
              <w:t>38,500</w:t>
            </w:r>
          </w:p>
        </w:tc>
        <w:tc>
          <w:tcPr>
            <w:tcW w:w="1360" w:type="dxa"/>
            <w:vAlign w:val="bottom"/>
            <w:tcBorders>
              <w:bottom w:val="single" w:sz="8" w:color="D1D2D4"/>
            </w:tcBorders>
          </w:tcPr>
          <w:p>
            <w:pPr>
              <w:jc w:val="right"/>
              <w:ind w:right="192"/>
              <w:spacing w:after="0"/>
              <w:rPr>
                <w:sz w:val="20"/>
                <w:szCs w:val="20"/>
                <w:color w:val="auto"/>
              </w:rPr>
            </w:pPr>
            <w:r>
              <w:rPr>
                <w:rFonts w:ascii="Arial" w:cs="Arial" w:eastAsia="Arial" w:hAnsi="Arial"/>
                <w:sz w:val="18"/>
                <w:szCs w:val="18"/>
                <w:color w:val="02568A"/>
              </w:rPr>
              <w:t>1.4</w:t>
            </w:r>
          </w:p>
        </w:tc>
      </w:tr>
      <w:tr>
        <w:trPr>
          <w:trHeight w:val="209"/>
        </w:trPr>
        <w:tc>
          <w:tcPr>
            <w:tcW w:w="278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Total Fees</w:t>
            </w:r>
          </w:p>
        </w:tc>
        <w:tc>
          <w:tcPr>
            <w:tcW w:w="2340" w:type="dxa"/>
            <w:vAlign w:val="bottom"/>
            <w:tcBorders>
              <w:bottom w:val="single" w:sz="8" w:color="D1D2D4"/>
            </w:tcBorders>
            <w:shd w:val="clear" w:color="auto" w:fill="CED8EA"/>
          </w:tcPr>
          <w:p>
            <w:pPr>
              <w:jc w:val="right"/>
              <w:ind w:right="92"/>
              <w:spacing w:after="0"/>
              <w:rPr>
                <w:sz w:val="20"/>
                <w:szCs w:val="20"/>
                <w:color w:val="auto"/>
              </w:rPr>
            </w:pPr>
            <w:r>
              <w:rPr>
                <w:rFonts w:ascii="Arial" w:cs="Arial" w:eastAsia="Arial" w:hAnsi="Arial"/>
                <w:sz w:val="18"/>
                <w:szCs w:val="18"/>
                <w:b w:val="1"/>
                <w:bCs w:val="1"/>
                <w:color w:val="02568A"/>
              </w:rPr>
              <w:t>2,485,650</w:t>
            </w:r>
          </w:p>
        </w:tc>
        <w:tc>
          <w:tcPr>
            <w:tcW w:w="1240" w:type="dxa"/>
            <w:vAlign w:val="bottom"/>
            <w:tcBorders>
              <w:bottom w:val="single" w:sz="8" w:color="D1D2D4"/>
            </w:tcBorders>
            <w:shd w:val="clear" w:color="auto" w:fill="CED8EA"/>
          </w:tcPr>
          <w:p>
            <w:pPr>
              <w:jc w:val="right"/>
              <w:ind w:right="72"/>
              <w:spacing w:after="0"/>
              <w:rPr>
                <w:sz w:val="20"/>
                <w:szCs w:val="20"/>
                <w:color w:val="auto"/>
              </w:rPr>
            </w:pPr>
            <w:r>
              <w:rPr>
                <w:rFonts w:ascii="Arial" w:cs="Arial" w:eastAsia="Arial" w:hAnsi="Arial"/>
                <w:sz w:val="18"/>
                <w:szCs w:val="18"/>
                <w:b w:val="1"/>
                <w:bCs w:val="1"/>
                <w:color w:val="02568A"/>
              </w:rPr>
              <w:t>100</w:t>
            </w:r>
          </w:p>
        </w:tc>
        <w:tc>
          <w:tcPr>
            <w:tcW w:w="1340" w:type="dxa"/>
            <w:vAlign w:val="bottom"/>
            <w:tcBorders>
              <w:bottom w:val="single" w:sz="8" w:color="D1D2D4"/>
            </w:tcBorders>
            <w:shd w:val="clear" w:color="auto" w:fill="CED8EA"/>
          </w:tcPr>
          <w:p>
            <w:pPr>
              <w:jc w:val="right"/>
              <w:ind w:right="72"/>
              <w:spacing w:after="0"/>
              <w:rPr>
                <w:sz w:val="20"/>
                <w:szCs w:val="20"/>
                <w:color w:val="auto"/>
              </w:rPr>
            </w:pPr>
            <w:r>
              <w:rPr>
                <w:rFonts w:ascii="Arial" w:cs="Arial" w:eastAsia="Arial" w:hAnsi="Arial"/>
                <w:sz w:val="18"/>
                <w:szCs w:val="18"/>
                <w:b w:val="1"/>
                <w:bCs w:val="1"/>
                <w:color w:val="02568A"/>
              </w:rPr>
              <w:t>2,758,090</w:t>
            </w:r>
          </w:p>
        </w:tc>
        <w:tc>
          <w:tcPr>
            <w:tcW w:w="1360" w:type="dxa"/>
            <w:vAlign w:val="bottom"/>
            <w:tcBorders>
              <w:bottom w:val="single" w:sz="8" w:color="D1D2D4"/>
            </w:tcBorders>
            <w:shd w:val="clear" w:color="auto" w:fill="CED8EA"/>
          </w:tcPr>
          <w:p>
            <w:pPr>
              <w:jc w:val="right"/>
              <w:ind w:right="192"/>
              <w:spacing w:after="0"/>
              <w:rPr>
                <w:sz w:val="20"/>
                <w:szCs w:val="20"/>
                <w:color w:val="auto"/>
              </w:rPr>
            </w:pPr>
            <w:r>
              <w:rPr>
                <w:rFonts w:ascii="Arial" w:cs="Arial" w:eastAsia="Arial" w:hAnsi="Arial"/>
                <w:sz w:val="18"/>
                <w:szCs w:val="18"/>
                <w:b w:val="1"/>
                <w:bCs w:val="1"/>
                <w:color w:val="02568A"/>
              </w:rPr>
              <w:t>100</w:t>
            </w:r>
          </w:p>
        </w:tc>
      </w:tr>
    </w:tbl>
    <w:p>
      <w:pPr>
        <w:spacing w:after="0" w:line="221" w:lineRule="exact"/>
        <w:rPr>
          <w:sz w:val="20"/>
          <w:szCs w:val="20"/>
          <w:color w:val="auto"/>
        </w:rPr>
      </w:pPr>
    </w:p>
    <w:p>
      <w:pPr>
        <w:ind w:left="1680" w:right="360" w:hanging="549"/>
        <w:spacing w:after="0" w:line="283" w:lineRule="auto"/>
        <w:tabs>
          <w:tab w:leader="none" w:pos="1680" w:val="left"/>
        </w:tabs>
        <w:numPr>
          <w:ilvl w:val="0"/>
          <w:numId w:val="35"/>
        </w:numPr>
        <w:rPr>
          <w:rFonts w:ascii="Arial" w:cs="Arial" w:eastAsia="Arial" w:hAnsi="Arial"/>
          <w:sz w:val="16"/>
          <w:szCs w:val="16"/>
          <w:color w:val="191919"/>
        </w:rPr>
      </w:pPr>
      <w:r>
        <w:rPr>
          <w:rFonts w:ascii="Arial" w:cs="Arial" w:eastAsia="Arial" w:hAnsi="Arial"/>
          <w:sz w:val="16"/>
          <w:szCs w:val="16"/>
          <w:color w:val="191919"/>
        </w:rPr>
        <w:t>Audit fees consist of fees for the audit of our annual financial statements, review of the interim financial statements included in our quarterly reports on Form 10-Q, statutory audits and related filings in various foreign locations and audit procedures related to acquisition activity during fiscal years 2019 and 2018. Fiscal year 2019 and 2018 audit fees included fees for services incurred in connection with rendering an opinion under Section 404 of the Sarbanes-Oxley Act.</w:t>
      </w:r>
    </w:p>
    <w:p>
      <w:pPr>
        <w:spacing w:after="0" w:line="23" w:lineRule="exact"/>
        <w:rPr>
          <w:rFonts w:ascii="Arial" w:cs="Arial" w:eastAsia="Arial" w:hAnsi="Arial"/>
          <w:sz w:val="16"/>
          <w:szCs w:val="16"/>
          <w:color w:val="191919"/>
        </w:rPr>
      </w:pPr>
    </w:p>
    <w:p>
      <w:pPr>
        <w:ind w:left="1680" w:hanging="549"/>
        <w:spacing w:after="0" w:line="252" w:lineRule="auto"/>
        <w:tabs>
          <w:tab w:leader="none" w:pos="1680" w:val="left"/>
        </w:tabs>
        <w:numPr>
          <w:ilvl w:val="0"/>
          <w:numId w:val="35"/>
        </w:numPr>
        <w:rPr>
          <w:rFonts w:ascii="Arial" w:cs="Arial" w:eastAsia="Arial" w:hAnsi="Arial"/>
          <w:sz w:val="18"/>
          <w:szCs w:val="18"/>
          <w:color w:val="191919"/>
        </w:rPr>
      </w:pPr>
      <w:r>
        <w:rPr>
          <w:rFonts w:ascii="Arial" w:cs="Arial" w:eastAsia="Arial" w:hAnsi="Arial"/>
          <w:sz w:val="18"/>
          <w:szCs w:val="18"/>
          <w:color w:val="191919"/>
        </w:rPr>
        <w:t>Tax fees consist of fees for tax compliance, tax advice, and tax planning services. Tax compliance services, which primarily relate to the review of our U.S. tax returns and certain trade and customs forms, accounted for $160,000 and $230,000 of the total tax fees for fiscal years 2019 and 2018, respectively.</w:t>
      </w:r>
    </w:p>
    <w:p>
      <w:pPr>
        <w:spacing w:after="0" w:line="9" w:lineRule="exact"/>
        <w:rPr>
          <w:rFonts w:ascii="Arial" w:cs="Arial" w:eastAsia="Arial" w:hAnsi="Arial"/>
          <w:sz w:val="18"/>
          <w:szCs w:val="18"/>
          <w:color w:val="191919"/>
        </w:rPr>
      </w:pPr>
    </w:p>
    <w:p>
      <w:pPr>
        <w:ind w:left="1680" w:right="500" w:hanging="549"/>
        <w:spacing w:after="0" w:line="268" w:lineRule="auto"/>
        <w:tabs>
          <w:tab w:leader="none" w:pos="1680" w:val="left"/>
        </w:tabs>
        <w:numPr>
          <w:ilvl w:val="0"/>
          <w:numId w:val="35"/>
        </w:numPr>
        <w:rPr>
          <w:rFonts w:ascii="Arial" w:cs="Arial" w:eastAsia="Arial" w:hAnsi="Arial"/>
          <w:sz w:val="18"/>
          <w:szCs w:val="18"/>
          <w:color w:val="191919"/>
        </w:rPr>
      </w:pPr>
      <w:r>
        <w:rPr>
          <w:rFonts w:ascii="Arial" w:cs="Arial" w:eastAsia="Arial" w:hAnsi="Arial"/>
          <w:sz w:val="18"/>
          <w:szCs w:val="18"/>
          <w:color w:val="191919"/>
        </w:rPr>
        <w:t>All other fees for fiscal year 2018 relate to fees incurred for conflict mineral reporting compliance and licenses to accounting and research software.</w:t>
      </w:r>
    </w:p>
    <w:p>
      <w:pPr>
        <w:sectPr>
          <w:pgSz w:w="11900" w:h="16838" w:orient="portrait"/>
          <w:cols w:equalWidth="0" w:num="1">
            <w:col w:w="11240"/>
          </w:cols>
          <w:pgMar w:left="320" w:top="131" w:right="3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191919"/>
        </w:rPr>
        <w:t>In 2003, the Audit Committee adopted a formal policy concerning approval of audit and non-audit services to be provided to the Company by its independent registered public accounting firm, KPMG LLP. The policy requires that all services provided by KPMG LLP, including audit services and permitted</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191919"/>
        </w:rPr>
        <w:t>audit-related and non-audit services, be preapproved by the Audit Committee. The Audit Committee preapproved all audit and non-audit services provided by KPMG LLP during fiscal year 2019 and our fiscal year ended September 28, 2018 (“fiscal year 2018”).</w:t>
      </w:r>
    </w:p>
    <w:p>
      <w:pPr>
        <w:spacing w:after="0" w:line="381" w:lineRule="exact"/>
        <w:rPr>
          <w:sz w:val="20"/>
          <w:szCs w:val="20"/>
          <w:color w:val="auto"/>
        </w:rPr>
      </w:pPr>
    </w:p>
    <w:p>
      <w:pPr>
        <w:sectPr>
          <w:pgSz w:w="11900" w:h="16838" w:orient="portrait"/>
          <w:cols w:equalWidth="0" w:num="2">
            <w:col w:w="5280" w:space="680"/>
            <w:col w:w="5280"/>
          </w:cols>
          <w:pgMar w:left="320" w:top="131" w:right="3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000001"/>
        </w:rPr>
        <w:t xml:space="preserve">Page 36 </w:t>
      </w:r>
      <w:r>
        <w:rPr>
          <w:rFonts w:ascii="Arial" w:cs="Arial" w:eastAsia="Arial" w:hAnsi="Arial"/>
          <w:sz w:val="15"/>
          <w:szCs w:val="15"/>
          <w:b w:val="1"/>
          <w:bCs w:val="1"/>
          <w:color w:val="000001"/>
        </w:rPr>
        <w:t>|</w:t>
      </w:r>
      <w:r>
        <w:rPr>
          <w:rFonts w:ascii="Arial" w:cs="Arial" w:eastAsia="Arial" w:hAnsi="Arial"/>
          <w:sz w:val="16"/>
          <w:szCs w:val="16"/>
          <w:b w:val="1"/>
          <w:bCs w:val="1"/>
          <w:color w:val="000001"/>
        </w:rPr>
        <w:t xml:space="preserve"> </w:t>
      </w:r>
      <w:r>
        <w:rPr>
          <w:rFonts w:ascii="Arial" w:cs="Arial" w:eastAsia="Arial" w:hAnsi="Arial"/>
          <w:sz w:val="16"/>
          <w:szCs w:val="16"/>
          <w:color w:val="000001"/>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361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6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FFFFFE"/>
        </w:rPr>
        <w:t>Report of the Audit Committee</w:t>
      </w:r>
    </w:p>
    <w:p>
      <w:pPr>
        <w:spacing w:after="0" w:line="200" w:lineRule="exact"/>
        <w:rPr>
          <w:sz w:val="20"/>
          <w:szCs w:val="20"/>
          <w:color w:val="auto"/>
        </w:rPr>
      </w:pPr>
    </w:p>
    <w:p>
      <w:pPr>
        <w:spacing w:after="0" w:line="329" w:lineRule="exact"/>
        <w:rPr>
          <w:sz w:val="20"/>
          <w:szCs w:val="20"/>
          <w:color w:val="auto"/>
        </w:rPr>
      </w:pPr>
    </w:p>
    <w:p>
      <w:pPr>
        <w:spacing w:after="0" w:line="288" w:lineRule="auto"/>
        <w:rPr>
          <w:sz w:val="20"/>
          <w:szCs w:val="20"/>
          <w:color w:val="auto"/>
        </w:rPr>
      </w:pPr>
      <w:r>
        <w:rPr>
          <w:rFonts w:ascii="Arial" w:cs="Arial" w:eastAsia="Arial" w:hAnsi="Arial"/>
          <w:sz w:val="16"/>
          <w:szCs w:val="16"/>
          <w:color w:val="191919"/>
        </w:rPr>
        <w:t>The Audit Committee of Skyworks’ Board of Directors is responsible for providing independent, objective oversight of Skyworks’ accounting functions and internal controls. Seven different directors served on the Audit Committee for all or part of fiscal year 2019, each of whom is independent within the meaning of applicable Nasdaq Rules and meets the criteria for independence set forth in Rule 10A-3(b)(1) under the Exchange Act. The Audit Committee operates under a written charter approved by the Board of Directors.</w:t>
      </w:r>
    </w:p>
    <w:p>
      <w:pPr>
        <w:spacing w:after="0" w:line="17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191919"/>
        </w:rPr>
        <w:t>Management is responsible for the Company’s internal control and financial reporting process. The Company’s independent registered public accounting firm is responsible for performing an independent audit of Skyworks’ consolidated financial statements in accordance with generally accepted auditing standards and for issuing a report concerning such financial statements. The Audit Committee’s responsibility is to monitor and oversee these processes.</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6"/>
          <w:szCs w:val="16"/>
          <w:color w:val="191919"/>
        </w:rPr>
        <w:t>In connection with these responsibilities, the Audit Committee met with management and representatives of KPMG LLP, the Company’s independent registered public accounting firm, and reviewed and discussed the audited financial statements for fiscal year 2019, results of the internal and external audit examinations, evaluations of the Company’s internal controls, and the overall quality of Skyworks’ financial reporting. The Audit Committee also discussed with the independent registered public accounting firm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86" w:lineRule="auto"/>
        <w:rPr>
          <w:sz w:val="20"/>
          <w:szCs w:val="20"/>
          <w:color w:val="auto"/>
        </w:rPr>
      </w:pPr>
      <w:r>
        <w:rPr>
          <w:rFonts w:ascii="Arial" w:cs="Arial" w:eastAsia="Arial" w:hAnsi="Arial"/>
          <w:sz w:val="16"/>
          <w:szCs w:val="16"/>
          <w:color w:val="191919"/>
        </w:rPr>
        <w:t>matters required to be discussed by Auditing Standard No. 1301, “Communications with Audit Committees,” issued by the Public Company Accounting Oversight Board. In addition, the Audit Committee has received the written disclosures and the letter from its independent registered public accounting firm required by applicable requirements of the Public Company Accounting Oversight Board and the SEC regarding the independent accountant’s communications with the Audit Committee concerning independence and has discussed with the independent registered public accounting firm the independent registered public accounting firm’s independence from the Company and its management, including the matters in the written disclosures and letter that were received by the committee from such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-2256155</wp:posOffset>
            </wp:positionV>
            <wp:extent cx="7132320" cy="3175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15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191919"/>
        </w:rPr>
        <w:t>Based upon the Audit Committee’s review and discussions described above, the Audit Committee recommended that the Board of Directors include the audited consolidated financial statements in the Company’s Annual Report on Form 10-K for fiscal year 2019, as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191919"/>
        </w:rPr>
        <w:t>THE AUDIT COMMITTEE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191919"/>
        </w:rPr>
        <w:t>Balakrishnan S. Iyer,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191919"/>
        </w:rPr>
        <w:t>Timothy R. Furey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91919"/>
        </w:rPr>
        <w:t>Christine King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91919"/>
        </w:rPr>
        <w:t>David P. McGlade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149860</wp:posOffset>
            </wp:positionV>
            <wp:extent cx="713613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80" w:space="680"/>
            <w:col w:w="5280"/>
          </w:cols>
          <w:pgMar w:left="320" w:top="131"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ind w:left="60"/>
        <w:spacing w:after="0"/>
        <w:rPr>
          <w:sz w:val="20"/>
          <w:szCs w:val="20"/>
          <w:color w:val="auto"/>
        </w:rPr>
      </w:pPr>
      <w:r>
        <w:rPr>
          <w:rFonts w:ascii="Arial" w:cs="Arial" w:eastAsia="Arial" w:hAnsi="Arial"/>
          <w:sz w:val="24"/>
          <w:szCs w:val="24"/>
          <w:b w:val="1"/>
          <w:bCs w:val="1"/>
          <w:color w:val="02568A"/>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548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58" w:lineRule="exact"/>
        <w:rPr>
          <w:sz w:val="20"/>
          <w:szCs w:val="20"/>
          <w:color w:val="auto"/>
        </w:rPr>
      </w:pPr>
    </w:p>
    <w:p>
      <w:pPr>
        <w:ind w:left="120" w:right="300"/>
        <w:spacing w:after="0" w:line="272" w:lineRule="auto"/>
        <w:rPr>
          <w:sz w:val="20"/>
          <w:szCs w:val="20"/>
          <w:color w:val="auto"/>
        </w:rPr>
      </w:pPr>
      <w:r>
        <w:rPr>
          <w:rFonts w:ascii="Arial" w:cs="Arial" w:eastAsia="Arial" w:hAnsi="Arial"/>
          <w:sz w:val="32"/>
          <w:szCs w:val="32"/>
          <w:b w:val="1"/>
          <w:bCs w:val="1"/>
          <w:color w:val="FFFFFE"/>
        </w:rPr>
        <w:t>Advisory Vote on the Compensation of Our Named Executive Officers (“Say-on-Pay Vote”)</w:t>
      </w:r>
    </w:p>
    <w:p>
      <w:pPr>
        <w:sectPr>
          <w:pgSz w:w="11900" w:h="16838" w:orient="portrait"/>
          <w:cols w:equalWidth="0" w:num="1">
            <w:col w:w="11060"/>
          </w:cols>
          <w:pgMar w:left="320" w:top="131" w:right="5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line="294" w:lineRule="auto"/>
        <w:rPr>
          <w:sz w:val="20"/>
          <w:szCs w:val="20"/>
          <w:color w:val="auto"/>
        </w:rPr>
      </w:pPr>
      <w:r>
        <w:rPr>
          <w:rFonts w:ascii="Arial" w:cs="Arial" w:eastAsia="Arial" w:hAnsi="Arial"/>
          <w:sz w:val="16"/>
          <w:szCs w:val="16"/>
          <w:color w:val="191919"/>
        </w:rPr>
        <w:t>We are providing our stockholders with the opportunity to vote to approve, on a non-binding basis, the compensation of our Named Executive Officers as described below under “</w:t>
      </w:r>
      <w:r>
        <w:rPr>
          <w:rFonts w:ascii="Arial" w:cs="Arial" w:eastAsia="Arial" w:hAnsi="Arial"/>
          <w:sz w:val="16"/>
          <w:szCs w:val="16"/>
          <w:i w:val="1"/>
          <w:iCs w:val="1"/>
          <w:color w:val="191919"/>
        </w:rPr>
        <w:t>Information About Executive and</w:t>
      </w:r>
      <w:r>
        <w:rPr>
          <w:rFonts w:ascii="Arial" w:cs="Arial" w:eastAsia="Arial" w:hAnsi="Arial"/>
          <w:sz w:val="16"/>
          <w:szCs w:val="16"/>
          <w:color w:val="191919"/>
        </w:rPr>
        <w:t xml:space="preserve"> </w:t>
      </w:r>
      <w:r>
        <w:rPr>
          <w:rFonts w:ascii="Arial" w:cs="Arial" w:eastAsia="Arial" w:hAnsi="Arial"/>
          <w:sz w:val="16"/>
          <w:szCs w:val="16"/>
          <w:i w:val="1"/>
          <w:iCs w:val="1"/>
          <w:color w:val="191919"/>
        </w:rPr>
        <w:t>Director Compensation</w:t>
      </w:r>
      <w:r>
        <w:rPr>
          <w:rFonts w:ascii="Arial" w:cs="Arial" w:eastAsia="Arial" w:hAnsi="Arial"/>
          <w:sz w:val="16"/>
          <w:szCs w:val="16"/>
          <w:color w:val="191919"/>
        </w:rPr>
        <w:t>” pursuant to Section 14A of the Exchange Act. As</w:t>
      </w:r>
      <w:r>
        <w:rPr>
          <w:rFonts w:ascii="Arial" w:cs="Arial" w:eastAsia="Arial" w:hAnsi="Arial"/>
          <w:sz w:val="16"/>
          <w:szCs w:val="16"/>
          <w:i w:val="1"/>
          <w:iCs w:val="1"/>
          <w:color w:val="191919"/>
        </w:rPr>
        <w:t xml:space="preserve"> </w:t>
      </w:r>
      <w:r>
        <w:rPr>
          <w:rFonts w:ascii="Arial" w:cs="Arial" w:eastAsia="Arial" w:hAnsi="Arial"/>
          <w:sz w:val="16"/>
          <w:szCs w:val="16"/>
          <w:color w:val="191919"/>
        </w:rPr>
        <w:t>we describe below under “</w:t>
      </w:r>
      <w:r>
        <w:rPr>
          <w:rFonts w:ascii="Arial" w:cs="Arial" w:eastAsia="Arial" w:hAnsi="Arial"/>
          <w:sz w:val="16"/>
          <w:szCs w:val="16"/>
          <w:i w:val="1"/>
          <w:iCs w:val="1"/>
          <w:color w:val="191919"/>
        </w:rPr>
        <w:t>Compensation Discussion and Analysis</w:t>
      </w:r>
      <w:r>
        <w:rPr>
          <w:rFonts w:ascii="Arial" w:cs="Arial" w:eastAsia="Arial" w:hAnsi="Arial"/>
          <w:sz w:val="16"/>
          <w:szCs w:val="16"/>
          <w:color w:val="191919"/>
        </w:rPr>
        <w:t>,”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191919"/>
        </w:rPr>
        <w:t>executive compensation program embodies a pay-for-performance philosophy that supports our business strategy and aligns the interests of our executives with our stockholders.</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191919"/>
        </w:rPr>
        <w:t>Our Board of Directors is asking stockholders to approve a non-binding advisory vote on the following resolution:</w:t>
      </w:r>
    </w:p>
    <w:p>
      <w:pPr>
        <w:spacing w:after="0" w:line="200" w:lineRule="exact"/>
        <w:rPr>
          <w:sz w:val="20"/>
          <w:szCs w:val="20"/>
          <w:color w:val="auto"/>
        </w:rPr>
      </w:pPr>
    </w:p>
    <w:p>
      <w:pPr>
        <w:sectPr>
          <w:pgSz w:w="11900" w:h="16838" w:orient="portrait"/>
          <w:cols w:equalWidth="0" w:num="2">
            <w:col w:w="5260" w:space="700"/>
            <w:col w:w="5100"/>
          </w:cols>
          <w:pgMar w:left="320" w:top="131" w:right="519" w:bottom="1440" w:gutter="0" w:footer="0" w:header="0"/>
          <w:type w:val="continuous"/>
        </w:sectPr>
      </w:pPr>
    </w:p>
    <w:p>
      <w:pPr>
        <w:spacing w:after="0" w:line="196" w:lineRule="exact"/>
        <w:rPr>
          <w:sz w:val="20"/>
          <w:szCs w:val="20"/>
          <w:color w:val="auto"/>
        </w:rPr>
      </w:pPr>
    </w:p>
    <w:p>
      <w:pPr>
        <w:ind w:left="540"/>
        <w:spacing w:after="0" w:line="310" w:lineRule="auto"/>
        <w:rPr>
          <w:sz w:val="20"/>
          <w:szCs w:val="20"/>
          <w:color w:val="auto"/>
        </w:rPr>
      </w:pPr>
      <w:r>
        <w:rPr>
          <w:rFonts w:ascii="Arial" w:cs="Arial" w:eastAsia="Arial" w:hAnsi="Arial"/>
          <w:sz w:val="16"/>
          <w:szCs w:val="16"/>
          <w:b w:val="1"/>
          <w:bCs w:val="1"/>
          <w:color w:val="275F90"/>
        </w:rPr>
        <w:t>RESOLVED, that the Company’s stockholders approve, on an advisory basis, the compensation paid to the Company’s named executive officers, as disclosed pursuant to the compensation disclosure rules of the Securities and Exchange Commission, including the Compensation Discussion and Analysis, the compensation tables, and any related material disclosed in this Proxy Statement.</w:t>
      </w:r>
    </w:p>
    <w:p>
      <w:pPr>
        <w:sectPr>
          <w:pgSz w:w="11900" w:h="16838" w:orient="portrait"/>
          <w:cols w:equalWidth="0" w:num="1">
            <w:col w:w="11060"/>
          </w:cols>
          <w:pgMar w:left="320" w:top="131" w:right="519" w:bottom="1440" w:gutter="0" w:footer="0" w:header="0"/>
          <w:type w:val="continuous"/>
        </w:sectPr>
      </w:pPr>
    </w:p>
    <w:p>
      <w:pPr>
        <w:spacing w:after="0" w:line="37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191919"/>
        </w:rPr>
        <w:t>As an advisory vote, this proposal is not binding and will not overrule any decision by the Company or the Board of Directors (or any committee thereof), nor will it create or imply any change or addition to the fiduciary duties of the Company or the Board of Directors (or any committee thereof). However, our Compensation Committee and Board of Directors</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191919"/>
        </w:rPr>
        <w:t>value the opinions expressed by our stockholders in their vote on this proposal and will consider the outcome of the vote when making future compensation decisions for Named Executive Officers. The next non-binding say-on-pay vote is scheduled to be held at our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249555</wp:posOffset>
            </wp:positionV>
            <wp:extent cx="6489065" cy="6000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89065" cy="6000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100"/>
          </w:cols>
          <w:pgMar w:left="320" w:top="131"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000001"/>
        </w:rPr>
        <w:t xml:space="preserve">Page 38 </w:t>
      </w:r>
      <w:r>
        <w:rPr>
          <w:rFonts w:ascii="Arial" w:cs="Arial" w:eastAsia="Arial" w:hAnsi="Arial"/>
          <w:sz w:val="15"/>
          <w:szCs w:val="15"/>
          <w:b w:val="1"/>
          <w:bCs w:val="1"/>
          <w:color w:val="000001"/>
        </w:rPr>
        <w:t>|</w:t>
      </w:r>
      <w:r>
        <w:rPr>
          <w:rFonts w:ascii="Arial" w:cs="Arial" w:eastAsia="Arial" w:hAnsi="Arial"/>
          <w:sz w:val="16"/>
          <w:szCs w:val="16"/>
          <w:b w:val="1"/>
          <w:bCs w:val="1"/>
          <w:color w:val="000001"/>
        </w:rPr>
        <w:t xml:space="preserve"> </w:t>
      </w:r>
      <w:r>
        <w:rPr>
          <w:rFonts w:ascii="Arial" w:cs="Arial" w:eastAsia="Arial" w:hAnsi="Arial"/>
          <w:sz w:val="16"/>
          <w:szCs w:val="16"/>
          <w:color w:val="000001"/>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361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60"/>
          </w:cols>
          <w:pgMar w:left="320" w:top="131" w:right="51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4540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FFFFFE"/>
        </w:rPr>
        <w:t>Information About 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32"/>
          <w:szCs w:val="32"/>
          <w:b w:val="1"/>
          <w:bCs w:val="1"/>
          <w:color w:val="02568A"/>
        </w:rPr>
        <w:t>Summary and Highlights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Financial Highlights from Fiscal Year 2019</w:t>
      </w:r>
    </w:p>
    <w:p>
      <w:pPr>
        <w:spacing w:after="0" w:line="21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191919"/>
        </w:rPr>
        <w:t>Despite a decrease in overall global demand for our products as a result of the U.S.-China trade war, the Company delivered strong financial results in fiscal year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Other Accomplishments from Fiscal Year 2019</w:t>
      </w:r>
    </w:p>
    <w:p>
      <w:pPr>
        <w:spacing w:after="0" w:line="219" w:lineRule="exact"/>
        <w:rPr>
          <w:sz w:val="20"/>
          <w:szCs w:val="20"/>
          <w:color w:val="auto"/>
        </w:rPr>
      </w:pPr>
    </w:p>
    <w:p>
      <w:pPr>
        <w:ind w:right="60"/>
        <w:spacing w:after="0" w:line="331" w:lineRule="auto"/>
        <w:rPr>
          <w:sz w:val="20"/>
          <w:szCs w:val="20"/>
          <w:color w:val="auto"/>
        </w:rPr>
      </w:pPr>
      <w:r>
        <w:rPr>
          <w:rFonts w:ascii="Arial" w:cs="Arial" w:eastAsia="Arial" w:hAnsi="Arial"/>
          <w:sz w:val="16"/>
          <w:szCs w:val="16"/>
          <w:color w:val="191919"/>
        </w:rPr>
        <w:t>During fiscal year 2019, we broadened our customer set and expanded our suite of applications. Highlights from the year include:</w:t>
      </w:r>
    </w:p>
    <w:p>
      <w:pPr>
        <w:spacing w:after="0" w:line="147" w:lineRule="exact"/>
        <w:rPr>
          <w:sz w:val="20"/>
          <w:szCs w:val="20"/>
          <w:color w:val="auto"/>
        </w:rPr>
      </w:pPr>
    </w:p>
    <w:p>
      <w:pPr>
        <w:sectPr>
          <w:pgSz w:w="11900" w:h="16838" w:orient="portrait"/>
          <w:cols w:equalWidth="0" w:num="2">
            <w:col w:w="5240" w:space="720"/>
            <w:col w:w="5280"/>
          </w:cols>
          <w:pgMar w:left="320" w:top="131" w:right="339" w:bottom="1440" w:gutter="0" w:footer="0" w:header="0"/>
          <w:type w:val="continuous"/>
        </w:sectPr>
      </w:pPr>
    </w:p>
    <w:p>
      <w:pPr>
        <w:spacing w:after="0" w:line="217"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191919"/>
        </w:rPr>
      </w:pPr>
      <w:r>
        <w:rPr>
          <w:rFonts w:ascii="Arial" w:cs="Arial" w:eastAsia="Arial" w:hAnsi="Arial"/>
          <w:sz w:val="18"/>
          <w:szCs w:val="18"/>
          <w:color w:val="191919"/>
        </w:rPr>
        <w:t xml:space="preserve">Achieved net revenue of </w:t>
      </w:r>
      <w:r>
        <w:rPr>
          <w:rFonts w:ascii="Arial" w:cs="Arial" w:eastAsia="Arial" w:hAnsi="Arial"/>
          <w:sz w:val="18"/>
          <w:szCs w:val="18"/>
          <w:b w:val="1"/>
          <w:bCs w:val="1"/>
          <w:color w:val="191919"/>
        </w:rPr>
        <w:t>$3.4 billion</w:t>
      </w:r>
    </w:p>
    <w:p>
      <w:pPr>
        <w:spacing w:after="0" w:line="36" w:lineRule="exact"/>
        <w:rPr>
          <w:rFonts w:ascii="Arial" w:cs="Arial" w:eastAsia="Arial" w:hAnsi="Arial"/>
          <w:sz w:val="18"/>
          <w:szCs w:val="18"/>
          <w:color w:val="191919"/>
        </w:rPr>
      </w:pPr>
    </w:p>
    <w:p>
      <w:pPr>
        <w:ind w:left="540" w:right="1" w:hanging="532"/>
        <w:spacing w:after="0" w:line="224" w:lineRule="auto"/>
        <w:tabs>
          <w:tab w:leader="none" w:pos="540" w:val="left"/>
        </w:tabs>
        <w:numPr>
          <w:ilvl w:val="0"/>
          <w:numId w:val="36"/>
        </w:numPr>
        <w:rPr>
          <w:rFonts w:ascii="Arial" w:cs="Arial" w:eastAsia="Arial" w:hAnsi="Arial"/>
          <w:sz w:val="18"/>
          <w:szCs w:val="18"/>
          <w:color w:val="191919"/>
        </w:rPr>
      </w:pPr>
      <w:r>
        <w:rPr>
          <w:rFonts w:ascii="Arial" w:cs="Arial" w:eastAsia="Arial" w:hAnsi="Arial"/>
          <w:sz w:val="18"/>
          <w:szCs w:val="18"/>
          <w:color w:val="191919"/>
        </w:rPr>
        <w:t xml:space="preserve">Achieved operating margin of </w:t>
      </w:r>
      <w:r>
        <w:rPr>
          <w:rFonts w:ascii="Arial" w:cs="Arial" w:eastAsia="Arial" w:hAnsi="Arial"/>
          <w:sz w:val="18"/>
          <w:szCs w:val="18"/>
          <w:b w:val="1"/>
          <w:bCs w:val="1"/>
          <w:color w:val="191919"/>
        </w:rPr>
        <w:t>28.2%</w:t>
      </w:r>
      <w:r>
        <w:rPr>
          <w:rFonts w:ascii="Arial" w:cs="Arial" w:eastAsia="Arial" w:hAnsi="Arial"/>
          <w:sz w:val="18"/>
          <w:szCs w:val="18"/>
          <w:color w:val="191919"/>
        </w:rPr>
        <w:t xml:space="preserve"> on a GAAP basis (</w:t>
      </w:r>
      <w:r>
        <w:rPr>
          <w:rFonts w:ascii="Arial" w:cs="Arial" w:eastAsia="Arial" w:hAnsi="Arial"/>
          <w:sz w:val="18"/>
          <w:szCs w:val="18"/>
          <w:b w:val="1"/>
          <w:bCs w:val="1"/>
          <w:color w:val="191919"/>
        </w:rPr>
        <w:t>34.5%</w:t>
      </w:r>
      <w:r>
        <w:rPr>
          <w:rFonts w:ascii="Arial" w:cs="Arial" w:eastAsia="Arial" w:hAnsi="Arial"/>
          <w:sz w:val="18"/>
          <w:szCs w:val="18"/>
          <w:color w:val="191919"/>
        </w:rPr>
        <w:t xml:space="preserve"> on a non-GAAP basis)</w:t>
      </w:r>
      <w:r>
        <w:rPr>
          <w:rFonts w:ascii="Arial" w:cs="Arial" w:eastAsia="Arial" w:hAnsi="Arial"/>
          <w:sz w:val="29"/>
          <w:szCs w:val="29"/>
          <w:color w:val="191919"/>
          <w:vertAlign w:val="superscript"/>
        </w:rPr>
        <w:t>1</w:t>
      </w:r>
    </w:p>
    <w:p>
      <w:pPr>
        <w:spacing w:after="0" w:line="1" w:lineRule="exact"/>
        <w:rPr>
          <w:rFonts w:ascii="Arial" w:cs="Arial" w:eastAsia="Arial" w:hAnsi="Arial"/>
          <w:sz w:val="18"/>
          <w:szCs w:val="18"/>
          <w:color w:val="191919"/>
        </w:rPr>
      </w:pPr>
    </w:p>
    <w:p>
      <w:pPr>
        <w:ind w:left="540" w:right="281" w:hanging="532"/>
        <w:spacing w:after="0" w:line="215" w:lineRule="auto"/>
        <w:tabs>
          <w:tab w:leader="none" w:pos="540" w:val="left"/>
        </w:tabs>
        <w:numPr>
          <w:ilvl w:val="0"/>
          <w:numId w:val="36"/>
        </w:numPr>
        <w:rPr>
          <w:rFonts w:ascii="Arial" w:cs="Arial" w:eastAsia="Arial" w:hAnsi="Arial"/>
          <w:sz w:val="18"/>
          <w:szCs w:val="18"/>
          <w:color w:val="191919"/>
        </w:rPr>
      </w:pPr>
      <w:r>
        <w:rPr>
          <w:rFonts w:ascii="Arial" w:cs="Arial" w:eastAsia="Arial" w:hAnsi="Arial"/>
          <w:sz w:val="18"/>
          <w:szCs w:val="18"/>
          <w:color w:val="191919"/>
        </w:rPr>
        <w:t xml:space="preserve">Achieved diluted earnings per share of </w:t>
      </w:r>
      <w:r>
        <w:rPr>
          <w:rFonts w:ascii="Arial" w:cs="Arial" w:eastAsia="Arial" w:hAnsi="Arial"/>
          <w:sz w:val="18"/>
          <w:szCs w:val="18"/>
          <w:b w:val="1"/>
          <w:bCs w:val="1"/>
          <w:color w:val="191919"/>
        </w:rPr>
        <w:t>$4.89</w:t>
      </w:r>
      <w:r>
        <w:rPr>
          <w:rFonts w:ascii="Arial" w:cs="Arial" w:eastAsia="Arial" w:hAnsi="Arial"/>
          <w:sz w:val="18"/>
          <w:szCs w:val="18"/>
          <w:color w:val="191919"/>
        </w:rPr>
        <w:t xml:space="preserve"> on a GAAP basis (</w:t>
      </w:r>
      <w:r>
        <w:rPr>
          <w:rFonts w:ascii="Arial" w:cs="Arial" w:eastAsia="Arial" w:hAnsi="Arial"/>
          <w:sz w:val="18"/>
          <w:szCs w:val="18"/>
          <w:b w:val="1"/>
          <w:bCs w:val="1"/>
          <w:color w:val="191919"/>
        </w:rPr>
        <w:t>$6.17</w:t>
      </w:r>
      <w:r>
        <w:rPr>
          <w:rFonts w:ascii="Arial" w:cs="Arial" w:eastAsia="Arial" w:hAnsi="Arial"/>
          <w:sz w:val="18"/>
          <w:szCs w:val="18"/>
          <w:color w:val="191919"/>
        </w:rPr>
        <w:t xml:space="preserve"> on a non-GAAP basis)</w:t>
      </w:r>
      <w:r>
        <w:rPr>
          <w:rFonts w:ascii="Arial" w:cs="Arial" w:eastAsia="Arial" w:hAnsi="Arial"/>
          <w:sz w:val="29"/>
          <w:szCs w:val="29"/>
          <w:color w:val="191919"/>
          <w:vertAlign w:val="superscript"/>
        </w:rPr>
        <w:t>1</w:t>
      </w:r>
    </w:p>
    <w:p>
      <w:pPr>
        <w:spacing w:after="0" w:line="1" w:lineRule="exact"/>
        <w:rPr>
          <w:rFonts w:ascii="Arial" w:cs="Arial" w:eastAsia="Arial" w:hAnsi="Arial"/>
          <w:sz w:val="18"/>
          <w:szCs w:val="18"/>
          <w:color w:val="191919"/>
        </w:rPr>
      </w:pPr>
    </w:p>
    <w:p>
      <w:pPr>
        <w:ind w:left="540" w:hanging="532"/>
        <w:spacing w:after="0"/>
        <w:tabs>
          <w:tab w:leader="none" w:pos="540" w:val="left"/>
        </w:tabs>
        <w:numPr>
          <w:ilvl w:val="0"/>
          <w:numId w:val="36"/>
        </w:numPr>
        <w:rPr>
          <w:rFonts w:ascii="Arial" w:cs="Arial" w:eastAsia="Arial" w:hAnsi="Arial"/>
          <w:sz w:val="18"/>
          <w:szCs w:val="18"/>
          <w:color w:val="191919"/>
        </w:rPr>
      </w:pPr>
      <w:r>
        <w:rPr>
          <w:rFonts w:ascii="Arial" w:cs="Arial" w:eastAsia="Arial" w:hAnsi="Arial"/>
          <w:sz w:val="18"/>
          <w:szCs w:val="18"/>
          <w:color w:val="191919"/>
        </w:rPr>
        <w:t xml:space="preserve">Generated operating cash flow of </w:t>
      </w:r>
      <w:r>
        <w:rPr>
          <w:rFonts w:ascii="Arial" w:cs="Arial" w:eastAsia="Arial" w:hAnsi="Arial"/>
          <w:sz w:val="18"/>
          <w:szCs w:val="18"/>
          <w:b w:val="1"/>
          <w:bCs w:val="1"/>
          <w:color w:val="191919"/>
        </w:rPr>
        <w:t>$1.4 billion</w:t>
      </w:r>
    </w:p>
    <w:p>
      <w:pPr>
        <w:spacing w:after="0" w:line="16" w:lineRule="exact"/>
        <w:rPr>
          <w:rFonts w:ascii="Arial" w:cs="Arial" w:eastAsia="Arial" w:hAnsi="Arial"/>
          <w:sz w:val="18"/>
          <w:szCs w:val="18"/>
          <w:color w:val="191919"/>
        </w:rPr>
      </w:pPr>
    </w:p>
    <w:p>
      <w:pPr>
        <w:ind w:left="540" w:right="21" w:hanging="532"/>
        <w:spacing w:after="0" w:line="257" w:lineRule="auto"/>
        <w:tabs>
          <w:tab w:leader="none" w:pos="540" w:val="left"/>
        </w:tabs>
        <w:numPr>
          <w:ilvl w:val="0"/>
          <w:numId w:val="36"/>
        </w:numPr>
        <w:rPr>
          <w:rFonts w:ascii="Arial" w:cs="Arial" w:eastAsia="Arial" w:hAnsi="Arial"/>
          <w:sz w:val="18"/>
          <w:szCs w:val="18"/>
          <w:color w:val="191919"/>
        </w:rPr>
      </w:pPr>
      <w:r>
        <w:rPr>
          <w:rFonts w:ascii="Arial" w:cs="Arial" w:eastAsia="Arial" w:hAnsi="Arial"/>
          <w:sz w:val="18"/>
          <w:szCs w:val="18"/>
          <w:color w:val="191919"/>
        </w:rPr>
        <w:t xml:space="preserve">Increased our quarterly dividend from </w:t>
      </w:r>
      <w:r>
        <w:rPr>
          <w:rFonts w:ascii="Arial" w:cs="Arial" w:eastAsia="Arial" w:hAnsi="Arial"/>
          <w:sz w:val="18"/>
          <w:szCs w:val="18"/>
          <w:b w:val="1"/>
          <w:bCs w:val="1"/>
          <w:color w:val="191919"/>
        </w:rPr>
        <w:t>$0.38</w:t>
      </w:r>
      <w:r>
        <w:rPr>
          <w:rFonts w:ascii="Arial" w:cs="Arial" w:eastAsia="Arial" w:hAnsi="Arial"/>
          <w:sz w:val="18"/>
          <w:szCs w:val="18"/>
          <w:color w:val="191919"/>
        </w:rPr>
        <w:t xml:space="preserve"> per share to </w:t>
      </w:r>
      <w:r>
        <w:rPr>
          <w:rFonts w:ascii="Arial" w:cs="Arial" w:eastAsia="Arial" w:hAnsi="Arial"/>
          <w:sz w:val="18"/>
          <w:szCs w:val="18"/>
          <w:b w:val="1"/>
          <w:bCs w:val="1"/>
          <w:color w:val="191919"/>
        </w:rPr>
        <w:t>$0.44</w:t>
      </w:r>
      <w:r>
        <w:rPr>
          <w:rFonts w:ascii="Arial" w:cs="Arial" w:eastAsia="Arial" w:hAnsi="Arial"/>
          <w:sz w:val="18"/>
          <w:szCs w:val="18"/>
          <w:color w:val="191919"/>
        </w:rPr>
        <w:t xml:space="preserve"> per share</w:t>
      </w:r>
    </w:p>
    <w:p>
      <w:pPr>
        <w:spacing w:after="0" w:line="2" w:lineRule="exact"/>
        <w:rPr>
          <w:rFonts w:ascii="Arial" w:cs="Arial" w:eastAsia="Arial" w:hAnsi="Arial"/>
          <w:sz w:val="18"/>
          <w:szCs w:val="18"/>
          <w:color w:val="191919"/>
        </w:rPr>
      </w:pPr>
    </w:p>
    <w:p>
      <w:pPr>
        <w:jc w:val="both"/>
        <w:ind w:left="540" w:right="361" w:hanging="532"/>
        <w:spacing w:after="0" w:line="310" w:lineRule="auto"/>
        <w:tabs>
          <w:tab w:leader="none" w:pos="540" w:val="left"/>
        </w:tabs>
        <w:numPr>
          <w:ilvl w:val="0"/>
          <w:numId w:val="36"/>
        </w:numPr>
        <w:rPr>
          <w:rFonts w:ascii="Arial" w:cs="Arial" w:eastAsia="Arial" w:hAnsi="Arial"/>
          <w:sz w:val="16"/>
          <w:szCs w:val="16"/>
          <w:color w:val="191919"/>
        </w:rPr>
      </w:pPr>
      <w:r>
        <w:rPr>
          <w:rFonts w:ascii="Arial" w:cs="Arial" w:eastAsia="Arial" w:hAnsi="Arial"/>
          <w:sz w:val="16"/>
          <w:szCs w:val="16"/>
          <w:color w:val="191919"/>
        </w:rPr>
        <w:t xml:space="preserve">Returned </w:t>
      </w:r>
      <w:r>
        <w:rPr>
          <w:rFonts w:ascii="Arial" w:cs="Arial" w:eastAsia="Arial" w:hAnsi="Arial"/>
          <w:sz w:val="16"/>
          <w:szCs w:val="16"/>
          <w:b w:val="1"/>
          <w:bCs w:val="1"/>
          <w:color w:val="191919"/>
        </w:rPr>
        <w:t>$932 million</w:t>
      </w:r>
      <w:r>
        <w:rPr>
          <w:rFonts w:ascii="Arial" w:cs="Arial" w:eastAsia="Arial" w:hAnsi="Arial"/>
          <w:sz w:val="16"/>
          <w:szCs w:val="16"/>
          <w:color w:val="191919"/>
        </w:rPr>
        <w:t xml:space="preserve"> to stockholders through repurchasing </w:t>
      </w:r>
      <w:r>
        <w:rPr>
          <w:rFonts w:ascii="Arial" w:cs="Arial" w:eastAsia="Arial" w:hAnsi="Arial"/>
          <w:sz w:val="16"/>
          <w:szCs w:val="16"/>
          <w:b w:val="1"/>
          <w:bCs w:val="1"/>
          <w:color w:val="191919"/>
        </w:rPr>
        <w:t xml:space="preserve">8.9 million </w:t>
      </w:r>
      <w:r>
        <w:rPr>
          <w:rFonts w:ascii="Arial" w:cs="Arial" w:eastAsia="Arial" w:hAnsi="Arial"/>
          <w:sz w:val="16"/>
          <w:szCs w:val="16"/>
          <w:color w:val="191919"/>
        </w:rPr>
        <w:t>shares of our common stock for</w:t>
      </w:r>
      <w:r>
        <w:rPr>
          <w:rFonts w:ascii="Arial" w:cs="Arial" w:eastAsia="Arial" w:hAnsi="Arial"/>
          <w:sz w:val="16"/>
          <w:szCs w:val="16"/>
          <w:b w:val="1"/>
          <w:bCs w:val="1"/>
          <w:color w:val="191919"/>
        </w:rPr>
        <w:t xml:space="preserve"> $658 million </w:t>
      </w:r>
      <w:r>
        <w:rPr>
          <w:rFonts w:ascii="Arial" w:cs="Arial" w:eastAsia="Arial" w:hAnsi="Arial"/>
          <w:sz w:val="16"/>
          <w:szCs w:val="16"/>
          <w:color w:val="191919"/>
        </w:rPr>
        <w:t>and</w:t>
      </w:r>
      <w:r>
        <w:rPr>
          <w:rFonts w:ascii="Arial" w:cs="Arial" w:eastAsia="Arial" w:hAnsi="Arial"/>
          <w:sz w:val="16"/>
          <w:szCs w:val="16"/>
          <w:b w:val="1"/>
          <w:bCs w:val="1"/>
          <w:color w:val="191919"/>
        </w:rPr>
        <w:t xml:space="preserve"> </w:t>
      </w:r>
      <w:r>
        <w:rPr>
          <w:rFonts w:ascii="Arial" w:cs="Arial" w:eastAsia="Arial" w:hAnsi="Arial"/>
          <w:sz w:val="16"/>
          <w:szCs w:val="16"/>
          <w:color w:val="191919"/>
        </w:rPr>
        <w:t xml:space="preserve">through payments of </w:t>
      </w:r>
      <w:r>
        <w:rPr>
          <w:rFonts w:ascii="Arial" w:cs="Arial" w:eastAsia="Arial" w:hAnsi="Arial"/>
          <w:sz w:val="16"/>
          <w:szCs w:val="16"/>
          <w:b w:val="1"/>
          <w:bCs w:val="1"/>
          <w:color w:val="191919"/>
        </w:rPr>
        <w:t>$274 million</w:t>
      </w:r>
      <w:r>
        <w:rPr>
          <w:rFonts w:ascii="Arial" w:cs="Arial" w:eastAsia="Arial" w:hAnsi="Arial"/>
          <w:sz w:val="16"/>
          <w:szCs w:val="16"/>
          <w:color w:val="191919"/>
        </w:rPr>
        <w:t xml:space="preserve"> in cash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3199765</wp:posOffset>
            </wp:positionV>
            <wp:extent cx="15855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8559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104775</wp:posOffset>
            </wp:positionV>
            <wp:extent cx="3162935" cy="27774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62935" cy="27774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39" w:right="420" w:hanging="539"/>
        <w:spacing w:after="0" w:line="257" w:lineRule="auto"/>
        <w:tabs>
          <w:tab w:leader="none" w:pos="539" w:val="left"/>
        </w:tabs>
        <w:numPr>
          <w:ilvl w:val="0"/>
          <w:numId w:val="37"/>
        </w:numPr>
        <w:rPr>
          <w:rFonts w:ascii="Arial" w:cs="Arial" w:eastAsia="Arial" w:hAnsi="Arial"/>
          <w:sz w:val="18"/>
          <w:szCs w:val="18"/>
          <w:color w:val="191919"/>
        </w:rPr>
      </w:pPr>
      <w:r>
        <w:rPr>
          <w:rFonts w:ascii="Arial" w:cs="Arial" w:eastAsia="Arial" w:hAnsi="Arial"/>
          <w:sz w:val="18"/>
          <w:szCs w:val="18"/>
          <w:color w:val="191919"/>
        </w:rPr>
        <w:t xml:space="preserve">Accelerated ramp of </w:t>
      </w:r>
      <w:r>
        <w:rPr>
          <w:rFonts w:ascii="Arial" w:cs="Arial" w:eastAsia="Arial" w:hAnsi="Arial"/>
          <w:sz w:val="18"/>
          <w:szCs w:val="18"/>
          <w:b w:val="1"/>
          <w:bCs w:val="1"/>
          <w:color w:val="191919"/>
        </w:rPr>
        <w:t>Sky5®</w:t>
      </w:r>
      <w:r>
        <w:rPr>
          <w:rFonts w:ascii="Arial" w:cs="Arial" w:eastAsia="Arial" w:hAnsi="Arial"/>
          <w:sz w:val="18"/>
          <w:szCs w:val="18"/>
          <w:color w:val="191919"/>
        </w:rPr>
        <w:t xml:space="preserve"> portfolio supporting multiple </w:t>
      </w:r>
      <w:r>
        <w:rPr>
          <w:rFonts w:ascii="Arial" w:cs="Arial" w:eastAsia="Arial" w:hAnsi="Arial"/>
          <w:sz w:val="18"/>
          <w:szCs w:val="18"/>
          <w:b w:val="1"/>
          <w:bCs w:val="1"/>
          <w:color w:val="191919"/>
        </w:rPr>
        <w:t>5G</w:t>
      </w:r>
      <w:r>
        <w:rPr>
          <w:rFonts w:ascii="Arial" w:cs="Arial" w:eastAsia="Arial" w:hAnsi="Arial"/>
          <w:sz w:val="18"/>
          <w:szCs w:val="18"/>
          <w:color w:val="191919"/>
        </w:rPr>
        <w:t xml:space="preserve"> smartphone launches</w:t>
      </w:r>
    </w:p>
    <w:p>
      <w:pPr>
        <w:spacing w:after="0" w:line="15" w:lineRule="exact"/>
        <w:rPr>
          <w:rFonts w:ascii="Arial" w:cs="Arial" w:eastAsia="Arial" w:hAnsi="Arial"/>
          <w:sz w:val="18"/>
          <w:szCs w:val="18"/>
          <w:color w:val="191919"/>
        </w:rPr>
      </w:pPr>
    </w:p>
    <w:p>
      <w:pPr>
        <w:ind w:left="539" w:right="360" w:hanging="539"/>
        <w:spacing w:after="0" w:line="257" w:lineRule="auto"/>
        <w:tabs>
          <w:tab w:leader="none" w:pos="539" w:val="left"/>
        </w:tabs>
        <w:numPr>
          <w:ilvl w:val="0"/>
          <w:numId w:val="37"/>
        </w:numPr>
        <w:rPr>
          <w:rFonts w:ascii="Arial" w:cs="Arial" w:eastAsia="Arial" w:hAnsi="Arial"/>
          <w:sz w:val="18"/>
          <w:szCs w:val="18"/>
          <w:color w:val="191919"/>
        </w:rPr>
      </w:pPr>
      <w:r>
        <w:rPr>
          <w:rFonts w:ascii="Arial" w:cs="Arial" w:eastAsia="Arial" w:hAnsi="Arial"/>
          <w:sz w:val="18"/>
          <w:szCs w:val="18"/>
          <w:color w:val="191919"/>
        </w:rPr>
        <w:t xml:space="preserve">Supported leading wireless </w:t>
      </w:r>
      <w:r>
        <w:rPr>
          <w:rFonts w:ascii="Arial" w:cs="Arial" w:eastAsia="Arial" w:hAnsi="Arial"/>
          <w:sz w:val="18"/>
          <w:szCs w:val="18"/>
          <w:b w:val="1"/>
          <w:bCs w:val="1"/>
          <w:color w:val="191919"/>
        </w:rPr>
        <w:t>infrastructure</w:t>
      </w:r>
      <w:r>
        <w:rPr>
          <w:rFonts w:ascii="Arial" w:cs="Arial" w:eastAsia="Arial" w:hAnsi="Arial"/>
          <w:sz w:val="18"/>
          <w:szCs w:val="18"/>
          <w:color w:val="191919"/>
        </w:rPr>
        <w:t xml:space="preserve"> customers with 5G massive MIMO and small cell architectures</w:t>
      </w:r>
    </w:p>
    <w:p>
      <w:pPr>
        <w:spacing w:after="0" w:line="2" w:lineRule="exact"/>
        <w:rPr>
          <w:rFonts w:ascii="Arial" w:cs="Arial" w:eastAsia="Arial" w:hAnsi="Arial"/>
          <w:sz w:val="18"/>
          <w:szCs w:val="18"/>
          <w:color w:val="191919"/>
        </w:rPr>
      </w:pPr>
    </w:p>
    <w:p>
      <w:pPr>
        <w:ind w:left="539" w:hanging="539"/>
        <w:spacing w:after="0"/>
        <w:tabs>
          <w:tab w:leader="none" w:pos="539" w:val="left"/>
        </w:tabs>
        <w:numPr>
          <w:ilvl w:val="0"/>
          <w:numId w:val="37"/>
        </w:numPr>
        <w:rPr>
          <w:rFonts w:ascii="Arial" w:cs="Arial" w:eastAsia="Arial" w:hAnsi="Arial"/>
          <w:sz w:val="18"/>
          <w:szCs w:val="18"/>
          <w:color w:val="191919"/>
        </w:rPr>
      </w:pPr>
      <w:r>
        <w:rPr>
          <w:rFonts w:ascii="Arial" w:cs="Arial" w:eastAsia="Arial" w:hAnsi="Arial"/>
          <w:sz w:val="18"/>
          <w:szCs w:val="18"/>
          <w:color w:val="191919"/>
        </w:rPr>
        <w:t xml:space="preserve">Launched </w:t>
      </w:r>
      <w:r>
        <w:rPr>
          <w:rFonts w:ascii="Arial" w:cs="Arial" w:eastAsia="Arial" w:hAnsi="Arial"/>
          <w:sz w:val="18"/>
          <w:szCs w:val="18"/>
          <w:b w:val="1"/>
          <w:bCs w:val="1"/>
          <w:color w:val="191919"/>
        </w:rPr>
        <w:t>Wi-Fi 6</w:t>
      </w:r>
      <w:r>
        <w:rPr>
          <w:rFonts w:ascii="Arial" w:cs="Arial" w:eastAsia="Arial" w:hAnsi="Arial"/>
          <w:sz w:val="18"/>
          <w:szCs w:val="18"/>
          <w:color w:val="191919"/>
        </w:rPr>
        <w:t xml:space="preserve"> solutions with key customers</w:t>
      </w:r>
    </w:p>
    <w:p>
      <w:pPr>
        <w:spacing w:after="0" w:line="22" w:lineRule="exact"/>
        <w:rPr>
          <w:rFonts w:ascii="Arial" w:cs="Arial" w:eastAsia="Arial" w:hAnsi="Arial"/>
          <w:sz w:val="18"/>
          <w:szCs w:val="18"/>
          <w:color w:val="191919"/>
        </w:rPr>
      </w:pPr>
    </w:p>
    <w:p>
      <w:pPr>
        <w:ind w:left="539" w:hanging="539"/>
        <w:spacing w:after="0"/>
        <w:tabs>
          <w:tab w:leader="none" w:pos="539" w:val="left"/>
        </w:tabs>
        <w:numPr>
          <w:ilvl w:val="0"/>
          <w:numId w:val="37"/>
        </w:numPr>
        <w:rPr>
          <w:rFonts w:ascii="Arial" w:cs="Arial" w:eastAsia="Arial" w:hAnsi="Arial"/>
          <w:sz w:val="18"/>
          <w:szCs w:val="18"/>
          <w:color w:val="191919"/>
        </w:rPr>
      </w:pPr>
      <w:r>
        <w:rPr>
          <w:rFonts w:ascii="Arial" w:cs="Arial" w:eastAsia="Arial" w:hAnsi="Arial"/>
          <w:sz w:val="18"/>
          <w:szCs w:val="18"/>
          <w:color w:val="191919"/>
        </w:rPr>
        <w:t xml:space="preserve">Commenced volume production of </w:t>
      </w:r>
      <w:r>
        <w:rPr>
          <w:rFonts w:ascii="Arial" w:cs="Arial" w:eastAsia="Arial" w:hAnsi="Arial"/>
          <w:sz w:val="18"/>
          <w:szCs w:val="18"/>
          <w:b w:val="1"/>
          <w:bCs w:val="1"/>
          <w:color w:val="191919"/>
        </w:rPr>
        <w:t>BAW-enabled</w:t>
      </w:r>
      <w:r>
        <w:rPr>
          <w:rFonts w:ascii="Arial" w:cs="Arial" w:eastAsia="Arial" w:hAnsi="Arial"/>
          <w:sz w:val="18"/>
          <w:szCs w:val="18"/>
          <w:color w:val="191919"/>
        </w:rPr>
        <w:t xml:space="preserve"> devices</w:t>
      </w:r>
    </w:p>
    <w:p>
      <w:pPr>
        <w:spacing w:after="0" w:line="36" w:lineRule="exact"/>
        <w:rPr>
          <w:rFonts w:ascii="Arial" w:cs="Arial" w:eastAsia="Arial" w:hAnsi="Arial"/>
          <w:sz w:val="18"/>
          <w:szCs w:val="18"/>
          <w:color w:val="191919"/>
        </w:rPr>
      </w:pPr>
    </w:p>
    <w:p>
      <w:pPr>
        <w:ind w:left="539" w:right="420" w:hanging="539"/>
        <w:spacing w:after="0" w:line="257" w:lineRule="auto"/>
        <w:tabs>
          <w:tab w:leader="none" w:pos="539" w:val="left"/>
        </w:tabs>
        <w:numPr>
          <w:ilvl w:val="0"/>
          <w:numId w:val="37"/>
        </w:numPr>
        <w:rPr>
          <w:rFonts w:ascii="Arial" w:cs="Arial" w:eastAsia="Arial" w:hAnsi="Arial"/>
          <w:sz w:val="18"/>
          <w:szCs w:val="18"/>
          <w:color w:val="191919"/>
        </w:rPr>
      </w:pPr>
      <w:r>
        <w:rPr>
          <w:rFonts w:ascii="Arial" w:cs="Arial" w:eastAsia="Arial" w:hAnsi="Arial"/>
          <w:sz w:val="18"/>
          <w:szCs w:val="18"/>
          <w:color w:val="191919"/>
        </w:rPr>
        <w:t xml:space="preserve">Extended reach into </w:t>
      </w:r>
      <w:r>
        <w:rPr>
          <w:rFonts w:ascii="Arial" w:cs="Arial" w:eastAsia="Arial" w:hAnsi="Arial"/>
          <w:sz w:val="18"/>
          <w:szCs w:val="18"/>
          <w:b w:val="1"/>
          <w:bCs w:val="1"/>
          <w:color w:val="191919"/>
        </w:rPr>
        <w:t>aerospace and defense</w:t>
      </w:r>
      <w:r>
        <w:rPr>
          <w:rFonts w:ascii="Arial" w:cs="Arial" w:eastAsia="Arial" w:hAnsi="Arial"/>
          <w:sz w:val="18"/>
          <w:szCs w:val="18"/>
          <w:color w:val="191919"/>
        </w:rPr>
        <w:t xml:space="preserve"> markets with the introduction of C-band filters</w:t>
      </w:r>
    </w:p>
    <w:p>
      <w:pPr>
        <w:spacing w:after="0" w:line="2" w:lineRule="exact"/>
        <w:rPr>
          <w:rFonts w:ascii="Arial" w:cs="Arial" w:eastAsia="Arial" w:hAnsi="Arial"/>
          <w:sz w:val="18"/>
          <w:szCs w:val="18"/>
          <w:color w:val="191919"/>
        </w:rPr>
      </w:pPr>
    </w:p>
    <w:p>
      <w:pPr>
        <w:ind w:left="539" w:right="280" w:hanging="539"/>
        <w:spacing w:after="0" w:line="257" w:lineRule="auto"/>
        <w:tabs>
          <w:tab w:leader="none" w:pos="539" w:val="left"/>
        </w:tabs>
        <w:numPr>
          <w:ilvl w:val="0"/>
          <w:numId w:val="37"/>
        </w:numPr>
        <w:rPr>
          <w:rFonts w:ascii="Arial" w:cs="Arial" w:eastAsia="Arial" w:hAnsi="Arial"/>
          <w:sz w:val="18"/>
          <w:szCs w:val="18"/>
          <w:color w:val="191919"/>
        </w:rPr>
      </w:pPr>
      <w:r>
        <w:rPr>
          <w:rFonts w:ascii="Arial" w:cs="Arial" w:eastAsia="Arial" w:hAnsi="Arial"/>
          <w:sz w:val="18"/>
          <w:szCs w:val="18"/>
          <w:color w:val="191919"/>
        </w:rPr>
        <w:t xml:space="preserve">Secured design wins from major </w:t>
      </w:r>
      <w:r>
        <w:rPr>
          <w:rFonts w:ascii="Arial" w:cs="Arial" w:eastAsia="Arial" w:hAnsi="Arial"/>
          <w:sz w:val="18"/>
          <w:szCs w:val="18"/>
          <w:b w:val="1"/>
          <w:bCs w:val="1"/>
          <w:color w:val="191919"/>
        </w:rPr>
        <w:t>automotive</w:t>
      </w:r>
      <w:r>
        <w:rPr>
          <w:rFonts w:ascii="Arial" w:cs="Arial" w:eastAsia="Arial" w:hAnsi="Arial"/>
          <w:sz w:val="18"/>
          <w:szCs w:val="18"/>
          <w:color w:val="191919"/>
        </w:rPr>
        <w:t xml:space="preserve"> manufacturers for fully integrated connectivity solutions</w:t>
      </w:r>
    </w:p>
    <w:p>
      <w:pPr>
        <w:spacing w:after="0" w:line="2" w:lineRule="exact"/>
        <w:rPr>
          <w:rFonts w:ascii="Arial" w:cs="Arial" w:eastAsia="Arial" w:hAnsi="Arial"/>
          <w:sz w:val="18"/>
          <w:szCs w:val="18"/>
          <w:color w:val="191919"/>
        </w:rPr>
      </w:pPr>
    </w:p>
    <w:p>
      <w:pPr>
        <w:ind w:left="539" w:right="60" w:hanging="539"/>
        <w:spacing w:after="0" w:line="275" w:lineRule="auto"/>
        <w:tabs>
          <w:tab w:leader="none" w:pos="539" w:val="left"/>
        </w:tabs>
        <w:numPr>
          <w:ilvl w:val="0"/>
          <w:numId w:val="37"/>
        </w:numPr>
        <w:rPr>
          <w:rFonts w:ascii="Arial" w:cs="Arial" w:eastAsia="Arial" w:hAnsi="Arial"/>
          <w:sz w:val="18"/>
          <w:szCs w:val="18"/>
          <w:color w:val="191919"/>
        </w:rPr>
      </w:pPr>
      <w:r>
        <w:rPr>
          <w:rFonts w:ascii="Arial" w:cs="Arial" w:eastAsia="Arial" w:hAnsi="Arial"/>
          <w:sz w:val="18"/>
          <w:szCs w:val="18"/>
          <w:color w:val="191919"/>
        </w:rPr>
        <w:t xml:space="preserve">Expanded portfolio of </w:t>
      </w:r>
      <w:r>
        <w:rPr>
          <w:rFonts w:ascii="Arial" w:cs="Arial" w:eastAsia="Arial" w:hAnsi="Arial"/>
          <w:sz w:val="18"/>
          <w:szCs w:val="18"/>
          <w:b w:val="1"/>
          <w:bCs w:val="1"/>
          <w:color w:val="191919"/>
        </w:rPr>
        <w:t>analog SoCs and cognitive chipsets</w:t>
      </w:r>
      <w:r>
        <w:rPr>
          <w:rFonts w:ascii="Arial" w:cs="Arial" w:eastAsia="Arial" w:hAnsi="Arial"/>
          <w:sz w:val="18"/>
          <w:szCs w:val="18"/>
          <w:color w:val="191919"/>
        </w:rPr>
        <w:t xml:space="preserve"> across numerous wireless gaming headsets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162560</wp:posOffset>
            </wp:positionV>
            <wp:extent cx="2451735" cy="27774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51735" cy="277749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5241" w:space="720"/>
            <w:col w:w="5279"/>
          </w:cols>
          <w:pgMar w:left="320" w:top="1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29"/>
          <w:szCs w:val="29"/>
          <w:color w:val="191919"/>
          <w:vertAlign w:val="superscript"/>
        </w:rPr>
      </w:pPr>
      <w:r>
        <w:rPr>
          <w:rFonts w:ascii="Arial" w:cs="Arial" w:eastAsia="Arial" w:hAnsi="Arial"/>
          <w:sz w:val="18"/>
          <w:szCs w:val="18"/>
          <w:color w:val="191919"/>
        </w:rPr>
        <w:t>Please see table on page 90 for a full reconciliation of non-GAAP results to GAAP results.</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21"/>
        <w:spacing w:after="0" w:line="250" w:lineRule="auto"/>
        <w:rPr>
          <w:sz w:val="20"/>
          <w:szCs w:val="20"/>
          <w:color w:val="auto"/>
        </w:rPr>
      </w:pPr>
      <w:r>
        <w:rPr>
          <w:rFonts w:ascii="Arial" w:cs="Arial" w:eastAsia="Arial" w:hAnsi="Arial"/>
          <w:sz w:val="22"/>
          <w:szCs w:val="22"/>
          <w:b w:val="1"/>
          <w:bCs w:val="1"/>
          <w:i w:val="1"/>
          <w:iCs w:val="1"/>
          <w:color w:val="000001"/>
        </w:rPr>
        <w:t>Our Executive Compensation Program Reflects Our Pay-for-Performance Philosophy</w:t>
      </w:r>
    </w:p>
    <w:p>
      <w:pPr>
        <w:spacing w:after="0" w:line="196" w:lineRule="exact"/>
        <w:rPr>
          <w:sz w:val="20"/>
          <w:szCs w:val="20"/>
          <w:color w:val="auto"/>
        </w:rPr>
      </w:pPr>
    </w:p>
    <w:p>
      <w:pPr>
        <w:ind w:left="540" w:right="81" w:hanging="532"/>
        <w:spacing w:after="0" w:line="293" w:lineRule="auto"/>
        <w:tabs>
          <w:tab w:leader="none" w:pos="540" w:val="left"/>
        </w:tabs>
        <w:numPr>
          <w:ilvl w:val="0"/>
          <w:numId w:val="39"/>
        </w:numPr>
        <w:rPr>
          <w:rFonts w:ascii="Arial" w:cs="Arial" w:eastAsia="Arial" w:hAnsi="Arial"/>
          <w:sz w:val="16"/>
          <w:szCs w:val="16"/>
          <w:color w:val="191919"/>
        </w:rPr>
      </w:pPr>
      <w:r>
        <w:rPr>
          <w:rFonts w:ascii="Arial" w:cs="Arial" w:eastAsia="Arial" w:hAnsi="Arial"/>
          <w:sz w:val="16"/>
          <w:szCs w:val="16"/>
          <w:b w:val="1"/>
          <w:bCs w:val="1"/>
          <w:color w:val="191919"/>
        </w:rPr>
        <w:t xml:space="preserve">Alignment with Stockholder Interests. </w:t>
      </w:r>
      <w:r>
        <w:rPr>
          <w:rFonts w:ascii="Arial" w:cs="Arial" w:eastAsia="Arial" w:hAnsi="Arial"/>
          <w:sz w:val="16"/>
          <w:szCs w:val="16"/>
          <w:color w:val="191919"/>
        </w:rPr>
        <w:t>We believe that through</w:t>
      </w:r>
      <w:r>
        <w:rPr>
          <w:rFonts w:ascii="Arial" w:cs="Arial" w:eastAsia="Arial" w:hAnsi="Arial"/>
          <w:sz w:val="16"/>
          <w:szCs w:val="16"/>
          <w:b w:val="1"/>
          <w:bCs w:val="1"/>
          <w:color w:val="191919"/>
        </w:rPr>
        <w:t xml:space="preserve"> </w:t>
      </w:r>
      <w:r>
        <w:rPr>
          <w:rFonts w:ascii="Arial" w:cs="Arial" w:eastAsia="Arial" w:hAnsi="Arial"/>
          <w:sz w:val="16"/>
          <w:szCs w:val="16"/>
          <w:color w:val="191919"/>
        </w:rPr>
        <w:t>the combination of our equity-based incentive compensation program and rigorous executive stock ownership guidelines, the interests of our executives are strongly aligned with those of our long-term stockholders—namely, increasing stockholder value over time.</w:t>
      </w:r>
    </w:p>
    <w:p>
      <w:pPr>
        <w:spacing w:after="0" w:line="191" w:lineRule="exact"/>
        <w:rPr>
          <w:rFonts w:ascii="Arial" w:cs="Arial" w:eastAsia="Arial" w:hAnsi="Arial"/>
          <w:sz w:val="16"/>
          <w:szCs w:val="16"/>
          <w:color w:val="191919"/>
        </w:rPr>
      </w:pPr>
    </w:p>
    <w:p>
      <w:pPr>
        <w:ind w:left="540" w:right="61" w:hanging="532"/>
        <w:spacing w:after="0" w:line="287" w:lineRule="auto"/>
        <w:tabs>
          <w:tab w:leader="none" w:pos="540" w:val="left"/>
        </w:tabs>
        <w:numPr>
          <w:ilvl w:val="0"/>
          <w:numId w:val="39"/>
        </w:numPr>
        <w:rPr>
          <w:rFonts w:ascii="Arial" w:cs="Arial" w:eastAsia="Arial" w:hAnsi="Arial"/>
          <w:sz w:val="16"/>
          <w:szCs w:val="16"/>
          <w:color w:val="191919"/>
        </w:rPr>
      </w:pPr>
      <w:r>
        <w:rPr>
          <w:rFonts w:ascii="Arial" w:cs="Arial" w:eastAsia="Arial" w:hAnsi="Arial"/>
          <w:sz w:val="16"/>
          <w:szCs w:val="16"/>
          <w:b w:val="1"/>
          <w:bCs w:val="1"/>
          <w:color w:val="191919"/>
        </w:rPr>
        <w:t xml:space="preserve">High At-Risk Compensation Levels. </w:t>
      </w:r>
      <w:r>
        <w:rPr>
          <w:rFonts w:ascii="Arial" w:cs="Arial" w:eastAsia="Arial" w:hAnsi="Arial"/>
          <w:sz w:val="16"/>
          <w:szCs w:val="16"/>
          <w:color w:val="191919"/>
        </w:rPr>
        <w:t>The only fixed component</w:t>
      </w:r>
      <w:r>
        <w:rPr>
          <w:rFonts w:ascii="Arial" w:cs="Arial" w:eastAsia="Arial" w:hAnsi="Arial"/>
          <w:sz w:val="16"/>
          <w:szCs w:val="16"/>
          <w:b w:val="1"/>
          <w:bCs w:val="1"/>
          <w:color w:val="191919"/>
        </w:rPr>
        <w:t xml:space="preserve"> </w:t>
      </w:r>
      <w:r>
        <w:rPr>
          <w:rFonts w:ascii="Arial" w:cs="Arial" w:eastAsia="Arial" w:hAnsi="Arial"/>
          <w:sz w:val="16"/>
          <w:szCs w:val="16"/>
          <w:color w:val="191919"/>
        </w:rPr>
        <w:t>of our Named Executive Officers’ annual compensation is base salary. All short-term cash incentive awards and long-term equity incentive awards are tied either to Company performance or to stock price performance. The charts below show the target total direct compensation mix for fiscal year 2019 for our Chief Executive Officer and the average for the other Named Executive Officers. The target total direct compensation mix for fiscal year 2019 reflects actual salary, target short-term incentive award, and the grant date fair value of performance share and restricted stock unit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40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39" w:hanging="539"/>
        <w:spacing w:after="0" w:line="311" w:lineRule="auto"/>
        <w:tabs>
          <w:tab w:leader="none" w:pos="539" w:val="left"/>
        </w:tabs>
        <w:numPr>
          <w:ilvl w:val="0"/>
          <w:numId w:val="40"/>
        </w:numPr>
        <w:rPr>
          <w:rFonts w:ascii="Arial" w:cs="Arial" w:eastAsia="Arial" w:hAnsi="Arial"/>
          <w:sz w:val="15"/>
          <w:szCs w:val="15"/>
          <w:color w:val="191919"/>
        </w:rPr>
      </w:pPr>
      <w:r>
        <w:rPr>
          <w:rFonts w:ascii="Arial" w:cs="Arial" w:eastAsia="Arial" w:hAnsi="Arial"/>
          <w:sz w:val="15"/>
          <w:szCs w:val="15"/>
          <w:b w:val="1"/>
          <w:bCs w:val="1"/>
          <w:color w:val="191919"/>
        </w:rPr>
        <w:t xml:space="preserve">Short-Term Cash Incentives Paid Below Target. </w:t>
      </w:r>
      <w:r>
        <w:rPr>
          <w:rFonts w:ascii="Arial" w:cs="Arial" w:eastAsia="Arial" w:hAnsi="Arial"/>
          <w:sz w:val="15"/>
          <w:szCs w:val="15"/>
          <w:color w:val="191919"/>
        </w:rPr>
        <w:t>Payments</w:t>
      </w:r>
      <w:r>
        <w:rPr>
          <w:rFonts w:ascii="Arial" w:cs="Arial" w:eastAsia="Arial" w:hAnsi="Arial"/>
          <w:sz w:val="15"/>
          <w:szCs w:val="15"/>
          <w:b w:val="1"/>
          <w:bCs w:val="1"/>
          <w:color w:val="191919"/>
        </w:rPr>
        <w:t xml:space="preserve"> </w:t>
      </w:r>
      <w:r>
        <w:rPr>
          <w:rFonts w:ascii="Arial" w:cs="Arial" w:eastAsia="Arial" w:hAnsi="Arial"/>
          <w:sz w:val="15"/>
          <w:szCs w:val="15"/>
          <w:color w:val="191919"/>
        </w:rPr>
        <w:t>under our short-term incentive plan for fiscal year 2019 were based on achievement of certain revenue and non-GAAP operating income performance metrics. Taking into account the extraordinary and unexpected impact of the U.S.-China trade war, the payment to each Named Executive Officer was equal to 64.5% of the Named Executive Officer’s target incentive, as described below under “</w:t>
      </w:r>
      <w:r>
        <w:rPr>
          <w:rFonts w:ascii="Arial" w:cs="Arial" w:eastAsia="Arial" w:hAnsi="Arial"/>
          <w:sz w:val="15"/>
          <w:szCs w:val="15"/>
          <w:i w:val="1"/>
          <w:iCs w:val="1"/>
          <w:color w:val="191919"/>
        </w:rPr>
        <w:t>Components of Compensation—Short-Term Incentives</w:t>
      </w:r>
      <w:r>
        <w:rPr>
          <w:rFonts w:ascii="Arial" w:cs="Arial" w:eastAsia="Arial" w:hAnsi="Arial"/>
          <w:sz w:val="15"/>
          <w:szCs w:val="15"/>
          <w:color w:val="191919"/>
        </w:rPr>
        <w:t>.”</w:t>
      </w:r>
    </w:p>
    <w:p>
      <w:pPr>
        <w:spacing w:after="0" w:line="182" w:lineRule="exact"/>
        <w:rPr>
          <w:rFonts w:ascii="Arial" w:cs="Arial" w:eastAsia="Arial" w:hAnsi="Arial"/>
          <w:sz w:val="15"/>
          <w:szCs w:val="15"/>
          <w:color w:val="191919"/>
        </w:rPr>
      </w:pPr>
    </w:p>
    <w:p>
      <w:pPr>
        <w:ind w:left="539" w:hanging="539"/>
        <w:spacing w:after="0" w:line="286" w:lineRule="auto"/>
        <w:tabs>
          <w:tab w:leader="none" w:pos="539" w:val="left"/>
        </w:tabs>
        <w:numPr>
          <w:ilvl w:val="0"/>
          <w:numId w:val="40"/>
        </w:numPr>
        <w:rPr>
          <w:rFonts w:ascii="Arial" w:cs="Arial" w:eastAsia="Arial" w:hAnsi="Arial"/>
          <w:sz w:val="16"/>
          <w:szCs w:val="16"/>
          <w:color w:val="191919"/>
        </w:rPr>
      </w:pPr>
      <w:r>
        <w:rPr>
          <w:rFonts w:ascii="Arial" w:cs="Arial" w:eastAsia="Arial" w:hAnsi="Arial"/>
          <w:sz w:val="16"/>
          <w:szCs w:val="16"/>
          <w:b w:val="1"/>
          <w:bCs w:val="1"/>
          <w:color w:val="191919"/>
        </w:rPr>
        <w:t xml:space="preserve">Failure to Achieve Threshold Level under Portion of Performance Share Award Based on Fiscal Year 2019 Performance. </w:t>
      </w:r>
      <w:r>
        <w:rPr>
          <w:rFonts w:ascii="Arial" w:cs="Arial" w:eastAsia="Arial" w:hAnsi="Arial"/>
          <w:sz w:val="16"/>
          <w:szCs w:val="16"/>
          <w:color w:val="191919"/>
        </w:rPr>
        <w:t>The Named Executive Officers received</w:t>
      </w:r>
      <w:r>
        <w:rPr>
          <w:rFonts w:ascii="Arial" w:cs="Arial" w:eastAsia="Arial" w:hAnsi="Arial"/>
          <w:sz w:val="16"/>
          <w:szCs w:val="16"/>
          <w:b w:val="1"/>
          <w:bCs w:val="1"/>
          <w:color w:val="191919"/>
        </w:rPr>
        <w:t xml:space="preserve"> </w:t>
      </w:r>
      <w:r>
        <w:rPr>
          <w:rFonts w:ascii="Arial" w:cs="Arial" w:eastAsia="Arial" w:hAnsi="Arial"/>
          <w:sz w:val="16"/>
          <w:szCs w:val="16"/>
          <w:color w:val="191919"/>
        </w:rPr>
        <w:t>performance share awards that would vest upon achievement of one-year non-GAAP EBITDA growth and three-year TSR percentile ranking against pre-established targets. The Company’s performance under the one-year non-GAAP EBITDA growth performance metric, measured over fiscal year 2019, failed to achieve the threshold performance goal. As a result, no shares were earned by the Named Executive Officers with respect to such metric. The Company’s performance under the three-year TSR percentile ranking performance metric will be determined following fiscal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2731770</wp:posOffset>
            </wp:positionV>
            <wp:extent cx="71361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6130" cy="21590"/>
                    </a:xfrm>
                    <a:prstGeom prst="rect">
                      <a:avLst/>
                    </a:prstGeom>
                    <a:noFill/>
                  </pic:spPr>
                </pic:pic>
              </a:graphicData>
            </a:graphic>
          </wp:anchor>
        </w:drawing>
        <w:drawing>
          <wp:anchor simplePos="0" relativeHeight="251657728" behindDoc="1" locked="0" layoutInCell="0" allowOverlap="1">
            <wp:simplePos x="0" y="0"/>
            <wp:positionH relativeFrom="column">
              <wp:posOffset>-3110865</wp:posOffset>
            </wp:positionH>
            <wp:positionV relativeFrom="paragraph">
              <wp:posOffset>256540</wp:posOffset>
            </wp:positionV>
            <wp:extent cx="5795010" cy="20656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95010" cy="2065655"/>
                    </a:xfrm>
                    <a:prstGeom prst="rect">
                      <a:avLst/>
                    </a:prstGeom>
                    <a:noFill/>
                  </pic:spPr>
                </pic:pic>
              </a:graphicData>
            </a:graphic>
          </wp:anchor>
        </w:drawing>
      </w:r>
    </w:p>
    <w:p>
      <w:pPr>
        <w:sectPr>
          <w:pgSz w:w="11900" w:h="16838" w:orient="portrait"/>
          <w:cols w:equalWidth="0" w:num="2">
            <w:col w:w="5241" w:space="720"/>
            <w:col w:w="5279"/>
          </w:cols>
          <w:pgMar w:left="320" w:top="131"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Compensation Best Practices</w:t>
      </w:r>
    </w:p>
    <w:p>
      <w:pPr>
        <w:spacing w:after="0" w:line="199" w:lineRule="exact"/>
        <w:rPr>
          <w:sz w:val="20"/>
          <w:szCs w:val="20"/>
          <w:color w:val="auto"/>
        </w:rPr>
      </w:pPr>
    </w:p>
    <w:p>
      <w:pPr>
        <w:spacing w:after="0"/>
        <w:rPr>
          <w:sz w:val="20"/>
          <w:szCs w:val="20"/>
          <w:color w:val="auto"/>
        </w:rPr>
      </w:pPr>
      <w:r>
        <w:rPr>
          <w:rFonts w:ascii="Arial" w:cs="Arial" w:eastAsia="Arial" w:hAnsi="Arial"/>
          <w:sz w:val="24"/>
          <w:szCs w:val="24"/>
          <w:b w:val="1"/>
          <w:bCs w:val="1"/>
          <w:color w:val="02568A"/>
        </w:rPr>
        <w:t>What We Do</w:t>
      </w:r>
    </w:p>
    <w:p>
      <w:pPr>
        <w:spacing w:after="0" w:line="271" w:lineRule="exact"/>
        <w:rPr>
          <w:sz w:val="20"/>
          <w:szCs w:val="20"/>
          <w:color w:val="auto"/>
        </w:rPr>
      </w:pPr>
    </w:p>
    <w:p>
      <w:pPr>
        <w:ind w:left="580" w:right="640"/>
        <w:spacing w:after="0" w:line="268" w:lineRule="auto"/>
        <w:rPr>
          <w:sz w:val="20"/>
          <w:szCs w:val="20"/>
          <w:color w:val="auto"/>
        </w:rPr>
      </w:pPr>
      <w:r>
        <w:rPr>
          <w:rFonts w:ascii="Arial" w:cs="Arial" w:eastAsia="Arial" w:hAnsi="Arial"/>
          <w:sz w:val="18"/>
          <w:szCs w:val="18"/>
          <w:color w:val="02568A"/>
        </w:rPr>
        <w:t>Heavily weight executive compensation toward “at risk,” performance-based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6256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6"/>
          <w:szCs w:val="16"/>
          <w:color w:val="02568A"/>
        </w:rPr>
        <w:t>Balance short-term and long-term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6256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296" w:lineRule="exact"/>
        <w:rPr>
          <w:sz w:val="20"/>
          <w:szCs w:val="20"/>
          <w:color w:val="auto"/>
        </w:rPr>
      </w:pPr>
    </w:p>
    <w:p>
      <w:pPr>
        <w:ind w:left="580"/>
        <w:spacing w:after="0"/>
        <w:rPr>
          <w:sz w:val="20"/>
          <w:szCs w:val="20"/>
          <w:color w:val="auto"/>
        </w:rPr>
      </w:pPr>
      <w:r>
        <w:rPr>
          <w:rFonts w:ascii="Arial" w:cs="Arial" w:eastAsia="Arial" w:hAnsi="Arial"/>
          <w:sz w:val="18"/>
          <w:szCs w:val="18"/>
          <w:color w:val="02568A"/>
        </w:rPr>
        <w:t>Use multi-year vesting for executive officer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6256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273" w:lineRule="exact"/>
        <w:rPr>
          <w:sz w:val="20"/>
          <w:szCs w:val="20"/>
          <w:color w:val="auto"/>
        </w:rPr>
      </w:pPr>
    </w:p>
    <w:p>
      <w:pPr>
        <w:ind w:left="580" w:right="520"/>
        <w:spacing w:after="0" w:line="268" w:lineRule="auto"/>
        <w:rPr>
          <w:sz w:val="20"/>
          <w:szCs w:val="20"/>
          <w:color w:val="auto"/>
        </w:rPr>
      </w:pPr>
      <w:r>
        <w:rPr>
          <w:rFonts w:ascii="Arial" w:cs="Arial" w:eastAsia="Arial" w:hAnsi="Arial"/>
          <w:sz w:val="18"/>
          <w:szCs w:val="18"/>
          <w:color w:val="02568A"/>
        </w:rPr>
        <w:t>Base half of annual performance share award on three-year relative TSR performance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62560"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2560" cy="162560"/>
                    </a:xfrm>
                    <a:prstGeom prst="rect">
                      <a:avLst/>
                    </a:prstGeom>
                    <a:noFill/>
                  </pic:spPr>
                </pic:pic>
              </a:graphicData>
            </a:graphic>
          </wp:anchor>
        </w:drawing>
      </w:r>
    </w:p>
    <w:p>
      <w:pPr>
        <w:spacing w:after="0" w:line="193" w:lineRule="exact"/>
        <w:rPr>
          <w:sz w:val="20"/>
          <w:szCs w:val="20"/>
          <w:color w:val="auto"/>
        </w:rPr>
      </w:pPr>
    </w:p>
    <w:p>
      <w:pPr>
        <w:ind w:left="580" w:right="60"/>
        <w:spacing w:after="0" w:line="268" w:lineRule="auto"/>
        <w:rPr>
          <w:sz w:val="20"/>
          <w:szCs w:val="20"/>
          <w:color w:val="auto"/>
        </w:rPr>
      </w:pPr>
      <w:r>
        <w:rPr>
          <w:rFonts w:ascii="Arial" w:cs="Arial" w:eastAsia="Arial" w:hAnsi="Arial"/>
          <w:sz w:val="18"/>
          <w:szCs w:val="18"/>
          <w:color w:val="02568A"/>
        </w:rPr>
        <w:t>Maintain robust stock ownership guidelines for executive officers and non-executive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62560"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193" w:lineRule="exact"/>
        <w:rPr>
          <w:sz w:val="20"/>
          <w:szCs w:val="20"/>
          <w:color w:val="auto"/>
        </w:rPr>
      </w:pPr>
    </w:p>
    <w:p>
      <w:pPr>
        <w:ind w:left="580" w:right="680"/>
        <w:spacing w:after="0" w:line="268" w:lineRule="auto"/>
        <w:rPr>
          <w:sz w:val="20"/>
          <w:szCs w:val="20"/>
          <w:color w:val="auto"/>
        </w:rPr>
      </w:pPr>
      <w:r>
        <w:rPr>
          <w:rFonts w:ascii="Arial" w:cs="Arial" w:eastAsia="Arial" w:hAnsi="Arial"/>
          <w:sz w:val="18"/>
          <w:szCs w:val="18"/>
          <w:color w:val="02568A"/>
        </w:rPr>
        <w:t>Structure our executive officer compensation program to encourage appropriate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62560"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193" w:lineRule="exact"/>
        <w:rPr>
          <w:sz w:val="20"/>
          <w:szCs w:val="20"/>
          <w:color w:val="auto"/>
        </w:rPr>
      </w:pPr>
    </w:p>
    <w:p>
      <w:pPr>
        <w:ind w:left="580" w:right="240"/>
        <w:spacing w:after="0" w:line="268" w:lineRule="auto"/>
        <w:rPr>
          <w:sz w:val="20"/>
          <w:szCs w:val="20"/>
          <w:color w:val="auto"/>
        </w:rPr>
      </w:pPr>
      <w:r>
        <w:rPr>
          <w:rFonts w:ascii="Arial" w:cs="Arial" w:eastAsia="Arial" w:hAnsi="Arial"/>
          <w:sz w:val="18"/>
          <w:szCs w:val="18"/>
          <w:color w:val="02568A"/>
        </w:rPr>
        <w:t>Benchmark pay practices against selected peer companies with whom we compete for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62560"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193" w:lineRule="exact"/>
        <w:rPr>
          <w:sz w:val="20"/>
          <w:szCs w:val="20"/>
          <w:color w:val="auto"/>
        </w:rPr>
      </w:pPr>
    </w:p>
    <w:p>
      <w:pPr>
        <w:ind w:left="580" w:right="160"/>
        <w:spacing w:after="0" w:line="268" w:lineRule="auto"/>
        <w:rPr>
          <w:sz w:val="20"/>
          <w:szCs w:val="20"/>
          <w:color w:val="auto"/>
        </w:rPr>
      </w:pPr>
      <w:r>
        <w:rPr>
          <w:rFonts w:ascii="Arial" w:cs="Arial" w:eastAsia="Arial" w:hAnsi="Arial"/>
          <w:sz w:val="18"/>
          <w:szCs w:val="18"/>
          <w:color w:val="02568A"/>
        </w:rPr>
        <w:t>Solicit advice from the Compensation Committee’s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6256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02568A"/>
        </w:rPr>
        <w:t>Hold annual “Say-on-Pay” advisory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62560"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2560" cy="162560"/>
                    </a:xfrm>
                    <a:prstGeom prst="rect">
                      <a:avLst/>
                    </a:prstGeom>
                    <a:noFill/>
                  </pic:spPr>
                </pic:pic>
              </a:graphicData>
            </a:graphic>
          </wp:anchor>
        </w:drawing>
      </w:r>
    </w:p>
    <w:p>
      <w:pPr>
        <w:spacing w:after="0" w:line="273" w:lineRule="exact"/>
        <w:rPr>
          <w:sz w:val="20"/>
          <w:szCs w:val="20"/>
          <w:color w:val="auto"/>
        </w:rPr>
      </w:pPr>
    </w:p>
    <w:p>
      <w:pPr>
        <w:ind w:left="580" w:right="60"/>
        <w:spacing w:after="0" w:line="268" w:lineRule="auto"/>
        <w:rPr>
          <w:sz w:val="20"/>
          <w:szCs w:val="20"/>
          <w:color w:val="auto"/>
        </w:rPr>
      </w:pPr>
      <w:r>
        <w:rPr>
          <w:rFonts w:ascii="Arial" w:cs="Arial" w:eastAsia="Arial" w:hAnsi="Arial"/>
          <w:sz w:val="18"/>
          <w:szCs w:val="18"/>
          <w:color w:val="02568A"/>
        </w:rPr>
        <w:t>Conduct regular engagement with stockholders on compensation-related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62560"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256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4"/>
          <w:szCs w:val="24"/>
          <w:b w:val="1"/>
          <w:bCs w:val="1"/>
          <w:color w:val="000001"/>
        </w:rPr>
        <w:t>What We Don’t Do</w:t>
      </w:r>
    </w:p>
    <w:p>
      <w:pPr>
        <w:spacing w:after="0" w:line="271" w:lineRule="exact"/>
        <w:rPr>
          <w:sz w:val="20"/>
          <w:szCs w:val="20"/>
          <w:color w:val="auto"/>
        </w:rPr>
      </w:pPr>
    </w:p>
    <w:p>
      <w:pPr>
        <w:ind w:left="560"/>
        <w:spacing w:after="0"/>
        <w:rPr>
          <w:sz w:val="20"/>
          <w:szCs w:val="20"/>
          <w:color w:val="auto"/>
        </w:rPr>
      </w:pPr>
      <w:r>
        <w:rPr>
          <w:rFonts w:ascii="Arial" w:cs="Arial" w:eastAsia="Arial" w:hAnsi="Arial"/>
          <w:sz w:val="18"/>
          <w:szCs w:val="18"/>
          <w:color w:val="000001"/>
        </w:rPr>
        <w:t>Guarantee bonus payments or base salary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-125730</wp:posOffset>
            </wp:positionV>
            <wp:extent cx="162560"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color w:val="000001"/>
        </w:rPr>
        <w:t>Provide single-trigger change-in-control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-125730</wp:posOffset>
            </wp:positionV>
            <wp:extent cx="162560"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273" w:lineRule="exact"/>
        <w:rPr>
          <w:sz w:val="20"/>
          <w:szCs w:val="20"/>
          <w:color w:val="auto"/>
        </w:rPr>
      </w:pPr>
    </w:p>
    <w:p>
      <w:pPr>
        <w:ind w:left="560" w:right="40"/>
        <w:spacing w:after="0" w:line="268" w:lineRule="auto"/>
        <w:rPr>
          <w:sz w:val="20"/>
          <w:szCs w:val="20"/>
          <w:color w:val="auto"/>
        </w:rPr>
      </w:pPr>
      <w:r>
        <w:rPr>
          <w:rFonts w:ascii="Arial" w:cs="Arial" w:eastAsia="Arial" w:hAnsi="Arial"/>
          <w:sz w:val="18"/>
          <w:szCs w:val="18"/>
          <w:color w:val="000001"/>
        </w:rPr>
        <w:t>Provide excise tax gross-up payments in connection with a change in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-287655</wp:posOffset>
            </wp:positionV>
            <wp:extent cx="162560" cy="16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2560" cy="162560"/>
                    </a:xfrm>
                    <a:prstGeom prst="rect">
                      <a:avLst/>
                    </a:prstGeom>
                    <a:noFill/>
                  </pic:spPr>
                </pic:pic>
              </a:graphicData>
            </a:graphic>
          </wp:anchor>
        </w:drawing>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000001"/>
        </w:rPr>
        <w:t>Provide excessive perquisites to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-125730</wp:posOffset>
            </wp:positionV>
            <wp:extent cx="162560" cy="162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2560" cy="162560"/>
                    </a:xfrm>
                    <a:prstGeom prst="rect">
                      <a:avLst/>
                    </a:prstGeom>
                    <a:noFill/>
                  </pic:spPr>
                </pic:pic>
              </a:graphicData>
            </a:graphic>
          </wp:anchor>
        </w:drawing>
      </w:r>
    </w:p>
    <w:p>
      <w:pPr>
        <w:spacing w:after="0" w:line="273" w:lineRule="exact"/>
        <w:rPr>
          <w:sz w:val="20"/>
          <w:szCs w:val="20"/>
          <w:color w:val="auto"/>
        </w:rPr>
      </w:pPr>
    </w:p>
    <w:p>
      <w:pPr>
        <w:ind w:left="560" w:right="280"/>
        <w:spacing w:after="0" w:line="268" w:lineRule="auto"/>
        <w:rPr>
          <w:sz w:val="20"/>
          <w:szCs w:val="20"/>
          <w:color w:val="auto"/>
        </w:rPr>
      </w:pPr>
      <w:r>
        <w:rPr>
          <w:rFonts w:ascii="Arial" w:cs="Arial" w:eastAsia="Arial" w:hAnsi="Arial"/>
          <w:sz w:val="18"/>
          <w:szCs w:val="18"/>
          <w:color w:val="000001"/>
        </w:rPr>
        <w:t>Provide retirement or pension benefits to our executive officers that are not available to employees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-287655</wp:posOffset>
            </wp:positionV>
            <wp:extent cx="16256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193" w:lineRule="exact"/>
        <w:rPr>
          <w:sz w:val="20"/>
          <w:szCs w:val="20"/>
          <w:color w:val="auto"/>
        </w:rPr>
      </w:pPr>
    </w:p>
    <w:p>
      <w:pPr>
        <w:ind w:left="560" w:right="460"/>
        <w:spacing w:after="0" w:line="268" w:lineRule="auto"/>
        <w:rPr>
          <w:sz w:val="20"/>
          <w:szCs w:val="20"/>
          <w:color w:val="auto"/>
        </w:rPr>
      </w:pPr>
      <w:r>
        <w:rPr>
          <w:rFonts w:ascii="Arial" w:cs="Arial" w:eastAsia="Arial" w:hAnsi="Arial"/>
          <w:sz w:val="18"/>
          <w:szCs w:val="18"/>
          <w:color w:val="000001"/>
        </w:rPr>
        <w:t>Permit hedging or other forms of speculative transactions by employees 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-287655</wp:posOffset>
            </wp:positionV>
            <wp:extent cx="162560"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000001"/>
        </w:rPr>
        <w:t>Permit pledging by employees 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-125730</wp:posOffset>
            </wp:positionV>
            <wp:extent cx="162560"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273" w:lineRule="exact"/>
        <w:rPr>
          <w:sz w:val="20"/>
          <w:szCs w:val="20"/>
          <w:color w:val="auto"/>
        </w:rPr>
      </w:pPr>
    </w:p>
    <w:p>
      <w:pPr>
        <w:ind w:left="560" w:right="480"/>
        <w:spacing w:after="0" w:line="268" w:lineRule="auto"/>
        <w:rPr>
          <w:sz w:val="20"/>
          <w:szCs w:val="20"/>
          <w:color w:val="auto"/>
        </w:rPr>
      </w:pPr>
      <w:r>
        <w:rPr>
          <w:rFonts w:ascii="Arial" w:cs="Arial" w:eastAsia="Arial" w:hAnsi="Arial"/>
          <w:sz w:val="18"/>
          <w:szCs w:val="18"/>
          <w:color w:val="000001"/>
        </w:rPr>
        <w:t>Allow for the repricing of stock options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-287655</wp:posOffset>
            </wp:positionV>
            <wp:extent cx="16256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193" w:lineRule="exact"/>
        <w:rPr>
          <w:sz w:val="20"/>
          <w:szCs w:val="20"/>
          <w:color w:val="auto"/>
        </w:rPr>
      </w:pPr>
    </w:p>
    <w:p>
      <w:pPr>
        <w:ind w:left="560" w:right="200"/>
        <w:spacing w:after="0" w:line="268" w:lineRule="auto"/>
        <w:rPr>
          <w:sz w:val="20"/>
          <w:szCs w:val="20"/>
          <w:color w:val="auto"/>
        </w:rPr>
      </w:pPr>
      <w:r>
        <w:rPr>
          <w:rFonts w:ascii="Arial" w:cs="Arial" w:eastAsia="Arial" w:hAnsi="Arial"/>
          <w:sz w:val="18"/>
          <w:szCs w:val="18"/>
          <w:color w:val="000001"/>
        </w:rPr>
        <w:t>Pay dividends or dividend equivalents on unearned performance shares or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-287655</wp:posOffset>
            </wp:positionV>
            <wp:extent cx="16256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193" w:lineRule="exact"/>
        <w:rPr>
          <w:sz w:val="20"/>
          <w:szCs w:val="20"/>
          <w:color w:val="auto"/>
        </w:rPr>
      </w:pPr>
    </w:p>
    <w:p>
      <w:pPr>
        <w:ind w:left="560" w:right="400"/>
        <w:spacing w:after="0" w:line="268" w:lineRule="auto"/>
        <w:rPr>
          <w:sz w:val="20"/>
          <w:szCs w:val="20"/>
          <w:color w:val="auto"/>
        </w:rPr>
      </w:pPr>
      <w:r>
        <w:rPr>
          <w:rFonts w:ascii="Arial" w:cs="Arial" w:eastAsia="Arial" w:hAnsi="Arial"/>
          <w:sz w:val="18"/>
          <w:szCs w:val="18"/>
          <w:color w:val="000001"/>
        </w:rPr>
        <w:t>Include “evergreen” provisions or “liberal” change-in-control definitions in our equity incentive award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234950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-287655</wp:posOffset>
            </wp:positionV>
            <wp:extent cx="16256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375" w:lineRule="exact"/>
        <w:rPr>
          <w:sz w:val="20"/>
          <w:szCs w:val="20"/>
          <w:color w:val="auto"/>
        </w:rPr>
      </w:pPr>
    </w:p>
    <w:p>
      <w:pPr>
        <w:sectPr>
          <w:pgSz w:w="11900" w:h="16838" w:orient="portrait"/>
          <w:cols w:equalWidth="0" w:num="2">
            <w:col w:w="5240" w:space="720"/>
            <w:col w:w="5280"/>
          </w:cols>
          <w:pgMar w:left="320" w:top="131" w:right="33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8"/>
          <w:szCs w:val="28"/>
          <w:b w:val="1"/>
          <w:bCs w:val="1"/>
          <w:color w:val="02568A"/>
        </w:rPr>
        <w:t>Compensation Discussion and Analysis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880" w:type="dxa"/>
            <w:vAlign w:val="bottom"/>
            <w:gridSpan w:val="7"/>
          </w:tcPr>
          <w:p>
            <w:pPr>
              <w:spacing w:after="0"/>
              <w:rPr>
                <w:rFonts w:ascii="Arial" w:cs="Arial" w:eastAsia="Arial" w:hAnsi="Arial"/>
                <w:sz w:val="18"/>
                <w:szCs w:val="18"/>
                <w:b w:val="1"/>
                <w:bCs w:val="1"/>
                <w:color w:val="02568A"/>
              </w:rPr>
            </w:pPr>
            <w:hyperlink w:anchor="page38">
              <w:r>
                <w:rPr>
                  <w:rFonts w:ascii="Arial" w:cs="Arial" w:eastAsia="Arial" w:hAnsi="Arial"/>
                  <w:sz w:val="18"/>
                  <w:szCs w:val="18"/>
                  <w:b w:val="1"/>
                  <w:bCs w:val="1"/>
                  <w:color w:val="02568A"/>
                </w:rPr>
                <w:t>Named Executive Officers</w:t>
              </w:r>
            </w:hyperlink>
          </w:p>
        </w:tc>
        <w:tc>
          <w:tcPr>
            <w:tcW w:w="180" w:type="dxa"/>
            <w:vAlign w:val="bottom"/>
          </w:tcPr>
          <w:p>
            <w:pPr>
              <w:jc w:val="right"/>
              <w:spacing w:after="0"/>
              <w:rPr>
                <w:rFonts w:ascii="Arial" w:cs="Arial" w:eastAsia="Arial" w:hAnsi="Arial"/>
                <w:sz w:val="18"/>
                <w:szCs w:val="18"/>
                <w:b w:val="1"/>
                <w:bCs w:val="1"/>
                <w:color w:val="02568A"/>
                <w:w w:val="79"/>
              </w:rPr>
            </w:pPr>
            <w:hyperlink w:anchor="page38">
              <w:r>
                <w:rPr>
                  <w:rFonts w:ascii="Arial" w:cs="Arial" w:eastAsia="Arial" w:hAnsi="Arial"/>
                  <w:sz w:val="18"/>
                  <w:szCs w:val="18"/>
                  <w:b w:val="1"/>
                  <w:bCs w:val="1"/>
                  <w:color w:val="02568A"/>
                  <w:w w:val="79"/>
                </w:rPr>
                <w:t>42</w:t>
              </w:r>
            </w:hyperlink>
          </w:p>
        </w:tc>
      </w:tr>
      <w:tr>
        <w:trPr>
          <w:trHeight w:val="20"/>
        </w:trPr>
        <w:tc>
          <w:tcPr>
            <w:tcW w:w="1280" w:type="dxa"/>
            <w:vAlign w:val="bottom"/>
            <w:shd w:val="clear" w:color="auto" w:fill="02568A"/>
          </w:tcPr>
          <w:p>
            <w:pPr>
              <w:spacing w:after="0" w:line="20" w:lineRule="exact"/>
              <w:rPr>
                <w:sz w:val="1"/>
                <w:szCs w:val="1"/>
                <w:color w:val="auto"/>
              </w:rPr>
            </w:pPr>
          </w:p>
        </w:tc>
        <w:tc>
          <w:tcPr>
            <w:tcW w:w="680" w:type="dxa"/>
            <w:vAlign w:val="bottom"/>
            <w:shd w:val="clear" w:color="auto" w:fill="02568A"/>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2568A"/>
          </w:tcPr>
          <w:p>
            <w:pPr>
              <w:spacing w:after="0" w:line="20" w:lineRule="exact"/>
              <w:rPr>
                <w:sz w:val="1"/>
                <w:szCs w:val="1"/>
                <w:color w:val="auto"/>
              </w:rPr>
            </w:pPr>
          </w:p>
        </w:tc>
      </w:tr>
      <w:tr>
        <w:trPr>
          <w:trHeight w:val="439"/>
        </w:trPr>
        <w:tc>
          <w:tcPr>
            <w:tcW w:w="3880" w:type="dxa"/>
            <w:vAlign w:val="bottom"/>
            <w:gridSpan w:val="7"/>
          </w:tcPr>
          <w:p>
            <w:pPr>
              <w:spacing w:after="0"/>
              <w:rPr>
                <w:rFonts w:ascii="Arial" w:cs="Arial" w:eastAsia="Arial" w:hAnsi="Arial"/>
                <w:sz w:val="18"/>
                <w:szCs w:val="18"/>
                <w:b w:val="1"/>
                <w:bCs w:val="1"/>
                <w:color w:val="02568A"/>
              </w:rPr>
            </w:pPr>
            <w:hyperlink w:anchor="page38">
              <w:r>
                <w:rPr>
                  <w:rFonts w:ascii="Arial" w:cs="Arial" w:eastAsia="Arial" w:hAnsi="Arial"/>
                  <w:sz w:val="18"/>
                  <w:szCs w:val="18"/>
                  <w:b w:val="1"/>
                  <w:bCs w:val="1"/>
                  <w:color w:val="02568A"/>
                </w:rPr>
                <w:t>Response to Stockholder Vote on Executive</w:t>
              </w:r>
            </w:hyperlink>
          </w:p>
        </w:tc>
        <w:tc>
          <w:tcPr>
            <w:tcW w:w="180" w:type="dxa"/>
            <w:vAlign w:val="bottom"/>
          </w:tcPr>
          <w:p>
            <w:pPr>
              <w:spacing w:after="0"/>
              <w:rPr>
                <w:sz w:val="24"/>
                <w:szCs w:val="24"/>
                <w:color w:val="auto"/>
              </w:rPr>
            </w:pPr>
          </w:p>
        </w:tc>
      </w:tr>
      <w:tr>
        <w:trPr>
          <w:trHeight w:val="196"/>
        </w:trPr>
        <w:tc>
          <w:tcPr>
            <w:tcW w:w="3220" w:type="dxa"/>
            <w:vAlign w:val="bottom"/>
            <w:tcBorders>
              <w:top w:val="single" w:sz="8" w:color="02568A"/>
            </w:tcBorders>
            <w:gridSpan w:val="5"/>
          </w:tcPr>
          <w:p>
            <w:pPr>
              <w:spacing w:after="0" w:line="196" w:lineRule="exact"/>
              <w:rPr>
                <w:rFonts w:ascii="Arial" w:cs="Arial" w:eastAsia="Arial" w:hAnsi="Arial"/>
                <w:sz w:val="18"/>
                <w:szCs w:val="18"/>
                <w:b w:val="1"/>
                <w:bCs w:val="1"/>
                <w:color w:val="02568A"/>
                <w:w w:val="96"/>
              </w:rPr>
            </w:pPr>
            <w:hyperlink w:anchor="page38">
              <w:r>
                <w:rPr>
                  <w:rFonts w:ascii="Arial" w:cs="Arial" w:eastAsia="Arial" w:hAnsi="Arial"/>
                  <w:sz w:val="18"/>
                  <w:szCs w:val="18"/>
                  <w:b w:val="1"/>
                  <w:bCs w:val="1"/>
                  <w:color w:val="02568A"/>
                  <w:w w:val="96"/>
                </w:rPr>
                <w:t>Compensation at 2019 Annual Meeting</w:t>
              </w:r>
            </w:hyperlink>
          </w:p>
        </w:tc>
        <w:tc>
          <w:tcPr>
            <w:tcW w:w="660" w:type="dxa"/>
            <w:vAlign w:val="bottom"/>
            <w:gridSpan w:val="2"/>
          </w:tcPr>
          <w:p>
            <w:pPr>
              <w:spacing w:after="0"/>
              <w:rPr>
                <w:sz w:val="17"/>
                <w:szCs w:val="17"/>
                <w:color w:val="auto"/>
              </w:rPr>
            </w:pPr>
          </w:p>
        </w:tc>
        <w:tc>
          <w:tcPr>
            <w:tcW w:w="180" w:type="dxa"/>
            <w:vAlign w:val="bottom"/>
          </w:tcPr>
          <w:p>
            <w:pPr>
              <w:jc w:val="right"/>
              <w:spacing w:after="0" w:line="196" w:lineRule="exact"/>
              <w:rPr>
                <w:rFonts w:ascii="Arial" w:cs="Arial" w:eastAsia="Arial" w:hAnsi="Arial"/>
                <w:sz w:val="18"/>
                <w:szCs w:val="18"/>
                <w:b w:val="1"/>
                <w:bCs w:val="1"/>
                <w:color w:val="02568A"/>
                <w:w w:val="79"/>
              </w:rPr>
            </w:pPr>
            <w:hyperlink w:anchor="page38">
              <w:r>
                <w:rPr>
                  <w:rFonts w:ascii="Arial" w:cs="Arial" w:eastAsia="Arial" w:hAnsi="Arial"/>
                  <w:sz w:val="18"/>
                  <w:szCs w:val="18"/>
                  <w:b w:val="1"/>
                  <w:bCs w:val="1"/>
                  <w:color w:val="02568A"/>
                  <w:w w:val="79"/>
                </w:rPr>
                <w:t>42</w:t>
              </w:r>
            </w:hyperlink>
          </w:p>
        </w:tc>
      </w:tr>
      <w:tr>
        <w:trPr>
          <w:trHeight w:val="20"/>
        </w:trPr>
        <w:tc>
          <w:tcPr>
            <w:tcW w:w="1280" w:type="dxa"/>
            <w:vAlign w:val="bottom"/>
            <w:shd w:val="clear" w:color="auto" w:fill="02568A"/>
          </w:tcPr>
          <w:p>
            <w:pPr>
              <w:spacing w:after="0" w:line="20" w:lineRule="exact"/>
              <w:rPr>
                <w:sz w:val="1"/>
                <w:szCs w:val="1"/>
                <w:color w:val="auto"/>
              </w:rPr>
            </w:pPr>
          </w:p>
        </w:tc>
        <w:tc>
          <w:tcPr>
            <w:tcW w:w="980" w:type="dxa"/>
            <w:vAlign w:val="bottom"/>
            <w:gridSpan w:val="2"/>
            <w:shd w:val="clear" w:color="auto" w:fill="02568A"/>
          </w:tcPr>
          <w:p>
            <w:pPr>
              <w:spacing w:after="0" w:line="20" w:lineRule="exact"/>
              <w:rPr>
                <w:sz w:val="1"/>
                <w:szCs w:val="1"/>
                <w:color w:val="auto"/>
              </w:rPr>
            </w:pPr>
          </w:p>
        </w:tc>
        <w:tc>
          <w:tcPr>
            <w:tcW w:w="660" w:type="dxa"/>
            <w:vAlign w:val="bottom"/>
            <w:shd w:val="clear" w:color="auto" w:fill="02568A"/>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2568A"/>
          </w:tcPr>
          <w:p>
            <w:pPr>
              <w:spacing w:after="0" w:line="20" w:lineRule="exact"/>
              <w:rPr>
                <w:sz w:val="1"/>
                <w:szCs w:val="1"/>
                <w:color w:val="auto"/>
              </w:rPr>
            </w:pPr>
          </w:p>
        </w:tc>
      </w:tr>
      <w:tr>
        <w:trPr>
          <w:trHeight w:val="439"/>
        </w:trPr>
        <w:tc>
          <w:tcPr>
            <w:tcW w:w="3880" w:type="dxa"/>
            <w:vAlign w:val="bottom"/>
            <w:gridSpan w:val="7"/>
          </w:tcPr>
          <w:p>
            <w:pPr>
              <w:spacing w:after="0"/>
              <w:rPr>
                <w:rFonts w:ascii="Arial" w:cs="Arial" w:eastAsia="Arial" w:hAnsi="Arial"/>
                <w:sz w:val="18"/>
                <w:szCs w:val="18"/>
                <w:b w:val="1"/>
                <w:bCs w:val="1"/>
                <w:color w:val="02568A"/>
                <w:w w:val="98"/>
              </w:rPr>
            </w:pPr>
            <w:hyperlink w:anchor="page38">
              <w:r>
                <w:rPr>
                  <w:rFonts w:ascii="Arial" w:cs="Arial" w:eastAsia="Arial" w:hAnsi="Arial"/>
                  <w:sz w:val="18"/>
                  <w:szCs w:val="18"/>
                  <w:b w:val="1"/>
                  <w:bCs w:val="1"/>
                  <w:color w:val="02568A"/>
                  <w:w w:val="98"/>
                </w:rPr>
                <w:t>Approach for Determining Form and Amounts</w:t>
              </w:r>
            </w:hyperlink>
          </w:p>
        </w:tc>
        <w:tc>
          <w:tcPr>
            <w:tcW w:w="180" w:type="dxa"/>
            <w:vAlign w:val="bottom"/>
          </w:tcPr>
          <w:p>
            <w:pPr>
              <w:spacing w:after="0"/>
              <w:rPr>
                <w:sz w:val="24"/>
                <w:szCs w:val="24"/>
                <w:color w:val="auto"/>
              </w:rPr>
            </w:pPr>
          </w:p>
        </w:tc>
      </w:tr>
      <w:tr>
        <w:trPr>
          <w:trHeight w:val="196"/>
        </w:trPr>
        <w:tc>
          <w:tcPr>
            <w:tcW w:w="1280" w:type="dxa"/>
            <w:vAlign w:val="bottom"/>
            <w:tcBorders>
              <w:top w:val="single" w:sz="8" w:color="02568A"/>
              <w:bottom w:val="single" w:sz="8" w:color="02568A"/>
            </w:tcBorders>
          </w:tcPr>
          <w:p>
            <w:pPr>
              <w:spacing w:after="0" w:line="196" w:lineRule="exact"/>
              <w:rPr>
                <w:rFonts w:ascii="Arial" w:cs="Arial" w:eastAsia="Arial" w:hAnsi="Arial"/>
                <w:sz w:val="18"/>
                <w:szCs w:val="18"/>
                <w:b w:val="1"/>
                <w:bCs w:val="1"/>
                <w:color w:val="02568A"/>
                <w:w w:val="85"/>
              </w:rPr>
            </w:pPr>
            <w:hyperlink w:anchor="page38">
              <w:r>
                <w:rPr>
                  <w:rFonts w:ascii="Arial" w:cs="Arial" w:eastAsia="Arial" w:hAnsi="Arial"/>
                  <w:sz w:val="18"/>
                  <w:szCs w:val="18"/>
                  <w:b w:val="1"/>
                  <w:bCs w:val="1"/>
                  <w:color w:val="02568A"/>
                  <w:w w:val="85"/>
                </w:rPr>
                <w:t>of Compensation</w:t>
              </w:r>
            </w:hyperlink>
          </w:p>
        </w:tc>
        <w:tc>
          <w:tcPr>
            <w:tcW w:w="2240" w:type="dxa"/>
            <w:vAlign w:val="bottom"/>
            <w:tcBorders>
              <w:top w:val="single" w:sz="8" w:color="02568A"/>
            </w:tcBorders>
            <w:gridSpan w:val="5"/>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02568A"/>
            </w:tcBorders>
          </w:tcPr>
          <w:p>
            <w:pPr>
              <w:jc w:val="right"/>
              <w:spacing w:after="0" w:line="196" w:lineRule="exact"/>
              <w:rPr>
                <w:rFonts w:ascii="Arial" w:cs="Arial" w:eastAsia="Arial" w:hAnsi="Arial"/>
                <w:sz w:val="18"/>
                <w:szCs w:val="18"/>
                <w:b w:val="1"/>
                <w:bCs w:val="1"/>
                <w:color w:val="02568A"/>
                <w:w w:val="79"/>
              </w:rPr>
            </w:pPr>
            <w:hyperlink w:anchor="page38">
              <w:r>
                <w:rPr>
                  <w:rFonts w:ascii="Arial" w:cs="Arial" w:eastAsia="Arial" w:hAnsi="Arial"/>
                  <w:sz w:val="18"/>
                  <w:szCs w:val="18"/>
                  <w:b w:val="1"/>
                  <w:bCs w:val="1"/>
                  <w:color w:val="02568A"/>
                  <w:w w:val="79"/>
                </w:rPr>
                <w:t>42</w:t>
              </w:r>
            </w:hyperlink>
          </w:p>
        </w:tc>
      </w:tr>
      <w:tr>
        <w:trPr>
          <w:trHeight w:val="439"/>
        </w:trPr>
        <w:tc>
          <w:tcPr>
            <w:tcW w:w="3880" w:type="dxa"/>
            <w:vAlign w:val="bottom"/>
            <w:gridSpan w:val="7"/>
          </w:tcPr>
          <w:p>
            <w:pPr>
              <w:spacing w:after="0"/>
              <w:rPr>
                <w:rFonts w:ascii="Arial" w:cs="Arial" w:eastAsia="Arial" w:hAnsi="Arial"/>
                <w:sz w:val="18"/>
                <w:szCs w:val="18"/>
                <w:b w:val="1"/>
                <w:bCs w:val="1"/>
                <w:color w:val="02568A"/>
              </w:rPr>
            </w:pPr>
            <w:hyperlink w:anchor="page40">
              <w:r>
                <w:rPr>
                  <w:rFonts w:ascii="Arial" w:cs="Arial" w:eastAsia="Arial" w:hAnsi="Arial"/>
                  <w:sz w:val="18"/>
                  <w:szCs w:val="18"/>
                  <w:b w:val="1"/>
                  <w:bCs w:val="1"/>
                  <w:color w:val="02568A"/>
                </w:rPr>
                <w:t>Components of Compensation</w:t>
              </w:r>
            </w:hyperlink>
          </w:p>
        </w:tc>
        <w:tc>
          <w:tcPr>
            <w:tcW w:w="180" w:type="dxa"/>
            <w:vAlign w:val="bottom"/>
          </w:tcPr>
          <w:p>
            <w:pPr>
              <w:jc w:val="right"/>
              <w:spacing w:after="0"/>
              <w:rPr>
                <w:rFonts w:ascii="Arial" w:cs="Arial" w:eastAsia="Arial" w:hAnsi="Arial"/>
                <w:sz w:val="18"/>
                <w:szCs w:val="18"/>
                <w:b w:val="1"/>
                <w:bCs w:val="1"/>
                <w:color w:val="02568A"/>
                <w:w w:val="79"/>
              </w:rPr>
            </w:pPr>
            <w:hyperlink w:anchor="page40">
              <w:r>
                <w:rPr>
                  <w:rFonts w:ascii="Arial" w:cs="Arial" w:eastAsia="Arial" w:hAnsi="Arial"/>
                  <w:sz w:val="18"/>
                  <w:szCs w:val="18"/>
                  <w:b w:val="1"/>
                  <w:bCs w:val="1"/>
                  <w:color w:val="02568A"/>
                  <w:w w:val="79"/>
                </w:rPr>
                <w:t>44</w:t>
              </w:r>
            </w:hyperlink>
          </w:p>
        </w:tc>
      </w:tr>
      <w:tr>
        <w:trPr>
          <w:trHeight w:val="20"/>
        </w:trPr>
        <w:tc>
          <w:tcPr>
            <w:tcW w:w="1280" w:type="dxa"/>
            <w:vAlign w:val="bottom"/>
            <w:shd w:val="clear" w:color="auto" w:fill="02568A"/>
          </w:tcPr>
          <w:p>
            <w:pPr>
              <w:spacing w:after="0" w:line="20" w:lineRule="exact"/>
              <w:rPr>
                <w:sz w:val="1"/>
                <w:szCs w:val="1"/>
                <w:color w:val="auto"/>
              </w:rPr>
            </w:pPr>
          </w:p>
        </w:tc>
        <w:tc>
          <w:tcPr>
            <w:tcW w:w="680" w:type="dxa"/>
            <w:vAlign w:val="bottom"/>
            <w:shd w:val="clear" w:color="auto" w:fill="02568A"/>
          </w:tcPr>
          <w:p>
            <w:pPr>
              <w:spacing w:after="0" w:line="20" w:lineRule="exact"/>
              <w:rPr>
                <w:sz w:val="1"/>
                <w:szCs w:val="1"/>
                <w:color w:val="auto"/>
              </w:rPr>
            </w:pPr>
          </w:p>
        </w:tc>
        <w:tc>
          <w:tcPr>
            <w:tcW w:w="300" w:type="dxa"/>
            <w:vAlign w:val="bottom"/>
            <w:shd w:val="clear" w:color="auto" w:fill="02568A"/>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2568A"/>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Borders>
              <w:bottom w:val="single" w:sz="8" w:color="02568A"/>
            </w:tcBorders>
            <w:gridSpan w:val="6"/>
          </w:tcPr>
          <w:p>
            <w:pPr>
              <w:spacing w:after="0"/>
              <w:rPr>
                <w:rFonts w:ascii="Arial" w:cs="Arial" w:eastAsia="Arial" w:hAnsi="Arial"/>
                <w:sz w:val="18"/>
                <w:szCs w:val="18"/>
                <w:b w:val="1"/>
                <w:bCs w:val="1"/>
                <w:color w:val="02568A"/>
                <w:w w:val="86"/>
              </w:rPr>
            </w:pPr>
            <w:hyperlink w:anchor="page47">
              <w:r>
                <w:rPr>
                  <w:rFonts w:ascii="Arial" w:cs="Arial" w:eastAsia="Arial" w:hAnsi="Arial"/>
                  <w:sz w:val="18"/>
                  <w:szCs w:val="18"/>
                  <w:b w:val="1"/>
                  <w:bCs w:val="1"/>
                  <w:color w:val="02568A"/>
                  <w:w w:val="86"/>
                </w:rPr>
                <w:t>Severance and Change-in-Control Benefits</w:t>
              </w:r>
            </w:hyperlink>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02568A"/>
            </w:tcBorders>
          </w:tcPr>
          <w:p>
            <w:pPr>
              <w:jc w:val="right"/>
              <w:spacing w:after="0"/>
              <w:rPr>
                <w:rFonts w:ascii="Arial" w:cs="Arial" w:eastAsia="Arial" w:hAnsi="Arial"/>
                <w:sz w:val="18"/>
                <w:szCs w:val="18"/>
                <w:b w:val="1"/>
                <w:bCs w:val="1"/>
                <w:color w:val="02568A"/>
                <w:w w:val="79"/>
              </w:rPr>
            </w:pPr>
            <w:hyperlink w:anchor="page47">
              <w:r>
                <w:rPr>
                  <w:rFonts w:ascii="Arial" w:cs="Arial" w:eastAsia="Arial" w:hAnsi="Arial"/>
                  <w:sz w:val="18"/>
                  <w:szCs w:val="18"/>
                  <w:b w:val="1"/>
                  <w:bCs w:val="1"/>
                  <w:color w:val="02568A"/>
                  <w:w w:val="79"/>
                </w:rPr>
                <w:t>51</w:t>
              </w:r>
            </w:hyperlink>
          </w:p>
        </w:tc>
      </w:tr>
      <w:tr>
        <w:trPr>
          <w:trHeight w:val="439"/>
        </w:trPr>
        <w:tc>
          <w:tcPr>
            <w:tcW w:w="3540" w:type="dxa"/>
            <w:vAlign w:val="bottom"/>
            <w:gridSpan w:val="7"/>
          </w:tcPr>
          <w:p>
            <w:pPr>
              <w:spacing w:after="0"/>
              <w:rPr>
                <w:rFonts w:ascii="Arial" w:cs="Arial" w:eastAsia="Arial" w:hAnsi="Arial"/>
                <w:sz w:val="18"/>
                <w:szCs w:val="18"/>
                <w:b w:val="1"/>
                <w:bCs w:val="1"/>
                <w:color w:val="02568A"/>
              </w:rPr>
            </w:pPr>
            <w:hyperlink w:anchor="page47">
              <w:r>
                <w:rPr>
                  <w:rFonts w:ascii="Arial" w:cs="Arial" w:eastAsia="Arial" w:hAnsi="Arial"/>
                  <w:sz w:val="18"/>
                  <w:szCs w:val="18"/>
                  <w:b w:val="1"/>
                  <w:bCs w:val="1"/>
                  <w:color w:val="02568A"/>
                </w:rPr>
                <w:t>Executive Officer Stock Ownership</w:t>
              </w:r>
            </w:hyperlink>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2640" w:type="dxa"/>
            <w:vAlign w:val="bottom"/>
            <w:tcBorders>
              <w:top w:val="single" w:sz="8" w:color="02568A"/>
            </w:tcBorders>
            <w:gridSpan w:val="4"/>
          </w:tcPr>
          <w:p>
            <w:pPr>
              <w:spacing w:after="0" w:line="196" w:lineRule="exact"/>
              <w:rPr>
                <w:rFonts w:ascii="Arial" w:cs="Arial" w:eastAsia="Arial" w:hAnsi="Arial"/>
                <w:sz w:val="18"/>
                <w:szCs w:val="18"/>
                <w:b w:val="1"/>
                <w:bCs w:val="1"/>
                <w:color w:val="02568A"/>
              </w:rPr>
            </w:pPr>
            <w:hyperlink w:anchor="page47">
              <w:r>
                <w:rPr>
                  <w:rFonts w:ascii="Arial" w:cs="Arial" w:eastAsia="Arial" w:hAnsi="Arial"/>
                  <w:sz w:val="18"/>
                  <w:szCs w:val="18"/>
                  <w:b w:val="1"/>
                  <w:bCs w:val="1"/>
                  <w:color w:val="02568A"/>
                </w:rPr>
                <w:t>Requirements</w:t>
              </w:r>
            </w:hyperlink>
          </w:p>
        </w:tc>
        <w:tc>
          <w:tcPr>
            <w:tcW w:w="900" w:type="dxa"/>
            <w:vAlign w:val="bottom"/>
            <w:gridSpan w:val="3"/>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b w:val="1"/>
                <w:bCs w:val="1"/>
                <w:color w:val="02568A"/>
              </w:rPr>
            </w:pPr>
            <w:hyperlink w:anchor="page47">
              <w:r>
                <w:rPr>
                  <w:rFonts w:ascii="Arial" w:cs="Arial" w:eastAsia="Arial" w:hAnsi="Arial"/>
                  <w:sz w:val="18"/>
                  <w:szCs w:val="18"/>
                  <w:b w:val="1"/>
                  <w:bCs w:val="1"/>
                  <w:color w:val="02568A"/>
                </w:rPr>
                <w:t>51</w:t>
              </w:r>
            </w:hyperlink>
          </w:p>
        </w:tc>
      </w:tr>
      <w:tr>
        <w:trPr>
          <w:trHeight w:val="20"/>
        </w:trPr>
        <w:tc>
          <w:tcPr>
            <w:tcW w:w="960" w:type="dxa"/>
            <w:vAlign w:val="bottom"/>
            <w:shd w:val="clear" w:color="auto" w:fill="02568A"/>
          </w:tcPr>
          <w:p>
            <w:pPr>
              <w:spacing w:after="0" w:line="20" w:lineRule="exact"/>
              <w:rPr>
                <w:sz w:val="1"/>
                <w:szCs w:val="1"/>
                <w:color w:val="auto"/>
              </w:rPr>
            </w:pPr>
          </w:p>
        </w:tc>
        <w:tc>
          <w:tcPr>
            <w:tcW w:w="80" w:type="dxa"/>
            <w:vAlign w:val="bottom"/>
            <w:shd w:val="clear" w:color="auto" w:fill="02568A"/>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2568A"/>
          </w:tcPr>
          <w:p>
            <w:pPr>
              <w:spacing w:after="0" w:line="20" w:lineRule="exact"/>
              <w:rPr>
                <w:sz w:val="1"/>
                <w:szCs w:val="1"/>
                <w:color w:val="auto"/>
              </w:rPr>
            </w:pPr>
          </w:p>
        </w:tc>
      </w:tr>
      <w:tr>
        <w:trPr>
          <w:trHeight w:val="439"/>
        </w:trPr>
        <w:tc>
          <w:tcPr>
            <w:tcW w:w="3200" w:type="dxa"/>
            <w:vAlign w:val="bottom"/>
            <w:tcBorders>
              <w:bottom w:val="single" w:sz="8" w:color="02568A"/>
            </w:tcBorders>
            <w:gridSpan w:val="6"/>
          </w:tcPr>
          <w:p>
            <w:pPr>
              <w:spacing w:after="0"/>
              <w:rPr>
                <w:rFonts w:ascii="Arial" w:cs="Arial" w:eastAsia="Arial" w:hAnsi="Arial"/>
                <w:sz w:val="18"/>
                <w:szCs w:val="18"/>
                <w:b w:val="1"/>
                <w:bCs w:val="1"/>
                <w:color w:val="02568A"/>
                <w:w w:val="89"/>
              </w:rPr>
            </w:pPr>
            <w:hyperlink w:anchor="page48">
              <w:r>
                <w:rPr>
                  <w:rFonts w:ascii="Arial" w:cs="Arial" w:eastAsia="Arial" w:hAnsi="Arial"/>
                  <w:sz w:val="18"/>
                  <w:szCs w:val="18"/>
                  <w:b w:val="1"/>
                  <w:bCs w:val="1"/>
                  <w:color w:val="02568A"/>
                  <w:w w:val="89"/>
                </w:rPr>
                <w:t>Prohibition on Hedging and Certain Other</w:t>
              </w:r>
            </w:hyperlink>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960" w:type="dxa"/>
            <w:vAlign w:val="bottom"/>
            <w:tcBorders>
              <w:bottom w:val="single" w:sz="8" w:color="02568A"/>
            </w:tcBorders>
          </w:tcPr>
          <w:p>
            <w:pPr>
              <w:spacing w:after="0" w:line="196" w:lineRule="exact"/>
              <w:rPr>
                <w:rFonts w:ascii="Arial" w:cs="Arial" w:eastAsia="Arial" w:hAnsi="Arial"/>
                <w:sz w:val="18"/>
                <w:szCs w:val="18"/>
                <w:b w:val="1"/>
                <w:bCs w:val="1"/>
                <w:color w:val="02568A"/>
                <w:w w:val="83"/>
              </w:rPr>
            </w:pPr>
            <w:hyperlink w:anchor="page48">
              <w:r>
                <w:rPr>
                  <w:rFonts w:ascii="Arial" w:cs="Arial" w:eastAsia="Arial" w:hAnsi="Arial"/>
                  <w:sz w:val="18"/>
                  <w:szCs w:val="18"/>
                  <w:b w:val="1"/>
                  <w:bCs w:val="1"/>
                  <w:color w:val="02568A"/>
                  <w:w w:val="83"/>
                </w:rPr>
                <w:t>Transactions</w:t>
              </w:r>
            </w:hyperlink>
          </w:p>
        </w:tc>
        <w:tc>
          <w:tcPr>
            <w:tcW w:w="2580" w:type="dxa"/>
            <w:vAlign w:val="bottom"/>
            <w:gridSpan w:val="6"/>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2568A"/>
            </w:tcBorders>
          </w:tcPr>
          <w:p>
            <w:pPr>
              <w:jc w:val="right"/>
              <w:spacing w:after="0" w:line="196" w:lineRule="exact"/>
              <w:rPr>
                <w:rFonts w:ascii="Arial" w:cs="Arial" w:eastAsia="Arial" w:hAnsi="Arial"/>
                <w:sz w:val="18"/>
                <w:szCs w:val="18"/>
                <w:b w:val="1"/>
                <w:bCs w:val="1"/>
                <w:color w:val="02568A"/>
                <w:w w:val="79"/>
              </w:rPr>
            </w:pPr>
            <w:hyperlink w:anchor="page48">
              <w:r>
                <w:rPr>
                  <w:rFonts w:ascii="Arial" w:cs="Arial" w:eastAsia="Arial" w:hAnsi="Arial"/>
                  <w:sz w:val="18"/>
                  <w:szCs w:val="18"/>
                  <w:b w:val="1"/>
                  <w:bCs w:val="1"/>
                  <w:color w:val="02568A"/>
                  <w:w w:val="79"/>
                </w:rPr>
                <w:t>52</w:t>
              </w:r>
            </w:hyperlink>
          </w:p>
        </w:tc>
      </w:tr>
      <w:tr>
        <w:trPr>
          <w:trHeight w:val="439"/>
        </w:trPr>
        <w:tc>
          <w:tcPr>
            <w:tcW w:w="3540" w:type="dxa"/>
            <w:vAlign w:val="bottom"/>
            <w:gridSpan w:val="7"/>
          </w:tcPr>
          <w:p>
            <w:pPr>
              <w:spacing w:after="0"/>
              <w:rPr>
                <w:rFonts w:ascii="Arial" w:cs="Arial" w:eastAsia="Arial" w:hAnsi="Arial"/>
                <w:sz w:val="18"/>
                <w:szCs w:val="18"/>
                <w:b w:val="1"/>
                <w:bCs w:val="1"/>
                <w:color w:val="02568A"/>
              </w:rPr>
            </w:pPr>
            <w:hyperlink w:anchor="page48">
              <w:r>
                <w:rPr>
                  <w:rFonts w:ascii="Arial" w:cs="Arial" w:eastAsia="Arial" w:hAnsi="Arial"/>
                  <w:sz w:val="18"/>
                  <w:szCs w:val="18"/>
                  <w:b w:val="1"/>
                  <w:bCs w:val="1"/>
                  <w:color w:val="02568A"/>
                </w:rPr>
                <w:t>Compliance with Internal Revenue Code</w:t>
              </w:r>
            </w:hyperlink>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1120" w:type="dxa"/>
            <w:vAlign w:val="bottom"/>
            <w:tcBorders>
              <w:top w:val="single" w:sz="8" w:color="02568A"/>
              <w:bottom w:val="single" w:sz="8" w:color="02568A"/>
            </w:tcBorders>
            <w:gridSpan w:val="3"/>
          </w:tcPr>
          <w:p>
            <w:pPr>
              <w:spacing w:after="0" w:line="196" w:lineRule="exact"/>
              <w:rPr>
                <w:rFonts w:ascii="Arial" w:cs="Arial" w:eastAsia="Arial" w:hAnsi="Arial"/>
                <w:sz w:val="18"/>
                <w:szCs w:val="18"/>
                <w:b w:val="1"/>
                <w:bCs w:val="1"/>
                <w:color w:val="02568A"/>
                <w:w w:val="85"/>
              </w:rPr>
            </w:pPr>
            <w:hyperlink w:anchor="page48">
              <w:r>
                <w:rPr>
                  <w:rFonts w:ascii="Arial" w:cs="Arial" w:eastAsia="Arial" w:hAnsi="Arial"/>
                  <w:sz w:val="18"/>
                  <w:szCs w:val="18"/>
                  <w:b w:val="1"/>
                  <w:bCs w:val="1"/>
                  <w:color w:val="02568A"/>
                  <w:w w:val="85"/>
                </w:rPr>
                <w:t>Section 162(m)</w:t>
              </w:r>
            </w:hyperlink>
          </w:p>
        </w:tc>
        <w:tc>
          <w:tcPr>
            <w:tcW w:w="1920" w:type="dxa"/>
            <w:vAlign w:val="bottom"/>
            <w:tcBorders>
              <w:top w:val="single" w:sz="8" w:color="02568A"/>
            </w:tcBorders>
            <w:gridSpan w:val="2"/>
          </w:tcPr>
          <w:p>
            <w:pPr>
              <w:spacing w:after="0"/>
              <w:rPr>
                <w:sz w:val="17"/>
                <w:szCs w:val="17"/>
                <w:color w:val="auto"/>
              </w:rPr>
            </w:pPr>
          </w:p>
        </w:tc>
        <w:tc>
          <w:tcPr>
            <w:tcW w:w="5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2568A"/>
            </w:tcBorders>
          </w:tcPr>
          <w:p>
            <w:pPr>
              <w:jc w:val="right"/>
              <w:spacing w:after="0" w:line="196" w:lineRule="exact"/>
              <w:rPr>
                <w:rFonts w:ascii="Arial" w:cs="Arial" w:eastAsia="Arial" w:hAnsi="Arial"/>
                <w:sz w:val="18"/>
                <w:szCs w:val="18"/>
                <w:b w:val="1"/>
                <w:bCs w:val="1"/>
                <w:color w:val="02568A"/>
                <w:w w:val="79"/>
              </w:rPr>
            </w:pPr>
            <w:hyperlink w:anchor="page48">
              <w:r>
                <w:rPr>
                  <w:rFonts w:ascii="Arial" w:cs="Arial" w:eastAsia="Arial" w:hAnsi="Arial"/>
                  <w:sz w:val="18"/>
                  <w:szCs w:val="18"/>
                  <w:b w:val="1"/>
                  <w:bCs w:val="1"/>
                  <w:color w:val="02568A"/>
                  <w:w w:val="79"/>
                </w:rPr>
                <w:t>52</w:t>
              </w:r>
            </w:hyperlink>
          </w:p>
        </w:tc>
      </w:tr>
    </w:tbl>
    <w:p>
      <w:pPr>
        <w:spacing w:after="0" w:line="227" w:lineRule="exact"/>
        <w:rPr>
          <w:sz w:val="20"/>
          <w:szCs w:val="20"/>
          <w:color w:val="auto"/>
        </w:rPr>
      </w:pPr>
    </w:p>
    <w:p>
      <w:pPr>
        <w:sectPr>
          <w:pgSz w:w="11900" w:h="16838" w:orient="portrait"/>
          <w:cols w:equalWidth="0" w:num="2">
            <w:col w:w="5780" w:space="720"/>
            <w:col w:w="4740"/>
          </w:cols>
          <w:pgMar w:left="320" w:top="131" w:right="339" w:bottom="1440" w:gutter="0" w:footer="0" w:header="0"/>
          <w:type w:val="continuous"/>
        </w:sectPr>
      </w:pPr>
    </w:p>
    <w:p>
      <w:pPr>
        <w:spacing w:after="0" w:line="245" w:lineRule="exact"/>
        <w:rPr>
          <w:sz w:val="20"/>
          <w:szCs w:val="20"/>
          <w:color w:val="auto"/>
        </w:rPr>
      </w:pPr>
    </w:p>
    <w:p>
      <w:pPr>
        <w:ind w:left="9280"/>
        <w:spacing w:after="0"/>
        <w:rPr>
          <w:sz w:val="20"/>
          <w:szCs w:val="20"/>
          <w:color w:val="auto"/>
        </w:rPr>
      </w:pPr>
      <w:r>
        <w:rPr>
          <w:rFonts w:ascii="Arial" w:cs="Arial" w:eastAsia="Arial" w:hAnsi="Arial"/>
          <w:sz w:val="16"/>
          <w:szCs w:val="16"/>
          <w:color w:val="000001"/>
        </w:rPr>
        <w:t xml:space="preserve">Proxy Statement </w:t>
      </w:r>
      <w:r>
        <w:rPr>
          <w:rFonts w:ascii="Arial" w:cs="Arial" w:eastAsia="Arial" w:hAnsi="Arial"/>
          <w:sz w:val="15"/>
          <w:szCs w:val="15"/>
          <w:b w:val="1"/>
          <w:bCs w:val="1"/>
          <w:color w:val="000001"/>
        </w:rPr>
        <w:t>|</w:t>
      </w:r>
      <w:r>
        <w:rPr>
          <w:rFonts w:ascii="Arial" w:cs="Arial" w:eastAsia="Arial" w:hAnsi="Arial"/>
          <w:sz w:val="16"/>
          <w:szCs w:val="16"/>
          <w:color w:val="000001"/>
        </w:rPr>
        <w:t xml:space="preserve"> </w:t>
      </w:r>
      <w:r>
        <w:rPr>
          <w:rFonts w:ascii="Arial" w:cs="Arial" w:eastAsia="Arial" w:hAnsi="Arial"/>
          <w:sz w:val="16"/>
          <w:szCs w:val="16"/>
          <w:b w:val="1"/>
          <w:bCs w:val="1"/>
          <w:color w:val="000001"/>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361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Named Executive Officers</w:t>
      </w:r>
    </w:p>
    <w:p>
      <w:pPr>
        <w:spacing w:after="0" w:line="219"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191919"/>
        </w:rPr>
        <w:t>This Compensation Discussion and Analysis section discusses the compensation policies and programs for our Chief Executive Officer, our Chief Financial Officer, and our three next most highly paid executive officers during fiscal year 2019 as determined under the rules of the SEC. We refer to this group of executive officers as our “Named Executive Officers.” For fiscal year 2019, our Named Executive Officers were:</w:t>
      </w:r>
    </w:p>
    <w:p>
      <w:pPr>
        <w:spacing w:after="0" w:line="172"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color w:val="191919"/>
        </w:rPr>
      </w:pPr>
      <w:r>
        <w:rPr>
          <w:rFonts w:ascii="Arial" w:cs="Arial" w:eastAsia="Arial" w:hAnsi="Arial"/>
          <w:sz w:val="18"/>
          <w:szCs w:val="18"/>
          <w:color w:val="191919"/>
        </w:rPr>
        <w:t>Liam K. Griffin, President and Chief Executive Officer;</w:t>
      </w:r>
    </w:p>
    <w:p>
      <w:pPr>
        <w:spacing w:after="0" w:line="36" w:lineRule="exact"/>
        <w:rPr>
          <w:rFonts w:ascii="Arial" w:cs="Arial" w:eastAsia="Arial" w:hAnsi="Arial"/>
          <w:sz w:val="18"/>
          <w:szCs w:val="18"/>
          <w:color w:val="191919"/>
        </w:rPr>
      </w:pPr>
    </w:p>
    <w:p>
      <w:pPr>
        <w:ind w:left="540" w:hanging="532"/>
        <w:spacing w:after="0"/>
        <w:tabs>
          <w:tab w:leader="none" w:pos="540" w:val="left"/>
        </w:tabs>
        <w:numPr>
          <w:ilvl w:val="0"/>
          <w:numId w:val="41"/>
        </w:numPr>
        <w:rPr>
          <w:rFonts w:ascii="Arial" w:cs="Arial" w:eastAsia="Arial" w:hAnsi="Arial"/>
          <w:sz w:val="16"/>
          <w:szCs w:val="16"/>
          <w:color w:val="191919"/>
        </w:rPr>
      </w:pPr>
      <w:r>
        <w:rPr>
          <w:rFonts w:ascii="Arial" w:cs="Arial" w:eastAsia="Arial" w:hAnsi="Arial"/>
          <w:sz w:val="16"/>
          <w:szCs w:val="16"/>
          <w:color w:val="191919"/>
        </w:rPr>
        <w:t>Kris Sennesael, Senior Vice President and Chief Financial Officer;</w:t>
      </w:r>
    </w:p>
    <w:p>
      <w:pPr>
        <w:spacing w:after="0" w:line="45" w:lineRule="exact"/>
        <w:rPr>
          <w:rFonts w:ascii="Arial" w:cs="Arial" w:eastAsia="Arial" w:hAnsi="Arial"/>
          <w:sz w:val="16"/>
          <w:szCs w:val="16"/>
          <w:color w:val="191919"/>
        </w:rPr>
      </w:pPr>
    </w:p>
    <w:p>
      <w:pPr>
        <w:ind w:left="540" w:hanging="532"/>
        <w:spacing w:after="0"/>
        <w:tabs>
          <w:tab w:leader="none" w:pos="540" w:val="left"/>
        </w:tabs>
        <w:numPr>
          <w:ilvl w:val="0"/>
          <w:numId w:val="41"/>
        </w:numPr>
        <w:rPr>
          <w:rFonts w:ascii="Arial" w:cs="Arial" w:eastAsia="Arial" w:hAnsi="Arial"/>
          <w:sz w:val="18"/>
          <w:szCs w:val="18"/>
          <w:color w:val="191919"/>
        </w:rPr>
      </w:pPr>
      <w:r>
        <w:rPr>
          <w:rFonts w:ascii="Arial" w:cs="Arial" w:eastAsia="Arial" w:hAnsi="Arial"/>
          <w:sz w:val="18"/>
          <w:szCs w:val="18"/>
          <w:color w:val="191919"/>
        </w:rPr>
        <w:t>Carlos S. Bori, Senior Vice President, Sales and Marketing;</w:t>
      </w:r>
    </w:p>
    <w:p>
      <w:pPr>
        <w:spacing w:after="0" w:line="22" w:lineRule="exact"/>
        <w:rPr>
          <w:rFonts w:ascii="Arial" w:cs="Arial" w:eastAsia="Arial" w:hAnsi="Arial"/>
          <w:sz w:val="18"/>
          <w:szCs w:val="18"/>
          <w:color w:val="191919"/>
        </w:rPr>
      </w:pPr>
    </w:p>
    <w:p>
      <w:pPr>
        <w:ind w:left="540" w:right="520" w:hanging="532"/>
        <w:spacing w:after="0" w:line="254" w:lineRule="auto"/>
        <w:tabs>
          <w:tab w:leader="none" w:pos="540" w:val="left"/>
        </w:tabs>
        <w:numPr>
          <w:ilvl w:val="0"/>
          <w:numId w:val="41"/>
        </w:numPr>
        <w:rPr>
          <w:rFonts w:ascii="Arial" w:cs="Arial" w:eastAsia="Arial" w:hAnsi="Arial"/>
          <w:sz w:val="18"/>
          <w:szCs w:val="18"/>
          <w:color w:val="191919"/>
        </w:rPr>
      </w:pPr>
      <w:r>
        <w:rPr>
          <w:rFonts w:ascii="Arial" w:cs="Arial" w:eastAsia="Arial" w:hAnsi="Arial"/>
          <w:sz w:val="18"/>
          <w:szCs w:val="18"/>
          <w:color w:val="191919"/>
        </w:rPr>
        <w:t>Robert J. Terry, Senior Vice President, General Counsel and Secretary; and</w:t>
      </w:r>
    </w:p>
    <w:p>
      <w:pPr>
        <w:spacing w:after="0" w:line="20" w:lineRule="exact"/>
        <w:rPr>
          <w:rFonts w:ascii="Arial" w:cs="Arial" w:eastAsia="Arial" w:hAnsi="Arial"/>
          <w:sz w:val="18"/>
          <w:szCs w:val="18"/>
          <w:color w:val="191919"/>
        </w:rPr>
      </w:pPr>
    </w:p>
    <w:p>
      <w:pPr>
        <w:ind w:left="540" w:right="160" w:hanging="532"/>
        <w:spacing w:after="0" w:line="259" w:lineRule="auto"/>
        <w:tabs>
          <w:tab w:leader="none" w:pos="540" w:val="left"/>
        </w:tabs>
        <w:numPr>
          <w:ilvl w:val="0"/>
          <w:numId w:val="41"/>
        </w:numPr>
        <w:rPr>
          <w:rFonts w:ascii="Arial" w:cs="Arial" w:eastAsia="Arial" w:hAnsi="Arial"/>
          <w:sz w:val="18"/>
          <w:szCs w:val="18"/>
          <w:color w:val="191919"/>
        </w:rPr>
      </w:pPr>
      <w:r>
        <w:rPr>
          <w:rFonts w:ascii="Arial" w:cs="Arial" w:eastAsia="Arial" w:hAnsi="Arial"/>
          <w:sz w:val="18"/>
          <w:szCs w:val="18"/>
          <w:color w:val="191919"/>
        </w:rPr>
        <w:t>Peter L. Gammel, Former Chief Technology Officer (retired as Chief Technology Officer and as an executive officer effective as of November 19, 2019).</w:t>
      </w:r>
    </w:p>
    <w:p>
      <w:pPr>
        <w:spacing w:after="0" w:line="181"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b w:val="1"/>
          <w:bCs w:val="1"/>
          <w:i w:val="1"/>
          <w:iCs w:val="1"/>
          <w:color w:val="000001"/>
        </w:rPr>
        <w:t>Response to Stockholder Vote on Executive Compensation at 2019 Annual Meeting</w:t>
      </w:r>
    </w:p>
    <w:p>
      <w:pPr>
        <w:spacing w:after="0" w:line="188" w:lineRule="exact"/>
        <w:rPr>
          <w:sz w:val="20"/>
          <w:szCs w:val="20"/>
          <w:color w:val="auto"/>
        </w:rPr>
      </w:pPr>
    </w:p>
    <w:p>
      <w:pPr>
        <w:spacing w:after="0" w:line="312" w:lineRule="auto"/>
        <w:rPr>
          <w:sz w:val="20"/>
          <w:szCs w:val="20"/>
          <w:color w:val="auto"/>
        </w:rPr>
      </w:pPr>
      <w:r>
        <w:rPr>
          <w:rFonts w:ascii="Arial" w:cs="Arial" w:eastAsia="Arial" w:hAnsi="Arial"/>
          <w:sz w:val="15"/>
          <w:szCs w:val="15"/>
          <w:color w:val="191919"/>
        </w:rPr>
        <w:t>At our 2019 Annual Meeting of Stockholders, approximately 72% of the votes cast approved our “Say-on-Pay” proposal—the annual advisory vote regarding the compensation of the Company’s named executive officers. Although we understood this to mean that stockholders generally approved of our compensation policies and determinations in 2019, we also noted that ISS recommended a vote against our Say-on-Pay proposal and that our proposal received lower stockholder support than in prior years.</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191919"/>
        </w:rPr>
        <w:t>In response to these voting results, we engaged in formal stockholder outreach following the 2019 Annual Meeting, soliciting feedback from our top 25 institutional stockholders (not including brokerage firms and quantitative funds who have previously indicated that they do not engage in individual conversations with companies) representing approximately 54% of the Company’s shares outstanding, including a significant portion of those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42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191919"/>
        </w:rPr>
        <w:t>stockholders who we believed had voted “against” the 2019 Say-on-Pay proposal. Stockholders told us that they appreciated the opportunity to engage with management, and conversations covered a variety of governance and compensation-related topics. During our conversations, most of these institutional stockholders expressed approval of the Company’s strategy, performance, and management, as well as support for the Company’s compensation policies, plan designs, and performance metrics. However, nearly all of the stockholders who had voted against the Say-on-Pay proposal, as well as several of the stockholders who had supported the proposal, indicated a strong preference that the Company provide additional disclosure regarding its performance metrics and achievement against those metrics. Some of the stockholders also noted that their votes had been influenced by ISS’s report which recommended against the Say-on-Pay proposal and highlighted concerns about our disclosure of performance metrics and achievement.</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18"/>
          <w:szCs w:val="18"/>
          <w:color w:val="191919"/>
        </w:rPr>
        <w:t>After considering this input from our stockholders and reviewing the disclosure of several of our peer companies, the Company has enhanced its disclosure of performance metrics and achievement, providing additional quantitative disclosure regarding our short-term and long-term incentive award programs.</w:t>
      </w:r>
    </w:p>
    <w:p>
      <w:pPr>
        <w:spacing w:after="0" w:line="188" w:lineRule="exact"/>
        <w:rPr>
          <w:sz w:val="20"/>
          <w:szCs w:val="20"/>
          <w:color w:val="auto"/>
        </w:rPr>
      </w:pPr>
    </w:p>
    <w:p>
      <w:pPr>
        <w:ind w:right="1100"/>
        <w:spacing w:after="0" w:line="250" w:lineRule="auto"/>
        <w:rPr>
          <w:sz w:val="20"/>
          <w:szCs w:val="20"/>
          <w:color w:val="auto"/>
        </w:rPr>
      </w:pPr>
      <w:r>
        <w:rPr>
          <w:rFonts w:ascii="Arial" w:cs="Arial" w:eastAsia="Arial" w:hAnsi="Arial"/>
          <w:sz w:val="22"/>
          <w:szCs w:val="22"/>
          <w:b w:val="1"/>
          <w:bCs w:val="1"/>
          <w:i w:val="1"/>
          <w:iCs w:val="1"/>
          <w:color w:val="000001"/>
        </w:rPr>
        <w:t>Approach for Determining Form and Amounts of Compensation</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191919"/>
        </w:rPr>
        <w:t>The Compensation Committee, which is composed solely of independent directors within the meaning of applicable Nasdaq Rules, outside directors within the meaning of Section 162(m) of the Internal Revenue Code (“IRC”) (solely for purposes of administering any equity awards that may qualify as grandfathered performance-based compensation), and non-employee directors within the meaning of Rule 16b-3 under the Exchange Act, is responsible for determining all components and amounts of compensation to be paid to our Named Executive Officers, as well as any other executive officers or employees who report directly to the Chief Executive Officer. The Compensation Committee sets compensation for the Named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606425</wp:posOffset>
            </wp:positionV>
            <wp:extent cx="71361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2">
            <w:col w:w="5280" w:space="680"/>
            <w:col w:w="5280"/>
          </w:cols>
          <w:pgMar w:left="320" w:top="131"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191919"/>
        </w:rPr>
        <w:t>Officers, including base salary, short-term incentives, and long-term stock-based incentives, at levels generally intended to be competitive with the compensation of comparable executives in semiconductor companies with which the Company competes for executive talent.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02568A"/>
        </w:rPr>
        <w:t>Compensation Program Objectives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191919"/>
        </w:rPr>
        <w:t>The objectives of our executive compensation program are to attract, retain and motivate highly qualified executives to operate our business, and to link the compensation of those executives to improvements in the Company’s financial performance and increases in stockholder value. Accordingly, the Compensation Committee’s goals in establishing our executive compensation program include:</w:t>
      </w:r>
    </w:p>
    <w:p>
      <w:pPr>
        <w:spacing w:after="0" w:line="187" w:lineRule="exact"/>
        <w:rPr>
          <w:sz w:val="20"/>
          <w:szCs w:val="20"/>
          <w:color w:val="auto"/>
        </w:rPr>
      </w:pPr>
    </w:p>
    <w:p>
      <w:pPr>
        <w:ind w:left="540" w:right="140" w:hanging="532"/>
        <w:spacing w:after="0" w:line="284" w:lineRule="auto"/>
        <w:tabs>
          <w:tab w:leader="none" w:pos="540" w:val="left"/>
        </w:tabs>
        <w:numPr>
          <w:ilvl w:val="0"/>
          <w:numId w:val="42"/>
        </w:numPr>
        <w:rPr>
          <w:rFonts w:ascii="Arial" w:cs="Arial" w:eastAsia="Arial" w:hAnsi="Arial"/>
          <w:sz w:val="16"/>
          <w:szCs w:val="16"/>
          <w:color w:val="191919"/>
        </w:rPr>
      </w:pPr>
      <w:r>
        <w:rPr>
          <w:rFonts w:ascii="Arial" w:cs="Arial" w:eastAsia="Arial" w:hAnsi="Arial"/>
          <w:sz w:val="16"/>
          <w:szCs w:val="16"/>
          <w:color w:val="191919"/>
        </w:rPr>
        <w:t>ensuring that our executive compensation program is competitive with a group of companies in the semiconductor industry with which we compete for executive talent;</w:t>
      </w:r>
    </w:p>
    <w:p>
      <w:pPr>
        <w:spacing w:after="0" w:line="21" w:lineRule="exact"/>
        <w:rPr>
          <w:rFonts w:ascii="Arial" w:cs="Arial" w:eastAsia="Arial" w:hAnsi="Arial"/>
          <w:sz w:val="16"/>
          <w:szCs w:val="16"/>
          <w:color w:val="191919"/>
        </w:rPr>
      </w:pPr>
    </w:p>
    <w:p>
      <w:pPr>
        <w:ind w:left="540" w:right="60" w:hanging="532"/>
        <w:spacing w:after="0" w:line="284" w:lineRule="auto"/>
        <w:tabs>
          <w:tab w:leader="none" w:pos="540" w:val="left"/>
        </w:tabs>
        <w:numPr>
          <w:ilvl w:val="0"/>
          <w:numId w:val="42"/>
        </w:numPr>
        <w:rPr>
          <w:rFonts w:ascii="Arial" w:cs="Arial" w:eastAsia="Arial" w:hAnsi="Arial"/>
          <w:sz w:val="16"/>
          <w:szCs w:val="16"/>
          <w:color w:val="191919"/>
        </w:rPr>
      </w:pPr>
      <w:r>
        <w:rPr>
          <w:rFonts w:ascii="Arial" w:cs="Arial" w:eastAsia="Arial" w:hAnsi="Arial"/>
          <w:sz w:val="16"/>
          <w:szCs w:val="16"/>
          <w:color w:val="191919"/>
        </w:rPr>
        <w:t>providing a base salary that serves as the foundation of a compensation package that attracts and retains the executive talent needed to achieve our business objectives;</w:t>
      </w:r>
    </w:p>
    <w:p>
      <w:pPr>
        <w:spacing w:after="0" w:line="8" w:lineRule="exact"/>
        <w:rPr>
          <w:rFonts w:ascii="Arial" w:cs="Arial" w:eastAsia="Arial" w:hAnsi="Arial"/>
          <w:sz w:val="16"/>
          <w:szCs w:val="16"/>
          <w:color w:val="191919"/>
        </w:rPr>
      </w:pPr>
    </w:p>
    <w:p>
      <w:pPr>
        <w:ind w:left="540" w:right="340" w:hanging="532"/>
        <w:spacing w:after="0" w:line="252" w:lineRule="auto"/>
        <w:tabs>
          <w:tab w:leader="none" w:pos="540" w:val="left"/>
        </w:tabs>
        <w:numPr>
          <w:ilvl w:val="0"/>
          <w:numId w:val="42"/>
        </w:numPr>
        <w:rPr>
          <w:rFonts w:ascii="Arial" w:cs="Arial" w:eastAsia="Arial" w:hAnsi="Arial"/>
          <w:sz w:val="18"/>
          <w:szCs w:val="18"/>
          <w:color w:val="191919"/>
        </w:rPr>
      </w:pPr>
      <w:r>
        <w:rPr>
          <w:rFonts w:ascii="Arial" w:cs="Arial" w:eastAsia="Arial" w:hAnsi="Arial"/>
          <w:sz w:val="18"/>
          <w:szCs w:val="18"/>
          <w:color w:val="191919"/>
        </w:rPr>
        <w:t>providing short-term variable compensation that motivates executives and rewards them for achieving Company financial performance targets;</w:t>
      </w:r>
    </w:p>
    <w:p>
      <w:pPr>
        <w:spacing w:after="0" w:line="9" w:lineRule="exact"/>
        <w:rPr>
          <w:rFonts w:ascii="Arial" w:cs="Arial" w:eastAsia="Arial" w:hAnsi="Arial"/>
          <w:sz w:val="18"/>
          <w:szCs w:val="18"/>
          <w:color w:val="191919"/>
        </w:rPr>
      </w:pPr>
    </w:p>
    <w:p>
      <w:pPr>
        <w:ind w:left="540" w:right="60" w:hanging="532"/>
        <w:spacing w:after="0" w:line="284" w:lineRule="auto"/>
        <w:tabs>
          <w:tab w:leader="none" w:pos="540" w:val="left"/>
        </w:tabs>
        <w:numPr>
          <w:ilvl w:val="0"/>
          <w:numId w:val="42"/>
        </w:numPr>
        <w:rPr>
          <w:rFonts w:ascii="Arial" w:cs="Arial" w:eastAsia="Arial" w:hAnsi="Arial"/>
          <w:sz w:val="16"/>
          <w:szCs w:val="16"/>
          <w:color w:val="191919"/>
        </w:rPr>
      </w:pPr>
      <w:r>
        <w:rPr>
          <w:rFonts w:ascii="Arial" w:cs="Arial" w:eastAsia="Arial" w:hAnsi="Arial"/>
          <w:sz w:val="16"/>
          <w:szCs w:val="16"/>
          <w:color w:val="191919"/>
        </w:rPr>
        <w:t>providing long-term stock-based compensation that aligns the interest of our executives with stockholders by rewarding them for long-term increases in stockholder value; and</w:t>
      </w:r>
    </w:p>
    <w:p>
      <w:pPr>
        <w:spacing w:after="0" w:line="21" w:lineRule="exact"/>
        <w:rPr>
          <w:rFonts w:ascii="Arial" w:cs="Arial" w:eastAsia="Arial" w:hAnsi="Arial"/>
          <w:sz w:val="16"/>
          <w:szCs w:val="16"/>
          <w:color w:val="191919"/>
        </w:rPr>
      </w:pPr>
    </w:p>
    <w:p>
      <w:pPr>
        <w:ind w:left="540" w:right="100" w:hanging="532"/>
        <w:spacing w:after="0" w:line="268" w:lineRule="auto"/>
        <w:tabs>
          <w:tab w:leader="none" w:pos="540" w:val="left"/>
        </w:tabs>
        <w:numPr>
          <w:ilvl w:val="0"/>
          <w:numId w:val="42"/>
        </w:numPr>
        <w:rPr>
          <w:rFonts w:ascii="Arial" w:cs="Arial" w:eastAsia="Arial" w:hAnsi="Arial"/>
          <w:sz w:val="18"/>
          <w:szCs w:val="18"/>
          <w:color w:val="191919"/>
        </w:rPr>
      </w:pPr>
      <w:r>
        <w:rPr>
          <w:rFonts w:ascii="Arial" w:cs="Arial" w:eastAsia="Arial" w:hAnsi="Arial"/>
          <w:sz w:val="18"/>
          <w:szCs w:val="18"/>
          <w:color w:val="191919"/>
        </w:rPr>
        <w:t>ensuring that our executive compensation program is perceived as fundamentally fair to our employees.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2568A"/>
        </w:rPr>
        <w:t>Retention of Compensation Consultant</w:t>
      </w:r>
    </w:p>
    <w:p>
      <w:pPr>
        <w:spacing w:after="0" w:line="225" w:lineRule="exact"/>
        <w:rPr>
          <w:sz w:val="20"/>
          <w:szCs w:val="20"/>
          <w:color w:val="auto"/>
        </w:rPr>
      </w:pPr>
    </w:p>
    <w:p>
      <w:pPr>
        <w:ind w:right="80"/>
        <w:spacing w:after="0" w:line="317" w:lineRule="auto"/>
        <w:rPr>
          <w:sz w:val="20"/>
          <w:szCs w:val="20"/>
          <w:color w:val="auto"/>
        </w:rPr>
      </w:pPr>
      <w:r>
        <w:rPr>
          <w:rFonts w:ascii="Arial" w:cs="Arial" w:eastAsia="Arial" w:hAnsi="Arial"/>
          <w:sz w:val="15"/>
          <w:szCs w:val="15"/>
          <w:color w:val="191919"/>
        </w:rPr>
        <w:t>The Compensation Committee has engaged Aon/Radford to assist in determining the components and amount of executive compensation. Aon/Radford reports directly to the Compensation Committee, through its chairman, and the Compensation Committee retains the right to terminate or replace the consultant at any time. The consultant advises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191919"/>
        </w:rPr>
        <w:t>Compensation Committee on such compensation matters as are requested by the Compensation Committee. The Compensation Committee considers the consultant’s advice on such matters in addition to any other information or factors it considers relevant in making its compensation determinations. In fiscal year 2019, Aon/Radford received $188,430 for survey data and compensation consulting services to the Compensation Committee.</w:t>
      </w:r>
    </w:p>
    <w:p>
      <w:pPr>
        <w:spacing w:after="0" w:line="172" w:lineRule="exact"/>
        <w:rPr>
          <w:sz w:val="20"/>
          <w:szCs w:val="20"/>
          <w:color w:val="auto"/>
        </w:rPr>
      </w:pPr>
    </w:p>
    <w:p>
      <w:pPr>
        <w:spacing w:after="0" w:line="285" w:lineRule="auto"/>
        <w:rPr>
          <w:sz w:val="20"/>
          <w:szCs w:val="20"/>
          <w:color w:val="auto"/>
        </w:rPr>
      </w:pPr>
      <w:r>
        <w:rPr>
          <w:rFonts w:ascii="Arial" w:cs="Arial" w:eastAsia="Arial" w:hAnsi="Arial"/>
          <w:sz w:val="16"/>
          <w:szCs w:val="16"/>
          <w:color w:val="191919"/>
        </w:rPr>
        <w:t>The Compensation Committee has considered the relationships that Aon/Radford has with the Company, the members of the Compensation Committee and our executive officers, as well as the policies that Aon/Radford has in place to maintain its independence and objectivity, and has determined that Aon/Radford’s work for the Compensation Committee has not raised any conflicts of interest. Company management has separately engaged Aon Risk Solutions, an affiliate of Aon/Radford, for risk management and insurance brokerage services. The Company paid $259,925 to Aon Risk Solutions in fiscal year 2019 for those services. Additionally, Company management has engaged certain affiliates of Aon/Radford in various jurisdictions for consulting and brokerage services unrelated to executive compensation and benefits, for which the Company paid a total of $23,904 in fiscal year 2019. The Company’s management did not seek the Compensation Committee’s approval for such engagements with affiliates of Aon/Radford.</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02568A"/>
        </w:rPr>
        <w:t>Role of Chief Executive Officer</w:t>
      </w:r>
    </w:p>
    <w:p>
      <w:pPr>
        <w:spacing w:after="0" w:line="22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191919"/>
        </w:rPr>
        <w:t>The Compensation Committee also considers the recommendations of the Chief Executive Officer regarding the compensation of the other Named Executive Officers and each of his other direct reports. These recommendations include an assessment of each individual’s responsibilities, experience, performance and contribution to the Company’s performance, and also generally take into account internal factors such as scope of role and level in the organization, in addition to external factors such as the current environment for attracting and retaining executives.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158115</wp:posOffset>
            </wp:positionV>
            <wp:extent cx="713613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80" w:space="680"/>
            <w:col w:w="5280"/>
          </w:cols>
          <w:pgMar w:left="320" w:top="131"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02568A"/>
        </w:rPr>
        <w:t>Establishment of Comparator Group Data</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191919"/>
        </w:rPr>
        <w:t>In determining compensation for each of the Named Executive Officers, the committee utilizes “Comparator Group” data for each position. For fiscal year 2019, the Compensation Committee approved Comparator Group data consisting of a 50/50 blend of (i) Aon/Radford survey data of 14 semiconductor companies (where sufficient data was not available in the Aon/Radford semiconductor survey data for a given executive position, the Comparator Group data also included survey data regarding high-technology companies), and (ii) the “peer” group data for 16 publicly traded semiconductor companies with which the Company competes for executive talent:</w:t>
      </w:r>
    </w:p>
    <w:p>
      <w:pPr>
        <w:spacing w:after="0" w:line="176"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191919"/>
              </w:rPr>
              <w:t>•</w:t>
            </w:r>
          </w:p>
        </w:tc>
        <w:tc>
          <w:tcPr>
            <w:tcW w:w="1940" w:type="dxa"/>
            <w:vAlign w:val="bottom"/>
          </w:tcPr>
          <w:p>
            <w:pPr>
              <w:ind w:left="60"/>
              <w:spacing w:after="0"/>
              <w:rPr>
                <w:sz w:val="20"/>
                <w:szCs w:val="20"/>
                <w:color w:val="auto"/>
              </w:rPr>
            </w:pPr>
            <w:r>
              <w:rPr>
                <w:rFonts w:ascii="Arial" w:cs="Arial" w:eastAsia="Arial" w:hAnsi="Arial"/>
                <w:sz w:val="18"/>
                <w:szCs w:val="18"/>
                <w:color w:val="191919"/>
                <w:w w:val="93"/>
              </w:rPr>
              <w:t>Advanced Micro Devices</w:t>
            </w:r>
          </w:p>
        </w:tc>
        <w:tc>
          <w:tcPr>
            <w:tcW w:w="220" w:type="dxa"/>
            <w:vAlign w:val="bottom"/>
          </w:tcPr>
          <w:p>
            <w:pPr>
              <w:ind w:left="80"/>
              <w:spacing w:after="0"/>
              <w:rPr>
                <w:sz w:val="20"/>
                <w:szCs w:val="20"/>
                <w:color w:val="auto"/>
              </w:rPr>
            </w:pPr>
            <w:r>
              <w:rPr>
                <w:rFonts w:ascii="Arial" w:cs="Arial" w:eastAsia="Arial" w:hAnsi="Arial"/>
                <w:sz w:val="18"/>
                <w:szCs w:val="18"/>
                <w:color w:val="191919"/>
              </w:rPr>
              <w:t>•</w:t>
            </w:r>
          </w:p>
        </w:tc>
        <w:tc>
          <w:tcPr>
            <w:tcW w:w="1660" w:type="dxa"/>
            <w:vAlign w:val="bottom"/>
          </w:tcPr>
          <w:p>
            <w:pPr>
              <w:ind w:left="60"/>
              <w:spacing w:after="0"/>
              <w:rPr>
                <w:sz w:val="20"/>
                <w:szCs w:val="20"/>
                <w:color w:val="auto"/>
              </w:rPr>
            </w:pPr>
            <w:r>
              <w:rPr>
                <w:rFonts w:ascii="Arial" w:cs="Arial" w:eastAsia="Arial" w:hAnsi="Arial"/>
                <w:sz w:val="18"/>
                <w:szCs w:val="18"/>
                <w:color w:val="191919"/>
                <w:w w:val="90"/>
              </w:rPr>
              <w:t>Microchip Technology</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191919"/>
              </w:rPr>
              <w:t>•</w:t>
            </w:r>
          </w:p>
        </w:tc>
        <w:tc>
          <w:tcPr>
            <w:tcW w:w="1940" w:type="dxa"/>
            <w:vAlign w:val="bottom"/>
          </w:tcPr>
          <w:p>
            <w:pPr>
              <w:ind w:left="60"/>
              <w:spacing w:after="0"/>
              <w:rPr>
                <w:sz w:val="20"/>
                <w:szCs w:val="20"/>
                <w:color w:val="auto"/>
              </w:rPr>
            </w:pPr>
            <w:r>
              <w:rPr>
                <w:rFonts w:ascii="Arial" w:cs="Arial" w:eastAsia="Arial" w:hAnsi="Arial"/>
                <w:sz w:val="18"/>
                <w:szCs w:val="18"/>
                <w:color w:val="191919"/>
              </w:rPr>
              <w:t>Analog Devices</w:t>
            </w:r>
          </w:p>
        </w:tc>
        <w:tc>
          <w:tcPr>
            <w:tcW w:w="220" w:type="dxa"/>
            <w:vAlign w:val="bottom"/>
          </w:tcPr>
          <w:p>
            <w:pPr>
              <w:ind w:left="80"/>
              <w:spacing w:after="0"/>
              <w:rPr>
                <w:sz w:val="20"/>
                <w:szCs w:val="20"/>
                <w:color w:val="auto"/>
              </w:rPr>
            </w:pPr>
            <w:r>
              <w:rPr>
                <w:rFonts w:ascii="Arial" w:cs="Arial" w:eastAsia="Arial" w:hAnsi="Arial"/>
                <w:sz w:val="18"/>
                <w:szCs w:val="18"/>
                <w:color w:val="191919"/>
              </w:rPr>
              <w:t>•</w:t>
            </w:r>
          </w:p>
        </w:tc>
        <w:tc>
          <w:tcPr>
            <w:tcW w:w="1660" w:type="dxa"/>
            <w:vAlign w:val="bottom"/>
          </w:tcPr>
          <w:p>
            <w:pPr>
              <w:ind w:left="60"/>
              <w:spacing w:after="0"/>
              <w:rPr>
                <w:sz w:val="20"/>
                <w:szCs w:val="20"/>
                <w:color w:val="auto"/>
              </w:rPr>
            </w:pPr>
            <w:r>
              <w:rPr>
                <w:rFonts w:ascii="Arial" w:cs="Arial" w:eastAsia="Arial" w:hAnsi="Arial"/>
                <w:sz w:val="18"/>
                <w:szCs w:val="18"/>
                <w:color w:val="191919"/>
              </w:rPr>
              <w:t>Micron Technology</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191919"/>
              </w:rPr>
              <w:t>•</w:t>
            </w:r>
          </w:p>
        </w:tc>
        <w:tc>
          <w:tcPr>
            <w:tcW w:w="1940" w:type="dxa"/>
            <w:vAlign w:val="bottom"/>
          </w:tcPr>
          <w:p>
            <w:pPr>
              <w:ind w:left="60"/>
              <w:spacing w:after="0"/>
              <w:rPr>
                <w:sz w:val="20"/>
                <w:szCs w:val="20"/>
                <w:color w:val="auto"/>
              </w:rPr>
            </w:pPr>
            <w:r>
              <w:rPr>
                <w:rFonts w:ascii="Arial" w:cs="Arial" w:eastAsia="Arial" w:hAnsi="Arial"/>
                <w:sz w:val="18"/>
                <w:szCs w:val="18"/>
                <w:color w:val="191919"/>
              </w:rPr>
              <w:t>Applied Materials</w:t>
            </w:r>
          </w:p>
        </w:tc>
        <w:tc>
          <w:tcPr>
            <w:tcW w:w="220" w:type="dxa"/>
            <w:vAlign w:val="bottom"/>
          </w:tcPr>
          <w:p>
            <w:pPr>
              <w:ind w:left="80"/>
              <w:spacing w:after="0"/>
              <w:rPr>
                <w:sz w:val="20"/>
                <w:szCs w:val="20"/>
                <w:color w:val="auto"/>
              </w:rPr>
            </w:pPr>
            <w:r>
              <w:rPr>
                <w:rFonts w:ascii="Arial" w:cs="Arial" w:eastAsia="Arial" w:hAnsi="Arial"/>
                <w:sz w:val="18"/>
                <w:szCs w:val="18"/>
                <w:color w:val="191919"/>
              </w:rPr>
              <w:t>•</w:t>
            </w:r>
          </w:p>
        </w:tc>
        <w:tc>
          <w:tcPr>
            <w:tcW w:w="1660" w:type="dxa"/>
            <w:vAlign w:val="bottom"/>
          </w:tcPr>
          <w:p>
            <w:pPr>
              <w:ind w:left="60"/>
              <w:spacing w:after="0"/>
              <w:rPr>
                <w:sz w:val="20"/>
                <w:szCs w:val="20"/>
                <w:color w:val="auto"/>
              </w:rPr>
            </w:pPr>
            <w:r>
              <w:rPr>
                <w:rFonts w:ascii="Arial" w:cs="Arial" w:eastAsia="Arial" w:hAnsi="Arial"/>
                <w:sz w:val="18"/>
                <w:szCs w:val="18"/>
                <w:color w:val="191919"/>
              </w:rPr>
              <w:t>NVIDIA</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191919"/>
              </w:rPr>
              <w:t>•</w:t>
            </w:r>
          </w:p>
        </w:tc>
        <w:tc>
          <w:tcPr>
            <w:tcW w:w="1940" w:type="dxa"/>
            <w:vAlign w:val="bottom"/>
          </w:tcPr>
          <w:p>
            <w:pPr>
              <w:ind w:left="60"/>
              <w:spacing w:after="0"/>
              <w:rPr>
                <w:sz w:val="20"/>
                <w:szCs w:val="20"/>
                <w:color w:val="auto"/>
              </w:rPr>
            </w:pPr>
            <w:r>
              <w:rPr>
                <w:rFonts w:ascii="Arial" w:cs="Arial" w:eastAsia="Arial" w:hAnsi="Arial"/>
                <w:sz w:val="18"/>
                <w:szCs w:val="18"/>
                <w:color w:val="191919"/>
              </w:rPr>
              <w:t>Broadcom Limited</w:t>
            </w:r>
          </w:p>
        </w:tc>
        <w:tc>
          <w:tcPr>
            <w:tcW w:w="220" w:type="dxa"/>
            <w:vAlign w:val="bottom"/>
          </w:tcPr>
          <w:p>
            <w:pPr>
              <w:ind w:left="80"/>
              <w:spacing w:after="0"/>
              <w:rPr>
                <w:sz w:val="20"/>
                <w:szCs w:val="20"/>
                <w:color w:val="auto"/>
              </w:rPr>
            </w:pPr>
            <w:r>
              <w:rPr>
                <w:rFonts w:ascii="Arial" w:cs="Arial" w:eastAsia="Arial" w:hAnsi="Arial"/>
                <w:sz w:val="18"/>
                <w:szCs w:val="18"/>
                <w:color w:val="191919"/>
              </w:rPr>
              <w:t>•</w:t>
            </w:r>
          </w:p>
        </w:tc>
        <w:tc>
          <w:tcPr>
            <w:tcW w:w="1660" w:type="dxa"/>
            <w:vAlign w:val="bottom"/>
          </w:tcPr>
          <w:p>
            <w:pPr>
              <w:ind w:left="60"/>
              <w:spacing w:after="0"/>
              <w:rPr>
                <w:sz w:val="20"/>
                <w:szCs w:val="20"/>
                <w:color w:val="auto"/>
              </w:rPr>
            </w:pPr>
            <w:r>
              <w:rPr>
                <w:rFonts w:ascii="Arial" w:cs="Arial" w:eastAsia="Arial" w:hAnsi="Arial"/>
                <w:sz w:val="18"/>
                <w:szCs w:val="18"/>
                <w:color w:val="191919"/>
              </w:rPr>
              <w:t>ON Semiconductor</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191919"/>
              </w:rPr>
              <w:t>•</w:t>
            </w:r>
          </w:p>
        </w:tc>
        <w:tc>
          <w:tcPr>
            <w:tcW w:w="1940" w:type="dxa"/>
            <w:vAlign w:val="bottom"/>
          </w:tcPr>
          <w:p>
            <w:pPr>
              <w:ind w:left="60"/>
              <w:spacing w:after="0"/>
              <w:rPr>
                <w:sz w:val="20"/>
                <w:szCs w:val="20"/>
                <w:color w:val="auto"/>
              </w:rPr>
            </w:pPr>
            <w:r>
              <w:rPr>
                <w:rFonts w:ascii="Arial" w:cs="Arial" w:eastAsia="Arial" w:hAnsi="Arial"/>
                <w:sz w:val="18"/>
                <w:szCs w:val="18"/>
                <w:color w:val="191919"/>
              </w:rPr>
              <w:t>KLA-Tencor</w:t>
            </w:r>
          </w:p>
        </w:tc>
        <w:tc>
          <w:tcPr>
            <w:tcW w:w="220" w:type="dxa"/>
            <w:vAlign w:val="bottom"/>
          </w:tcPr>
          <w:p>
            <w:pPr>
              <w:ind w:left="80"/>
              <w:spacing w:after="0"/>
              <w:rPr>
                <w:sz w:val="20"/>
                <w:szCs w:val="20"/>
                <w:color w:val="auto"/>
              </w:rPr>
            </w:pPr>
            <w:r>
              <w:rPr>
                <w:rFonts w:ascii="Arial" w:cs="Arial" w:eastAsia="Arial" w:hAnsi="Arial"/>
                <w:sz w:val="18"/>
                <w:szCs w:val="18"/>
                <w:color w:val="191919"/>
              </w:rPr>
              <w:t>•</w:t>
            </w:r>
          </w:p>
        </w:tc>
        <w:tc>
          <w:tcPr>
            <w:tcW w:w="1660" w:type="dxa"/>
            <w:vAlign w:val="bottom"/>
          </w:tcPr>
          <w:p>
            <w:pPr>
              <w:ind w:left="60"/>
              <w:spacing w:after="0"/>
              <w:rPr>
                <w:sz w:val="20"/>
                <w:szCs w:val="20"/>
                <w:color w:val="auto"/>
              </w:rPr>
            </w:pPr>
            <w:r>
              <w:rPr>
                <w:rFonts w:ascii="Arial" w:cs="Arial" w:eastAsia="Arial" w:hAnsi="Arial"/>
                <w:sz w:val="18"/>
                <w:szCs w:val="18"/>
                <w:color w:val="191919"/>
              </w:rPr>
              <w:t>Qorvo</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191919"/>
              </w:rPr>
              <w:t>•</w:t>
            </w:r>
          </w:p>
        </w:tc>
        <w:tc>
          <w:tcPr>
            <w:tcW w:w="1940" w:type="dxa"/>
            <w:vAlign w:val="bottom"/>
          </w:tcPr>
          <w:p>
            <w:pPr>
              <w:ind w:left="60"/>
              <w:spacing w:after="0"/>
              <w:rPr>
                <w:sz w:val="20"/>
                <w:szCs w:val="20"/>
                <w:color w:val="auto"/>
              </w:rPr>
            </w:pPr>
            <w:r>
              <w:rPr>
                <w:rFonts w:ascii="Arial" w:cs="Arial" w:eastAsia="Arial" w:hAnsi="Arial"/>
                <w:sz w:val="18"/>
                <w:szCs w:val="18"/>
                <w:color w:val="191919"/>
              </w:rPr>
              <w:t>Lam Research</w:t>
            </w:r>
          </w:p>
        </w:tc>
        <w:tc>
          <w:tcPr>
            <w:tcW w:w="220" w:type="dxa"/>
            <w:vAlign w:val="bottom"/>
          </w:tcPr>
          <w:p>
            <w:pPr>
              <w:ind w:left="80"/>
              <w:spacing w:after="0"/>
              <w:rPr>
                <w:sz w:val="20"/>
                <w:szCs w:val="20"/>
                <w:color w:val="auto"/>
              </w:rPr>
            </w:pPr>
            <w:r>
              <w:rPr>
                <w:rFonts w:ascii="Arial" w:cs="Arial" w:eastAsia="Arial" w:hAnsi="Arial"/>
                <w:sz w:val="18"/>
                <w:szCs w:val="18"/>
                <w:color w:val="191919"/>
              </w:rPr>
              <w:t>•</w:t>
            </w:r>
          </w:p>
        </w:tc>
        <w:tc>
          <w:tcPr>
            <w:tcW w:w="1660" w:type="dxa"/>
            <w:vAlign w:val="bottom"/>
          </w:tcPr>
          <w:p>
            <w:pPr>
              <w:ind w:left="60"/>
              <w:spacing w:after="0"/>
              <w:rPr>
                <w:sz w:val="20"/>
                <w:szCs w:val="20"/>
                <w:color w:val="auto"/>
              </w:rPr>
            </w:pPr>
            <w:r>
              <w:rPr>
                <w:rFonts w:ascii="Arial" w:cs="Arial" w:eastAsia="Arial" w:hAnsi="Arial"/>
                <w:sz w:val="18"/>
                <w:szCs w:val="18"/>
                <w:color w:val="191919"/>
              </w:rPr>
              <w:t>QUALCOMM</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191919"/>
              </w:rPr>
              <w:t>•</w:t>
            </w:r>
          </w:p>
        </w:tc>
        <w:tc>
          <w:tcPr>
            <w:tcW w:w="1940" w:type="dxa"/>
            <w:vAlign w:val="bottom"/>
          </w:tcPr>
          <w:p>
            <w:pPr>
              <w:ind w:left="60"/>
              <w:spacing w:after="0"/>
              <w:rPr>
                <w:sz w:val="20"/>
                <w:szCs w:val="20"/>
                <w:color w:val="auto"/>
              </w:rPr>
            </w:pPr>
            <w:r>
              <w:rPr>
                <w:rFonts w:ascii="Arial" w:cs="Arial" w:eastAsia="Arial" w:hAnsi="Arial"/>
                <w:sz w:val="18"/>
                <w:szCs w:val="18"/>
                <w:color w:val="191919"/>
              </w:rPr>
              <w:t>Marvell Technology</w:t>
            </w:r>
          </w:p>
        </w:tc>
        <w:tc>
          <w:tcPr>
            <w:tcW w:w="220" w:type="dxa"/>
            <w:vAlign w:val="bottom"/>
          </w:tcPr>
          <w:p>
            <w:pPr>
              <w:ind w:left="80"/>
              <w:spacing w:after="0"/>
              <w:rPr>
                <w:sz w:val="20"/>
                <w:szCs w:val="20"/>
                <w:color w:val="auto"/>
              </w:rPr>
            </w:pPr>
            <w:r>
              <w:rPr>
                <w:rFonts w:ascii="Arial" w:cs="Arial" w:eastAsia="Arial" w:hAnsi="Arial"/>
                <w:sz w:val="18"/>
                <w:szCs w:val="18"/>
                <w:color w:val="191919"/>
              </w:rPr>
              <w:t>•</w:t>
            </w:r>
          </w:p>
        </w:tc>
        <w:tc>
          <w:tcPr>
            <w:tcW w:w="1660" w:type="dxa"/>
            <w:vAlign w:val="bottom"/>
          </w:tcPr>
          <w:p>
            <w:pPr>
              <w:ind w:left="60"/>
              <w:spacing w:after="0"/>
              <w:rPr>
                <w:sz w:val="20"/>
                <w:szCs w:val="20"/>
                <w:color w:val="auto"/>
              </w:rPr>
            </w:pPr>
            <w:r>
              <w:rPr>
                <w:rFonts w:ascii="Arial" w:cs="Arial" w:eastAsia="Arial" w:hAnsi="Arial"/>
                <w:sz w:val="18"/>
                <w:szCs w:val="18"/>
                <w:color w:val="191919"/>
              </w:rPr>
              <w:t>Texas Instruments</w:t>
            </w:r>
          </w:p>
        </w:tc>
      </w:tr>
      <w:tr>
        <w:trPr>
          <w:trHeight w:val="426"/>
        </w:trPr>
        <w:tc>
          <w:tcPr>
            <w:tcW w:w="140" w:type="dxa"/>
            <w:vAlign w:val="bottom"/>
          </w:tcPr>
          <w:p>
            <w:pPr>
              <w:spacing w:after="0"/>
              <w:rPr>
                <w:sz w:val="20"/>
                <w:szCs w:val="20"/>
                <w:color w:val="auto"/>
              </w:rPr>
            </w:pPr>
            <w:r>
              <w:rPr>
                <w:rFonts w:ascii="Arial" w:cs="Arial" w:eastAsia="Arial" w:hAnsi="Arial"/>
                <w:sz w:val="18"/>
                <w:szCs w:val="18"/>
                <w:color w:val="191919"/>
              </w:rPr>
              <w:t>•</w:t>
            </w:r>
          </w:p>
        </w:tc>
        <w:tc>
          <w:tcPr>
            <w:tcW w:w="1940" w:type="dxa"/>
            <w:vAlign w:val="bottom"/>
          </w:tcPr>
          <w:p>
            <w:pPr>
              <w:ind w:left="60"/>
              <w:spacing w:after="0"/>
              <w:rPr>
                <w:sz w:val="20"/>
                <w:szCs w:val="20"/>
                <w:color w:val="auto"/>
              </w:rPr>
            </w:pPr>
            <w:r>
              <w:rPr>
                <w:rFonts w:ascii="Arial" w:cs="Arial" w:eastAsia="Arial" w:hAnsi="Arial"/>
                <w:sz w:val="18"/>
                <w:szCs w:val="18"/>
                <w:color w:val="191919"/>
              </w:rPr>
              <w:t>Maxim Integrated</w:t>
            </w:r>
          </w:p>
        </w:tc>
        <w:tc>
          <w:tcPr>
            <w:tcW w:w="220" w:type="dxa"/>
            <w:vAlign w:val="bottom"/>
          </w:tcPr>
          <w:p>
            <w:pPr>
              <w:ind w:left="80"/>
              <w:spacing w:after="0"/>
              <w:rPr>
                <w:sz w:val="20"/>
                <w:szCs w:val="20"/>
                <w:color w:val="auto"/>
              </w:rPr>
            </w:pPr>
            <w:r>
              <w:rPr>
                <w:rFonts w:ascii="Arial" w:cs="Arial" w:eastAsia="Arial" w:hAnsi="Arial"/>
                <w:sz w:val="18"/>
                <w:szCs w:val="18"/>
                <w:color w:val="191919"/>
              </w:rPr>
              <w:t>•</w:t>
            </w:r>
          </w:p>
        </w:tc>
        <w:tc>
          <w:tcPr>
            <w:tcW w:w="1660" w:type="dxa"/>
            <w:vAlign w:val="bottom"/>
          </w:tcPr>
          <w:p>
            <w:pPr>
              <w:ind w:left="60"/>
              <w:spacing w:after="0"/>
              <w:rPr>
                <w:sz w:val="20"/>
                <w:szCs w:val="20"/>
                <w:color w:val="auto"/>
              </w:rPr>
            </w:pPr>
            <w:r>
              <w:rPr>
                <w:rFonts w:ascii="Arial" w:cs="Arial" w:eastAsia="Arial" w:hAnsi="Arial"/>
                <w:sz w:val="18"/>
                <w:szCs w:val="18"/>
                <w:color w:val="191919"/>
              </w:rPr>
              <w:t>Xilinx</w:t>
            </w:r>
          </w:p>
        </w:tc>
      </w:tr>
      <w:tr>
        <w:trPr>
          <w:trHeight w:val="222"/>
        </w:trPr>
        <w:tc>
          <w:tcPr>
            <w:tcW w:w="140" w:type="dxa"/>
            <w:vAlign w:val="bottom"/>
          </w:tcPr>
          <w:p>
            <w:pPr>
              <w:spacing w:after="0"/>
              <w:rPr>
                <w:sz w:val="19"/>
                <w:szCs w:val="19"/>
                <w:color w:val="auto"/>
              </w:rPr>
            </w:pPr>
          </w:p>
        </w:tc>
        <w:tc>
          <w:tcPr>
            <w:tcW w:w="1940" w:type="dxa"/>
            <w:vAlign w:val="bottom"/>
          </w:tcPr>
          <w:p>
            <w:pPr>
              <w:ind w:left="60"/>
              <w:spacing w:after="0"/>
              <w:rPr>
                <w:sz w:val="20"/>
                <w:szCs w:val="20"/>
                <w:color w:val="auto"/>
              </w:rPr>
            </w:pPr>
            <w:r>
              <w:rPr>
                <w:rFonts w:ascii="Arial" w:cs="Arial" w:eastAsia="Arial" w:hAnsi="Arial"/>
                <w:sz w:val="18"/>
                <w:szCs w:val="18"/>
                <w:color w:val="191919"/>
              </w:rPr>
              <w:t>Products</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02568A"/>
        </w:rPr>
        <w:t>Use of Comparator Group Data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191919"/>
        </w:rPr>
        <w:t>The Compensation Committee annually compares the components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191919"/>
        </w:rPr>
        <w:t>amounts of compensation that we provide to our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and other Named Executive Officers with the components and amounts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compensation provided to their counterparts in the Comparator Group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uses this comparison data as a guideline in its review and determination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191919"/>
        </w:rPr>
        <w:t>base salaries, short-term incentives, and long-term stock-based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91919"/>
        </w:rPr>
        <w:t>compensation awards, as discussed in further detail below under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191919"/>
        </w:rPr>
        <w:t>“</w:t>
      </w:r>
      <w:r>
        <w:rPr>
          <w:rFonts w:ascii="Arial" w:cs="Arial" w:eastAsia="Arial" w:hAnsi="Arial"/>
          <w:sz w:val="16"/>
          <w:szCs w:val="16"/>
          <w:i w:val="1"/>
          <w:iCs w:val="1"/>
          <w:color w:val="191919"/>
        </w:rPr>
        <w:t>Components of Compensation</w:t>
      </w:r>
      <w:r>
        <w:rPr>
          <w:rFonts w:ascii="Arial" w:cs="Arial" w:eastAsia="Arial" w:hAnsi="Arial"/>
          <w:sz w:val="16"/>
          <w:szCs w:val="16"/>
          <w:color w:val="191919"/>
        </w:rPr>
        <w:t>.” In addition, in setting fiscal year 2019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compensation, the Compensation Committee sought and received input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from Aon/Radford regarding the base salaries for the Chief Executive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Officer and each of the other executive officers, the incentive targets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relating to the short-term incentive program for executive officers,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individual stock-based compensation awards for executive officers, as well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191919"/>
        </w:rPr>
        <w:t>as the related vesting schedules. After reviewing the data</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44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191919"/>
        </w:rPr>
        <w:t>and considering the input, the Compensation Committee established (and the full Board of Directors was advised of) the base salary, short-term incentive target, and long-term stock-based compensation award for each Named Executive Officer.</w:t>
      </w:r>
    </w:p>
    <w:p>
      <w:pPr>
        <w:spacing w:after="0" w:line="197" w:lineRule="exact"/>
        <w:rPr>
          <w:sz w:val="20"/>
          <w:szCs w:val="20"/>
          <w:color w:val="auto"/>
        </w:rPr>
      </w:pPr>
    </w:p>
    <w:p>
      <w:pPr>
        <w:spacing w:after="0" w:line="282" w:lineRule="auto"/>
        <w:rPr>
          <w:sz w:val="20"/>
          <w:szCs w:val="20"/>
          <w:color w:val="auto"/>
        </w:rPr>
      </w:pPr>
      <w:r>
        <w:rPr>
          <w:rFonts w:ascii="Arial" w:cs="Arial" w:eastAsia="Arial" w:hAnsi="Arial"/>
          <w:sz w:val="16"/>
          <w:szCs w:val="16"/>
          <w:color w:val="191919"/>
        </w:rPr>
        <w:t>In determining the compensation of our Chief Executive Officer for fiscal year 2019, the Compensation Committee focused on (i) competitive levels of compensation for chief executive officers who are leading a company of similar size and complexity, (ii) the importance of retaining a chief executive officer with the strategic, financial, and leadership skills necessary to ensure our continued growth and success, (iii) our Chief Executive Officer’s role relative to the other Named Executive Officers,</w:t>
      </w:r>
    </w:p>
    <w:p>
      <w:pPr>
        <w:spacing w:after="0" w:line="5" w:lineRule="exact"/>
        <w:rPr>
          <w:sz w:val="20"/>
          <w:szCs w:val="20"/>
          <w:color w:val="auto"/>
        </w:rPr>
      </w:pPr>
    </w:p>
    <w:p>
      <w:pPr>
        <w:ind w:right="40" w:firstLine="1"/>
        <w:spacing w:after="0" w:line="285" w:lineRule="auto"/>
        <w:tabs>
          <w:tab w:leader="none" w:pos="297" w:val="left"/>
        </w:tabs>
        <w:numPr>
          <w:ilvl w:val="0"/>
          <w:numId w:val="43"/>
        </w:numPr>
        <w:rPr>
          <w:rFonts w:ascii="Arial" w:cs="Arial" w:eastAsia="Arial" w:hAnsi="Arial"/>
          <w:sz w:val="16"/>
          <w:szCs w:val="16"/>
          <w:color w:val="191919"/>
        </w:rPr>
      </w:pPr>
      <w:r>
        <w:rPr>
          <w:rFonts w:ascii="Arial" w:cs="Arial" w:eastAsia="Arial" w:hAnsi="Arial"/>
          <w:sz w:val="16"/>
          <w:szCs w:val="16"/>
          <w:color w:val="191919"/>
        </w:rPr>
        <w:t>input from the full Board of Directors on our Chief Executive Officer’s performance, and (v) the length of our Chief Executive Officer’s service to the Company. Aon/Radford advised the Compensation Committee that the base salary, short-term incentive target opportunity, performance metrics, and equity-based compensation established by the Compensation Committee for fiscal year 2019 were competitive for chief executive officers leading companies of similar size and complexity in the semiconductor industry. Our Chief Executive Officer was not present during the voting or deliberations of the Compensation Committee concerning his compensation. As stated above, however, the Compensation Committee did consider the recommendations of the Chief Executive Officer regarding the compensation of the other Named Executive Officers and each of his other direct reports.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Components of Compensation</w:t>
      </w:r>
    </w:p>
    <w:p>
      <w:pPr>
        <w:spacing w:after="0" w:line="21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191919"/>
        </w:rPr>
        <w:t>The key elements of compensation for our Named Executive Officers are base salary, short-term incentives, long-term stock-based incentives, and health and welfare benefits. For fiscal year 2019, the Compensation Committee sought to make decisions regarding each Named Executive Officer’s base salary, short-term incentive opportunity, and long-term stock-based incentive award that were competitive within the Comparator Group, with consideration given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2049780</wp:posOffset>
            </wp:positionV>
            <wp:extent cx="713613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80" w:space="680"/>
            <w:col w:w="5260"/>
          </w:cols>
          <w:pgMar w:left="320" w:top="131" w:right="3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191919"/>
        </w:rPr>
        <w:t>executive’s role, responsibility, performance, and length of service. Consistent with our objective of having compensation programs that are considered fair to our employees, the Named Executive Officers are eligible to participate in the Company’s medical, dental, vision, insurance, and retirement plans under the same terms as such benefits are offered to other benefits-eligible employees.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02568A"/>
        </w:rPr>
        <w:t>Base Salary</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191919"/>
        </w:rPr>
        <w:t>Base salaries provide our executive officers with a degree of financial certainty and stability in order to attract and retain their services in a competitive market. The Compensation Committee determines a competitive base salary for each executive officer using the Comparator Group data and input provided by Aon/Radford. In order to provide flexibility in consideration of differences in individual executives’ scope of responsibilities, length of service, and performance, the Compensation Committee did not target a specific percentile of the Comparator Group for executive officer salaries; however, the salaries of the executive officers were generally near the median of the Comparator Group. The base salary for fiscal year 2019 for each Named Executive Officer, as reflected in the table below, increased on average 6.9% from the Named Executive Officer’s base salary in fiscal year 2018, with increases ranging from 2.0% to 8.9%. Salary increases were based on the market-based salary adjustments recommended by Aon/Radford as well as recommendations by the Chief Executive Officer.</w:t>
      </w:r>
    </w:p>
    <w:p>
      <w:pPr>
        <w:spacing w:after="0" w:line="165" w:lineRule="exact"/>
        <w:rPr>
          <w:sz w:val="20"/>
          <w:szCs w:val="20"/>
          <w:color w:val="auto"/>
        </w:rPr>
      </w:pPr>
    </w:p>
    <w:tbl>
      <w:tblPr>
        <w:tblLayout w:type="fixed"/>
        <w:tblInd w:w="540" w:type="dxa"/>
        <w:tblCellMar>
          <w:top w:w="0" w:type="dxa"/>
          <w:left w:w="0" w:type="dxa"/>
          <w:bottom w:w="0" w:type="dxa"/>
          <w:right w:w="0" w:type="dxa"/>
        </w:tblCellMar>
      </w:tblPr>
      <w:tr>
        <w:trPr>
          <w:trHeight w:val="215"/>
        </w:trPr>
        <w:tc>
          <w:tcPr>
            <w:tcW w:w="1280" w:type="dxa"/>
            <w:vAlign w:val="bottom"/>
            <w:tcBorders>
              <w:top w:val="single" w:sz="8" w:color="02568A"/>
            </w:tcBorders>
          </w:tcPr>
          <w:p>
            <w:pPr>
              <w:spacing w:after="0"/>
              <w:rPr>
                <w:sz w:val="18"/>
                <w:szCs w:val="18"/>
                <w:color w:val="auto"/>
              </w:rPr>
            </w:pPr>
          </w:p>
        </w:tc>
        <w:tc>
          <w:tcPr>
            <w:tcW w:w="1400" w:type="dxa"/>
            <w:vAlign w:val="bottom"/>
            <w:tcBorders>
              <w:top w:val="single" w:sz="8" w:color="02568A"/>
            </w:tcBorders>
          </w:tcPr>
          <w:p>
            <w:pPr>
              <w:jc w:val="right"/>
              <w:ind w:right="292"/>
              <w:spacing w:after="0"/>
              <w:rPr>
                <w:sz w:val="20"/>
                <w:szCs w:val="20"/>
                <w:color w:val="auto"/>
              </w:rPr>
            </w:pPr>
            <w:r>
              <w:rPr>
                <w:rFonts w:ascii="Arial" w:cs="Arial" w:eastAsia="Arial" w:hAnsi="Arial"/>
                <w:sz w:val="18"/>
                <w:szCs w:val="18"/>
                <w:b w:val="1"/>
                <w:bCs w:val="1"/>
                <w:color w:val="02568A"/>
              </w:rPr>
              <w:t>FY2019</w:t>
            </w:r>
          </w:p>
        </w:tc>
        <w:tc>
          <w:tcPr>
            <w:tcW w:w="1540" w:type="dxa"/>
            <w:vAlign w:val="bottom"/>
            <w:tcBorders>
              <w:top w:val="single" w:sz="8" w:color="02568A"/>
            </w:tcBorders>
          </w:tcPr>
          <w:p>
            <w:pPr>
              <w:jc w:val="right"/>
              <w:ind w:right="492"/>
              <w:spacing w:after="0"/>
              <w:rPr>
                <w:sz w:val="20"/>
                <w:szCs w:val="20"/>
                <w:color w:val="auto"/>
              </w:rPr>
            </w:pPr>
            <w:r>
              <w:rPr>
                <w:rFonts w:ascii="Arial" w:cs="Arial" w:eastAsia="Arial" w:hAnsi="Arial"/>
                <w:sz w:val="18"/>
                <w:szCs w:val="18"/>
                <w:b w:val="1"/>
                <w:bCs w:val="1"/>
                <w:color w:val="02568A"/>
              </w:rPr>
              <w:t>FY2018</w:t>
            </w:r>
          </w:p>
        </w:tc>
        <w:tc>
          <w:tcPr>
            <w:tcW w:w="0" w:type="dxa"/>
            <w:vAlign w:val="bottom"/>
          </w:tcPr>
          <w:p>
            <w:pPr>
              <w:spacing w:after="0"/>
              <w:rPr>
                <w:sz w:val="1"/>
                <w:szCs w:val="1"/>
                <w:color w:val="auto"/>
              </w:rPr>
            </w:pPr>
          </w:p>
        </w:tc>
      </w:tr>
      <w:tr>
        <w:trPr>
          <w:trHeight w:val="229"/>
        </w:trPr>
        <w:tc>
          <w:tcPr>
            <w:tcW w:w="1280" w:type="dxa"/>
            <w:vAlign w:val="bottom"/>
            <w:tcBorders>
              <w:bottom w:val="single" w:sz="8" w:color="02568A"/>
            </w:tcBorders>
          </w:tcPr>
          <w:p>
            <w:pPr>
              <w:spacing w:after="0"/>
              <w:rPr>
                <w:sz w:val="19"/>
                <w:szCs w:val="19"/>
                <w:color w:val="auto"/>
              </w:rPr>
            </w:pPr>
          </w:p>
        </w:tc>
        <w:tc>
          <w:tcPr>
            <w:tcW w:w="1400" w:type="dxa"/>
            <w:vAlign w:val="bottom"/>
            <w:tcBorders>
              <w:bottom w:val="single" w:sz="8" w:color="02568A"/>
            </w:tcBorders>
          </w:tcPr>
          <w:p>
            <w:pPr>
              <w:jc w:val="right"/>
              <w:ind w:right="32"/>
              <w:spacing w:after="0"/>
              <w:rPr>
                <w:sz w:val="20"/>
                <w:szCs w:val="20"/>
                <w:color w:val="auto"/>
              </w:rPr>
            </w:pPr>
            <w:r>
              <w:rPr>
                <w:rFonts w:ascii="Arial" w:cs="Arial" w:eastAsia="Arial" w:hAnsi="Arial"/>
                <w:sz w:val="18"/>
                <w:szCs w:val="18"/>
                <w:b w:val="1"/>
                <w:bCs w:val="1"/>
                <w:color w:val="02568A"/>
                <w:w w:val="97"/>
              </w:rPr>
              <w:t>Base Salary ($)</w:t>
            </w:r>
          </w:p>
        </w:tc>
        <w:tc>
          <w:tcPr>
            <w:tcW w:w="1540" w:type="dxa"/>
            <w:vAlign w:val="bottom"/>
            <w:tcBorders>
              <w:bottom w:val="single" w:sz="8" w:color="02568A"/>
            </w:tcBorders>
          </w:tcPr>
          <w:p>
            <w:pPr>
              <w:jc w:val="right"/>
              <w:ind w:right="212"/>
              <w:spacing w:after="0"/>
              <w:rPr>
                <w:sz w:val="20"/>
                <w:szCs w:val="20"/>
                <w:color w:val="auto"/>
              </w:rPr>
            </w:pPr>
            <w:r>
              <w:rPr>
                <w:rFonts w:ascii="Arial" w:cs="Arial" w:eastAsia="Arial" w:hAnsi="Arial"/>
                <w:sz w:val="18"/>
                <w:szCs w:val="18"/>
                <w:b w:val="1"/>
                <w:bCs w:val="1"/>
                <w:color w:val="02568A"/>
                <w:w w:val="94"/>
              </w:rPr>
              <w:t>Base Salary ($)</w:t>
            </w:r>
          </w:p>
        </w:tc>
        <w:tc>
          <w:tcPr>
            <w:tcW w:w="0" w:type="dxa"/>
            <w:vAlign w:val="bottom"/>
          </w:tcPr>
          <w:p>
            <w:pPr>
              <w:spacing w:after="0"/>
              <w:rPr>
                <w:sz w:val="1"/>
                <w:szCs w:val="1"/>
                <w:color w:val="auto"/>
              </w:rPr>
            </w:pPr>
          </w:p>
        </w:tc>
      </w:tr>
      <w:tr>
        <w:trPr>
          <w:trHeight w:val="196"/>
        </w:trPr>
        <w:tc>
          <w:tcPr>
            <w:tcW w:w="1280" w:type="dxa"/>
            <w:vAlign w:val="bottom"/>
            <w:shd w:val="clear" w:color="auto" w:fill="CED8EA"/>
          </w:tcPr>
          <w:p>
            <w:pPr>
              <w:ind w:left="280"/>
              <w:spacing w:after="0" w:line="196" w:lineRule="exact"/>
              <w:rPr>
                <w:sz w:val="20"/>
                <w:szCs w:val="20"/>
                <w:color w:val="auto"/>
              </w:rPr>
            </w:pPr>
            <w:r>
              <w:rPr>
                <w:rFonts w:ascii="Arial" w:cs="Arial" w:eastAsia="Arial" w:hAnsi="Arial"/>
                <w:sz w:val="18"/>
                <w:szCs w:val="18"/>
                <w:b w:val="1"/>
                <w:bCs w:val="1"/>
                <w:color w:val="02568A"/>
              </w:rPr>
              <w:t>Liam K.</w:t>
            </w:r>
          </w:p>
        </w:tc>
        <w:tc>
          <w:tcPr>
            <w:tcW w:w="1400" w:type="dxa"/>
            <w:vAlign w:val="bottom"/>
            <w:vMerge w:val="restart"/>
            <w:shd w:val="clear" w:color="auto" w:fill="CED8EA"/>
          </w:tcPr>
          <w:p>
            <w:pPr>
              <w:jc w:val="right"/>
              <w:spacing w:after="0"/>
              <w:rPr>
                <w:sz w:val="20"/>
                <w:szCs w:val="20"/>
                <w:color w:val="auto"/>
              </w:rPr>
            </w:pPr>
            <w:r>
              <w:rPr>
                <w:rFonts w:ascii="Arial" w:cs="Arial" w:eastAsia="Arial" w:hAnsi="Arial"/>
                <w:sz w:val="18"/>
                <w:szCs w:val="18"/>
                <w:color w:val="02568A"/>
              </w:rPr>
              <w:t>980,000</w:t>
            </w:r>
          </w:p>
        </w:tc>
        <w:tc>
          <w:tcPr>
            <w:tcW w:w="1540" w:type="dxa"/>
            <w:vAlign w:val="bottom"/>
            <w:vMerge w:val="restart"/>
            <w:shd w:val="clear" w:color="auto" w:fill="CED8EA"/>
          </w:tcPr>
          <w:p>
            <w:pPr>
              <w:jc w:val="right"/>
              <w:ind w:right="192"/>
              <w:spacing w:after="0"/>
              <w:rPr>
                <w:sz w:val="20"/>
                <w:szCs w:val="20"/>
                <w:color w:val="auto"/>
              </w:rPr>
            </w:pPr>
            <w:r>
              <w:rPr>
                <w:rFonts w:ascii="Arial" w:cs="Arial" w:eastAsia="Arial" w:hAnsi="Arial"/>
                <w:sz w:val="18"/>
                <w:szCs w:val="18"/>
                <w:color w:val="02568A"/>
              </w:rPr>
              <w:t>900,000</w:t>
            </w:r>
          </w:p>
        </w:tc>
        <w:tc>
          <w:tcPr>
            <w:tcW w:w="0" w:type="dxa"/>
            <w:vAlign w:val="bottom"/>
          </w:tcPr>
          <w:p>
            <w:pPr>
              <w:spacing w:after="0"/>
              <w:rPr>
                <w:sz w:val="1"/>
                <w:szCs w:val="1"/>
                <w:color w:val="auto"/>
              </w:rPr>
            </w:pPr>
          </w:p>
        </w:tc>
      </w:tr>
      <w:tr>
        <w:trPr>
          <w:trHeight w:val="120"/>
        </w:trPr>
        <w:tc>
          <w:tcPr>
            <w:tcW w:w="1280" w:type="dxa"/>
            <w:vAlign w:val="bottom"/>
            <w:vMerge w:val="restart"/>
            <w:shd w:val="clear" w:color="auto" w:fill="CED8EA"/>
          </w:tcPr>
          <w:p>
            <w:pPr>
              <w:ind w:left="280"/>
              <w:spacing w:after="0"/>
              <w:rPr>
                <w:sz w:val="20"/>
                <w:szCs w:val="20"/>
                <w:color w:val="auto"/>
              </w:rPr>
            </w:pPr>
            <w:r>
              <w:rPr>
                <w:rFonts w:ascii="Arial" w:cs="Arial" w:eastAsia="Arial" w:hAnsi="Arial"/>
                <w:sz w:val="18"/>
                <w:szCs w:val="18"/>
                <w:b w:val="1"/>
                <w:bCs w:val="1"/>
                <w:color w:val="02568A"/>
              </w:rPr>
              <w:t>Griffin</w:t>
            </w:r>
          </w:p>
        </w:tc>
        <w:tc>
          <w:tcPr>
            <w:tcW w:w="1400" w:type="dxa"/>
            <w:vAlign w:val="bottom"/>
            <w:vMerge w:val="continue"/>
            <w:shd w:val="clear" w:color="auto" w:fill="CED8EA"/>
          </w:tcPr>
          <w:p>
            <w:pPr>
              <w:spacing w:after="0"/>
              <w:rPr>
                <w:sz w:val="10"/>
                <w:szCs w:val="10"/>
                <w:color w:val="auto"/>
              </w:rPr>
            </w:pPr>
          </w:p>
        </w:tc>
        <w:tc>
          <w:tcPr>
            <w:tcW w:w="1540" w:type="dxa"/>
            <w:vAlign w:val="bottom"/>
            <w:vMerge w:val="continue"/>
            <w:shd w:val="clear" w:color="auto" w:fill="CED8EA"/>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280" w:type="dxa"/>
            <w:vAlign w:val="bottom"/>
            <w:tcBorders>
              <w:bottom w:val="single" w:sz="8" w:color="D1D2D4"/>
            </w:tcBorders>
            <w:vMerge w:val="continue"/>
            <w:shd w:val="clear" w:color="auto" w:fill="CED8EA"/>
          </w:tcPr>
          <w:p>
            <w:pPr>
              <w:spacing w:after="0"/>
              <w:rPr>
                <w:sz w:val="9"/>
                <w:szCs w:val="9"/>
                <w:color w:val="auto"/>
              </w:rPr>
            </w:pPr>
          </w:p>
        </w:tc>
        <w:tc>
          <w:tcPr>
            <w:tcW w:w="1400" w:type="dxa"/>
            <w:vAlign w:val="bottom"/>
            <w:tcBorders>
              <w:bottom w:val="single" w:sz="8" w:color="D1D2D4"/>
            </w:tcBorders>
            <w:shd w:val="clear" w:color="auto" w:fill="CED8EA"/>
          </w:tcPr>
          <w:p>
            <w:pPr>
              <w:spacing w:after="0"/>
              <w:rPr>
                <w:sz w:val="9"/>
                <w:szCs w:val="9"/>
                <w:color w:val="auto"/>
              </w:rPr>
            </w:pPr>
          </w:p>
        </w:tc>
        <w:tc>
          <w:tcPr>
            <w:tcW w:w="1540" w:type="dxa"/>
            <w:vAlign w:val="bottom"/>
            <w:tcBorders>
              <w:bottom w:val="single" w:sz="8" w:color="D1D2D4"/>
            </w:tcBorders>
            <w:shd w:val="clear" w:color="auto" w:fill="CED8EA"/>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280"/>
              <w:spacing w:after="0" w:line="196" w:lineRule="exact"/>
              <w:rPr>
                <w:sz w:val="20"/>
                <w:szCs w:val="20"/>
                <w:color w:val="auto"/>
              </w:rPr>
            </w:pPr>
            <w:r>
              <w:rPr>
                <w:rFonts w:ascii="Arial" w:cs="Arial" w:eastAsia="Arial" w:hAnsi="Arial"/>
                <w:sz w:val="18"/>
                <w:szCs w:val="18"/>
                <w:b w:val="1"/>
                <w:bCs w:val="1"/>
                <w:color w:val="02568A"/>
              </w:rPr>
              <w:t>Kris</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02568A"/>
              </w:rPr>
              <w:t>500,000</w:t>
            </w:r>
          </w:p>
        </w:tc>
        <w:tc>
          <w:tcPr>
            <w:tcW w:w="1540" w:type="dxa"/>
            <w:vAlign w:val="bottom"/>
            <w:vMerge w:val="restart"/>
          </w:tcPr>
          <w:p>
            <w:pPr>
              <w:jc w:val="right"/>
              <w:ind w:right="192"/>
              <w:spacing w:after="0"/>
              <w:rPr>
                <w:sz w:val="20"/>
                <w:szCs w:val="20"/>
                <w:color w:val="auto"/>
              </w:rPr>
            </w:pPr>
            <w:r>
              <w:rPr>
                <w:rFonts w:ascii="Arial" w:cs="Arial" w:eastAsia="Arial" w:hAnsi="Arial"/>
                <w:sz w:val="18"/>
                <w:szCs w:val="18"/>
                <w:color w:val="02568A"/>
              </w:rPr>
              <w:t>460,000</w:t>
            </w:r>
          </w:p>
        </w:tc>
        <w:tc>
          <w:tcPr>
            <w:tcW w:w="0" w:type="dxa"/>
            <w:vAlign w:val="bottom"/>
          </w:tcPr>
          <w:p>
            <w:pPr>
              <w:spacing w:after="0"/>
              <w:rPr>
                <w:sz w:val="1"/>
                <w:szCs w:val="1"/>
                <w:color w:val="auto"/>
              </w:rPr>
            </w:pPr>
          </w:p>
        </w:tc>
      </w:tr>
      <w:tr>
        <w:trPr>
          <w:trHeight w:val="120"/>
        </w:trPr>
        <w:tc>
          <w:tcPr>
            <w:tcW w:w="1280" w:type="dxa"/>
            <w:vAlign w:val="bottom"/>
            <w:vMerge w:val="restart"/>
          </w:tcPr>
          <w:p>
            <w:pPr>
              <w:ind w:left="280"/>
              <w:spacing w:after="0"/>
              <w:rPr>
                <w:sz w:val="20"/>
                <w:szCs w:val="20"/>
                <w:color w:val="auto"/>
              </w:rPr>
            </w:pPr>
            <w:r>
              <w:rPr>
                <w:rFonts w:ascii="Arial" w:cs="Arial" w:eastAsia="Arial" w:hAnsi="Arial"/>
                <w:sz w:val="18"/>
                <w:szCs w:val="18"/>
                <w:b w:val="1"/>
                <w:bCs w:val="1"/>
                <w:color w:val="02568A"/>
              </w:rPr>
              <w:t>Sennesael</w:t>
            </w:r>
          </w:p>
        </w:tc>
        <w:tc>
          <w:tcPr>
            <w:tcW w:w="140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280" w:type="dxa"/>
            <w:vAlign w:val="bottom"/>
            <w:tcBorders>
              <w:bottom w:val="single" w:sz="8" w:color="D1D2D4"/>
            </w:tcBorders>
            <w:vMerge w:val="continue"/>
          </w:tcPr>
          <w:p>
            <w:pPr>
              <w:spacing w:after="0"/>
              <w:rPr>
                <w:sz w:val="9"/>
                <w:szCs w:val="9"/>
                <w:color w:val="auto"/>
              </w:rPr>
            </w:pPr>
          </w:p>
        </w:tc>
        <w:tc>
          <w:tcPr>
            <w:tcW w:w="1400" w:type="dxa"/>
            <w:vAlign w:val="bottom"/>
            <w:tcBorders>
              <w:bottom w:val="single" w:sz="8" w:color="D1D2D4"/>
            </w:tcBorders>
          </w:tcPr>
          <w:p>
            <w:pPr>
              <w:spacing w:after="0"/>
              <w:rPr>
                <w:sz w:val="9"/>
                <w:szCs w:val="9"/>
                <w:color w:val="auto"/>
              </w:rPr>
            </w:pPr>
          </w:p>
        </w:tc>
        <w:tc>
          <w:tcPr>
            <w:tcW w:w="1540" w:type="dxa"/>
            <w:vAlign w:val="bottom"/>
            <w:tcBorders>
              <w:bottom w:val="single" w:sz="8" w:color="D1D2D4"/>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8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Carlos Bori</w:t>
            </w:r>
          </w:p>
        </w:tc>
        <w:tc>
          <w:tcPr>
            <w:tcW w:w="140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431,000</w:t>
            </w:r>
          </w:p>
        </w:tc>
        <w:tc>
          <w:tcPr>
            <w:tcW w:w="1540" w:type="dxa"/>
            <w:vAlign w:val="bottom"/>
            <w:tcBorders>
              <w:bottom w:val="single" w:sz="8" w:color="D1D2D4"/>
            </w:tcBorders>
            <w:shd w:val="clear" w:color="auto" w:fill="CED8EA"/>
          </w:tcPr>
          <w:p>
            <w:pPr>
              <w:jc w:val="right"/>
              <w:ind w:right="192"/>
              <w:spacing w:after="0"/>
              <w:rPr>
                <w:sz w:val="20"/>
                <w:szCs w:val="20"/>
                <w:color w:val="auto"/>
              </w:rPr>
            </w:pPr>
            <w:r>
              <w:rPr>
                <w:rFonts w:ascii="Arial" w:cs="Arial" w:eastAsia="Arial" w:hAnsi="Arial"/>
                <w:sz w:val="18"/>
                <w:szCs w:val="18"/>
                <w:color w:val="02568A"/>
              </w:rPr>
              <w:t>403,000</w:t>
            </w:r>
          </w:p>
        </w:tc>
        <w:tc>
          <w:tcPr>
            <w:tcW w:w="0" w:type="dxa"/>
            <w:vAlign w:val="bottom"/>
          </w:tcPr>
          <w:p>
            <w:pPr>
              <w:spacing w:after="0"/>
              <w:rPr>
                <w:sz w:val="1"/>
                <w:szCs w:val="1"/>
                <w:color w:val="auto"/>
              </w:rPr>
            </w:pPr>
          </w:p>
        </w:tc>
      </w:tr>
      <w:tr>
        <w:trPr>
          <w:trHeight w:val="195"/>
        </w:trPr>
        <w:tc>
          <w:tcPr>
            <w:tcW w:w="1280" w:type="dxa"/>
            <w:vAlign w:val="bottom"/>
          </w:tcPr>
          <w:p>
            <w:pPr>
              <w:ind w:left="280"/>
              <w:spacing w:after="0" w:line="195" w:lineRule="exact"/>
              <w:rPr>
                <w:sz w:val="20"/>
                <w:szCs w:val="20"/>
                <w:color w:val="auto"/>
              </w:rPr>
            </w:pPr>
            <w:r>
              <w:rPr>
                <w:rFonts w:ascii="Arial" w:cs="Arial" w:eastAsia="Arial" w:hAnsi="Arial"/>
                <w:sz w:val="18"/>
                <w:szCs w:val="18"/>
                <w:b w:val="1"/>
                <w:bCs w:val="1"/>
                <w:color w:val="02568A"/>
              </w:rPr>
              <w:t>Robert J.</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02568A"/>
              </w:rPr>
              <w:t>446,000</w:t>
            </w:r>
          </w:p>
        </w:tc>
        <w:tc>
          <w:tcPr>
            <w:tcW w:w="1540" w:type="dxa"/>
            <w:vAlign w:val="bottom"/>
            <w:vMerge w:val="restart"/>
          </w:tcPr>
          <w:p>
            <w:pPr>
              <w:jc w:val="right"/>
              <w:ind w:right="192"/>
              <w:spacing w:after="0"/>
              <w:rPr>
                <w:sz w:val="20"/>
                <w:szCs w:val="20"/>
                <w:color w:val="auto"/>
              </w:rPr>
            </w:pPr>
            <w:r>
              <w:rPr>
                <w:rFonts w:ascii="Arial" w:cs="Arial" w:eastAsia="Arial" w:hAnsi="Arial"/>
                <w:sz w:val="18"/>
                <w:szCs w:val="18"/>
                <w:color w:val="02568A"/>
              </w:rPr>
              <w:t>413,000</w:t>
            </w:r>
          </w:p>
        </w:tc>
        <w:tc>
          <w:tcPr>
            <w:tcW w:w="0" w:type="dxa"/>
            <w:vAlign w:val="bottom"/>
          </w:tcPr>
          <w:p>
            <w:pPr>
              <w:spacing w:after="0"/>
              <w:rPr>
                <w:sz w:val="1"/>
                <w:szCs w:val="1"/>
                <w:color w:val="auto"/>
              </w:rPr>
            </w:pPr>
          </w:p>
        </w:tc>
      </w:tr>
      <w:tr>
        <w:trPr>
          <w:trHeight w:val="120"/>
        </w:trPr>
        <w:tc>
          <w:tcPr>
            <w:tcW w:w="1280" w:type="dxa"/>
            <w:vAlign w:val="bottom"/>
            <w:vMerge w:val="restart"/>
          </w:tcPr>
          <w:p>
            <w:pPr>
              <w:ind w:left="280"/>
              <w:spacing w:after="0"/>
              <w:rPr>
                <w:sz w:val="20"/>
                <w:szCs w:val="20"/>
                <w:color w:val="auto"/>
              </w:rPr>
            </w:pPr>
            <w:r>
              <w:rPr>
                <w:rFonts w:ascii="Arial" w:cs="Arial" w:eastAsia="Arial" w:hAnsi="Arial"/>
                <w:sz w:val="18"/>
                <w:szCs w:val="18"/>
                <w:b w:val="1"/>
                <w:bCs w:val="1"/>
                <w:color w:val="02568A"/>
              </w:rPr>
              <w:t>Terry</w:t>
            </w:r>
          </w:p>
        </w:tc>
        <w:tc>
          <w:tcPr>
            <w:tcW w:w="140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280" w:type="dxa"/>
            <w:vAlign w:val="bottom"/>
            <w:tcBorders>
              <w:bottom w:val="single" w:sz="8" w:color="D1D2D4"/>
            </w:tcBorders>
            <w:vMerge w:val="continue"/>
          </w:tcPr>
          <w:p>
            <w:pPr>
              <w:spacing w:after="0"/>
              <w:rPr>
                <w:sz w:val="9"/>
                <w:szCs w:val="9"/>
                <w:color w:val="auto"/>
              </w:rPr>
            </w:pPr>
          </w:p>
        </w:tc>
        <w:tc>
          <w:tcPr>
            <w:tcW w:w="1400" w:type="dxa"/>
            <w:vAlign w:val="bottom"/>
            <w:tcBorders>
              <w:bottom w:val="single" w:sz="8" w:color="D1D2D4"/>
            </w:tcBorders>
          </w:tcPr>
          <w:p>
            <w:pPr>
              <w:spacing w:after="0"/>
              <w:rPr>
                <w:sz w:val="9"/>
                <w:szCs w:val="9"/>
                <w:color w:val="auto"/>
              </w:rPr>
            </w:pPr>
          </w:p>
        </w:tc>
        <w:tc>
          <w:tcPr>
            <w:tcW w:w="1540" w:type="dxa"/>
            <w:vAlign w:val="bottom"/>
            <w:tcBorders>
              <w:bottom w:val="single" w:sz="8" w:color="D1D2D4"/>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ED8EA"/>
          </w:tcPr>
          <w:p>
            <w:pPr>
              <w:ind w:left="280"/>
              <w:spacing w:after="0" w:line="196" w:lineRule="exact"/>
              <w:rPr>
                <w:sz w:val="20"/>
                <w:szCs w:val="20"/>
                <w:color w:val="auto"/>
              </w:rPr>
            </w:pPr>
            <w:r>
              <w:rPr>
                <w:rFonts w:ascii="Arial" w:cs="Arial" w:eastAsia="Arial" w:hAnsi="Arial"/>
                <w:sz w:val="18"/>
                <w:szCs w:val="18"/>
                <w:b w:val="1"/>
                <w:bCs w:val="1"/>
                <w:color w:val="02568A"/>
              </w:rPr>
              <w:t>Peter L.</w:t>
            </w:r>
          </w:p>
        </w:tc>
        <w:tc>
          <w:tcPr>
            <w:tcW w:w="1400" w:type="dxa"/>
            <w:vAlign w:val="bottom"/>
            <w:vMerge w:val="restart"/>
            <w:shd w:val="clear" w:color="auto" w:fill="CED8EA"/>
          </w:tcPr>
          <w:p>
            <w:pPr>
              <w:jc w:val="right"/>
              <w:spacing w:after="0"/>
              <w:rPr>
                <w:sz w:val="20"/>
                <w:szCs w:val="20"/>
                <w:color w:val="auto"/>
              </w:rPr>
            </w:pPr>
            <w:r>
              <w:rPr>
                <w:rFonts w:ascii="Arial" w:cs="Arial" w:eastAsia="Arial" w:hAnsi="Arial"/>
                <w:sz w:val="18"/>
                <w:szCs w:val="18"/>
                <w:color w:val="02568A"/>
              </w:rPr>
              <w:t>410,000</w:t>
            </w:r>
          </w:p>
        </w:tc>
        <w:tc>
          <w:tcPr>
            <w:tcW w:w="1540" w:type="dxa"/>
            <w:vAlign w:val="bottom"/>
            <w:vMerge w:val="restart"/>
            <w:shd w:val="clear" w:color="auto" w:fill="CED8EA"/>
          </w:tcPr>
          <w:p>
            <w:pPr>
              <w:jc w:val="right"/>
              <w:ind w:right="192"/>
              <w:spacing w:after="0"/>
              <w:rPr>
                <w:sz w:val="20"/>
                <w:szCs w:val="20"/>
                <w:color w:val="auto"/>
              </w:rPr>
            </w:pPr>
            <w:r>
              <w:rPr>
                <w:rFonts w:ascii="Arial" w:cs="Arial" w:eastAsia="Arial" w:hAnsi="Arial"/>
                <w:sz w:val="18"/>
                <w:szCs w:val="18"/>
                <w:color w:val="02568A"/>
              </w:rPr>
              <w:t>402,000</w:t>
            </w:r>
          </w:p>
        </w:tc>
        <w:tc>
          <w:tcPr>
            <w:tcW w:w="0" w:type="dxa"/>
            <w:vAlign w:val="bottom"/>
          </w:tcPr>
          <w:p>
            <w:pPr>
              <w:spacing w:after="0"/>
              <w:rPr>
                <w:sz w:val="1"/>
                <w:szCs w:val="1"/>
                <w:color w:val="auto"/>
              </w:rPr>
            </w:pPr>
          </w:p>
        </w:tc>
      </w:tr>
      <w:tr>
        <w:trPr>
          <w:trHeight w:val="120"/>
        </w:trPr>
        <w:tc>
          <w:tcPr>
            <w:tcW w:w="1280" w:type="dxa"/>
            <w:vAlign w:val="bottom"/>
            <w:vMerge w:val="restart"/>
            <w:shd w:val="clear" w:color="auto" w:fill="CED8EA"/>
          </w:tcPr>
          <w:p>
            <w:pPr>
              <w:ind w:left="280"/>
              <w:spacing w:after="0"/>
              <w:rPr>
                <w:sz w:val="20"/>
                <w:szCs w:val="20"/>
                <w:color w:val="auto"/>
              </w:rPr>
            </w:pPr>
            <w:r>
              <w:rPr>
                <w:rFonts w:ascii="Arial" w:cs="Arial" w:eastAsia="Arial" w:hAnsi="Arial"/>
                <w:sz w:val="18"/>
                <w:szCs w:val="18"/>
                <w:b w:val="1"/>
                <w:bCs w:val="1"/>
                <w:color w:val="02568A"/>
              </w:rPr>
              <w:t>Gammel</w:t>
            </w:r>
          </w:p>
        </w:tc>
        <w:tc>
          <w:tcPr>
            <w:tcW w:w="1400" w:type="dxa"/>
            <w:vAlign w:val="bottom"/>
            <w:vMerge w:val="continue"/>
            <w:shd w:val="clear" w:color="auto" w:fill="CED8EA"/>
          </w:tcPr>
          <w:p>
            <w:pPr>
              <w:spacing w:after="0"/>
              <w:rPr>
                <w:sz w:val="10"/>
                <w:szCs w:val="10"/>
                <w:color w:val="auto"/>
              </w:rPr>
            </w:pPr>
          </w:p>
        </w:tc>
        <w:tc>
          <w:tcPr>
            <w:tcW w:w="1540" w:type="dxa"/>
            <w:vAlign w:val="bottom"/>
            <w:vMerge w:val="continue"/>
            <w:shd w:val="clear" w:color="auto" w:fill="CED8EA"/>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280" w:type="dxa"/>
            <w:vAlign w:val="bottom"/>
            <w:tcBorders>
              <w:bottom w:val="single" w:sz="8" w:color="D1D2D4"/>
            </w:tcBorders>
            <w:vMerge w:val="continue"/>
            <w:shd w:val="clear" w:color="auto" w:fill="CED8EA"/>
          </w:tcPr>
          <w:p>
            <w:pPr>
              <w:spacing w:after="0"/>
              <w:rPr>
                <w:sz w:val="9"/>
                <w:szCs w:val="9"/>
                <w:color w:val="auto"/>
              </w:rPr>
            </w:pPr>
          </w:p>
        </w:tc>
        <w:tc>
          <w:tcPr>
            <w:tcW w:w="1400" w:type="dxa"/>
            <w:vAlign w:val="bottom"/>
            <w:tcBorders>
              <w:bottom w:val="single" w:sz="8" w:color="D1D2D4"/>
            </w:tcBorders>
            <w:shd w:val="clear" w:color="auto" w:fill="CED8EA"/>
          </w:tcPr>
          <w:p>
            <w:pPr>
              <w:spacing w:after="0"/>
              <w:rPr>
                <w:sz w:val="9"/>
                <w:szCs w:val="9"/>
                <w:color w:val="auto"/>
              </w:rPr>
            </w:pPr>
          </w:p>
        </w:tc>
        <w:tc>
          <w:tcPr>
            <w:tcW w:w="1540" w:type="dxa"/>
            <w:vAlign w:val="bottom"/>
            <w:tcBorders>
              <w:bottom w:val="single" w:sz="8" w:color="D1D2D4"/>
            </w:tcBorders>
            <w:shd w:val="clear" w:color="auto" w:fill="CED8EA"/>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02568A"/>
        </w:rPr>
        <w:t>Short-Term Incentives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000001"/>
        </w:rPr>
        <w:t>Overview</w:t>
      </w:r>
    </w:p>
    <w:p>
      <w:pPr>
        <w:spacing w:after="0" w:line="225" w:lineRule="exact"/>
        <w:rPr>
          <w:sz w:val="20"/>
          <w:szCs w:val="20"/>
          <w:color w:val="auto"/>
        </w:rPr>
      </w:pPr>
    </w:p>
    <w:p>
      <w:pPr>
        <w:spacing w:after="0" w:line="305" w:lineRule="auto"/>
        <w:rPr>
          <w:sz w:val="20"/>
          <w:szCs w:val="20"/>
          <w:color w:val="auto"/>
        </w:rPr>
      </w:pPr>
      <w:r>
        <w:rPr>
          <w:rFonts w:ascii="Arial" w:cs="Arial" w:eastAsia="Arial" w:hAnsi="Arial"/>
          <w:sz w:val="15"/>
          <w:szCs w:val="15"/>
          <w:color w:val="191919"/>
        </w:rPr>
        <w:t>Our short-term incentive compensation plan for executive officers is established annually by the Compensation Committee. For fiscal year 2019, the Compensation Committee adopted the Fiscal Year 2019 Executive Incentive Plan (the “Incentive Plan”). The Incentive Plan established short-term incentive awards for fiscal year 2019 for certain officers of the Company, including the Named Executive Officers, based on the Company’s achievement of corporate performance goals established at the beginning of the fiscal year. Short-term incentive compensation is intended to motivate and reward executives by tying a significant portion of their total cash compensation to the Company’s achievement of pre-established performance goals that are generally one year or less in duration. Pursuant to the Incentive Plan, the Compensation Committee set a range of short-term incentive compensation that could be earned by each executive officer based on the Comparator Group data, which is expressed as a percentage of the executive officer’s base salary and which corresponds to the level of achievement of the performance goals.</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000001"/>
        </w:rPr>
        <w:t>Incentive Opportunities</w:t>
      </w:r>
    </w:p>
    <w:p>
      <w:pPr>
        <w:spacing w:after="0" w:line="225"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191919"/>
        </w:rPr>
        <w:t>For each executive officer, short-term incentive compensation at the “target” level is designed to be near the median short-term incentive compensation of the Comparator Group. After reviewing Comparator Group data, the Compensation Committee increased the target incentive, as a percentage of base salary, for the Chief Financial Officer from 90% for fiscal year 2018 to 100% for fiscal year 2019, and for the Named Executive Officers other than the Chief Executive Officer and Chief Financial Officer from 70% for fiscal year 2018 to 80% for fiscal year 2019. The target incentive, as a percentage of base salary, for the Chief Executive Officer was not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149860</wp:posOffset>
            </wp:positionV>
            <wp:extent cx="713613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80" w:space="680"/>
            <w:col w:w="5280"/>
          </w:cols>
          <w:pgMar w:left="320" w:top="131"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191919"/>
        </w:rPr>
        <w:t>The following table shows the range of short-term incentive compensation that each Named Executive Officer could earn in fiscal year 2019 as a percentage of such executive officer’s annual base salary.</w:t>
      </w:r>
    </w:p>
    <w:p>
      <w:pPr>
        <w:spacing w:after="0" w:line="149" w:lineRule="exact"/>
        <w:rPr>
          <w:sz w:val="20"/>
          <w:szCs w:val="20"/>
          <w:color w:val="auto"/>
        </w:rPr>
      </w:pPr>
    </w:p>
    <w:tbl>
      <w:tblPr>
        <w:tblLayout w:type="fixed"/>
        <w:tblInd w:w="540" w:type="dxa"/>
        <w:tblCellMar>
          <w:top w:w="0" w:type="dxa"/>
          <w:left w:w="0" w:type="dxa"/>
          <w:bottom w:w="0" w:type="dxa"/>
          <w:right w:w="0" w:type="dxa"/>
        </w:tblCellMar>
      </w:tblPr>
      <w:tr>
        <w:trPr>
          <w:trHeight w:val="229"/>
        </w:trPr>
        <w:tc>
          <w:tcPr>
            <w:tcW w:w="1140" w:type="dxa"/>
            <w:vAlign w:val="bottom"/>
            <w:tcBorders>
              <w:top w:val="single" w:sz="8" w:color="02568A"/>
              <w:bottom w:val="single" w:sz="8" w:color="02568A"/>
            </w:tcBorders>
          </w:tcPr>
          <w:p>
            <w:pPr>
              <w:spacing w:after="0"/>
              <w:rPr>
                <w:sz w:val="19"/>
                <w:szCs w:val="19"/>
                <w:color w:val="auto"/>
              </w:rPr>
            </w:pPr>
          </w:p>
        </w:tc>
        <w:tc>
          <w:tcPr>
            <w:tcW w:w="1060" w:type="dxa"/>
            <w:vAlign w:val="bottom"/>
            <w:tcBorders>
              <w:top w:val="single" w:sz="8" w:color="02568A"/>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87"/>
              </w:rPr>
              <w:t>Threshold</w:t>
            </w:r>
          </w:p>
        </w:tc>
        <w:tc>
          <w:tcPr>
            <w:tcW w:w="800" w:type="dxa"/>
            <w:vAlign w:val="bottom"/>
            <w:tcBorders>
              <w:top w:val="single" w:sz="8" w:color="02568A"/>
              <w:bottom w:val="single" w:sz="8" w:color="02568A"/>
            </w:tcBorders>
          </w:tcPr>
          <w:p>
            <w:pPr>
              <w:ind w:left="160"/>
              <w:spacing w:after="0"/>
              <w:rPr>
                <w:sz w:val="20"/>
                <w:szCs w:val="20"/>
                <w:color w:val="auto"/>
              </w:rPr>
            </w:pPr>
            <w:r>
              <w:rPr>
                <w:rFonts w:ascii="Arial" w:cs="Arial" w:eastAsia="Arial" w:hAnsi="Arial"/>
                <w:sz w:val="18"/>
                <w:szCs w:val="18"/>
                <w:b w:val="1"/>
                <w:bCs w:val="1"/>
                <w:color w:val="02568A"/>
              </w:rPr>
              <w:t>Target</w:t>
            </w:r>
          </w:p>
        </w:tc>
        <w:tc>
          <w:tcPr>
            <w:tcW w:w="1220" w:type="dxa"/>
            <w:vAlign w:val="bottom"/>
            <w:tcBorders>
              <w:top w:val="single" w:sz="8" w:color="02568A"/>
              <w:bottom w:val="single" w:sz="8" w:color="02568A"/>
            </w:tcBorders>
          </w:tcPr>
          <w:p>
            <w:pPr>
              <w:jc w:val="center"/>
              <w:ind w:right="32"/>
              <w:spacing w:after="0"/>
              <w:rPr>
                <w:sz w:val="20"/>
                <w:szCs w:val="20"/>
                <w:color w:val="auto"/>
              </w:rPr>
            </w:pPr>
            <w:r>
              <w:rPr>
                <w:rFonts w:ascii="Arial" w:cs="Arial" w:eastAsia="Arial" w:hAnsi="Arial"/>
                <w:sz w:val="18"/>
                <w:szCs w:val="18"/>
                <w:b w:val="1"/>
                <w:bCs w:val="1"/>
                <w:color w:val="02568A"/>
                <w:w w:val="93"/>
              </w:rPr>
              <w:t>Maximum</w:t>
            </w:r>
          </w:p>
        </w:tc>
      </w:tr>
      <w:tr>
        <w:trPr>
          <w:trHeight w:val="195"/>
        </w:trPr>
        <w:tc>
          <w:tcPr>
            <w:tcW w:w="1140" w:type="dxa"/>
            <w:vAlign w:val="bottom"/>
            <w:shd w:val="clear" w:color="auto" w:fill="CED8EA"/>
          </w:tcPr>
          <w:p>
            <w:pPr>
              <w:ind w:left="280"/>
              <w:spacing w:after="0" w:line="195" w:lineRule="exact"/>
              <w:rPr>
                <w:sz w:val="20"/>
                <w:szCs w:val="20"/>
                <w:color w:val="auto"/>
              </w:rPr>
            </w:pPr>
            <w:r>
              <w:rPr>
                <w:rFonts w:ascii="Arial" w:cs="Arial" w:eastAsia="Arial" w:hAnsi="Arial"/>
                <w:sz w:val="18"/>
                <w:szCs w:val="18"/>
                <w:b w:val="1"/>
                <w:bCs w:val="1"/>
                <w:color w:val="02568A"/>
              </w:rPr>
              <w:t>Chief</w:t>
            </w:r>
          </w:p>
        </w:tc>
        <w:tc>
          <w:tcPr>
            <w:tcW w:w="1060" w:type="dxa"/>
            <w:vAlign w:val="bottom"/>
            <w:shd w:val="clear" w:color="auto" w:fill="CED8EA"/>
          </w:tcPr>
          <w:p>
            <w:pPr>
              <w:spacing w:after="0"/>
              <w:rPr>
                <w:sz w:val="16"/>
                <w:szCs w:val="16"/>
                <w:color w:val="auto"/>
              </w:rPr>
            </w:pPr>
          </w:p>
        </w:tc>
        <w:tc>
          <w:tcPr>
            <w:tcW w:w="800" w:type="dxa"/>
            <w:vAlign w:val="bottom"/>
            <w:shd w:val="clear" w:color="auto" w:fill="CED8EA"/>
          </w:tcPr>
          <w:p>
            <w:pPr>
              <w:spacing w:after="0"/>
              <w:rPr>
                <w:sz w:val="16"/>
                <w:szCs w:val="16"/>
                <w:color w:val="auto"/>
              </w:rPr>
            </w:pPr>
          </w:p>
        </w:tc>
        <w:tc>
          <w:tcPr>
            <w:tcW w:w="1220" w:type="dxa"/>
            <w:vAlign w:val="bottom"/>
            <w:shd w:val="clear" w:color="auto" w:fill="CED8EA"/>
          </w:tcPr>
          <w:p>
            <w:pPr>
              <w:spacing w:after="0"/>
              <w:rPr>
                <w:sz w:val="16"/>
                <w:szCs w:val="16"/>
                <w:color w:val="auto"/>
              </w:rPr>
            </w:pPr>
          </w:p>
        </w:tc>
      </w:tr>
      <w:tr>
        <w:trPr>
          <w:trHeight w:val="216"/>
        </w:trPr>
        <w:tc>
          <w:tcPr>
            <w:tcW w:w="1140" w:type="dxa"/>
            <w:vAlign w:val="bottom"/>
            <w:shd w:val="clear" w:color="auto" w:fill="CED8EA"/>
          </w:tcPr>
          <w:p>
            <w:pPr>
              <w:ind w:left="280"/>
              <w:spacing w:after="0"/>
              <w:rPr>
                <w:sz w:val="20"/>
                <w:szCs w:val="20"/>
                <w:color w:val="auto"/>
              </w:rPr>
            </w:pPr>
            <w:r>
              <w:rPr>
                <w:rFonts w:ascii="Arial" w:cs="Arial" w:eastAsia="Arial" w:hAnsi="Arial"/>
                <w:sz w:val="18"/>
                <w:szCs w:val="18"/>
                <w:b w:val="1"/>
                <w:bCs w:val="1"/>
                <w:color w:val="02568A"/>
                <w:w w:val="99"/>
              </w:rPr>
              <w:t>Executive</w:t>
            </w:r>
          </w:p>
        </w:tc>
        <w:tc>
          <w:tcPr>
            <w:tcW w:w="1060" w:type="dxa"/>
            <w:vAlign w:val="bottom"/>
            <w:shd w:val="clear" w:color="auto" w:fill="CED8EA"/>
          </w:tcPr>
          <w:p>
            <w:pPr>
              <w:jc w:val="center"/>
              <w:spacing w:after="0"/>
              <w:rPr>
                <w:sz w:val="20"/>
                <w:szCs w:val="20"/>
                <w:color w:val="auto"/>
              </w:rPr>
            </w:pPr>
            <w:r>
              <w:rPr>
                <w:rFonts w:ascii="Arial" w:cs="Arial" w:eastAsia="Arial" w:hAnsi="Arial"/>
                <w:sz w:val="18"/>
                <w:szCs w:val="18"/>
                <w:color w:val="02568A"/>
                <w:w w:val="88"/>
              </w:rPr>
              <w:t>80%</w:t>
            </w:r>
          </w:p>
        </w:tc>
        <w:tc>
          <w:tcPr>
            <w:tcW w:w="800" w:type="dxa"/>
            <w:vAlign w:val="bottom"/>
            <w:shd w:val="clear" w:color="auto" w:fill="CED8EA"/>
          </w:tcPr>
          <w:p>
            <w:pPr>
              <w:jc w:val="center"/>
              <w:spacing w:after="0"/>
              <w:rPr>
                <w:sz w:val="20"/>
                <w:szCs w:val="20"/>
                <w:color w:val="auto"/>
              </w:rPr>
            </w:pPr>
            <w:r>
              <w:rPr>
                <w:rFonts w:ascii="Arial" w:cs="Arial" w:eastAsia="Arial" w:hAnsi="Arial"/>
                <w:sz w:val="18"/>
                <w:szCs w:val="18"/>
                <w:color w:val="02568A"/>
                <w:w w:val="91"/>
              </w:rPr>
              <w:t>160%</w:t>
            </w:r>
          </w:p>
        </w:tc>
        <w:tc>
          <w:tcPr>
            <w:tcW w:w="1220" w:type="dxa"/>
            <w:vAlign w:val="bottom"/>
            <w:shd w:val="clear" w:color="auto" w:fill="CED8EA"/>
          </w:tcPr>
          <w:p>
            <w:pPr>
              <w:jc w:val="center"/>
              <w:ind w:right="32"/>
              <w:spacing w:after="0"/>
              <w:rPr>
                <w:sz w:val="20"/>
                <w:szCs w:val="20"/>
                <w:color w:val="auto"/>
              </w:rPr>
            </w:pPr>
            <w:r>
              <w:rPr>
                <w:rFonts w:ascii="Arial" w:cs="Arial" w:eastAsia="Arial" w:hAnsi="Arial"/>
                <w:sz w:val="18"/>
                <w:szCs w:val="18"/>
                <w:color w:val="02568A"/>
                <w:w w:val="91"/>
              </w:rPr>
              <w:t>320%</w:t>
            </w:r>
          </w:p>
        </w:tc>
      </w:tr>
      <w:tr>
        <w:trPr>
          <w:trHeight w:val="229"/>
        </w:trPr>
        <w:tc>
          <w:tcPr>
            <w:tcW w:w="114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Officer</w:t>
            </w:r>
          </w:p>
        </w:tc>
        <w:tc>
          <w:tcPr>
            <w:tcW w:w="1060" w:type="dxa"/>
            <w:vAlign w:val="bottom"/>
            <w:tcBorders>
              <w:bottom w:val="single" w:sz="8" w:color="D1D2D4"/>
            </w:tcBorders>
            <w:shd w:val="clear" w:color="auto" w:fill="CED8EA"/>
          </w:tcPr>
          <w:p>
            <w:pPr>
              <w:spacing w:after="0"/>
              <w:rPr>
                <w:sz w:val="19"/>
                <w:szCs w:val="19"/>
                <w:color w:val="auto"/>
              </w:rPr>
            </w:pPr>
          </w:p>
        </w:tc>
        <w:tc>
          <w:tcPr>
            <w:tcW w:w="800" w:type="dxa"/>
            <w:vAlign w:val="bottom"/>
            <w:tcBorders>
              <w:bottom w:val="single" w:sz="8" w:color="D1D2D4"/>
            </w:tcBorders>
            <w:shd w:val="clear" w:color="auto" w:fill="CED8EA"/>
          </w:tcPr>
          <w:p>
            <w:pPr>
              <w:spacing w:after="0"/>
              <w:rPr>
                <w:sz w:val="19"/>
                <w:szCs w:val="19"/>
                <w:color w:val="auto"/>
              </w:rPr>
            </w:pPr>
          </w:p>
        </w:tc>
        <w:tc>
          <w:tcPr>
            <w:tcW w:w="1220" w:type="dxa"/>
            <w:vAlign w:val="bottom"/>
            <w:tcBorders>
              <w:bottom w:val="single" w:sz="8" w:color="D1D2D4"/>
            </w:tcBorders>
            <w:shd w:val="clear" w:color="auto" w:fill="CED8EA"/>
          </w:tcPr>
          <w:p>
            <w:pPr>
              <w:spacing w:after="0"/>
              <w:rPr>
                <w:sz w:val="19"/>
                <w:szCs w:val="19"/>
                <w:color w:val="auto"/>
              </w:rPr>
            </w:pPr>
          </w:p>
        </w:tc>
      </w:tr>
      <w:tr>
        <w:trPr>
          <w:trHeight w:val="196"/>
        </w:trPr>
        <w:tc>
          <w:tcPr>
            <w:tcW w:w="1140" w:type="dxa"/>
            <w:vAlign w:val="bottom"/>
          </w:tcPr>
          <w:p>
            <w:pPr>
              <w:ind w:left="280"/>
              <w:spacing w:after="0" w:line="196" w:lineRule="exact"/>
              <w:rPr>
                <w:sz w:val="20"/>
                <w:szCs w:val="20"/>
                <w:color w:val="auto"/>
              </w:rPr>
            </w:pPr>
            <w:r>
              <w:rPr>
                <w:rFonts w:ascii="Arial" w:cs="Arial" w:eastAsia="Arial" w:hAnsi="Arial"/>
                <w:sz w:val="18"/>
                <w:szCs w:val="18"/>
                <w:b w:val="1"/>
                <w:bCs w:val="1"/>
                <w:color w:val="02568A"/>
              </w:rPr>
              <w:t>Chief</w:t>
            </w: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1140" w:type="dxa"/>
            <w:vAlign w:val="bottom"/>
          </w:tcPr>
          <w:p>
            <w:pPr>
              <w:ind w:left="280"/>
              <w:spacing w:after="0"/>
              <w:rPr>
                <w:sz w:val="20"/>
                <w:szCs w:val="20"/>
                <w:color w:val="auto"/>
              </w:rPr>
            </w:pPr>
            <w:r>
              <w:rPr>
                <w:rFonts w:ascii="Arial" w:cs="Arial" w:eastAsia="Arial" w:hAnsi="Arial"/>
                <w:sz w:val="18"/>
                <w:szCs w:val="18"/>
                <w:b w:val="1"/>
                <w:bCs w:val="1"/>
                <w:color w:val="02568A"/>
              </w:rPr>
              <w:t>Financial</w:t>
            </w:r>
          </w:p>
        </w:tc>
        <w:tc>
          <w:tcPr>
            <w:tcW w:w="1060" w:type="dxa"/>
            <w:vAlign w:val="bottom"/>
          </w:tcPr>
          <w:p>
            <w:pPr>
              <w:jc w:val="center"/>
              <w:spacing w:after="0"/>
              <w:rPr>
                <w:sz w:val="20"/>
                <w:szCs w:val="20"/>
                <w:color w:val="auto"/>
              </w:rPr>
            </w:pPr>
            <w:r>
              <w:rPr>
                <w:rFonts w:ascii="Arial" w:cs="Arial" w:eastAsia="Arial" w:hAnsi="Arial"/>
                <w:sz w:val="18"/>
                <w:szCs w:val="18"/>
                <w:color w:val="02568A"/>
                <w:w w:val="88"/>
              </w:rPr>
              <w:t>50%</w:t>
            </w:r>
          </w:p>
        </w:tc>
        <w:tc>
          <w:tcPr>
            <w:tcW w:w="800" w:type="dxa"/>
            <w:vAlign w:val="bottom"/>
          </w:tcPr>
          <w:p>
            <w:pPr>
              <w:jc w:val="center"/>
              <w:spacing w:after="0"/>
              <w:rPr>
                <w:sz w:val="20"/>
                <w:szCs w:val="20"/>
                <w:color w:val="auto"/>
              </w:rPr>
            </w:pPr>
            <w:r>
              <w:rPr>
                <w:rFonts w:ascii="Arial" w:cs="Arial" w:eastAsia="Arial" w:hAnsi="Arial"/>
                <w:sz w:val="18"/>
                <w:szCs w:val="18"/>
                <w:color w:val="02568A"/>
                <w:w w:val="91"/>
              </w:rPr>
              <w:t>100%</w:t>
            </w:r>
          </w:p>
        </w:tc>
        <w:tc>
          <w:tcPr>
            <w:tcW w:w="1220" w:type="dxa"/>
            <w:vAlign w:val="bottom"/>
          </w:tcPr>
          <w:p>
            <w:pPr>
              <w:jc w:val="center"/>
              <w:ind w:right="32"/>
              <w:spacing w:after="0"/>
              <w:rPr>
                <w:sz w:val="20"/>
                <w:szCs w:val="20"/>
                <w:color w:val="auto"/>
              </w:rPr>
            </w:pPr>
            <w:r>
              <w:rPr>
                <w:rFonts w:ascii="Arial" w:cs="Arial" w:eastAsia="Arial" w:hAnsi="Arial"/>
                <w:sz w:val="18"/>
                <w:szCs w:val="18"/>
                <w:color w:val="02568A"/>
                <w:w w:val="91"/>
              </w:rPr>
              <w:t>200%</w:t>
            </w:r>
          </w:p>
        </w:tc>
      </w:tr>
      <w:tr>
        <w:trPr>
          <w:trHeight w:val="229"/>
        </w:trPr>
        <w:tc>
          <w:tcPr>
            <w:tcW w:w="1140" w:type="dxa"/>
            <w:vAlign w:val="bottom"/>
            <w:tcBorders>
              <w:bottom w:val="single" w:sz="8" w:color="D1D2D4"/>
            </w:tcBorders>
          </w:tcPr>
          <w:p>
            <w:pPr>
              <w:ind w:left="280"/>
              <w:spacing w:after="0"/>
              <w:rPr>
                <w:sz w:val="20"/>
                <w:szCs w:val="20"/>
                <w:color w:val="auto"/>
              </w:rPr>
            </w:pPr>
            <w:r>
              <w:rPr>
                <w:rFonts w:ascii="Arial" w:cs="Arial" w:eastAsia="Arial" w:hAnsi="Arial"/>
                <w:sz w:val="18"/>
                <w:szCs w:val="18"/>
                <w:b w:val="1"/>
                <w:bCs w:val="1"/>
                <w:color w:val="02568A"/>
              </w:rPr>
              <w:t>Officer</w:t>
            </w:r>
          </w:p>
        </w:tc>
        <w:tc>
          <w:tcPr>
            <w:tcW w:w="1060" w:type="dxa"/>
            <w:vAlign w:val="bottom"/>
            <w:tcBorders>
              <w:bottom w:val="single" w:sz="8" w:color="D1D2D4"/>
            </w:tcBorders>
          </w:tcPr>
          <w:p>
            <w:pPr>
              <w:spacing w:after="0"/>
              <w:rPr>
                <w:sz w:val="19"/>
                <w:szCs w:val="19"/>
                <w:color w:val="auto"/>
              </w:rPr>
            </w:pPr>
          </w:p>
        </w:tc>
        <w:tc>
          <w:tcPr>
            <w:tcW w:w="800" w:type="dxa"/>
            <w:vAlign w:val="bottom"/>
            <w:tcBorders>
              <w:bottom w:val="single" w:sz="8" w:color="D1D2D4"/>
            </w:tcBorders>
          </w:tcPr>
          <w:p>
            <w:pPr>
              <w:spacing w:after="0"/>
              <w:rPr>
                <w:sz w:val="19"/>
                <w:szCs w:val="19"/>
                <w:color w:val="auto"/>
              </w:rPr>
            </w:pPr>
          </w:p>
        </w:tc>
        <w:tc>
          <w:tcPr>
            <w:tcW w:w="1220" w:type="dxa"/>
            <w:vAlign w:val="bottom"/>
            <w:tcBorders>
              <w:bottom w:val="single" w:sz="8" w:color="D1D2D4"/>
            </w:tcBorders>
          </w:tcPr>
          <w:p>
            <w:pPr>
              <w:spacing w:after="0"/>
              <w:rPr>
                <w:sz w:val="19"/>
                <w:szCs w:val="19"/>
                <w:color w:val="auto"/>
              </w:rPr>
            </w:pPr>
          </w:p>
        </w:tc>
      </w:tr>
      <w:tr>
        <w:trPr>
          <w:trHeight w:val="196"/>
        </w:trPr>
        <w:tc>
          <w:tcPr>
            <w:tcW w:w="1140" w:type="dxa"/>
            <w:vAlign w:val="bottom"/>
            <w:shd w:val="clear" w:color="auto" w:fill="CED8EA"/>
          </w:tcPr>
          <w:p>
            <w:pPr>
              <w:ind w:left="280"/>
              <w:spacing w:after="0" w:line="196" w:lineRule="exact"/>
              <w:rPr>
                <w:sz w:val="20"/>
                <w:szCs w:val="20"/>
                <w:color w:val="auto"/>
              </w:rPr>
            </w:pPr>
            <w:r>
              <w:rPr>
                <w:rFonts w:ascii="Arial" w:cs="Arial" w:eastAsia="Arial" w:hAnsi="Arial"/>
                <w:sz w:val="18"/>
                <w:szCs w:val="18"/>
                <w:b w:val="1"/>
                <w:bCs w:val="1"/>
                <w:color w:val="02568A"/>
              </w:rPr>
              <w:t>Other</w:t>
            </w:r>
          </w:p>
        </w:tc>
        <w:tc>
          <w:tcPr>
            <w:tcW w:w="1060" w:type="dxa"/>
            <w:vAlign w:val="bottom"/>
            <w:shd w:val="clear" w:color="auto" w:fill="CED8EA"/>
          </w:tcPr>
          <w:p>
            <w:pPr>
              <w:spacing w:after="0"/>
              <w:rPr>
                <w:sz w:val="17"/>
                <w:szCs w:val="17"/>
                <w:color w:val="auto"/>
              </w:rPr>
            </w:pPr>
          </w:p>
        </w:tc>
        <w:tc>
          <w:tcPr>
            <w:tcW w:w="800" w:type="dxa"/>
            <w:vAlign w:val="bottom"/>
            <w:shd w:val="clear" w:color="auto" w:fill="CED8EA"/>
          </w:tcPr>
          <w:p>
            <w:pPr>
              <w:spacing w:after="0"/>
              <w:rPr>
                <w:sz w:val="17"/>
                <w:szCs w:val="17"/>
                <w:color w:val="auto"/>
              </w:rPr>
            </w:pPr>
          </w:p>
        </w:tc>
        <w:tc>
          <w:tcPr>
            <w:tcW w:w="1220" w:type="dxa"/>
            <w:vAlign w:val="bottom"/>
            <w:shd w:val="clear" w:color="auto" w:fill="CED8EA"/>
          </w:tcPr>
          <w:p>
            <w:pPr>
              <w:spacing w:after="0"/>
              <w:rPr>
                <w:sz w:val="17"/>
                <w:szCs w:val="17"/>
                <w:color w:val="auto"/>
              </w:rPr>
            </w:pPr>
          </w:p>
        </w:tc>
      </w:tr>
      <w:tr>
        <w:trPr>
          <w:trHeight w:val="216"/>
        </w:trPr>
        <w:tc>
          <w:tcPr>
            <w:tcW w:w="1140" w:type="dxa"/>
            <w:vAlign w:val="bottom"/>
            <w:shd w:val="clear" w:color="auto" w:fill="CED8EA"/>
          </w:tcPr>
          <w:p>
            <w:pPr>
              <w:ind w:left="280"/>
              <w:spacing w:after="0"/>
              <w:rPr>
                <w:sz w:val="20"/>
                <w:szCs w:val="20"/>
                <w:color w:val="auto"/>
              </w:rPr>
            </w:pPr>
            <w:r>
              <w:rPr>
                <w:rFonts w:ascii="Arial" w:cs="Arial" w:eastAsia="Arial" w:hAnsi="Arial"/>
                <w:sz w:val="18"/>
                <w:szCs w:val="18"/>
                <w:b w:val="1"/>
                <w:bCs w:val="1"/>
                <w:color w:val="02568A"/>
                <w:w w:val="99"/>
              </w:rPr>
              <w:t>Executive</w:t>
            </w:r>
          </w:p>
        </w:tc>
        <w:tc>
          <w:tcPr>
            <w:tcW w:w="1060" w:type="dxa"/>
            <w:vAlign w:val="bottom"/>
            <w:shd w:val="clear" w:color="auto" w:fill="CED8EA"/>
          </w:tcPr>
          <w:p>
            <w:pPr>
              <w:jc w:val="center"/>
              <w:spacing w:after="0"/>
              <w:rPr>
                <w:sz w:val="20"/>
                <w:szCs w:val="20"/>
                <w:color w:val="auto"/>
              </w:rPr>
            </w:pPr>
            <w:r>
              <w:rPr>
                <w:rFonts w:ascii="Arial" w:cs="Arial" w:eastAsia="Arial" w:hAnsi="Arial"/>
                <w:sz w:val="18"/>
                <w:szCs w:val="18"/>
                <w:color w:val="02568A"/>
                <w:w w:val="88"/>
              </w:rPr>
              <w:t>40%</w:t>
            </w:r>
          </w:p>
        </w:tc>
        <w:tc>
          <w:tcPr>
            <w:tcW w:w="800" w:type="dxa"/>
            <w:vAlign w:val="bottom"/>
            <w:shd w:val="clear" w:color="auto" w:fill="CED8EA"/>
          </w:tcPr>
          <w:p>
            <w:pPr>
              <w:jc w:val="center"/>
              <w:spacing w:after="0"/>
              <w:rPr>
                <w:sz w:val="20"/>
                <w:szCs w:val="20"/>
                <w:color w:val="auto"/>
              </w:rPr>
            </w:pPr>
            <w:r>
              <w:rPr>
                <w:rFonts w:ascii="Arial" w:cs="Arial" w:eastAsia="Arial" w:hAnsi="Arial"/>
                <w:sz w:val="18"/>
                <w:szCs w:val="18"/>
                <w:color w:val="02568A"/>
                <w:w w:val="88"/>
              </w:rPr>
              <w:t>80%</w:t>
            </w:r>
          </w:p>
        </w:tc>
        <w:tc>
          <w:tcPr>
            <w:tcW w:w="1220" w:type="dxa"/>
            <w:vAlign w:val="bottom"/>
            <w:shd w:val="clear" w:color="auto" w:fill="CED8EA"/>
          </w:tcPr>
          <w:p>
            <w:pPr>
              <w:jc w:val="center"/>
              <w:ind w:right="32"/>
              <w:spacing w:after="0"/>
              <w:rPr>
                <w:sz w:val="20"/>
                <w:szCs w:val="20"/>
                <w:color w:val="auto"/>
              </w:rPr>
            </w:pPr>
            <w:r>
              <w:rPr>
                <w:rFonts w:ascii="Arial" w:cs="Arial" w:eastAsia="Arial" w:hAnsi="Arial"/>
                <w:sz w:val="18"/>
                <w:szCs w:val="18"/>
                <w:color w:val="02568A"/>
                <w:w w:val="91"/>
              </w:rPr>
              <w:t>160%</w:t>
            </w:r>
          </w:p>
        </w:tc>
      </w:tr>
      <w:tr>
        <w:trPr>
          <w:trHeight w:val="229"/>
        </w:trPr>
        <w:tc>
          <w:tcPr>
            <w:tcW w:w="114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Officers</w:t>
            </w:r>
          </w:p>
        </w:tc>
        <w:tc>
          <w:tcPr>
            <w:tcW w:w="1060" w:type="dxa"/>
            <w:vAlign w:val="bottom"/>
            <w:tcBorders>
              <w:bottom w:val="single" w:sz="8" w:color="D1D2D4"/>
            </w:tcBorders>
            <w:shd w:val="clear" w:color="auto" w:fill="CED8EA"/>
          </w:tcPr>
          <w:p>
            <w:pPr>
              <w:spacing w:after="0"/>
              <w:rPr>
                <w:sz w:val="19"/>
                <w:szCs w:val="19"/>
                <w:color w:val="auto"/>
              </w:rPr>
            </w:pPr>
          </w:p>
        </w:tc>
        <w:tc>
          <w:tcPr>
            <w:tcW w:w="800" w:type="dxa"/>
            <w:vAlign w:val="bottom"/>
            <w:tcBorders>
              <w:bottom w:val="single" w:sz="8" w:color="D1D2D4"/>
            </w:tcBorders>
            <w:shd w:val="clear" w:color="auto" w:fill="CED8EA"/>
          </w:tcPr>
          <w:p>
            <w:pPr>
              <w:spacing w:after="0"/>
              <w:rPr>
                <w:sz w:val="19"/>
                <w:szCs w:val="19"/>
                <w:color w:val="auto"/>
              </w:rPr>
            </w:pPr>
          </w:p>
        </w:tc>
        <w:tc>
          <w:tcPr>
            <w:tcW w:w="1220" w:type="dxa"/>
            <w:vAlign w:val="bottom"/>
            <w:tcBorders>
              <w:bottom w:val="single" w:sz="8" w:color="D1D2D4"/>
            </w:tcBorders>
            <w:shd w:val="clear" w:color="auto" w:fill="CED8EA"/>
          </w:tcPr>
          <w:p>
            <w:pPr>
              <w:spacing w:after="0"/>
              <w:rPr>
                <w:sz w:val="19"/>
                <w:szCs w:val="19"/>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000001"/>
        </w:rPr>
        <w:t>Performance Goals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191919"/>
        </w:rPr>
        <w:t>In November 2018, the Compensation Committee established performance goals for fiscal year 2019 based on achieving certain revenue and non-GAAP operating income performance metrics. Each of these two performance goals was weighted equally (50% each) toward payments under the Incentive Plan. The non-GAAP operating income performance goal is based on the Company’s publicly disclosed non-GAAP operating income—which is calculated by excluding from GAAP operating income share-based compensation expense; acquisition-related expenses; amortization of acquisition-related intangibles; settlements, gains, losses, and impairments; restructuring-related charges; and certain deferred executive compensation—after accounting for any incentive award payments, including those to be made under the Incentive Plan.</w:t>
      </w:r>
    </w:p>
    <w:p>
      <w:pPr>
        <w:spacing w:after="0" w:line="1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191919"/>
        </w:rPr>
        <w:t>The target level performance goals established by the Compensation Committee under the Incentive Plan are based on the Company’s historical operating results and growth rates as well as the Company’s expected future results and are designed to require significant effort and operational success on the part of our executives and the Company to achieve them. The maximum level performance goals established by the Compensation Committee have historically been difficult to achieve and are designed to represent outstanding performance that the Compensation Committee believes should be rewarded.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46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191919"/>
        </w:rPr>
        <w:t>The performance goals established under the Incentive Plan for fiscal 2019 were as follows (in millions):</w:t>
      </w:r>
    </w:p>
    <w:p>
      <w:pPr>
        <w:spacing w:after="0" w:line="174"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1180" w:type="dxa"/>
            <w:vAlign w:val="bottom"/>
            <w:tcBorders>
              <w:top w:val="single" w:sz="8" w:color="02568A"/>
            </w:tcBorders>
          </w:tcPr>
          <w:p>
            <w:pPr>
              <w:ind w:left="340"/>
              <w:spacing w:after="0"/>
              <w:rPr>
                <w:sz w:val="20"/>
                <w:szCs w:val="20"/>
                <w:color w:val="auto"/>
              </w:rPr>
            </w:pPr>
            <w:r>
              <w:rPr>
                <w:rFonts w:ascii="Arial" w:cs="Arial" w:eastAsia="Arial" w:hAnsi="Arial"/>
                <w:sz w:val="18"/>
                <w:szCs w:val="18"/>
                <w:b w:val="1"/>
                <w:bCs w:val="1"/>
                <w:color w:val="02568A"/>
                <w:w w:val="99"/>
              </w:rPr>
              <w:t>Company</w:t>
            </w:r>
          </w:p>
        </w:tc>
        <w:tc>
          <w:tcPr>
            <w:tcW w:w="1040" w:type="dxa"/>
            <w:vAlign w:val="bottom"/>
            <w:tcBorders>
              <w:top w:val="single" w:sz="8" w:color="02568A"/>
            </w:tcBorders>
          </w:tcPr>
          <w:p>
            <w:pPr>
              <w:spacing w:after="0"/>
              <w:rPr>
                <w:sz w:val="18"/>
                <w:szCs w:val="18"/>
                <w:color w:val="auto"/>
              </w:rPr>
            </w:pPr>
          </w:p>
        </w:tc>
        <w:tc>
          <w:tcPr>
            <w:tcW w:w="800" w:type="dxa"/>
            <w:vAlign w:val="bottom"/>
            <w:tcBorders>
              <w:top w:val="single" w:sz="8" w:color="02568A"/>
            </w:tcBorders>
          </w:tcPr>
          <w:p>
            <w:pPr>
              <w:spacing w:after="0"/>
              <w:rPr>
                <w:sz w:val="18"/>
                <w:szCs w:val="18"/>
                <w:color w:val="auto"/>
              </w:rPr>
            </w:pPr>
          </w:p>
        </w:tc>
        <w:tc>
          <w:tcPr>
            <w:tcW w:w="1200" w:type="dxa"/>
            <w:vAlign w:val="bottom"/>
            <w:tcBorders>
              <w:top w:val="single" w:sz="8" w:color="02568A"/>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80" w:type="dxa"/>
            <w:vAlign w:val="bottom"/>
            <w:tcBorders>
              <w:bottom w:val="single" w:sz="8" w:color="02568A"/>
            </w:tcBorders>
          </w:tcPr>
          <w:p>
            <w:pPr>
              <w:ind w:left="440"/>
              <w:spacing w:after="0"/>
              <w:rPr>
                <w:sz w:val="20"/>
                <w:szCs w:val="20"/>
                <w:color w:val="auto"/>
              </w:rPr>
            </w:pPr>
            <w:r>
              <w:rPr>
                <w:rFonts w:ascii="Arial" w:cs="Arial" w:eastAsia="Arial" w:hAnsi="Arial"/>
                <w:sz w:val="18"/>
                <w:szCs w:val="18"/>
                <w:b w:val="1"/>
                <w:bCs w:val="1"/>
                <w:color w:val="02568A"/>
              </w:rPr>
              <w:t>Metric</w:t>
            </w:r>
          </w:p>
        </w:tc>
        <w:tc>
          <w:tcPr>
            <w:tcW w:w="104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87"/>
              </w:rPr>
              <w:t>Threshold</w:t>
            </w:r>
          </w:p>
        </w:tc>
        <w:tc>
          <w:tcPr>
            <w:tcW w:w="800" w:type="dxa"/>
            <w:vAlign w:val="bottom"/>
            <w:tcBorders>
              <w:bottom w:val="single" w:sz="8" w:color="02568A"/>
            </w:tcBorders>
          </w:tcPr>
          <w:p>
            <w:pPr>
              <w:ind w:left="160"/>
              <w:spacing w:after="0"/>
              <w:rPr>
                <w:sz w:val="20"/>
                <w:szCs w:val="20"/>
                <w:color w:val="auto"/>
              </w:rPr>
            </w:pPr>
            <w:r>
              <w:rPr>
                <w:rFonts w:ascii="Arial" w:cs="Arial" w:eastAsia="Arial" w:hAnsi="Arial"/>
                <w:sz w:val="18"/>
                <w:szCs w:val="18"/>
                <w:b w:val="1"/>
                <w:bCs w:val="1"/>
                <w:color w:val="02568A"/>
              </w:rPr>
              <w:t>Target</w:t>
            </w:r>
          </w:p>
        </w:tc>
        <w:tc>
          <w:tcPr>
            <w:tcW w:w="1200" w:type="dxa"/>
            <w:vAlign w:val="bottom"/>
            <w:tcBorders>
              <w:bottom w:val="single" w:sz="8" w:color="02568A"/>
            </w:tcBorders>
          </w:tcPr>
          <w:p>
            <w:pPr>
              <w:jc w:val="center"/>
              <w:ind w:right="12"/>
              <w:spacing w:after="0"/>
              <w:rPr>
                <w:sz w:val="20"/>
                <w:szCs w:val="20"/>
                <w:color w:val="auto"/>
              </w:rPr>
            </w:pPr>
            <w:r>
              <w:rPr>
                <w:rFonts w:ascii="Arial" w:cs="Arial" w:eastAsia="Arial" w:hAnsi="Arial"/>
                <w:sz w:val="18"/>
                <w:szCs w:val="18"/>
                <w:b w:val="1"/>
                <w:bCs w:val="1"/>
                <w:color w:val="02568A"/>
                <w:w w:val="93"/>
              </w:rPr>
              <w:t>Maximum</w:t>
            </w:r>
          </w:p>
        </w:tc>
        <w:tc>
          <w:tcPr>
            <w:tcW w:w="0" w:type="dxa"/>
            <w:vAlign w:val="bottom"/>
          </w:tcPr>
          <w:p>
            <w:pPr>
              <w:spacing w:after="0"/>
              <w:rPr>
                <w:sz w:val="1"/>
                <w:szCs w:val="1"/>
                <w:color w:val="auto"/>
              </w:rPr>
            </w:pPr>
          </w:p>
        </w:tc>
      </w:tr>
      <w:tr>
        <w:trPr>
          <w:trHeight w:val="211"/>
        </w:trPr>
        <w:tc>
          <w:tcPr>
            <w:tcW w:w="118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Revenue</w:t>
            </w:r>
          </w:p>
        </w:tc>
        <w:tc>
          <w:tcPr>
            <w:tcW w:w="1040" w:type="dxa"/>
            <w:vAlign w:val="bottom"/>
            <w:tcBorders>
              <w:bottom w:val="single" w:sz="8" w:color="D1D2D4"/>
            </w:tcBorders>
            <w:shd w:val="clear" w:color="auto" w:fill="CED8EA"/>
          </w:tcPr>
          <w:p>
            <w:pPr>
              <w:jc w:val="center"/>
              <w:spacing w:after="0"/>
              <w:rPr>
                <w:sz w:val="20"/>
                <w:szCs w:val="20"/>
                <w:color w:val="auto"/>
              </w:rPr>
            </w:pPr>
            <w:r>
              <w:rPr>
                <w:rFonts w:ascii="Arial" w:cs="Arial" w:eastAsia="Arial" w:hAnsi="Arial"/>
                <w:sz w:val="18"/>
                <w:szCs w:val="18"/>
                <w:color w:val="02568A"/>
                <w:w w:val="87"/>
              </w:rPr>
              <w:t>$3,868</w:t>
            </w:r>
          </w:p>
        </w:tc>
        <w:tc>
          <w:tcPr>
            <w:tcW w:w="800" w:type="dxa"/>
            <w:vAlign w:val="bottom"/>
            <w:tcBorders>
              <w:bottom w:val="single" w:sz="8" w:color="D1D2D4"/>
            </w:tcBorders>
            <w:shd w:val="clear" w:color="auto" w:fill="CED8EA"/>
          </w:tcPr>
          <w:p>
            <w:pPr>
              <w:ind w:left="160"/>
              <w:spacing w:after="0"/>
              <w:rPr>
                <w:sz w:val="20"/>
                <w:szCs w:val="20"/>
                <w:color w:val="auto"/>
              </w:rPr>
            </w:pPr>
            <w:r>
              <w:rPr>
                <w:rFonts w:ascii="Arial" w:cs="Arial" w:eastAsia="Arial" w:hAnsi="Arial"/>
                <w:sz w:val="18"/>
                <w:szCs w:val="18"/>
                <w:color w:val="02568A"/>
              </w:rPr>
              <w:t>$4,000</w:t>
            </w:r>
          </w:p>
        </w:tc>
        <w:tc>
          <w:tcPr>
            <w:tcW w:w="1200" w:type="dxa"/>
            <w:vAlign w:val="bottom"/>
            <w:tcBorders>
              <w:bottom w:val="single" w:sz="8" w:color="D1D2D4"/>
            </w:tcBorders>
            <w:shd w:val="clear" w:color="auto" w:fill="CED8EA"/>
          </w:tcPr>
          <w:p>
            <w:pPr>
              <w:jc w:val="center"/>
              <w:ind w:right="32"/>
              <w:spacing w:after="0"/>
              <w:rPr>
                <w:sz w:val="20"/>
                <w:szCs w:val="20"/>
                <w:color w:val="auto"/>
              </w:rPr>
            </w:pPr>
            <w:r>
              <w:rPr>
                <w:rFonts w:ascii="Arial" w:cs="Arial" w:eastAsia="Arial" w:hAnsi="Arial"/>
                <w:sz w:val="18"/>
                <w:szCs w:val="18"/>
                <w:color w:val="02568A"/>
                <w:w w:val="87"/>
              </w:rPr>
              <w:t>$4,120</w:t>
            </w:r>
          </w:p>
        </w:tc>
        <w:tc>
          <w:tcPr>
            <w:tcW w:w="0" w:type="dxa"/>
            <w:vAlign w:val="bottom"/>
          </w:tcPr>
          <w:p>
            <w:pPr>
              <w:spacing w:after="0"/>
              <w:rPr>
                <w:sz w:val="1"/>
                <w:szCs w:val="1"/>
                <w:color w:val="auto"/>
              </w:rPr>
            </w:pPr>
          </w:p>
        </w:tc>
      </w:tr>
      <w:tr>
        <w:trPr>
          <w:trHeight w:val="195"/>
        </w:trPr>
        <w:tc>
          <w:tcPr>
            <w:tcW w:w="1180" w:type="dxa"/>
            <w:vAlign w:val="bottom"/>
          </w:tcPr>
          <w:p>
            <w:pPr>
              <w:ind w:left="280"/>
              <w:spacing w:after="0" w:line="195" w:lineRule="exact"/>
              <w:rPr>
                <w:sz w:val="20"/>
                <w:szCs w:val="20"/>
                <w:color w:val="auto"/>
              </w:rPr>
            </w:pPr>
            <w:r>
              <w:rPr>
                <w:rFonts w:ascii="Arial" w:cs="Arial" w:eastAsia="Arial" w:hAnsi="Arial"/>
                <w:sz w:val="18"/>
                <w:szCs w:val="18"/>
                <w:b w:val="1"/>
                <w:bCs w:val="1"/>
                <w:color w:val="02568A"/>
              </w:rPr>
              <w:t>Non-</w:t>
            </w: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280"/>
              <w:spacing w:after="0"/>
              <w:rPr>
                <w:sz w:val="20"/>
                <w:szCs w:val="20"/>
                <w:color w:val="auto"/>
              </w:rPr>
            </w:pPr>
            <w:r>
              <w:rPr>
                <w:rFonts w:ascii="Arial" w:cs="Arial" w:eastAsia="Arial" w:hAnsi="Arial"/>
                <w:sz w:val="18"/>
                <w:szCs w:val="18"/>
                <w:b w:val="1"/>
                <w:bCs w:val="1"/>
                <w:color w:val="02568A"/>
              </w:rPr>
              <w:t>GAAP</w:t>
            </w:r>
          </w:p>
        </w:tc>
        <w:tc>
          <w:tcPr>
            <w:tcW w:w="1040" w:type="dxa"/>
            <w:vAlign w:val="bottom"/>
            <w:vMerge w:val="restart"/>
          </w:tcPr>
          <w:p>
            <w:pPr>
              <w:jc w:val="center"/>
              <w:spacing w:after="0"/>
              <w:rPr>
                <w:sz w:val="20"/>
                <w:szCs w:val="20"/>
                <w:color w:val="auto"/>
              </w:rPr>
            </w:pPr>
            <w:r>
              <w:rPr>
                <w:rFonts w:ascii="Arial" w:cs="Arial" w:eastAsia="Arial" w:hAnsi="Arial"/>
                <w:sz w:val="18"/>
                <w:szCs w:val="18"/>
                <w:color w:val="02568A"/>
                <w:w w:val="87"/>
              </w:rPr>
              <w:t>$1,450</w:t>
            </w:r>
          </w:p>
        </w:tc>
        <w:tc>
          <w:tcPr>
            <w:tcW w:w="800" w:type="dxa"/>
            <w:vAlign w:val="bottom"/>
            <w:vMerge w:val="restart"/>
          </w:tcPr>
          <w:p>
            <w:pPr>
              <w:ind w:left="160"/>
              <w:spacing w:after="0"/>
              <w:rPr>
                <w:sz w:val="20"/>
                <w:szCs w:val="20"/>
                <w:color w:val="auto"/>
              </w:rPr>
            </w:pPr>
            <w:r>
              <w:rPr>
                <w:rFonts w:ascii="Arial" w:cs="Arial" w:eastAsia="Arial" w:hAnsi="Arial"/>
                <w:sz w:val="18"/>
                <w:szCs w:val="18"/>
                <w:color w:val="02568A"/>
              </w:rPr>
              <w:t>$1,500</w:t>
            </w:r>
          </w:p>
        </w:tc>
        <w:tc>
          <w:tcPr>
            <w:tcW w:w="1200" w:type="dxa"/>
            <w:vAlign w:val="bottom"/>
            <w:vMerge w:val="restart"/>
          </w:tcPr>
          <w:p>
            <w:pPr>
              <w:jc w:val="center"/>
              <w:ind w:right="32"/>
              <w:spacing w:after="0"/>
              <w:rPr>
                <w:sz w:val="20"/>
                <w:szCs w:val="20"/>
                <w:color w:val="auto"/>
              </w:rPr>
            </w:pPr>
            <w:r>
              <w:rPr>
                <w:rFonts w:ascii="Arial" w:cs="Arial" w:eastAsia="Arial" w:hAnsi="Arial"/>
                <w:sz w:val="18"/>
                <w:szCs w:val="18"/>
                <w:color w:val="02568A"/>
                <w:w w:val="87"/>
              </w:rPr>
              <w:t>$1,555</w:t>
            </w:r>
          </w:p>
        </w:tc>
        <w:tc>
          <w:tcPr>
            <w:tcW w:w="0" w:type="dxa"/>
            <w:vAlign w:val="bottom"/>
          </w:tcPr>
          <w:p>
            <w:pPr>
              <w:spacing w:after="0"/>
              <w:rPr>
                <w:sz w:val="1"/>
                <w:szCs w:val="1"/>
                <w:color w:val="auto"/>
              </w:rPr>
            </w:pPr>
          </w:p>
        </w:tc>
      </w:tr>
      <w:tr>
        <w:trPr>
          <w:trHeight w:val="120"/>
        </w:trPr>
        <w:tc>
          <w:tcPr>
            <w:tcW w:w="1180" w:type="dxa"/>
            <w:vAlign w:val="bottom"/>
            <w:vMerge w:val="restart"/>
          </w:tcPr>
          <w:p>
            <w:pPr>
              <w:ind w:left="280"/>
              <w:spacing w:after="0"/>
              <w:rPr>
                <w:sz w:val="20"/>
                <w:szCs w:val="20"/>
                <w:color w:val="auto"/>
              </w:rPr>
            </w:pPr>
            <w:r>
              <w:rPr>
                <w:rFonts w:ascii="Arial" w:cs="Arial" w:eastAsia="Arial" w:hAnsi="Arial"/>
                <w:sz w:val="18"/>
                <w:szCs w:val="18"/>
                <w:b w:val="1"/>
                <w:bCs w:val="1"/>
                <w:color w:val="02568A"/>
              </w:rPr>
              <w:t>Operating</w:t>
            </w:r>
          </w:p>
        </w:tc>
        <w:tc>
          <w:tcPr>
            <w:tcW w:w="10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0"/>
        <w:spacing w:after="0"/>
        <w:rPr>
          <w:sz w:val="20"/>
          <w:szCs w:val="20"/>
          <w:color w:val="auto"/>
        </w:rPr>
      </w:pPr>
      <w:r>
        <w:rPr>
          <w:rFonts w:ascii="Arial" w:cs="Arial" w:eastAsia="Arial" w:hAnsi="Arial"/>
          <w:sz w:val="18"/>
          <w:szCs w:val="18"/>
          <w:b w:val="1"/>
          <w:bCs w:val="1"/>
          <w:color w:val="02568A"/>
        </w:rPr>
        <w:t>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6985</wp:posOffset>
            </wp:positionV>
            <wp:extent cx="2674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21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191919"/>
        </w:rPr>
        <w:t>The Incentive Plan stipulated that any payouts to executives, under either of the performance metrics, were conditioned upon the Company achieving a nominal level of non-GAAP operating income of $1,305 million.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000001"/>
        </w:rPr>
        <w:t>Calculation of Incentive Plan Payments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191919"/>
        </w:rPr>
        <w:t>Following the end of the fiscal year, the Compensation Committee determines the total amount of short-term incentive compensation payable to each executive for such period by comparing the actual level of achievement of each performance goal against the “threshold,” “target,” and “maximum” levels of achievement that it set for that performance goal. Specifically, the Compensation Committee determines the amount of short-term incentive compensation the executive is eligible to receive with respect to each performance goal as follows:</w:t>
      </w:r>
    </w:p>
    <w:p>
      <w:pPr>
        <w:spacing w:after="0" w:line="191" w:lineRule="exact"/>
        <w:rPr>
          <w:sz w:val="20"/>
          <w:szCs w:val="20"/>
          <w:color w:val="auto"/>
        </w:rPr>
      </w:pPr>
    </w:p>
    <w:p>
      <w:pPr>
        <w:ind w:left="540" w:hanging="539"/>
        <w:spacing w:after="0" w:line="284" w:lineRule="auto"/>
        <w:tabs>
          <w:tab w:leader="none" w:pos="540" w:val="left"/>
        </w:tabs>
        <w:numPr>
          <w:ilvl w:val="0"/>
          <w:numId w:val="44"/>
        </w:numPr>
        <w:rPr>
          <w:rFonts w:ascii="Arial" w:cs="Arial" w:eastAsia="Arial" w:hAnsi="Arial"/>
          <w:sz w:val="16"/>
          <w:szCs w:val="16"/>
          <w:color w:val="191919"/>
        </w:rPr>
      </w:pPr>
      <w:r>
        <w:rPr>
          <w:rFonts w:ascii="Arial" w:cs="Arial" w:eastAsia="Arial" w:hAnsi="Arial"/>
          <w:sz w:val="16"/>
          <w:szCs w:val="16"/>
          <w:color w:val="191919"/>
        </w:rPr>
        <w:t>If the level of achievement for the performance goal falls below the “threshold” level, then the executive will not earn any short-term incentive compensation with respect to that performance goal.</w:t>
      </w:r>
    </w:p>
    <w:p>
      <w:pPr>
        <w:spacing w:after="0" w:line="21" w:lineRule="exact"/>
        <w:rPr>
          <w:rFonts w:ascii="Arial" w:cs="Arial" w:eastAsia="Arial" w:hAnsi="Arial"/>
          <w:sz w:val="16"/>
          <w:szCs w:val="16"/>
          <w:color w:val="191919"/>
        </w:rPr>
      </w:pPr>
    </w:p>
    <w:p>
      <w:pPr>
        <w:ind w:left="540" w:right="40" w:hanging="539"/>
        <w:spacing w:after="0" w:line="283" w:lineRule="auto"/>
        <w:tabs>
          <w:tab w:leader="none" w:pos="540" w:val="left"/>
        </w:tabs>
        <w:numPr>
          <w:ilvl w:val="0"/>
          <w:numId w:val="44"/>
        </w:numPr>
        <w:rPr>
          <w:rFonts w:ascii="Arial" w:cs="Arial" w:eastAsia="Arial" w:hAnsi="Arial"/>
          <w:sz w:val="16"/>
          <w:szCs w:val="16"/>
          <w:color w:val="191919"/>
        </w:rPr>
      </w:pPr>
      <w:r>
        <w:rPr>
          <w:rFonts w:ascii="Arial" w:cs="Arial" w:eastAsia="Arial" w:hAnsi="Arial"/>
          <w:sz w:val="16"/>
          <w:szCs w:val="16"/>
          <w:color w:val="191919"/>
        </w:rPr>
        <w:t xml:space="preserve">If the level of achievement for the performance goal is equal to the “threshold,” “target,” or “maximum” level, then the executive earns the product obtained by </w:t>
      </w:r>
      <w:r>
        <w:rPr>
          <w:rFonts w:ascii="Arial" w:cs="Arial" w:eastAsia="Arial" w:hAnsi="Arial"/>
          <w:sz w:val="16"/>
          <w:szCs w:val="16"/>
          <w:i w:val="1"/>
          <w:iCs w:val="1"/>
          <w:color w:val="191919"/>
        </w:rPr>
        <w:t>multiplying</w:t>
      </w:r>
      <w:r>
        <w:rPr>
          <w:rFonts w:ascii="Arial" w:cs="Arial" w:eastAsia="Arial" w:hAnsi="Arial"/>
          <w:sz w:val="16"/>
          <w:szCs w:val="16"/>
          <w:color w:val="191919"/>
        </w:rPr>
        <w:t xml:space="preserve"> (i) the “threshold,” “target,” or “maximum” percentage, as applicable, </w:t>
      </w:r>
      <w:r>
        <w:rPr>
          <w:rFonts w:ascii="Arial" w:cs="Arial" w:eastAsia="Arial" w:hAnsi="Arial"/>
          <w:sz w:val="16"/>
          <w:szCs w:val="16"/>
          <w:i w:val="1"/>
          <w:iCs w:val="1"/>
          <w:color w:val="191919"/>
        </w:rPr>
        <w:t>by</w:t>
      </w:r>
      <w:r>
        <w:rPr>
          <w:rFonts w:ascii="Arial" w:cs="Arial" w:eastAsia="Arial" w:hAnsi="Arial"/>
          <w:sz w:val="16"/>
          <w:szCs w:val="16"/>
          <w:color w:val="191919"/>
        </w:rPr>
        <w:t xml:space="preserve"> (ii) the executive’s base salary during the fiscal year, </w:t>
      </w:r>
      <w:r>
        <w:rPr>
          <w:rFonts w:ascii="Arial" w:cs="Arial" w:eastAsia="Arial" w:hAnsi="Arial"/>
          <w:sz w:val="16"/>
          <w:szCs w:val="16"/>
          <w:i w:val="1"/>
          <w:iCs w:val="1"/>
          <w:color w:val="191919"/>
        </w:rPr>
        <w:t>by</w:t>
      </w:r>
      <w:r>
        <w:rPr>
          <w:rFonts w:ascii="Arial" w:cs="Arial" w:eastAsia="Arial" w:hAnsi="Arial"/>
          <w:sz w:val="16"/>
          <w:szCs w:val="16"/>
          <w:color w:val="191919"/>
        </w:rPr>
        <w:t xml:space="preserve"> (iii) the weighting assigned to that performance goal.</w:t>
      </w:r>
    </w:p>
    <w:p>
      <w:pPr>
        <w:spacing w:after="0" w:line="7" w:lineRule="exact"/>
        <w:rPr>
          <w:rFonts w:ascii="Arial" w:cs="Arial" w:eastAsia="Arial" w:hAnsi="Arial"/>
          <w:sz w:val="16"/>
          <w:szCs w:val="16"/>
          <w:color w:val="191919"/>
        </w:rPr>
      </w:pPr>
    </w:p>
    <w:p>
      <w:pPr>
        <w:ind w:left="540" w:right="200" w:hanging="539"/>
        <w:spacing w:after="0" w:line="291" w:lineRule="auto"/>
        <w:tabs>
          <w:tab w:leader="none" w:pos="540" w:val="left"/>
        </w:tabs>
        <w:numPr>
          <w:ilvl w:val="0"/>
          <w:numId w:val="44"/>
        </w:numPr>
        <w:rPr>
          <w:rFonts w:ascii="Arial" w:cs="Arial" w:eastAsia="Arial" w:hAnsi="Arial"/>
          <w:sz w:val="16"/>
          <w:szCs w:val="16"/>
          <w:color w:val="191919"/>
        </w:rPr>
      </w:pPr>
      <w:r>
        <w:rPr>
          <w:rFonts w:ascii="Arial" w:cs="Arial" w:eastAsia="Arial" w:hAnsi="Arial"/>
          <w:sz w:val="16"/>
          <w:szCs w:val="16"/>
          <w:color w:val="191919"/>
        </w:rPr>
        <w:t xml:space="preserve">If the level of achievement for the performance goal falls in between either the “threshold” and “target” levels or the “target” and “maximum” levels, the executive would earn short-term incentive compensation equal to the short-term incentive compensation payable at the “threshold” or “target” level, as applicable, </w:t>
      </w:r>
      <w:r>
        <w:rPr>
          <w:rFonts w:ascii="Arial" w:cs="Arial" w:eastAsia="Arial" w:hAnsi="Arial"/>
          <w:sz w:val="16"/>
          <w:szCs w:val="16"/>
          <w:i w:val="1"/>
          <w:iCs w:val="1"/>
          <w:color w:val="191919"/>
        </w:rPr>
        <w:t>plus</w:t>
      </w:r>
      <w:r>
        <w:rPr>
          <w:rFonts w:ascii="Arial" w:cs="Arial" w:eastAsia="Arial" w:hAnsi="Arial"/>
          <w:sz w:val="16"/>
          <w:szCs w:val="16"/>
          <w:color w:val="191919"/>
        </w:rPr>
        <w:t xml:space="preserve"> a pro rata amount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525145</wp:posOffset>
            </wp:positionV>
            <wp:extent cx="713613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80" w:space="680"/>
            <w:col w:w="5280"/>
          </w:cols>
          <w:pgMar w:left="320" w:top="131"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540" w:right="60"/>
        <w:spacing w:after="0" w:line="284" w:lineRule="auto"/>
        <w:rPr>
          <w:sz w:val="20"/>
          <w:szCs w:val="20"/>
          <w:color w:val="auto"/>
        </w:rPr>
      </w:pPr>
      <w:r>
        <w:rPr>
          <w:rFonts w:ascii="Arial" w:cs="Arial" w:eastAsia="Arial" w:hAnsi="Arial"/>
          <w:sz w:val="16"/>
          <w:szCs w:val="16"/>
          <w:color w:val="191919"/>
        </w:rPr>
        <w:t>difference between the short-term incentive compensation payable for the performance goal at the “threshold” and “target” levels or the “target” and “maximum” levels, as applicable.</w:t>
      </w:r>
    </w:p>
    <w:p>
      <w:pPr>
        <w:spacing w:after="0" w:line="22" w:lineRule="exact"/>
        <w:rPr>
          <w:sz w:val="20"/>
          <w:szCs w:val="20"/>
          <w:color w:val="auto"/>
        </w:rPr>
      </w:pPr>
    </w:p>
    <w:p>
      <w:pPr>
        <w:ind w:left="540" w:right="20" w:hanging="532"/>
        <w:spacing w:after="0" w:line="306" w:lineRule="auto"/>
        <w:tabs>
          <w:tab w:leader="none" w:pos="540" w:val="left"/>
        </w:tabs>
        <w:numPr>
          <w:ilvl w:val="0"/>
          <w:numId w:val="45"/>
        </w:numPr>
        <w:rPr>
          <w:rFonts w:ascii="Arial" w:cs="Arial" w:eastAsia="Arial" w:hAnsi="Arial"/>
          <w:sz w:val="16"/>
          <w:szCs w:val="16"/>
          <w:color w:val="191919"/>
        </w:rPr>
      </w:pPr>
      <w:r>
        <w:rPr>
          <w:rFonts w:ascii="Arial" w:cs="Arial" w:eastAsia="Arial" w:hAnsi="Arial"/>
          <w:sz w:val="16"/>
          <w:szCs w:val="16"/>
          <w:color w:val="191919"/>
        </w:rPr>
        <w:t>If the level of achievement for the performance goal exceeds the “maximum” level, the executive will only earn the amount payable for achievement at the “maximum” level.</w:t>
      </w:r>
    </w:p>
    <w:p>
      <w:pPr>
        <w:spacing w:after="0" w:line="160"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191919"/>
        </w:rPr>
        <w:t>Each executive’s payment under the Incentive Plan is calculated by evaluating achievement of each performance goal individually, determining the portion of the total eligible incentive payment earned with respect to each such performance goal, and totaling the resulting amounts. The Compensation Committee retained the discretion to make payments, upon consideration of recommendations by the Chief Executive Officer, even if the threshold performance metrics were not met or if the nominal level of non-GAAP operating income was not met or to make payments in excess of the maximum level if the Company’s performance exceeded the maximum metrics. The Compensation Committee believed it was appropriate to retain this discretion in order to make short-term incentive compensation awards in extraordinary circumstances.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000001"/>
        </w:rPr>
        <w:t>Fiscal Year Results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191919"/>
        </w:rPr>
        <w:t>The Company’s revenue and non-GAAP operating income achieved in fiscal year 2019 were $3,377 million and $1,166 million, respectively, resulting in the Company’s failure to meet either the revenue or non-GAAP operating income goals at the “threshold” level or to meet the nominal level of non-GAAP operating income under the Incentive Plan. These financial results reflected the adverse impact of the U.S.-China trade war (the “Trade War”) during fiscal year 2019. In connection with the Trade War, not only did the Company experience an overall reduction in customer demand for its products, but the U.S. Bureau of Industry and Security of the U.S. Department of Commerce also placed Huawei and certain of its affiliates on the Bureau’s Entity List in May 2019 (the “Huawei Ban”). The Huawei Ban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191919"/>
        </w:rPr>
        <w:t>resulted in significantly reduced shipments to, and revenue from, Huawei during the remainder of the fiscal year. The negative effects of the Trade War had not been anticipated by the Compensation Committee when it originally established performance targets for fiscal year 2019.</w:t>
      </w:r>
    </w:p>
    <w:p>
      <w:pPr>
        <w:spacing w:after="0" w:line="166" w:lineRule="exact"/>
        <w:rPr>
          <w:sz w:val="20"/>
          <w:szCs w:val="20"/>
          <w:color w:val="auto"/>
        </w:rPr>
      </w:pPr>
    </w:p>
    <w:p>
      <w:pPr>
        <w:spacing w:after="0" w:line="284" w:lineRule="auto"/>
        <w:rPr>
          <w:sz w:val="20"/>
          <w:szCs w:val="20"/>
          <w:color w:val="auto"/>
        </w:rPr>
      </w:pPr>
      <w:r>
        <w:rPr>
          <w:rFonts w:ascii="Arial" w:cs="Arial" w:eastAsia="Arial" w:hAnsi="Arial"/>
          <w:sz w:val="16"/>
          <w:szCs w:val="16"/>
          <w:color w:val="191919"/>
        </w:rPr>
        <w:t>In November 2019, following the end of the fiscal year, the Compensation Committee determined that the adverse impact of the Trade War (as described above) was outside of management’s control. Given the extraordinary and unexpected nature of such impact, the Compensation Committee waived the condition under the Incentive Plan that the Company achieve a nominal level of non-GAAP operating income and made adjustments to the revenue and non-GAAP operating income metrics of the Incentive Plan. Specifically, after considering a detailed analysis of multiple effects of the Trade War on the Company’s financial results, the Compensation Committee adjusted the Company’s performance metrics, for purposes of calculating payments under the Incentive Plan, to account for $564 million and $285 million in estimated revenue and non-GAAP operating income lost by the Company during fiscal year 2019, respectively, as a result of the Trade War. The Company’s revenue and non-GAAP operating income achieved in fiscal year 2019, under the Incentive Plan as adjusted, equated to achievement of 77.7% and 51.3% of the target level, respectively, and resulted in a payment to each Named Executive Officer equal to 64.5% of the Named Executive Officer’s target incentive.</w:t>
      </w:r>
    </w:p>
    <w:p>
      <w:pPr>
        <w:spacing w:after="0" w:line="18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191919"/>
        </w:rPr>
        <w:t>With respect to the Company’s non-executive incentive plans—which originally had performance goals that were, depending on the business unit, either equivalent to or based on the performance goals established under the Incentive Plan—the Compensation Committee elected in February 2019 to make a downward adjustment to the respective performance goals, in order to account for the initial impacts of the Trade War on the Company’s financial performance. These midyear goal adjustments, together with later adjustments related to the Huawei Ban, resulted in</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158115</wp:posOffset>
            </wp:positionV>
            <wp:extent cx="713613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80" w:space="680"/>
            <w:col w:w="5280"/>
          </w:cols>
          <w:pgMar w:left="320" w:top="131"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94" w:lineRule="auto"/>
        <w:rPr>
          <w:sz w:val="20"/>
          <w:szCs w:val="20"/>
          <w:color w:val="auto"/>
        </w:rPr>
      </w:pPr>
      <w:r>
        <w:rPr>
          <w:rFonts w:ascii="Arial" w:cs="Arial" w:eastAsia="Arial" w:hAnsi="Arial"/>
          <w:sz w:val="16"/>
          <w:szCs w:val="16"/>
          <w:color w:val="191919"/>
        </w:rPr>
        <w:t>incentive payments to non-executive employees equal to, on average, 78% of the employees’ target incentives. The Incentive Plan awards paid to the Named Executive Officers were lower, as a percentage of the target incentive, than the average short-term incentive awards paid to non-executive employees of the Company for fiscal year 2019.</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02568A"/>
        </w:rPr>
        <w:t>Long-Term Stock-Based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000001"/>
        </w:rPr>
        <w:t>Overview</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191919"/>
        </w:rPr>
        <w:t>The Compensation Committee generally makes long-term stock-based compensation awards to executive officers on an annual basis. Long-term stock-based compensation awards are intended to align the interests of our executive officers with those of our stockholders and to reward our executive officers for increases in stockholder value over periods of time greater than one year. It is the Company’s practice to make stock-based compensation awards to executive officers in November of each year at a prescheduled Compensation Committee meeting. For fiscal year 2019, the Compensation Committee made awards to each of the Named Executive Officers on November 6, 2018, at a regularly scheduled Compensation Committee meeting.</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000001"/>
        </w:rPr>
        <w:t>Fiscal Year 2019 Stock-Based Compensation Awards</w:t>
      </w:r>
    </w:p>
    <w:p>
      <w:pPr>
        <w:spacing w:after="0" w:line="26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191919"/>
        </w:rPr>
        <w:t>In making annual stock-based compensation awards to executive officers for fiscal year 2019, the Compensation Committee first reviewed the Comparator Group grant data by executive position. The Compensation Committee used that data to determine a dollar value equivalent for the long-term equity-based award for each executive officer, targeting awards for fiscal year 2019 that were competitive within the Comparator Group. After setting award levels by position and evaluating the Company’s business needs for the attraction and retention of executives and employees as well as internal and external circumstances impacting the Company and its employees, the Compensation Committee also reviewed the Comparator Group data to set the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48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191919"/>
        </w:rPr>
        <w:t>aggregate number of shares of the Company’s common stock that would be made available for annual equity awards to eligible employees of the Company, as a percentage of the total number of the outstanding shares of the Company’s common stock.</w:t>
      </w:r>
    </w:p>
    <w:p>
      <w:pPr>
        <w:spacing w:after="0" w:line="197" w:lineRule="exact"/>
        <w:rPr>
          <w:sz w:val="20"/>
          <w:szCs w:val="20"/>
          <w:color w:val="auto"/>
        </w:rPr>
      </w:pPr>
    </w:p>
    <w:p>
      <w:pPr>
        <w:spacing w:after="0" w:line="284" w:lineRule="auto"/>
        <w:rPr>
          <w:sz w:val="20"/>
          <w:szCs w:val="20"/>
          <w:color w:val="auto"/>
        </w:rPr>
      </w:pPr>
      <w:r>
        <w:rPr>
          <w:rFonts w:ascii="Arial" w:cs="Arial" w:eastAsia="Arial" w:hAnsi="Arial"/>
          <w:sz w:val="16"/>
          <w:szCs w:val="16"/>
          <w:color w:val="191919"/>
        </w:rPr>
        <w:t>Sixty percent (60%) of the dollar equivalent value of each executive officer’s long-term equity-based award served as the basis for determining a number of performance share awards (“PSAs”) to award to the executive using the fair market value of the Company’s common stock on the date of such award and an assumption that the Company would achieve the “target” level of performance required to earn the PSA. The remaining forty percent (40%) of the dollar value equivalent served as the basis for determining a number of restricted stock units (“RSUs”) to award to the executive using the fair market value of the Company’s common stock on the date of such award. The Compensation Committee’s rationale for awarding PSAs is to further align the executive’s interest with those of the Company’s stockholders by using equity awards that will vest only if the Company achieves pre-established performance metrics, and we believe the Compensation Committee’s decision to award a portion of the PSAs subject to a performance metric measured over a three-year performance period more closely aligns the executive’s interests with those of the Company’s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000001"/>
        </w:rPr>
        <w:t>FY19 PSAs</w:t>
      </w:r>
    </w:p>
    <w:p>
      <w:pPr>
        <w:spacing w:after="0" w:line="22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191919"/>
        </w:rPr>
        <w:t>The PSAs granted on November 6, 2018 (the “FY19 PSAs”), have both “performance” and “continued employment” conditions that must be met in order for the executive to receive shares underlying the award.</w:t>
      </w:r>
    </w:p>
    <w:p>
      <w:pPr>
        <w:spacing w:after="0" w:line="16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191919"/>
        </w:rPr>
        <w:t>The “performance” condition of the FY19 PSAs compares the non-GAAP EBITDA growth achieved (with respect to 50% of the shares underlying the PSA award) and the total stockholder return, or TSR, percentile ranking achieved with respect to our peer group (with respect to the other 50% of the shares underlying the PSA award) during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693420</wp:posOffset>
            </wp:positionV>
            <wp:extent cx="713613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40" w:space="720"/>
            <w:col w:w="5260"/>
          </w:cols>
          <w:pgMar w:left="320" w:top="131"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191919"/>
        </w:rPr>
        <w:t>performance period against a range of pre-established targets, as follows:</w:t>
      </w:r>
    </w:p>
    <w:p>
      <w:pPr>
        <w:spacing w:after="0" w:line="236" w:lineRule="exact"/>
        <w:rPr>
          <w:sz w:val="20"/>
          <w:szCs w:val="20"/>
          <w:color w:val="auto"/>
        </w:rPr>
      </w:pPr>
    </w:p>
    <w:tbl>
      <w:tblPr>
        <w:tblLayout w:type="fixed"/>
        <w:tblInd w:w="540" w:type="dxa"/>
        <w:tblCellMar>
          <w:top w:w="0" w:type="dxa"/>
          <w:left w:w="0" w:type="dxa"/>
          <w:bottom w:w="0" w:type="dxa"/>
          <w:right w:w="0" w:type="dxa"/>
        </w:tblCellMar>
      </w:tblPr>
      <w:tr>
        <w:trPr>
          <w:trHeight w:val="215"/>
        </w:trPr>
        <w:tc>
          <w:tcPr>
            <w:tcW w:w="1460" w:type="dxa"/>
            <w:vAlign w:val="bottom"/>
            <w:tcBorders>
              <w:top w:val="single" w:sz="8" w:color="02568A"/>
            </w:tcBorders>
          </w:tcPr>
          <w:p>
            <w:pPr>
              <w:ind w:left="440"/>
              <w:spacing w:after="0"/>
              <w:rPr>
                <w:sz w:val="20"/>
                <w:szCs w:val="20"/>
                <w:color w:val="auto"/>
              </w:rPr>
            </w:pPr>
            <w:r>
              <w:rPr>
                <w:rFonts w:ascii="Arial" w:cs="Arial" w:eastAsia="Arial" w:hAnsi="Arial"/>
                <w:sz w:val="18"/>
                <w:szCs w:val="18"/>
                <w:b w:val="1"/>
                <w:bCs w:val="1"/>
                <w:color w:val="02568A"/>
              </w:rPr>
              <w:t>Company</w:t>
            </w:r>
          </w:p>
        </w:tc>
        <w:tc>
          <w:tcPr>
            <w:tcW w:w="940" w:type="dxa"/>
            <w:vAlign w:val="bottom"/>
            <w:tcBorders>
              <w:top w:val="single" w:sz="8" w:color="02568A"/>
            </w:tcBorders>
          </w:tcPr>
          <w:p>
            <w:pPr>
              <w:spacing w:after="0"/>
              <w:rPr>
                <w:sz w:val="18"/>
                <w:szCs w:val="18"/>
                <w:color w:val="auto"/>
              </w:rPr>
            </w:pPr>
          </w:p>
        </w:tc>
        <w:tc>
          <w:tcPr>
            <w:tcW w:w="700" w:type="dxa"/>
            <w:vAlign w:val="bottom"/>
            <w:tcBorders>
              <w:top w:val="single" w:sz="8" w:color="02568A"/>
            </w:tcBorders>
          </w:tcPr>
          <w:p>
            <w:pPr>
              <w:spacing w:after="0"/>
              <w:rPr>
                <w:sz w:val="18"/>
                <w:szCs w:val="18"/>
                <w:color w:val="auto"/>
              </w:rPr>
            </w:pPr>
          </w:p>
        </w:tc>
        <w:tc>
          <w:tcPr>
            <w:tcW w:w="1120" w:type="dxa"/>
            <w:vAlign w:val="bottom"/>
            <w:tcBorders>
              <w:top w:val="single" w:sz="8" w:color="02568A"/>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60" w:type="dxa"/>
            <w:vAlign w:val="bottom"/>
            <w:tcBorders>
              <w:bottom w:val="single" w:sz="8" w:color="02568A"/>
            </w:tcBorders>
          </w:tcPr>
          <w:p>
            <w:pPr>
              <w:ind w:left="540"/>
              <w:spacing w:after="0"/>
              <w:rPr>
                <w:sz w:val="20"/>
                <w:szCs w:val="20"/>
                <w:color w:val="auto"/>
              </w:rPr>
            </w:pPr>
            <w:r>
              <w:rPr>
                <w:rFonts w:ascii="Arial" w:cs="Arial" w:eastAsia="Arial" w:hAnsi="Arial"/>
                <w:sz w:val="18"/>
                <w:szCs w:val="18"/>
                <w:b w:val="1"/>
                <w:bCs w:val="1"/>
                <w:color w:val="02568A"/>
              </w:rPr>
              <w:t>Metric</w:t>
            </w:r>
          </w:p>
        </w:tc>
        <w:tc>
          <w:tcPr>
            <w:tcW w:w="94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87"/>
              </w:rPr>
              <w:t>Threshold</w:t>
            </w:r>
          </w:p>
        </w:tc>
        <w:tc>
          <w:tcPr>
            <w:tcW w:w="70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87"/>
              </w:rPr>
              <w:t>Target</w:t>
            </w:r>
          </w:p>
        </w:tc>
        <w:tc>
          <w:tcPr>
            <w:tcW w:w="1120" w:type="dxa"/>
            <w:vAlign w:val="bottom"/>
            <w:tcBorders>
              <w:bottom w:val="single" w:sz="8" w:color="02568A"/>
            </w:tcBorders>
          </w:tcPr>
          <w:p>
            <w:pPr>
              <w:jc w:val="center"/>
              <w:ind w:right="12"/>
              <w:spacing w:after="0"/>
              <w:rPr>
                <w:sz w:val="20"/>
                <w:szCs w:val="20"/>
                <w:color w:val="auto"/>
              </w:rPr>
            </w:pPr>
            <w:r>
              <w:rPr>
                <w:rFonts w:ascii="Arial" w:cs="Arial" w:eastAsia="Arial" w:hAnsi="Arial"/>
                <w:sz w:val="18"/>
                <w:szCs w:val="18"/>
                <w:b w:val="1"/>
                <w:bCs w:val="1"/>
                <w:color w:val="02568A"/>
                <w:w w:val="93"/>
              </w:rPr>
              <w:t>Maximum</w:t>
            </w:r>
          </w:p>
        </w:tc>
        <w:tc>
          <w:tcPr>
            <w:tcW w:w="0" w:type="dxa"/>
            <w:vAlign w:val="bottom"/>
          </w:tcPr>
          <w:p>
            <w:pPr>
              <w:spacing w:after="0"/>
              <w:rPr>
                <w:sz w:val="1"/>
                <w:szCs w:val="1"/>
                <w:color w:val="auto"/>
              </w:rPr>
            </w:pPr>
          </w:p>
        </w:tc>
      </w:tr>
      <w:tr>
        <w:trPr>
          <w:trHeight w:val="196"/>
        </w:trPr>
        <w:tc>
          <w:tcPr>
            <w:tcW w:w="1460" w:type="dxa"/>
            <w:vAlign w:val="bottom"/>
            <w:shd w:val="clear" w:color="auto" w:fill="CED8EA"/>
          </w:tcPr>
          <w:p>
            <w:pPr>
              <w:ind w:left="200"/>
              <w:spacing w:after="0" w:line="196" w:lineRule="exact"/>
              <w:rPr>
                <w:sz w:val="20"/>
                <w:szCs w:val="20"/>
                <w:color w:val="auto"/>
              </w:rPr>
            </w:pPr>
            <w:r>
              <w:rPr>
                <w:rFonts w:ascii="Arial" w:cs="Arial" w:eastAsia="Arial" w:hAnsi="Arial"/>
                <w:sz w:val="18"/>
                <w:szCs w:val="18"/>
                <w:b w:val="1"/>
                <w:bCs w:val="1"/>
                <w:color w:val="02568A"/>
              </w:rPr>
              <w:t>1-year Non-</w:t>
            </w:r>
          </w:p>
        </w:tc>
        <w:tc>
          <w:tcPr>
            <w:tcW w:w="940" w:type="dxa"/>
            <w:vAlign w:val="bottom"/>
            <w:shd w:val="clear" w:color="auto" w:fill="CED8EA"/>
          </w:tcPr>
          <w:p>
            <w:pPr>
              <w:spacing w:after="0"/>
              <w:rPr>
                <w:sz w:val="17"/>
                <w:szCs w:val="17"/>
                <w:color w:val="auto"/>
              </w:rPr>
            </w:pPr>
          </w:p>
        </w:tc>
        <w:tc>
          <w:tcPr>
            <w:tcW w:w="700" w:type="dxa"/>
            <w:vAlign w:val="bottom"/>
            <w:shd w:val="clear" w:color="auto" w:fill="CED8EA"/>
          </w:tcPr>
          <w:p>
            <w:pPr>
              <w:spacing w:after="0"/>
              <w:rPr>
                <w:sz w:val="17"/>
                <w:szCs w:val="17"/>
                <w:color w:val="auto"/>
              </w:rPr>
            </w:pPr>
          </w:p>
        </w:tc>
        <w:tc>
          <w:tcPr>
            <w:tcW w:w="1120" w:type="dxa"/>
            <w:vAlign w:val="bottom"/>
            <w:shd w:val="clear" w:color="auto" w:fill="CED8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ED8EA"/>
          </w:tcPr>
          <w:p>
            <w:pPr>
              <w:ind w:left="200"/>
              <w:spacing w:after="0"/>
              <w:rPr>
                <w:sz w:val="20"/>
                <w:szCs w:val="20"/>
                <w:color w:val="auto"/>
              </w:rPr>
            </w:pPr>
            <w:r>
              <w:rPr>
                <w:rFonts w:ascii="Arial" w:cs="Arial" w:eastAsia="Arial" w:hAnsi="Arial"/>
                <w:sz w:val="18"/>
                <w:szCs w:val="18"/>
                <w:b w:val="1"/>
                <w:bCs w:val="1"/>
                <w:color w:val="02568A"/>
                <w:w w:val="99"/>
              </w:rPr>
              <w:t>GAAP EBITDA</w:t>
            </w:r>
          </w:p>
        </w:tc>
        <w:tc>
          <w:tcPr>
            <w:tcW w:w="940" w:type="dxa"/>
            <w:vAlign w:val="bottom"/>
            <w:shd w:val="clear" w:color="auto" w:fill="CED8EA"/>
          </w:tcPr>
          <w:p>
            <w:pPr>
              <w:jc w:val="center"/>
              <w:spacing w:after="0"/>
              <w:rPr>
                <w:sz w:val="20"/>
                <w:szCs w:val="20"/>
                <w:color w:val="auto"/>
              </w:rPr>
            </w:pPr>
            <w:r>
              <w:rPr>
                <w:rFonts w:ascii="Arial" w:cs="Arial" w:eastAsia="Arial" w:hAnsi="Arial"/>
                <w:sz w:val="18"/>
                <w:szCs w:val="18"/>
                <w:color w:val="02568A"/>
                <w:w w:val="87"/>
              </w:rPr>
              <w:t>0.0%</w:t>
            </w:r>
          </w:p>
        </w:tc>
        <w:tc>
          <w:tcPr>
            <w:tcW w:w="700" w:type="dxa"/>
            <w:vAlign w:val="bottom"/>
            <w:shd w:val="clear" w:color="auto" w:fill="CED8EA"/>
          </w:tcPr>
          <w:p>
            <w:pPr>
              <w:jc w:val="center"/>
              <w:spacing w:after="0"/>
              <w:rPr>
                <w:sz w:val="20"/>
                <w:szCs w:val="20"/>
                <w:color w:val="auto"/>
              </w:rPr>
            </w:pPr>
            <w:r>
              <w:rPr>
                <w:rFonts w:ascii="Arial" w:cs="Arial" w:eastAsia="Arial" w:hAnsi="Arial"/>
                <w:sz w:val="18"/>
                <w:szCs w:val="18"/>
                <w:color w:val="02568A"/>
                <w:w w:val="87"/>
              </w:rPr>
              <w:t>3.3%</w:t>
            </w:r>
          </w:p>
        </w:tc>
        <w:tc>
          <w:tcPr>
            <w:tcW w:w="1120" w:type="dxa"/>
            <w:vAlign w:val="bottom"/>
            <w:shd w:val="clear" w:color="auto" w:fill="CED8EA"/>
          </w:tcPr>
          <w:p>
            <w:pPr>
              <w:jc w:val="center"/>
              <w:ind w:right="32"/>
              <w:spacing w:after="0"/>
              <w:rPr>
                <w:sz w:val="20"/>
                <w:szCs w:val="20"/>
                <w:color w:val="auto"/>
              </w:rPr>
            </w:pPr>
            <w:r>
              <w:rPr>
                <w:rFonts w:ascii="Arial" w:cs="Arial" w:eastAsia="Arial" w:hAnsi="Arial"/>
                <w:sz w:val="18"/>
                <w:szCs w:val="18"/>
                <w:color w:val="02568A"/>
                <w:w w:val="87"/>
              </w:rPr>
              <w:t>7.1%</w:t>
            </w:r>
          </w:p>
        </w:tc>
        <w:tc>
          <w:tcPr>
            <w:tcW w:w="0" w:type="dxa"/>
            <w:vAlign w:val="bottom"/>
          </w:tcPr>
          <w:p>
            <w:pPr>
              <w:spacing w:after="0"/>
              <w:rPr>
                <w:sz w:val="1"/>
                <w:szCs w:val="1"/>
                <w:color w:val="auto"/>
              </w:rPr>
            </w:pPr>
          </w:p>
        </w:tc>
      </w:tr>
      <w:tr>
        <w:trPr>
          <w:trHeight w:val="229"/>
        </w:trPr>
        <w:tc>
          <w:tcPr>
            <w:tcW w:w="1460" w:type="dxa"/>
            <w:vAlign w:val="bottom"/>
            <w:tcBorders>
              <w:bottom w:val="single" w:sz="8" w:color="D1D2D4"/>
            </w:tcBorders>
            <w:shd w:val="clear" w:color="auto" w:fill="CED8EA"/>
          </w:tcPr>
          <w:p>
            <w:pPr>
              <w:ind w:left="200"/>
              <w:spacing w:after="0"/>
              <w:rPr>
                <w:sz w:val="20"/>
                <w:szCs w:val="20"/>
                <w:color w:val="auto"/>
              </w:rPr>
            </w:pPr>
            <w:r>
              <w:rPr>
                <w:rFonts w:ascii="Arial" w:cs="Arial" w:eastAsia="Arial" w:hAnsi="Arial"/>
                <w:sz w:val="18"/>
                <w:szCs w:val="18"/>
                <w:b w:val="1"/>
                <w:bCs w:val="1"/>
                <w:color w:val="02568A"/>
              </w:rPr>
              <w:t>Growth (%)</w:t>
            </w:r>
          </w:p>
        </w:tc>
        <w:tc>
          <w:tcPr>
            <w:tcW w:w="940" w:type="dxa"/>
            <w:vAlign w:val="bottom"/>
            <w:tcBorders>
              <w:bottom w:val="single" w:sz="8" w:color="D1D2D4"/>
            </w:tcBorders>
            <w:shd w:val="clear" w:color="auto" w:fill="CED8EA"/>
          </w:tcPr>
          <w:p>
            <w:pPr>
              <w:spacing w:after="0"/>
              <w:rPr>
                <w:sz w:val="19"/>
                <w:szCs w:val="19"/>
                <w:color w:val="auto"/>
              </w:rPr>
            </w:pPr>
          </w:p>
        </w:tc>
        <w:tc>
          <w:tcPr>
            <w:tcW w:w="700" w:type="dxa"/>
            <w:vAlign w:val="bottom"/>
            <w:tcBorders>
              <w:bottom w:val="single" w:sz="8" w:color="D1D2D4"/>
            </w:tcBorders>
            <w:shd w:val="clear" w:color="auto" w:fill="CED8EA"/>
          </w:tcPr>
          <w:p>
            <w:pPr>
              <w:spacing w:after="0"/>
              <w:rPr>
                <w:sz w:val="19"/>
                <w:szCs w:val="19"/>
                <w:color w:val="auto"/>
              </w:rPr>
            </w:pPr>
          </w:p>
        </w:tc>
        <w:tc>
          <w:tcPr>
            <w:tcW w:w="1120" w:type="dxa"/>
            <w:vAlign w:val="bottom"/>
            <w:tcBorders>
              <w:bottom w:val="single" w:sz="8" w:color="D1D2D4"/>
            </w:tcBorders>
            <w:shd w:val="clear" w:color="auto" w:fill="CED8EA"/>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460" w:type="dxa"/>
            <w:vAlign w:val="bottom"/>
          </w:tcPr>
          <w:p>
            <w:pPr>
              <w:ind w:left="200"/>
              <w:spacing w:after="0" w:line="196" w:lineRule="exact"/>
              <w:rPr>
                <w:sz w:val="20"/>
                <w:szCs w:val="20"/>
                <w:color w:val="auto"/>
              </w:rPr>
            </w:pPr>
            <w:r>
              <w:rPr>
                <w:rFonts w:ascii="Arial" w:cs="Arial" w:eastAsia="Arial" w:hAnsi="Arial"/>
                <w:sz w:val="18"/>
                <w:szCs w:val="18"/>
                <w:b w:val="1"/>
                <w:bCs w:val="1"/>
                <w:color w:val="02568A"/>
              </w:rPr>
              <w:t>3-year TSR</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02568A"/>
                <w:w w:val="77"/>
              </w:rPr>
              <w:t>40</w:t>
            </w:r>
            <w:r>
              <w:rPr>
                <w:rFonts w:ascii="Arial" w:cs="Arial" w:eastAsia="Arial" w:hAnsi="Arial"/>
                <w:sz w:val="29"/>
                <w:szCs w:val="29"/>
                <w:color w:val="02568A"/>
                <w:w w:val="77"/>
                <w:vertAlign w:val="superscript"/>
              </w:rPr>
              <w:t>th</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2568A"/>
                <w:w w:val="77"/>
              </w:rPr>
              <w:t>50</w:t>
            </w:r>
            <w:r>
              <w:rPr>
                <w:rFonts w:ascii="Arial" w:cs="Arial" w:eastAsia="Arial" w:hAnsi="Arial"/>
                <w:sz w:val="29"/>
                <w:szCs w:val="29"/>
                <w:color w:val="02568A"/>
                <w:w w:val="77"/>
                <w:vertAlign w:val="superscript"/>
              </w:rPr>
              <w:t>th</w:t>
            </w:r>
          </w:p>
        </w:tc>
        <w:tc>
          <w:tcPr>
            <w:tcW w:w="1120" w:type="dxa"/>
            <w:vAlign w:val="bottom"/>
            <w:vMerge w:val="restart"/>
          </w:tcPr>
          <w:p>
            <w:pPr>
              <w:jc w:val="center"/>
              <w:ind w:right="12"/>
              <w:spacing w:after="0"/>
              <w:rPr>
                <w:sz w:val="20"/>
                <w:szCs w:val="20"/>
                <w:color w:val="auto"/>
              </w:rPr>
            </w:pPr>
            <w:r>
              <w:rPr>
                <w:rFonts w:ascii="Arial" w:cs="Arial" w:eastAsia="Arial" w:hAnsi="Arial"/>
                <w:sz w:val="18"/>
                <w:szCs w:val="18"/>
                <w:color w:val="02568A"/>
                <w:w w:val="82"/>
              </w:rPr>
              <w:t>90</w:t>
            </w:r>
            <w:r>
              <w:rPr>
                <w:rFonts w:ascii="Arial" w:cs="Arial" w:eastAsia="Arial" w:hAnsi="Arial"/>
                <w:sz w:val="29"/>
                <w:szCs w:val="29"/>
                <w:color w:val="02568A"/>
                <w:w w:val="82"/>
                <w:vertAlign w:val="superscript"/>
              </w:rPr>
              <w:t>th</w:t>
            </w:r>
          </w:p>
        </w:tc>
        <w:tc>
          <w:tcPr>
            <w:tcW w:w="0" w:type="dxa"/>
            <w:vAlign w:val="bottom"/>
          </w:tcPr>
          <w:p>
            <w:pPr>
              <w:spacing w:after="0"/>
              <w:rPr>
                <w:sz w:val="1"/>
                <w:szCs w:val="1"/>
                <w:color w:val="auto"/>
              </w:rPr>
            </w:pPr>
          </w:p>
        </w:tc>
      </w:tr>
      <w:tr>
        <w:trPr>
          <w:trHeight w:val="216"/>
        </w:trPr>
        <w:tc>
          <w:tcPr>
            <w:tcW w:w="1460" w:type="dxa"/>
            <w:vAlign w:val="bottom"/>
          </w:tcPr>
          <w:p>
            <w:pPr>
              <w:ind w:left="200"/>
              <w:spacing w:after="0"/>
              <w:rPr>
                <w:sz w:val="20"/>
                <w:szCs w:val="20"/>
                <w:color w:val="auto"/>
              </w:rPr>
            </w:pPr>
            <w:r>
              <w:rPr>
                <w:rFonts w:ascii="Arial" w:cs="Arial" w:eastAsia="Arial" w:hAnsi="Arial"/>
                <w:sz w:val="18"/>
                <w:szCs w:val="18"/>
                <w:b w:val="1"/>
                <w:bCs w:val="1"/>
                <w:color w:val="02568A"/>
              </w:rPr>
              <w:t>Percentile</w:t>
            </w:r>
          </w:p>
        </w:tc>
        <w:tc>
          <w:tcPr>
            <w:tcW w:w="94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60" w:type="dxa"/>
            <w:vAlign w:val="bottom"/>
            <w:tcBorders>
              <w:bottom w:val="single" w:sz="8" w:color="D1D2D4"/>
            </w:tcBorders>
          </w:tcPr>
          <w:p>
            <w:pPr>
              <w:ind w:left="200"/>
              <w:spacing w:after="0"/>
              <w:rPr>
                <w:sz w:val="20"/>
                <w:szCs w:val="20"/>
                <w:color w:val="auto"/>
              </w:rPr>
            </w:pPr>
            <w:r>
              <w:rPr>
                <w:rFonts w:ascii="Arial" w:cs="Arial" w:eastAsia="Arial" w:hAnsi="Arial"/>
                <w:sz w:val="18"/>
                <w:szCs w:val="18"/>
                <w:b w:val="1"/>
                <w:bCs w:val="1"/>
                <w:color w:val="02568A"/>
              </w:rPr>
              <w:t>Ranking</w:t>
            </w:r>
          </w:p>
        </w:tc>
        <w:tc>
          <w:tcPr>
            <w:tcW w:w="940" w:type="dxa"/>
            <w:vAlign w:val="bottom"/>
            <w:tcBorders>
              <w:bottom w:val="single" w:sz="8" w:color="D1D2D4"/>
            </w:tcBorders>
          </w:tcPr>
          <w:p>
            <w:pPr>
              <w:spacing w:after="0"/>
              <w:rPr>
                <w:sz w:val="19"/>
                <w:szCs w:val="19"/>
                <w:color w:val="auto"/>
              </w:rPr>
            </w:pPr>
          </w:p>
        </w:tc>
        <w:tc>
          <w:tcPr>
            <w:tcW w:w="700" w:type="dxa"/>
            <w:vAlign w:val="bottom"/>
            <w:tcBorders>
              <w:bottom w:val="single" w:sz="8" w:color="D1D2D4"/>
            </w:tcBorders>
          </w:tcPr>
          <w:p>
            <w:pPr>
              <w:spacing w:after="0"/>
              <w:rPr>
                <w:sz w:val="19"/>
                <w:szCs w:val="19"/>
                <w:color w:val="auto"/>
              </w:rPr>
            </w:pPr>
          </w:p>
        </w:tc>
        <w:tc>
          <w:tcPr>
            <w:tcW w:w="1120" w:type="dxa"/>
            <w:vAlign w:val="bottom"/>
            <w:tcBorders>
              <w:bottom w:val="single" w:sz="8" w:color="D1D2D4"/>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191919"/>
        </w:rPr>
        <w:t>The performance period with respect to the non-GAAP EBITDA growth metric was the Company’s fiscal year 2019 and the performance period with respect to the TSR percentile ranking metric is the three-year period comprising the Company’s fiscal years 2019, 2020, and 2021. The peer group for purposes of the TSR percentile ranking metric includes each of the companies in the S&amp;P Semiconductor Select Industry Index as of November 6, 2018, but excludes any such company that during the three-year performance period is acquired by or merged with (or enters into an agreement to be acquired by or merged with) another entity.</w:t>
      </w:r>
    </w:p>
    <w:p>
      <w:pPr>
        <w:spacing w:after="0" w:line="173" w:lineRule="exact"/>
        <w:rPr>
          <w:sz w:val="20"/>
          <w:szCs w:val="20"/>
          <w:color w:val="auto"/>
        </w:rPr>
      </w:pPr>
    </w:p>
    <w:p>
      <w:pPr>
        <w:ind w:right="220"/>
        <w:spacing w:after="0" w:line="331" w:lineRule="auto"/>
        <w:rPr>
          <w:sz w:val="20"/>
          <w:szCs w:val="20"/>
          <w:color w:val="auto"/>
        </w:rPr>
      </w:pPr>
      <w:r>
        <w:rPr>
          <w:rFonts w:ascii="Arial" w:cs="Arial" w:eastAsia="Arial" w:hAnsi="Arial"/>
          <w:sz w:val="16"/>
          <w:szCs w:val="16"/>
          <w:color w:val="191919"/>
        </w:rPr>
        <w:t>The number of shares issuable under the FY19 PSAs corresponds to the level of achievement of the performance goals, as follows:</w:t>
      </w:r>
    </w:p>
    <w:p>
      <w:pPr>
        <w:spacing w:after="0" w:line="129"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2060" w:type="dxa"/>
            <w:vAlign w:val="bottom"/>
            <w:tcBorders>
              <w:top w:val="single" w:sz="8" w:color="02568A"/>
            </w:tcBorders>
          </w:tcPr>
          <w:p>
            <w:pPr>
              <w:spacing w:after="0"/>
              <w:rPr>
                <w:sz w:val="19"/>
                <w:szCs w:val="19"/>
                <w:color w:val="auto"/>
              </w:rPr>
            </w:pPr>
          </w:p>
        </w:tc>
        <w:tc>
          <w:tcPr>
            <w:tcW w:w="2260" w:type="dxa"/>
            <w:vAlign w:val="bottom"/>
            <w:tcBorders>
              <w:top w:val="single" w:sz="8" w:color="02568A"/>
              <w:bottom w:val="single" w:sz="8" w:color="02568A"/>
            </w:tcBorders>
            <w:gridSpan w:val="3"/>
          </w:tcPr>
          <w:p>
            <w:pPr>
              <w:jc w:val="center"/>
              <w:ind w:right="12"/>
              <w:spacing w:after="0"/>
              <w:rPr>
                <w:sz w:val="20"/>
                <w:szCs w:val="20"/>
                <w:color w:val="auto"/>
              </w:rPr>
            </w:pPr>
            <w:r>
              <w:rPr>
                <w:rFonts w:ascii="Arial" w:cs="Arial" w:eastAsia="Arial" w:hAnsi="Arial"/>
                <w:sz w:val="18"/>
                <w:szCs w:val="18"/>
                <w:b w:val="1"/>
                <w:bCs w:val="1"/>
                <w:color w:val="02568A"/>
                <w:w w:val="88"/>
              </w:rPr>
              <w:t>Performance Achieved</w:t>
            </w:r>
          </w:p>
        </w:tc>
        <w:tc>
          <w:tcPr>
            <w:tcW w:w="0" w:type="dxa"/>
            <w:vAlign w:val="bottom"/>
          </w:tcPr>
          <w:p>
            <w:pPr>
              <w:spacing w:after="0"/>
              <w:rPr>
                <w:sz w:val="1"/>
                <w:szCs w:val="1"/>
                <w:color w:val="auto"/>
              </w:rPr>
            </w:pPr>
          </w:p>
        </w:tc>
      </w:tr>
      <w:tr>
        <w:trPr>
          <w:trHeight w:val="209"/>
        </w:trPr>
        <w:tc>
          <w:tcPr>
            <w:tcW w:w="2060" w:type="dxa"/>
            <w:vAlign w:val="bottom"/>
            <w:tcBorders>
              <w:bottom w:val="single" w:sz="8" w:color="02568A"/>
            </w:tcBorders>
          </w:tcPr>
          <w:p>
            <w:pPr>
              <w:spacing w:after="0"/>
              <w:rPr>
                <w:sz w:val="18"/>
                <w:szCs w:val="18"/>
                <w:color w:val="auto"/>
              </w:rPr>
            </w:pPr>
          </w:p>
        </w:tc>
        <w:tc>
          <w:tcPr>
            <w:tcW w:w="2260" w:type="dxa"/>
            <w:vAlign w:val="bottom"/>
            <w:tcBorders>
              <w:bottom w:val="single" w:sz="8" w:color="02568A"/>
            </w:tcBorders>
            <w:gridSpan w:val="3"/>
          </w:tcPr>
          <w:p>
            <w:pPr>
              <w:jc w:val="center"/>
              <w:ind w:right="12"/>
              <w:spacing w:after="0"/>
              <w:rPr>
                <w:sz w:val="20"/>
                <w:szCs w:val="20"/>
                <w:color w:val="auto"/>
              </w:rPr>
            </w:pPr>
            <w:r>
              <w:rPr>
                <w:rFonts w:ascii="Arial" w:cs="Arial" w:eastAsia="Arial" w:hAnsi="Arial"/>
                <w:sz w:val="18"/>
                <w:szCs w:val="18"/>
                <w:b w:val="1"/>
                <w:bCs w:val="1"/>
                <w:color w:val="02568A"/>
                <w:w w:val="91"/>
              </w:rPr>
              <w:t>Threshold Target Maximum</w:t>
            </w:r>
          </w:p>
        </w:tc>
        <w:tc>
          <w:tcPr>
            <w:tcW w:w="0" w:type="dxa"/>
            <w:vAlign w:val="bottom"/>
          </w:tcPr>
          <w:p>
            <w:pPr>
              <w:spacing w:after="0"/>
              <w:rPr>
                <w:sz w:val="1"/>
                <w:szCs w:val="1"/>
                <w:color w:val="auto"/>
              </w:rPr>
            </w:pPr>
          </w:p>
        </w:tc>
      </w:tr>
      <w:tr>
        <w:trPr>
          <w:trHeight w:val="195"/>
        </w:trPr>
        <w:tc>
          <w:tcPr>
            <w:tcW w:w="2060" w:type="dxa"/>
            <w:vAlign w:val="bottom"/>
            <w:shd w:val="clear" w:color="auto" w:fill="CED8EA"/>
          </w:tcPr>
          <w:p>
            <w:pPr>
              <w:ind w:left="100"/>
              <w:spacing w:after="0" w:line="195" w:lineRule="exact"/>
              <w:rPr>
                <w:sz w:val="20"/>
                <w:szCs w:val="20"/>
                <w:color w:val="auto"/>
              </w:rPr>
            </w:pPr>
            <w:r>
              <w:rPr>
                <w:rFonts w:ascii="Arial" w:cs="Arial" w:eastAsia="Arial" w:hAnsi="Arial"/>
                <w:sz w:val="18"/>
                <w:szCs w:val="18"/>
                <w:b w:val="1"/>
                <w:bCs w:val="1"/>
                <w:color w:val="02568A"/>
                <w:w w:val="90"/>
              </w:rPr>
              <w:t>% of Target Level Shares</w:t>
            </w:r>
          </w:p>
        </w:tc>
        <w:tc>
          <w:tcPr>
            <w:tcW w:w="700" w:type="dxa"/>
            <w:vAlign w:val="bottom"/>
            <w:shd w:val="clear" w:color="auto" w:fill="CED8EA"/>
          </w:tcPr>
          <w:p>
            <w:pPr>
              <w:spacing w:after="0"/>
              <w:rPr>
                <w:sz w:val="16"/>
                <w:szCs w:val="16"/>
                <w:color w:val="auto"/>
              </w:rPr>
            </w:pPr>
          </w:p>
        </w:tc>
        <w:tc>
          <w:tcPr>
            <w:tcW w:w="720" w:type="dxa"/>
            <w:vAlign w:val="bottom"/>
            <w:shd w:val="clear" w:color="auto" w:fill="CED8EA"/>
          </w:tcPr>
          <w:p>
            <w:pPr>
              <w:spacing w:after="0"/>
              <w:rPr>
                <w:sz w:val="16"/>
                <w:szCs w:val="16"/>
                <w:color w:val="auto"/>
              </w:rPr>
            </w:pPr>
          </w:p>
        </w:tc>
        <w:tc>
          <w:tcPr>
            <w:tcW w:w="840" w:type="dxa"/>
            <w:vAlign w:val="bottom"/>
            <w:shd w:val="clear" w:color="auto" w:fill="CED8EA"/>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ED8EA"/>
          </w:tcPr>
          <w:p>
            <w:pPr>
              <w:ind w:left="100"/>
              <w:spacing w:after="0"/>
              <w:rPr>
                <w:sz w:val="20"/>
                <w:szCs w:val="20"/>
                <w:color w:val="auto"/>
              </w:rPr>
            </w:pPr>
            <w:r>
              <w:rPr>
                <w:rFonts w:ascii="Arial" w:cs="Arial" w:eastAsia="Arial" w:hAnsi="Arial"/>
                <w:sz w:val="18"/>
                <w:szCs w:val="18"/>
                <w:b w:val="1"/>
                <w:bCs w:val="1"/>
                <w:color w:val="02568A"/>
                <w:w w:val="95"/>
              </w:rPr>
              <w:t>Earned With Respect to</w:t>
            </w:r>
          </w:p>
        </w:tc>
        <w:tc>
          <w:tcPr>
            <w:tcW w:w="700" w:type="dxa"/>
            <w:vAlign w:val="bottom"/>
            <w:vMerge w:val="restart"/>
            <w:shd w:val="clear" w:color="auto" w:fill="CED8EA"/>
          </w:tcPr>
          <w:p>
            <w:pPr>
              <w:jc w:val="right"/>
              <w:ind w:right="72"/>
              <w:spacing w:after="0"/>
              <w:rPr>
                <w:sz w:val="20"/>
                <w:szCs w:val="20"/>
                <w:color w:val="auto"/>
              </w:rPr>
            </w:pPr>
            <w:r>
              <w:rPr>
                <w:rFonts w:ascii="Arial" w:cs="Arial" w:eastAsia="Arial" w:hAnsi="Arial"/>
                <w:sz w:val="18"/>
                <w:szCs w:val="18"/>
                <w:color w:val="02568A"/>
              </w:rPr>
              <w:t>50%</w:t>
            </w:r>
          </w:p>
        </w:tc>
        <w:tc>
          <w:tcPr>
            <w:tcW w:w="720" w:type="dxa"/>
            <w:vAlign w:val="bottom"/>
            <w:vMerge w:val="restart"/>
            <w:shd w:val="clear" w:color="auto" w:fill="CED8EA"/>
          </w:tcPr>
          <w:p>
            <w:pPr>
              <w:jc w:val="center"/>
              <w:spacing w:after="0"/>
              <w:rPr>
                <w:sz w:val="20"/>
                <w:szCs w:val="20"/>
                <w:color w:val="auto"/>
              </w:rPr>
            </w:pPr>
            <w:r>
              <w:rPr>
                <w:rFonts w:ascii="Arial" w:cs="Arial" w:eastAsia="Arial" w:hAnsi="Arial"/>
                <w:sz w:val="18"/>
                <w:szCs w:val="18"/>
                <w:color w:val="02568A"/>
                <w:w w:val="91"/>
              </w:rPr>
              <w:t>100%</w:t>
            </w:r>
          </w:p>
        </w:tc>
        <w:tc>
          <w:tcPr>
            <w:tcW w:w="840" w:type="dxa"/>
            <w:vAlign w:val="bottom"/>
            <w:vMerge w:val="restart"/>
            <w:shd w:val="clear" w:color="auto" w:fill="CED8EA"/>
          </w:tcPr>
          <w:p>
            <w:pPr>
              <w:jc w:val="right"/>
              <w:ind w:right="192"/>
              <w:spacing w:after="0"/>
              <w:rPr>
                <w:sz w:val="20"/>
                <w:szCs w:val="20"/>
                <w:color w:val="auto"/>
              </w:rPr>
            </w:pPr>
            <w:r>
              <w:rPr>
                <w:rFonts w:ascii="Arial" w:cs="Arial" w:eastAsia="Arial" w:hAnsi="Arial"/>
                <w:sz w:val="18"/>
                <w:szCs w:val="18"/>
                <w:color w:val="02568A"/>
              </w:rPr>
              <w:t>200%</w:t>
            </w:r>
          </w:p>
        </w:tc>
        <w:tc>
          <w:tcPr>
            <w:tcW w:w="0" w:type="dxa"/>
            <w:vAlign w:val="bottom"/>
          </w:tcPr>
          <w:p>
            <w:pPr>
              <w:spacing w:after="0"/>
              <w:rPr>
                <w:sz w:val="1"/>
                <w:szCs w:val="1"/>
                <w:color w:val="auto"/>
              </w:rPr>
            </w:pPr>
          </w:p>
        </w:tc>
      </w:tr>
      <w:tr>
        <w:trPr>
          <w:trHeight w:val="120"/>
        </w:trPr>
        <w:tc>
          <w:tcPr>
            <w:tcW w:w="2060" w:type="dxa"/>
            <w:vAlign w:val="bottom"/>
            <w:vMerge w:val="restart"/>
            <w:shd w:val="clear" w:color="auto" w:fill="CED8EA"/>
          </w:tcPr>
          <w:p>
            <w:pPr>
              <w:ind w:left="100"/>
              <w:spacing w:after="0"/>
              <w:rPr>
                <w:sz w:val="20"/>
                <w:szCs w:val="20"/>
                <w:color w:val="auto"/>
              </w:rPr>
            </w:pPr>
            <w:r>
              <w:rPr>
                <w:rFonts w:ascii="Arial" w:cs="Arial" w:eastAsia="Arial" w:hAnsi="Arial"/>
                <w:sz w:val="18"/>
                <w:szCs w:val="18"/>
                <w:b w:val="1"/>
                <w:bCs w:val="1"/>
                <w:color w:val="02568A"/>
              </w:rPr>
              <w:t>Non-GAAP EBITDA</w:t>
            </w:r>
          </w:p>
        </w:tc>
        <w:tc>
          <w:tcPr>
            <w:tcW w:w="700" w:type="dxa"/>
            <w:vAlign w:val="bottom"/>
            <w:vMerge w:val="continue"/>
            <w:shd w:val="clear" w:color="auto" w:fill="CED8EA"/>
          </w:tcPr>
          <w:p>
            <w:pPr>
              <w:spacing w:after="0"/>
              <w:rPr>
                <w:sz w:val="10"/>
                <w:szCs w:val="10"/>
                <w:color w:val="auto"/>
              </w:rPr>
            </w:pPr>
          </w:p>
        </w:tc>
        <w:tc>
          <w:tcPr>
            <w:tcW w:w="720" w:type="dxa"/>
            <w:vAlign w:val="bottom"/>
            <w:vMerge w:val="continue"/>
            <w:shd w:val="clear" w:color="auto" w:fill="CED8EA"/>
          </w:tcPr>
          <w:p>
            <w:pPr>
              <w:spacing w:after="0"/>
              <w:rPr>
                <w:sz w:val="10"/>
                <w:szCs w:val="10"/>
                <w:color w:val="auto"/>
              </w:rPr>
            </w:pPr>
          </w:p>
        </w:tc>
        <w:tc>
          <w:tcPr>
            <w:tcW w:w="840" w:type="dxa"/>
            <w:vAlign w:val="bottom"/>
            <w:vMerge w:val="continue"/>
            <w:shd w:val="clear" w:color="auto" w:fill="CED8EA"/>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60" w:type="dxa"/>
            <w:vAlign w:val="bottom"/>
            <w:vMerge w:val="continue"/>
            <w:shd w:val="clear" w:color="auto" w:fill="CED8EA"/>
          </w:tcPr>
          <w:p>
            <w:pPr>
              <w:spacing w:after="0"/>
              <w:rPr>
                <w:sz w:val="8"/>
                <w:szCs w:val="8"/>
                <w:color w:val="auto"/>
              </w:rPr>
            </w:pPr>
          </w:p>
        </w:tc>
        <w:tc>
          <w:tcPr>
            <w:tcW w:w="700" w:type="dxa"/>
            <w:vAlign w:val="bottom"/>
            <w:shd w:val="clear" w:color="auto" w:fill="CED8EA"/>
          </w:tcPr>
          <w:p>
            <w:pPr>
              <w:spacing w:after="0"/>
              <w:rPr>
                <w:sz w:val="8"/>
                <w:szCs w:val="8"/>
                <w:color w:val="auto"/>
              </w:rPr>
            </w:pPr>
          </w:p>
        </w:tc>
        <w:tc>
          <w:tcPr>
            <w:tcW w:w="720" w:type="dxa"/>
            <w:vAlign w:val="bottom"/>
            <w:shd w:val="clear" w:color="auto" w:fill="CED8EA"/>
          </w:tcPr>
          <w:p>
            <w:pPr>
              <w:spacing w:after="0"/>
              <w:rPr>
                <w:sz w:val="8"/>
                <w:szCs w:val="8"/>
                <w:color w:val="auto"/>
              </w:rPr>
            </w:pPr>
          </w:p>
        </w:tc>
        <w:tc>
          <w:tcPr>
            <w:tcW w:w="840" w:type="dxa"/>
            <w:vAlign w:val="bottom"/>
            <w:shd w:val="clear" w:color="auto" w:fill="CED8EA"/>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060" w:type="dxa"/>
            <w:vAlign w:val="bottom"/>
            <w:tcBorders>
              <w:bottom w:val="single" w:sz="8" w:color="D1D2D4"/>
            </w:tcBorders>
            <w:shd w:val="clear" w:color="auto" w:fill="CED8EA"/>
          </w:tcPr>
          <w:p>
            <w:pPr>
              <w:ind w:left="100"/>
              <w:spacing w:after="0"/>
              <w:rPr>
                <w:sz w:val="20"/>
                <w:szCs w:val="20"/>
                <w:color w:val="auto"/>
              </w:rPr>
            </w:pPr>
            <w:r>
              <w:rPr>
                <w:rFonts w:ascii="Arial" w:cs="Arial" w:eastAsia="Arial" w:hAnsi="Arial"/>
                <w:sz w:val="18"/>
                <w:szCs w:val="18"/>
                <w:b w:val="1"/>
                <w:bCs w:val="1"/>
                <w:color w:val="02568A"/>
              </w:rPr>
              <w:t>Growth Metric</w:t>
            </w:r>
          </w:p>
        </w:tc>
        <w:tc>
          <w:tcPr>
            <w:tcW w:w="700" w:type="dxa"/>
            <w:vAlign w:val="bottom"/>
            <w:tcBorders>
              <w:bottom w:val="single" w:sz="8" w:color="D1D2D4"/>
            </w:tcBorders>
            <w:shd w:val="clear" w:color="auto" w:fill="CED8EA"/>
          </w:tcPr>
          <w:p>
            <w:pPr>
              <w:spacing w:after="0"/>
              <w:rPr>
                <w:sz w:val="19"/>
                <w:szCs w:val="19"/>
                <w:color w:val="auto"/>
              </w:rPr>
            </w:pPr>
          </w:p>
        </w:tc>
        <w:tc>
          <w:tcPr>
            <w:tcW w:w="720" w:type="dxa"/>
            <w:vAlign w:val="bottom"/>
            <w:tcBorders>
              <w:bottom w:val="single" w:sz="8" w:color="D1D2D4"/>
            </w:tcBorders>
            <w:shd w:val="clear" w:color="auto" w:fill="CED8EA"/>
          </w:tcPr>
          <w:p>
            <w:pPr>
              <w:spacing w:after="0"/>
              <w:rPr>
                <w:sz w:val="19"/>
                <w:szCs w:val="19"/>
                <w:color w:val="auto"/>
              </w:rPr>
            </w:pPr>
          </w:p>
        </w:tc>
        <w:tc>
          <w:tcPr>
            <w:tcW w:w="840" w:type="dxa"/>
            <w:vAlign w:val="bottom"/>
            <w:tcBorders>
              <w:bottom w:val="single" w:sz="8" w:color="D1D2D4"/>
            </w:tcBorders>
            <w:shd w:val="clear" w:color="auto" w:fill="CED8EA"/>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60" w:type="dxa"/>
            <w:vAlign w:val="bottom"/>
          </w:tcPr>
          <w:p>
            <w:pPr>
              <w:ind w:left="100"/>
              <w:spacing w:after="0" w:line="196" w:lineRule="exact"/>
              <w:rPr>
                <w:sz w:val="20"/>
                <w:szCs w:val="20"/>
                <w:color w:val="auto"/>
              </w:rPr>
            </w:pPr>
            <w:r>
              <w:rPr>
                <w:rFonts w:ascii="Arial" w:cs="Arial" w:eastAsia="Arial" w:hAnsi="Arial"/>
                <w:sz w:val="18"/>
                <w:szCs w:val="18"/>
                <w:b w:val="1"/>
                <w:bCs w:val="1"/>
                <w:color w:val="02568A"/>
                <w:w w:val="90"/>
              </w:rPr>
              <w:t>% of Target Level Shares</w:t>
            </w: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100"/>
              <w:spacing w:after="0"/>
              <w:rPr>
                <w:sz w:val="20"/>
                <w:szCs w:val="20"/>
                <w:color w:val="auto"/>
              </w:rPr>
            </w:pPr>
            <w:r>
              <w:rPr>
                <w:rFonts w:ascii="Arial" w:cs="Arial" w:eastAsia="Arial" w:hAnsi="Arial"/>
                <w:sz w:val="18"/>
                <w:szCs w:val="18"/>
                <w:b w:val="1"/>
                <w:bCs w:val="1"/>
                <w:color w:val="02568A"/>
                <w:w w:val="95"/>
              </w:rPr>
              <w:t>Earned With Respect to</w:t>
            </w:r>
          </w:p>
        </w:tc>
        <w:tc>
          <w:tcPr>
            <w:tcW w:w="700" w:type="dxa"/>
            <w:vAlign w:val="bottom"/>
            <w:vMerge w:val="restart"/>
          </w:tcPr>
          <w:p>
            <w:pPr>
              <w:jc w:val="right"/>
              <w:ind w:right="72"/>
              <w:spacing w:after="0"/>
              <w:rPr>
                <w:sz w:val="20"/>
                <w:szCs w:val="20"/>
                <w:color w:val="auto"/>
              </w:rPr>
            </w:pPr>
            <w:r>
              <w:rPr>
                <w:rFonts w:ascii="Arial" w:cs="Arial" w:eastAsia="Arial" w:hAnsi="Arial"/>
                <w:sz w:val="18"/>
                <w:szCs w:val="18"/>
                <w:color w:val="02568A"/>
              </w:rPr>
              <w:t>50%</w:t>
            </w:r>
          </w:p>
        </w:tc>
        <w:tc>
          <w:tcPr>
            <w:tcW w:w="720" w:type="dxa"/>
            <w:vAlign w:val="bottom"/>
            <w:vMerge w:val="restart"/>
          </w:tcPr>
          <w:p>
            <w:pPr>
              <w:jc w:val="center"/>
              <w:spacing w:after="0"/>
              <w:rPr>
                <w:sz w:val="20"/>
                <w:szCs w:val="20"/>
                <w:color w:val="auto"/>
              </w:rPr>
            </w:pPr>
            <w:r>
              <w:rPr>
                <w:rFonts w:ascii="Arial" w:cs="Arial" w:eastAsia="Arial" w:hAnsi="Arial"/>
                <w:sz w:val="18"/>
                <w:szCs w:val="18"/>
                <w:color w:val="02568A"/>
                <w:w w:val="91"/>
              </w:rPr>
              <w:t>100%</w:t>
            </w:r>
          </w:p>
        </w:tc>
        <w:tc>
          <w:tcPr>
            <w:tcW w:w="840" w:type="dxa"/>
            <w:vAlign w:val="bottom"/>
            <w:vMerge w:val="restart"/>
          </w:tcPr>
          <w:p>
            <w:pPr>
              <w:jc w:val="right"/>
              <w:ind w:right="192"/>
              <w:spacing w:after="0"/>
              <w:rPr>
                <w:sz w:val="20"/>
                <w:szCs w:val="20"/>
                <w:color w:val="auto"/>
              </w:rPr>
            </w:pPr>
            <w:r>
              <w:rPr>
                <w:rFonts w:ascii="Arial" w:cs="Arial" w:eastAsia="Arial" w:hAnsi="Arial"/>
                <w:sz w:val="18"/>
                <w:szCs w:val="18"/>
                <w:color w:val="02568A"/>
              </w:rPr>
              <w:t>300%</w:t>
            </w:r>
          </w:p>
        </w:tc>
        <w:tc>
          <w:tcPr>
            <w:tcW w:w="0" w:type="dxa"/>
            <w:vAlign w:val="bottom"/>
          </w:tcPr>
          <w:p>
            <w:pPr>
              <w:spacing w:after="0"/>
              <w:rPr>
                <w:sz w:val="1"/>
                <w:szCs w:val="1"/>
                <w:color w:val="auto"/>
              </w:rPr>
            </w:pPr>
          </w:p>
        </w:tc>
      </w:tr>
      <w:tr>
        <w:trPr>
          <w:trHeight w:val="120"/>
        </w:trPr>
        <w:tc>
          <w:tcPr>
            <w:tcW w:w="2060" w:type="dxa"/>
            <w:vAlign w:val="bottom"/>
            <w:vMerge w:val="restart"/>
          </w:tcPr>
          <w:p>
            <w:pPr>
              <w:ind w:left="100"/>
              <w:spacing w:after="0"/>
              <w:rPr>
                <w:sz w:val="20"/>
                <w:szCs w:val="20"/>
                <w:color w:val="auto"/>
              </w:rPr>
            </w:pPr>
            <w:r>
              <w:rPr>
                <w:rFonts w:ascii="Arial" w:cs="Arial" w:eastAsia="Arial" w:hAnsi="Arial"/>
                <w:sz w:val="18"/>
                <w:szCs w:val="18"/>
                <w:b w:val="1"/>
                <w:bCs w:val="1"/>
                <w:color w:val="02568A"/>
                <w:w w:val="95"/>
              </w:rPr>
              <w:t>TSR Percentile Ranking</w:t>
            </w:r>
          </w:p>
        </w:tc>
        <w:tc>
          <w:tcPr>
            <w:tcW w:w="7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-1120775</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b w:val="1"/>
          <w:bCs w:val="1"/>
          <w:color w:val="02568A"/>
        </w:rPr>
        <w:t>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6985</wp:posOffset>
            </wp:positionV>
            <wp:extent cx="27514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12" w:lineRule="exact"/>
        <w:rPr>
          <w:sz w:val="20"/>
          <w:szCs w:val="20"/>
          <w:color w:val="auto"/>
        </w:rPr>
      </w:pPr>
    </w:p>
    <w:p>
      <w:pPr>
        <w:jc w:val="both"/>
        <w:ind w:right="160"/>
        <w:spacing w:after="0" w:line="294" w:lineRule="auto"/>
        <w:rPr>
          <w:sz w:val="20"/>
          <w:szCs w:val="20"/>
          <w:color w:val="auto"/>
        </w:rPr>
      </w:pPr>
      <w:r>
        <w:rPr>
          <w:rFonts w:ascii="Arial" w:cs="Arial" w:eastAsia="Arial" w:hAnsi="Arial"/>
          <w:sz w:val="16"/>
          <w:szCs w:val="16"/>
          <w:color w:val="191919"/>
        </w:rPr>
        <w:t>Performance in between either the “threshold” and “target” levels or the “target” and “maximum” levels results in the issuance of an interpolated number of shares between the number of shares issuable under the FY19 PSAs at, respectively, the “threshold” and “target” levels or the “target” and “maximum” levels.</w:t>
      </w:r>
    </w:p>
    <w:p>
      <w:pPr>
        <w:spacing w:after="0" w:line="169" w:lineRule="exact"/>
        <w:rPr>
          <w:sz w:val="20"/>
          <w:szCs w:val="20"/>
          <w:color w:val="auto"/>
        </w:rPr>
      </w:pPr>
    </w:p>
    <w:p>
      <w:pPr>
        <w:spacing w:after="0" w:line="306" w:lineRule="auto"/>
        <w:rPr>
          <w:sz w:val="20"/>
          <w:szCs w:val="20"/>
          <w:color w:val="auto"/>
        </w:rPr>
      </w:pPr>
      <w:r>
        <w:rPr>
          <w:rFonts w:ascii="Arial" w:cs="Arial" w:eastAsia="Arial" w:hAnsi="Arial"/>
          <w:sz w:val="16"/>
          <w:szCs w:val="16"/>
          <w:color w:val="191919"/>
        </w:rPr>
        <w:t>The non-GAAP EBITDA growth performance goal is calculated by adding depreciation and amortization to the Company’s non-GAAP operating income, as publicly reported in the Company’s earnings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20"/>
        <w:spacing w:after="0" w:line="331" w:lineRule="auto"/>
        <w:rPr>
          <w:sz w:val="20"/>
          <w:szCs w:val="20"/>
          <w:color w:val="auto"/>
        </w:rPr>
      </w:pPr>
      <w:r>
        <w:rPr>
          <w:rFonts w:ascii="Arial" w:cs="Arial" w:eastAsia="Arial" w:hAnsi="Arial"/>
          <w:sz w:val="16"/>
          <w:szCs w:val="16"/>
          <w:color w:val="191919"/>
        </w:rPr>
        <w:t>for the applicable period, after making certain adjustments if necessary to account for certain qualifying acquisition or disposition activities.</w:t>
      </w:r>
    </w:p>
    <w:p>
      <w:pPr>
        <w:spacing w:after="0" w:line="14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191919"/>
        </w:rPr>
        <w:t>The “continued employment” condition of the FY19 PSAs provides that, to the extent that the non-GAAP EBITDA growth performance metric was met, 50% of the total shares earned under such metric would vest on the first anniversary of the grant date and the remaining 50% of the total shares earned under such metric would vest on the second anniversary of the grant date, and to the extent that the TSR percentile ranking performance metric was met, 100% of the total shares earned under such metric would vest on the third anniversary of the grant date, provided, in each case, that the executive remains employed by the Company through each such vesting date. In the event of termination by reason of death or permanent disability, the holder of an FY19 PSA (or the holder’s estate) would receive any earned but unissued shares that would have been issuable thereunder during the remaining term of the award.</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191919"/>
        </w:rPr>
        <w:t>During fiscal year 2018, the base period against which fiscal year 2019 performance was measured, the Company achieved non-GAAP EBITDA of $1,728 million. During fiscal year 2019, the Company achieved non-GAAP EBITDA of $1,494 million, failing to achieve the threshold non-GAAP EBITDA growth performance goal. Although the Company’s non-GAAP EBITDA for fiscal year 2019 was negatively affected by the Trade War, the Compensation Committee elected not to make an adjustment to the non-GAAP EBITDA Growth performance metric for the FY19 PSAs. As a result, no shares were earned by the executives with respect to the non-GAAP EBITDA growth performance metric, and all FY19 PSAs with respect to such performance metric were cancelled.</w:t>
      </w:r>
    </w:p>
    <w:p>
      <w:pPr>
        <w:spacing w:after="0" w:line="180"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191919"/>
        </w:rPr>
        <w:t>In February 2019, the Compensation Committee authorized a supplemental RSU grant to non-executive employees who had received FY19 PSAs (which were granted on the same terms as FY19 PSAs awarded to the Named Executive Officers) in recognition that the threshold non-GAAP EBITDA growth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149860</wp:posOffset>
            </wp:positionV>
            <wp:extent cx="71361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2">
            <w:col w:w="5280" w:space="680"/>
            <w:col w:w="5280"/>
          </w:cols>
          <w:pgMar w:left="320" w:top="131"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191919"/>
        </w:rPr>
        <w:t>goal under the FY19 PSAs was unlikely to be met as a result of the initial impacts of the Trade War. The Company’s executive officers did not receive this supplemental RSU grant.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0001"/>
        </w:rPr>
        <w:t>Currently Outstanding PSAs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191919"/>
        </w:rPr>
        <w:t>As summarized in the table below of PSAs granted since fiscal year 2018 (the first year in which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191919"/>
        </w:rPr>
        <w:t>Compensation Committee awarded PSAs subject to a performance metric measured over a three-year performance period), achievement of the TSR percentile ranking performance metric under the FY19 PSAs, which is subject to a three-year performance period, will be determined following the conclusion of the Company’s fiscal year 2021.</w:t>
      </w:r>
    </w:p>
    <w:p>
      <w:pPr>
        <w:spacing w:after="0" w:line="832" w:lineRule="exact"/>
        <w:rPr>
          <w:sz w:val="20"/>
          <w:szCs w:val="20"/>
          <w:color w:val="auto"/>
        </w:rPr>
      </w:pPr>
    </w:p>
    <w:p>
      <w:pPr>
        <w:sectPr>
          <w:pgSz w:w="11900" w:h="16838" w:orient="portrait"/>
          <w:cols w:equalWidth="0" w:num="2">
            <w:col w:w="5240" w:space="720"/>
            <w:col w:w="5280"/>
          </w:cols>
          <w:pgMar w:left="320" w:top="131" w:right="339" w:bottom="1440" w:gutter="0" w:footer="0" w:header="0"/>
        </w:sectPr>
      </w:pPr>
    </w:p>
    <w:tbl>
      <w:tblPr>
        <w:tblLayout w:type="fixed"/>
        <w:tblInd w:w="1120" w:type="dxa"/>
        <w:tblCellMar>
          <w:top w:w="0" w:type="dxa"/>
          <w:left w:w="0" w:type="dxa"/>
          <w:bottom w:w="0" w:type="dxa"/>
          <w:right w:w="0" w:type="dxa"/>
        </w:tblCellMar>
      </w:tblPr>
      <w:tr>
        <w:trPr>
          <w:trHeight w:val="215"/>
        </w:trPr>
        <w:tc>
          <w:tcPr>
            <w:tcW w:w="1640" w:type="dxa"/>
            <w:vAlign w:val="bottom"/>
            <w:tcBorders>
              <w:top w:val="single" w:sz="8" w:color="02568A"/>
            </w:tcBorders>
          </w:tcPr>
          <w:p>
            <w:pPr>
              <w:spacing w:after="0"/>
              <w:rPr>
                <w:sz w:val="18"/>
                <w:szCs w:val="18"/>
                <w:color w:val="auto"/>
              </w:rPr>
            </w:pPr>
          </w:p>
        </w:tc>
        <w:tc>
          <w:tcPr>
            <w:tcW w:w="960" w:type="dxa"/>
            <w:vAlign w:val="bottom"/>
            <w:tcBorders>
              <w:top w:val="single" w:sz="8" w:color="02568A"/>
            </w:tcBorders>
          </w:tcPr>
          <w:p>
            <w:pPr>
              <w:ind w:left="240"/>
              <w:spacing w:after="0"/>
              <w:rPr>
                <w:sz w:val="20"/>
                <w:szCs w:val="20"/>
                <w:color w:val="auto"/>
              </w:rPr>
            </w:pPr>
            <w:r>
              <w:rPr>
                <w:rFonts w:ascii="Arial" w:cs="Arial" w:eastAsia="Arial" w:hAnsi="Arial"/>
                <w:sz w:val="18"/>
                <w:szCs w:val="18"/>
                <w:b w:val="1"/>
                <w:bCs w:val="1"/>
                <w:color w:val="02568A"/>
              </w:rPr>
              <w:t>Grant</w:t>
            </w:r>
          </w:p>
        </w:tc>
        <w:tc>
          <w:tcPr>
            <w:tcW w:w="2360" w:type="dxa"/>
            <w:vAlign w:val="bottom"/>
            <w:tcBorders>
              <w:top w:val="single" w:sz="8" w:color="02568A"/>
            </w:tcBorders>
          </w:tcPr>
          <w:p>
            <w:pPr>
              <w:spacing w:after="0"/>
              <w:rPr>
                <w:sz w:val="18"/>
                <w:szCs w:val="18"/>
                <w:color w:val="auto"/>
              </w:rPr>
            </w:pPr>
          </w:p>
        </w:tc>
        <w:tc>
          <w:tcPr>
            <w:tcW w:w="1200" w:type="dxa"/>
            <w:vAlign w:val="bottom"/>
            <w:tcBorders>
              <w:top w:val="single" w:sz="8" w:color="02568A"/>
            </w:tcBorders>
          </w:tcPr>
          <w:p>
            <w:pPr>
              <w:jc w:val="center"/>
              <w:spacing w:after="0"/>
              <w:rPr>
                <w:sz w:val="20"/>
                <w:szCs w:val="20"/>
                <w:color w:val="auto"/>
              </w:rPr>
            </w:pPr>
            <w:r>
              <w:rPr>
                <w:rFonts w:ascii="Arial" w:cs="Arial" w:eastAsia="Arial" w:hAnsi="Arial"/>
                <w:sz w:val="18"/>
                <w:szCs w:val="18"/>
                <w:b w:val="1"/>
                <w:bCs w:val="1"/>
                <w:color w:val="02568A"/>
                <w:w w:val="87"/>
              </w:rPr>
              <w:t>Performance</w:t>
            </w:r>
          </w:p>
        </w:tc>
        <w:tc>
          <w:tcPr>
            <w:tcW w:w="2940" w:type="dxa"/>
            <w:vAlign w:val="bottom"/>
            <w:tcBorders>
              <w:top w:val="single" w:sz="8" w:color="02568A"/>
            </w:tcBorders>
          </w:tcPr>
          <w:p>
            <w:pPr>
              <w:spacing w:after="0"/>
              <w:rPr>
                <w:sz w:val="18"/>
                <w:szCs w:val="18"/>
                <w:color w:val="auto"/>
              </w:rPr>
            </w:pPr>
          </w:p>
        </w:tc>
      </w:tr>
      <w:tr>
        <w:trPr>
          <w:trHeight w:val="229"/>
        </w:trPr>
        <w:tc>
          <w:tcPr>
            <w:tcW w:w="1640" w:type="dxa"/>
            <w:vAlign w:val="bottom"/>
            <w:tcBorders>
              <w:bottom w:val="single" w:sz="8" w:color="02568A"/>
            </w:tcBorders>
          </w:tcPr>
          <w:p>
            <w:pPr>
              <w:jc w:val="center"/>
              <w:ind w:left="112"/>
              <w:spacing w:after="0"/>
              <w:rPr>
                <w:sz w:val="20"/>
                <w:szCs w:val="20"/>
                <w:color w:val="auto"/>
              </w:rPr>
            </w:pPr>
            <w:r>
              <w:rPr>
                <w:rFonts w:ascii="Arial" w:cs="Arial" w:eastAsia="Arial" w:hAnsi="Arial"/>
                <w:sz w:val="18"/>
                <w:szCs w:val="18"/>
                <w:b w:val="1"/>
                <w:bCs w:val="1"/>
                <w:color w:val="02568A"/>
                <w:w w:val="87"/>
              </w:rPr>
              <w:t>PSA Fiscal Year</w:t>
            </w:r>
          </w:p>
        </w:tc>
        <w:tc>
          <w:tcPr>
            <w:tcW w:w="960" w:type="dxa"/>
            <w:vAlign w:val="bottom"/>
            <w:tcBorders>
              <w:bottom w:val="single" w:sz="8" w:color="02568A"/>
            </w:tcBorders>
          </w:tcPr>
          <w:p>
            <w:pPr>
              <w:ind w:left="300"/>
              <w:spacing w:after="0"/>
              <w:rPr>
                <w:sz w:val="20"/>
                <w:szCs w:val="20"/>
                <w:color w:val="auto"/>
              </w:rPr>
            </w:pPr>
            <w:r>
              <w:rPr>
                <w:rFonts w:ascii="Arial" w:cs="Arial" w:eastAsia="Arial" w:hAnsi="Arial"/>
                <w:sz w:val="18"/>
                <w:szCs w:val="18"/>
                <w:b w:val="1"/>
                <w:bCs w:val="1"/>
                <w:color w:val="02568A"/>
              </w:rPr>
              <w:t>Date</w:t>
            </w:r>
          </w:p>
        </w:tc>
        <w:tc>
          <w:tcPr>
            <w:tcW w:w="236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90"/>
              </w:rPr>
              <w:t>Performance Metric</w:t>
            </w:r>
          </w:p>
        </w:tc>
        <w:tc>
          <w:tcPr>
            <w:tcW w:w="120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85"/>
              </w:rPr>
              <w:t>Period</w:t>
            </w:r>
          </w:p>
        </w:tc>
        <w:tc>
          <w:tcPr>
            <w:tcW w:w="2940" w:type="dxa"/>
            <w:vAlign w:val="bottom"/>
            <w:tcBorders>
              <w:bottom w:val="single" w:sz="8" w:color="02568A"/>
            </w:tcBorders>
          </w:tcPr>
          <w:p>
            <w:pPr>
              <w:jc w:val="center"/>
              <w:ind w:right="152"/>
              <w:spacing w:after="0"/>
              <w:rPr>
                <w:sz w:val="20"/>
                <w:szCs w:val="20"/>
                <w:color w:val="auto"/>
              </w:rPr>
            </w:pPr>
            <w:r>
              <w:rPr>
                <w:rFonts w:ascii="Arial" w:cs="Arial" w:eastAsia="Arial" w:hAnsi="Arial"/>
                <w:sz w:val="18"/>
                <w:szCs w:val="18"/>
                <w:b w:val="1"/>
                <w:bCs w:val="1"/>
                <w:color w:val="02568A"/>
                <w:w w:val="89"/>
              </w:rPr>
              <w:t>Achieved (% of Target)</w:t>
            </w:r>
          </w:p>
        </w:tc>
      </w:tr>
      <w:tr>
        <w:trPr>
          <w:trHeight w:val="211"/>
        </w:trPr>
        <w:tc>
          <w:tcPr>
            <w:tcW w:w="1640" w:type="dxa"/>
            <w:vAlign w:val="bottom"/>
            <w:tcBorders>
              <w:bottom w:val="single" w:sz="8" w:color="D1D2D4"/>
            </w:tcBorders>
            <w:shd w:val="clear" w:color="auto" w:fill="CED8EA"/>
          </w:tcPr>
          <w:p>
            <w:pPr>
              <w:jc w:val="center"/>
              <w:ind w:left="112"/>
              <w:spacing w:after="0"/>
              <w:rPr>
                <w:sz w:val="20"/>
                <w:szCs w:val="20"/>
                <w:color w:val="auto"/>
              </w:rPr>
            </w:pPr>
            <w:r>
              <w:rPr>
                <w:rFonts w:ascii="Arial" w:cs="Arial" w:eastAsia="Arial" w:hAnsi="Arial"/>
                <w:sz w:val="18"/>
                <w:szCs w:val="18"/>
                <w:b w:val="1"/>
                <w:bCs w:val="1"/>
                <w:color w:val="02568A"/>
                <w:w w:val="92"/>
              </w:rPr>
              <w:t>FY18</w:t>
            </w:r>
          </w:p>
        </w:tc>
        <w:tc>
          <w:tcPr>
            <w:tcW w:w="960" w:type="dxa"/>
            <w:vAlign w:val="bottom"/>
            <w:tcBorders>
              <w:bottom w:val="single" w:sz="8" w:color="D1D2D4"/>
            </w:tcBorders>
            <w:shd w:val="clear" w:color="auto" w:fill="CED8EA"/>
          </w:tcPr>
          <w:p>
            <w:pPr>
              <w:ind w:left="120"/>
              <w:spacing w:after="0"/>
              <w:rPr>
                <w:sz w:val="20"/>
                <w:szCs w:val="20"/>
                <w:color w:val="auto"/>
              </w:rPr>
            </w:pPr>
            <w:r>
              <w:rPr>
                <w:rFonts w:ascii="Arial" w:cs="Arial" w:eastAsia="Arial" w:hAnsi="Arial"/>
                <w:sz w:val="18"/>
                <w:szCs w:val="18"/>
                <w:color w:val="02568A"/>
              </w:rPr>
              <w:t>11/7/2017</w:t>
            </w:r>
          </w:p>
        </w:tc>
        <w:tc>
          <w:tcPr>
            <w:tcW w:w="2360" w:type="dxa"/>
            <w:vAlign w:val="bottom"/>
            <w:tcBorders>
              <w:bottom w:val="single" w:sz="8" w:color="D1D2D4"/>
            </w:tcBorders>
            <w:shd w:val="clear" w:color="auto" w:fill="CED8EA"/>
          </w:tcPr>
          <w:p>
            <w:pPr>
              <w:jc w:val="center"/>
              <w:spacing w:after="0"/>
              <w:rPr>
                <w:sz w:val="20"/>
                <w:szCs w:val="20"/>
                <w:color w:val="auto"/>
              </w:rPr>
            </w:pPr>
            <w:r>
              <w:rPr>
                <w:rFonts w:ascii="Arial" w:cs="Arial" w:eastAsia="Arial" w:hAnsi="Arial"/>
                <w:sz w:val="18"/>
                <w:szCs w:val="18"/>
                <w:color w:val="02568A"/>
                <w:w w:val="95"/>
              </w:rPr>
              <w:t>Non-GAAP EBITDA Growth</w:t>
            </w:r>
          </w:p>
        </w:tc>
        <w:tc>
          <w:tcPr>
            <w:tcW w:w="1200" w:type="dxa"/>
            <w:vAlign w:val="bottom"/>
            <w:tcBorders>
              <w:bottom w:val="single" w:sz="8" w:color="D1D2D4"/>
            </w:tcBorders>
            <w:shd w:val="clear" w:color="auto" w:fill="CED8EA"/>
          </w:tcPr>
          <w:p>
            <w:pPr>
              <w:jc w:val="center"/>
              <w:spacing w:after="0"/>
              <w:rPr>
                <w:sz w:val="20"/>
                <w:szCs w:val="20"/>
                <w:color w:val="auto"/>
              </w:rPr>
            </w:pPr>
            <w:r>
              <w:rPr>
                <w:rFonts w:ascii="Arial" w:cs="Arial" w:eastAsia="Arial" w:hAnsi="Arial"/>
                <w:sz w:val="18"/>
                <w:szCs w:val="18"/>
                <w:color w:val="02568A"/>
                <w:w w:val="92"/>
              </w:rPr>
              <w:t>FY18</w:t>
            </w:r>
          </w:p>
        </w:tc>
        <w:tc>
          <w:tcPr>
            <w:tcW w:w="2940" w:type="dxa"/>
            <w:vAlign w:val="bottom"/>
            <w:tcBorders>
              <w:bottom w:val="single" w:sz="8" w:color="D1D2D4"/>
            </w:tcBorders>
            <w:shd w:val="clear" w:color="auto" w:fill="CED8EA"/>
          </w:tcPr>
          <w:p>
            <w:pPr>
              <w:jc w:val="right"/>
              <w:ind w:right="1272"/>
              <w:spacing w:after="0"/>
              <w:rPr>
                <w:sz w:val="20"/>
                <w:szCs w:val="20"/>
                <w:color w:val="auto"/>
              </w:rPr>
            </w:pPr>
            <w:r>
              <w:rPr>
                <w:rFonts w:ascii="Arial" w:cs="Arial" w:eastAsia="Arial" w:hAnsi="Arial"/>
                <w:sz w:val="18"/>
                <w:szCs w:val="18"/>
                <w:color w:val="02568A"/>
              </w:rPr>
              <w:t>99.8%</w:t>
            </w:r>
          </w:p>
        </w:tc>
      </w:tr>
      <w:tr>
        <w:trPr>
          <w:trHeight w:val="222"/>
        </w:trPr>
        <w:tc>
          <w:tcPr>
            <w:tcW w:w="1640" w:type="dxa"/>
            <w:vAlign w:val="bottom"/>
          </w:tcPr>
          <w:p>
            <w:pPr>
              <w:jc w:val="center"/>
              <w:ind w:left="112"/>
              <w:spacing w:after="0"/>
              <w:rPr>
                <w:sz w:val="20"/>
                <w:szCs w:val="20"/>
                <w:color w:val="auto"/>
              </w:rPr>
            </w:pPr>
            <w:r>
              <w:rPr>
                <w:rFonts w:ascii="Arial" w:cs="Arial" w:eastAsia="Arial" w:hAnsi="Arial"/>
                <w:sz w:val="18"/>
                <w:szCs w:val="18"/>
                <w:b w:val="1"/>
                <w:bCs w:val="1"/>
                <w:color w:val="02568A"/>
                <w:w w:val="92"/>
              </w:rPr>
              <w:t>FY18</w:t>
            </w:r>
          </w:p>
        </w:tc>
        <w:tc>
          <w:tcPr>
            <w:tcW w:w="3320" w:type="dxa"/>
            <w:vAlign w:val="bottom"/>
            <w:gridSpan w:val="2"/>
          </w:tcPr>
          <w:p>
            <w:pPr>
              <w:ind w:left="120"/>
              <w:spacing w:after="0"/>
              <w:rPr>
                <w:sz w:val="20"/>
                <w:szCs w:val="20"/>
                <w:color w:val="auto"/>
              </w:rPr>
            </w:pPr>
            <w:r>
              <w:rPr>
                <w:rFonts w:ascii="Arial" w:cs="Arial" w:eastAsia="Arial" w:hAnsi="Arial"/>
                <w:sz w:val="18"/>
                <w:szCs w:val="18"/>
                <w:color w:val="02568A"/>
                <w:w w:val="92"/>
              </w:rPr>
              <w:t>11/7/2017   3-year TSR Percentile Ranking</w:t>
            </w:r>
          </w:p>
        </w:tc>
        <w:tc>
          <w:tcPr>
            <w:tcW w:w="1200" w:type="dxa"/>
            <w:vAlign w:val="bottom"/>
          </w:tcPr>
          <w:p>
            <w:pPr>
              <w:jc w:val="center"/>
              <w:spacing w:after="0"/>
              <w:rPr>
                <w:sz w:val="20"/>
                <w:szCs w:val="20"/>
                <w:color w:val="auto"/>
              </w:rPr>
            </w:pPr>
            <w:r>
              <w:rPr>
                <w:rFonts w:ascii="Arial" w:cs="Arial" w:eastAsia="Arial" w:hAnsi="Arial"/>
                <w:sz w:val="18"/>
                <w:szCs w:val="18"/>
                <w:color w:val="02568A"/>
                <w:w w:val="91"/>
              </w:rPr>
              <w:t>FY18–FY20</w:t>
            </w:r>
          </w:p>
        </w:tc>
        <w:tc>
          <w:tcPr>
            <w:tcW w:w="2940" w:type="dxa"/>
            <w:vAlign w:val="bottom"/>
          </w:tcPr>
          <w:p>
            <w:pPr>
              <w:jc w:val="center"/>
              <w:ind w:right="152"/>
              <w:spacing w:after="0"/>
              <w:rPr>
                <w:sz w:val="20"/>
                <w:szCs w:val="20"/>
                <w:color w:val="auto"/>
              </w:rPr>
            </w:pPr>
            <w:r>
              <w:rPr>
                <w:rFonts w:ascii="Arial" w:cs="Arial" w:eastAsia="Arial" w:hAnsi="Arial"/>
                <w:sz w:val="18"/>
                <w:szCs w:val="18"/>
                <w:color w:val="02568A"/>
                <w:w w:val="87"/>
              </w:rPr>
              <w:t>Performance Period in Progress(1)</w:t>
            </w:r>
          </w:p>
        </w:tc>
      </w:tr>
      <w:tr>
        <w:trPr>
          <w:trHeight w:val="204"/>
        </w:trPr>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216"/>
        </w:trPr>
        <w:tc>
          <w:tcPr>
            <w:tcW w:w="1640" w:type="dxa"/>
            <w:vAlign w:val="bottom"/>
            <w:tcBorders>
              <w:bottom w:val="single" w:sz="8" w:color="D1D2D4"/>
            </w:tcBorders>
            <w:shd w:val="clear" w:color="auto" w:fill="CED8EA"/>
          </w:tcPr>
          <w:p>
            <w:pPr>
              <w:jc w:val="center"/>
              <w:ind w:left="112"/>
              <w:spacing w:after="0"/>
              <w:rPr>
                <w:sz w:val="20"/>
                <w:szCs w:val="20"/>
                <w:color w:val="auto"/>
              </w:rPr>
            </w:pPr>
            <w:r>
              <w:rPr>
                <w:rFonts w:ascii="Arial" w:cs="Arial" w:eastAsia="Arial" w:hAnsi="Arial"/>
                <w:sz w:val="18"/>
                <w:szCs w:val="18"/>
                <w:b w:val="1"/>
                <w:bCs w:val="1"/>
                <w:color w:val="02568A"/>
                <w:w w:val="92"/>
              </w:rPr>
              <w:t>FY19</w:t>
            </w:r>
          </w:p>
        </w:tc>
        <w:tc>
          <w:tcPr>
            <w:tcW w:w="960" w:type="dxa"/>
            <w:vAlign w:val="bottom"/>
            <w:tcBorders>
              <w:bottom w:val="single" w:sz="8" w:color="D1D2D4"/>
            </w:tcBorders>
            <w:shd w:val="clear" w:color="auto" w:fill="CED8EA"/>
          </w:tcPr>
          <w:p>
            <w:pPr>
              <w:ind w:left="120"/>
              <w:spacing w:after="0"/>
              <w:rPr>
                <w:sz w:val="20"/>
                <w:szCs w:val="20"/>
                <w:color w:val="auto"/>
              </w:rPr>
            </w:pPr>
            <w:r>
              <w:rPr>
                <w:rFonts w:ascii="Arial" w:cs="Arial" w:eastAsia="Arial" w:hAnsi="Arial"/>
                <w:sz w:val="18"/>
                <w:szCs w:val="18"/>
                <w:color w:val="02568A"/>
              </w:rPr>
              <w:t>11/6/2018</w:t>
            </w:r>
          </w:p>
        </w:tc>
        <w:tc>
          <w:tcPr>
            <w:tcW w:w="2360" w:type="dxa"/>
            <w:vAlign w:val="bottom"/>
            <w:tcBorders>
              <w:bottom w:val="single" w:sz="8" w:color="D1D2D4"/>
            </w:tcBorders>
            <w:shd w:val="clear" w:color="auto" w:fill="CED8EA"/>
          </w:tcPr>
          <w:p>
            <w:pPr>
              <w:jc w:val="center"/>
              <w:spacing w:after="0"/>
              <w:rPr>
                <w:sz w:val="20"/>
                <w:szCs w:val="20"/>
                <w:color w:val="auto"/>
              </w:rPr>
            </w:pPr>
            <w:r>
              <w:rPr>
                <w:rFonts w:ascii="Arial" w:cs="Arial" w:eastAsia="Arial" w:hAnsi="Arial"/>
                <w:sz w:val="18"/>
                <w:szCs w:val="18"/>
                <w:color w:val="02568A"/>
                <w:w w:val="95"/>
              </w:rPr>
              <w:t>Non-GAAP EBITDA Growth</w:t>
            </w:r>
          </w:p>
        </w:tc>
        <w:tc>
          <w:tcPr>
            <w:tcW w:w="1200" w:type="dxa"/>
            <w:vAlign w:val="bottom"/>
            <w:tcBorders>
              <w:bottom w:val="single" w:sz="8" w:color="D1D2D4"/>
            </w:tcBorders>
            <w:shd w:val="clear" w:color="auto" w:fill="CED8EA"/>
          </w:tcPr>
          <w:p>
            <w:pPr>
              <w:jc w:val="center"/>
              <w:spacing w:after="0"/>
              <w:rPr>
                <w:sz w:val="20"/>
                <w:szCs w:val="20"/>
                <w:color w:val="auto"/>
              </w:rPr>
            </w:pPr>
            <w:r>
              <w:rPr>
                <w:rFonts w:ascii="Arial" w:cs="Arial" w:eastAsia="Arial" w:hAnsi="Arial"/>
                <w:sz w:val="18"/>
                <w:szCs w:val="18"/>
                <w:color w:val="02568A"/>
                <w:w w:val="92"/>
              </w:rPr>
              <w:t>FY19</w:t>
            </w:r>
          </w:p>
        </w:tc>
        <w:tc>
          <w:tcPr>
            <w:tcW w:w="2940" w:type="dxa"/>
            <w:vAlign w:val="bottom"/>
            <w:tcBorders>
              <w:bottom w:val="single" w:sz="8" w:color="D1D2D4"/>
            </w:tcBorders>
            <w:shd w:val="clear" w:color="auto" w:fill="CED8EA"/>
          </w:tcPr>
          <w:p>
            <w:pPr>
              <w:jc w:val="right"/>
              <w:ind w:right="1392"/>
              <w:spacing w:after="0"/>
              <w:rPr>
                <w:sz w:val="20"/>
                <w:szCs w:val="20"/>
                <w:color w:val="auto"/>
              </w:rPr>
            </w:pPr>
            <w:r>
              <w:rPr>
                <w:rFonts w:ascii="Arial" w:cs="Arial" w:eastAsia="Arial" w:hAnsi="Arial"/>
                <w:sz w:val="18"/>
                <w:szCs w:val="18"/>
                <w:color w:val="02568A"/>
              </w:rPr>
              <w:t>0%</w:t>
            </w:r>
          </w:p>
        </w:tc>
      </w:tr>
      <w:tr>
        <w:trPr>
          <w:trHeight w:val="209"/>
        </w:trPr>
        <w:tc>
          <w:tcPr>
            <w:tcW w:w="1640" w:type="dxa"/>
            <w:vAlign w:val="bottom"/>
            <w:tcBorders>
              <w:bottom w:val="single" w:sz="8" w:color="D1D2D4"/>
            </w:tcBorders>
          </w:tcPr>
          <w:p>
            <w:pPr>
              <w:jc w:val="center"/>
              <w:ind w:left="112"/>
              <w:spacing w:after="0"/>
              <w:rPr>
                <w:sz w:val="20"/>
                <w:szCs w:val="20"/>
                <w:color w:val="auto"/>
              </w:rPr>
            </w:pPr>
            <w:r>
              <w:rPr>
                <w:rFonts w:ascii="Arial" w:cs="Arial" w:eastAsia="Arial" w:hAnsi="Arial"/>
                <w:sz w:val="18"/>
                <w:szCs w:val="18"/>
                <w:b w:val="1"/>
                <w:bCs w:val="1"/>
                <w:color w:val="02568A"/>
                <w:w w:val="92"/>
              </w:rPr>
              <w:t>FY19</w:t>
            </w:r>
          </w:p>
        </w:tc>
        <w:tc>
          <w:tcPr>
            <w:tcW w:w="3320" w:type="dxa"/>
            <w:vAlign w:val="bottom"/>
            <w:tcBorders>
              <w:bottom w:val="single" w:sz="8" w:color="D1D2D4"/>
            </w:tcBorders>
            <w:gridSpan w:val="2"/>
          </w:tcPr>
          <w:p>
            <w:pPr>
              <w:ind w:left="120"/>
              <w:spacing w:after="0"/>
              <w:rPr>
                <w:sz w:val="20"/>
                <w:szCs w:val="20"/>
                <w:color w:val="auto"/>
              </w:rPr>
            </w:pPr>
            <w:r>
              <w:rPr>
                <w:rFonts w:ascii="Arial" w:cs="Arial" w:eastAsia="Arial" w:hAnsi="Arial"/>
                <w:sz w:val="18"/>
                <w:szCs w:val="18"/>
                <w:color w:val="02568A"/>
                <w:w w:val="92"/>
              </w:rPr>
              <w:t>11/6/2018   3-year TSR Percentile Ranking</w:t>
            </w:r>
          </w:p>
        </w:tc>
        <w:tc>
          <w:tcPr>
            <w:tcW w:w="1200" w:type="dxa"/>
            <w:vAlign w:val="bottom"/>
            <w:tcBorders>
              <w:bottom w:val="single" w:sz="8" w:color="D1D2D4"/>
            </w:tcBorders>
          </w:tcPr>
          <w:p>
            <w:pPr>
              <w:jc w:val="center"/>
              <w:spacing w:after="0"/>
              <w:rPr>
                <w:sz w:val="20"/>
                <w:szCs w:val="20"/>
                <w:color w:val="auto"/>
              </w:rPr>
            </w:pPr>
            <w:r>
              <w:rPr>
                <w:rFonts w:ascii="Arial" w:cs="Arial" w:eastAsia="Arial" w:hAnsi="Arial"/>
                <w:sz w:val="18"/>
                <w:szCs w:val="18"/>
                <w:color w:val="02568A"/>
                <w:w w:val="91"/>
              </w:rPr>
              <w:t>FY19–FY21</w:t>
            </w:r>
          </w:p>
        </w:tc>
        <w:tc>
          <w:tcPr>
            <w:tcW w:w="2940" w:type="dxa"/>
            <w:vAlign w:val="bottom"/>
            <w:tcBorders>
              <w:bottom w:val="single" w:sz="8" w:color="D1D2D4"/>
            </w:tcBorders>
          </w:tcPr>
          <w:p>
            <w:pPr>
              <w:jc w:val="center"/>
              <w:ind w:right="152"/>
              <w:spacing w:after="0"/>
              <w:rPr>
                <w:sz w:val="20"/>
                <w:szCs w:val="20"/>
                <w:color w:val="auto"/>
              </w:rPr>
            </w:pPr>
            <w:r>
              <w:rPr>
                <w:rFonts w:ascii="Arial" w:cs="Arial" w:eastAsia="Arial" w:hAnsi="Arial"/>
                <w:sz w:val="18"/>
                <w:szCs w:val="18"/>
                <w:color w:val="02568A"/>
                <w:w w:val="87"/>
              </w:rPr>
              <w:t>Performance Period in Progress(2)</w:t>
            </w:r>
          </w:p>
        </w:tc>
      </w:tr>
    </w:tbl>
    <w:p>
      <w:pPr>
        <w:spacing w:after="0" w:line="221" w:lineRule="exact"/>
        <w:rPr>
          <w:sz w:val="20"/>
          <w:szCs w:val="20"/>
          <w:color w:val="auto"/>
        </w:rPr>
      </w:pPr>
    </w:p>
    <w:p>
      <w:pPr>
        <w:ind w:left="1680" w:right="540" w:hanging="549"/>
        <w:spacing w:after="0" w:line="254" w:lineRule="auto"/>
        <w:tabs>
          <w:tab w:leader="none" w:pos="1680" w:val="left"/>
        </w:tabs>
        <w:numPr>
          <w:ilvl w:val="0"/>
          <w:numId w:val="46"/>
        </w:numPr>
        <w:rPr>
          <w:rFonts w:ascii="Arial" w:cs="Arial" w:eastAsia="Arial" w:hAnsi="Arial"/>
          <w:sz w:val="18"/>
          <w:szCs w:val="18"/>
          <w:color w:val="191919"/>
        </w:rPr>
      </w:pPr>
      <w:r>
        <w:rPr>
          <w:rFonts w:ascii="Arial" w:cs="Arial" w:eastAsia="Arial" w:hAnsi="Arial"/>
          <w:sz w:val="18"/>
          <w:szCs w:val="18"/>
          <w:color w:val="191919"/>
        </w:rPr>
        <w:t>As of March 12, 2020, performance under this metric during the applicable performance period is below the “threshold” level of performance.</w:t>
      </w:r>
    </w:p>
    <w:p>
      <w:pPr>
        <w:spacing w:after="0" w:line="20" w:lineRule="exact"/>
        <w:rPr>
          <w:rFonts w:ascii="Arial" w:cs="Arial" w:eastAsia="Arial" w:hAnsi="Arial"/>
          <w:sz w:val="18"/>
          <w:szCs w:val="18"/>
          <w:color w:val="191919"/>
        </w:rPr>
      </w:pPr>
    </w:p>
    <w:p>
      <w:pPr>
        <w:ind w:left="1680" w:right="240" w:hanging="549"/>
        <w:spacing w:after="0" w:line="268" w:lineRule="auto"/>
        <w:tabs>
          <w:tab w:leader="none" w:pos="1680" w:val="left"/>
        </w:tabs>
        <w:numPr>
          <w:ilvl w:val="0"/>
          <w:numId w:val="46"/>
        </w:numPr>
        <w:rPr>
          <w:rFonts w:ascii="Arial" w:cs="Arial" w:eastAsia="Arial" w:hAnsi="Arial"/>
          <w:sz w:val="18"/>
          <w:szCs w:val="18"/>
          <w:color w:val="191919"/>
        </w:rPr>
      </w:pPr>
      <w:r>
        <w:rPr>
          <w:rFonts w:ascii="Arial" w:cs="Arial" w:eastAsia="Arial" w:hAnsi="Arial"/>
          <w:sz w:val="18"/>
          <w:szCs w:val="18"/>
          <w:color w:val="191919"/>
        </w:rPr>
        <w:t>As of March 12, 2020, performance under this metric during the applicable performance period is slightly above the “target” level of performance.</w:t>
      </w:r>
    </w:p>
    <w:p>
      <w:pPr>
        <w:sectPr>
          <w:pgSz w:w="11900" w:h="16838" w:orient="portrait"/>
          <w:cols w:equalWidth="0" w:num="1">
            <w:col w:w="11240"/>
          </w:cols>
          <w:pgMar w:left="320" w:top="131" w:right="339" w:bottom="1440" w:gutter="0" w:footer="0" w:header="0"/>
          <w:type w:val="continuous"/>
        </w:sect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02568A"/>
        </w:rPr>
        <w:t>Other Compensation and Benefits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191919"/>
        </w:rPr>
        <w:t>We provide other benefits to our executive officers that are intended to be part of a competitive overall compensation program and are not tied to any company performance criteria. The Company offers medical, dental, vision, life, and disability insurance plans to executive officers under the same terms as such benefits are offered to other benefits-eligible employees. Executive officers are also permitted to participate in the Company’s 401(k) Savings and Investment Plan and Employee Stock Purchase Plan under the same terms as other benefits-eligible employees. The Company does not provide executive officers with any enhanced retirement benefits (i.e., executive officers are subject to the same limits on contributions as other employees, as the Company does not offer any supplemental executive retirement plan or other similar non-qualified deferred compensation plan), and they are eligible for 401(k) company-match contributions under the same terms as other employees.</w:t>
      </w:r>
    </w:p>
    <w:p>
      <w:pPr>
        <w:spacing w:after="0" w:line="18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191919"/>
        </w:rPr>
        <w:t>In previous years, the Company offered executives the opportunity to participate in financial planning</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line="288" w:lineRule="auto"/>
        <w:rPr>
          <w:sz w:val="20"/>
          <w:szCs w:val="20"/>
          <w:color w:val="auto"/>
        </w:rPr>
      </w:pPr>
      <w:r>
        <w:rPr>
          <w:rFonts w:ascii="Arial" w:cs="Arial" w:eastAsia="Arial" w:hAnsi="Arial"/>
          <w:sz w:val="16"/>
          <w:szCs w:val="16"/>
          <w:color w:val="191919"/>
        </w:rPr>
        <w:t>services through a third-party firm at a cost of up to approximately $19,000 per executive paid by the Company. The Compensation Committee replaced this benefit for fiscal year 2019 with a reimbursement program providing up to an aggregate of $20,000 to each executive for the purchase of financial planning services, estate planning services, personal tax planning and preparation services, and/or an executive physical. No tax gross-up was provided for such reimbursements. In fiscal year 2019, Messrs. Griffin, Sennesael, Gammel, and Terry received reimbursement in connection with such services.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02568A"/>
        </w:rPr>
        <w:t>International Assignment Agreement with Mr. Gammel</w:t>
      </w:r>
    </w:p>
    <w:p>
      <w:pPr>
        <w:spacing w:after="0" w:line="26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191919"/>
        </w:rPr>
        <w:t>In connection with his relocation to Japan, the Company and Mr. Gammel entered into an International Assignment Agreement (the “International Assignment Agreement”), pursuant to which Mr. Gammel received: (a) tax equalization payments, which were intended to leave Mr. Gammel in a net after-tax position substantially equivalent to what he would experience if he were subject only to</w:t>
      </w:r>
    </w:p>
    <w:p>
      <w:pPr>
        <w:spacing w:after="0" w:line="403" w:lineRule="exact"/>
        <w:rPr>
          <w:sz w:val="20"/>
          <w:szCs w:val="20"/>
          <w:color w:val="auto"/>
        </w:rPr>
      </w:pPr>
    </w:p>
    <w:p>
      <w:pPr>
        <w:sectPr>
          <w:pgSz w:w="11900" w:h="16838" w:orient="portrait"/>
          <w:cols w:equalWidth="0" w:num="2">
            <w:col w:w="5280" w:space="680"/>
            <w:col w:w="5280"/>
          </w:cols>
          <w:pgMar w:left="320" w:top="131" w:right="3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00001"/>
        </w:rPr>
        <w:t xml:space="preserve">Page 50 </w:t>
      </w:r>
      <w:r>
        <w:rPr>
          <w:rFonts w:ascii="Arial" w:cs="Arial" w:eastAsia="Arial" w:hAnsi="Arial"/>
          <w:sz w:val="15"/>
          <w:szCs w:val="15"/>
          <w:b w:val="1"/>
          <w:bCs w:val="1"/>
          <w:color w:val="000001"/>
        </w:rPr>
        <w:t>|</w:t>
      </w:r>
      <w:r>
        <w:rPr>
          <w:rFonts w:ascii="Arial" w:cs="Arial" w:eastAsia="Arial" w:hAnsi="Arial"/>
          <w:sz w:val="16"/>
          <w:szCs w:val="16"/>
          <w:b w:val="1"/>
          <w:bCs w:val="1"/>
          <w:color w:val="000001"/>
        </w:rPr>
        <w:t xml:space="preserve"> </w:t>
      </w:r>
      <w:r>
        <w:rPr>
          <w:rFonts w:ascii="Arial" w:cs="Arial" w:eastAsia="Arial" w:hAnsi="Arial"/>
          <w:sz w:val="16"/>
          <w:szCs w:val="16"/>
          <w:color w:val="000001"/>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713613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191919"/>
        </w:rPr>
        <w:t>U.S. federal and state income taxes during the period of the assignment,</w:t>
      </w:r>
    </w:p>
    <w:p>
      <w:pPr>
        <w:spacing w:after="0" w:line="38" w:lineRule="exact"/>
        <w:rPr>
          <w:sz w:val="20"/>
          <w:szCs w:val="20"/>
          <w:color w:val="auto"/>
        </w:rPr>
      </w:pPr>
    </w:p>
    <w:p>
      <w:pPr>
        <w:ind w:firstLine="8"/>
        <w:spacing w:after="0" w:line="300" w:lineRule="auto"/>
        <w:tabs>
          <w:tab w:leader="none" w:pos="249" w:val="left"/>
        </w:tabs>
        <w:numPr>
          <w:ilvl w:val="0"/>
          <w:numId w:val="47"/>
        </w:numPr>
        <w:rPr>
          <w:rFonts w:ascii="Arial" w:cs="Arial" w:eastAsia="Arial" w:hAnsi="Arial"/>
          <w:sz w:val="15"/>
          <w:szCs w:val="15"/>
          <w:color w:val="191919"/>
        </w:rPr>
      </w:pPr>
      <w:r>
        <w:rPr>
          <w:rFonts w:ascii="Arial" w:cs="Arial" w:eastAsia="Arial" w:hAnsi="Arial"/>
          <w:sz w:val="15"/>
          <w:szCs w:val="15"/>
          <w:color w:val="191919"/>
        </w:rPr>
        <w:t>payment of, or reimbursement for, certain costs related to his relocation to Japan, including moving expenses, a car allowance, housing costs in Japan, and travel costs to return periodically to the United States, and</w:t>
      </w:r>
    </w:p>
    <w:p>
      <w:pPr>
        <w:spacing w:after="0" w:line="1" w:lineRule="exact"/>
        <w:rPr>
          <w:rFonts w:ascii="Arial" w:cs="Arial" w:eastAsia="Arial" w:hAnsi="Arial"/>
          <w:sz w:val="15"/>
          <w:szCs w:val="15"/>
          <w:color w:val="191919"/>
        </w:rPr>
      </w:pPr>
    </w:p>
    <w:p>
      <w:pPr>
        <w:ind w:left="240" w:hanging="232"/>
        <w:spacing w:after="0"/>
        <w:tabs>
          <w:tab w:leader="none" w:pos="240" w:val="left"/>
        </w:tabs>
        <w:numPr>
          <w:ilvl w:val="0"/>
          <w:numId w:val="47"/>
        </w:numPr>
        <w:rPr>
          <w:rFonts w:ascii="Arial" w:cs="Arial" w:eastAsia="Arial" w:hAnsi="Arial"/>
          <w:sz w:val="16"/>
          <w:szCs w:val="16"/>
          <w:color w:val="191919"/>
        </w:rPr>
      </w:pPr>
      <w:r>
        <w:rPr>
          <w:rFonts w:ascii="Arial" w:cs="Arial" w:eastAsia="Arial" w:hAnsi="Arial"/>
          <w:sz w:val="16"/>
          <w:szCs w:val="16"/>
          <w:color w:val="191919"/>
        </w:rPr>
        <w:t>repatriation relocation benefits at the completion of his assignment.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Severance and Change-in-Control Benefits</w:t>
      </w: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6"/>
          <w:szCs w:val="16"/>
          <w:color w:val="191919"/>
        </w:rPr>
        <w:t>None of our executive officers, including the Named Executive Officers, has an employment agreement that provides a specific term of employment with the Company. Accordingly, the employment of any such employee may be terminated at any time. We do provide certain benefits to our Named Executive Officers upon certain qualifying terminations of employment and in connection with terminations of employment under certain circumstances following a change in control. A description of the material terms of our severance and change-in-control arrangements with the Named Executive Officers can be found immediately below and further below under “</w:t>
      </w:r>
      <w:r>
        <w:rPr>
          <w:rFonts w:ascii="Arial" w:cs="Arial" w:eastAsia="Arial" w:hAnsi="Arial"/>
          <w:sz w:val="16"/>
          <w:szCs w:val="16"/>
          <w:i w:val="1"/>
          <w:iCs w:val="1"/>
          <w:color w:val="191919"/>
        </w:rPr>
        <w:t>Potential Payments Upon Termination or Change in</w:t>
      </w:r>
      <w:r>
        <w:rPr>
          <w:rFonts w:ascii="Arial" w:cs="Arial" w:eastAsia="Arial" w:hAnsi="Arial"/>
          <w:sz w:val="16"/>
          <w:szCs w:val="16"/>
          <w:color w:val="191919"/>
        </w:rPr>
        <w:t xml:space="preserve"> </w:t>
      </w:r>
      <w:r>
        <w:rPr>
          <w:rFonts w:ascii="Arial" w:cs="Arial" w:eastAsia="Arial" w:hAnsi="Arial"/>
          <w:sz w:val="16"/>
          <w:szCs w:val="16"/>
          <w:i w:val="1"/>
          <w:iCs w:val="1"/>
          <w:color w:val="191919"/>
        </w:rPr>
        <w:t>Control.</w:t>
      </w:r>
      <w:r>
        <w:rPr>
          <w:rFonts w:ascii="Arial" w:cs="Arial" w:eastAsia="Arial" w:hAnsi="Arial"/>
          <w:sz w:val="16"/>
          <w:szCs w:val="16"/>
          <w:color w:val="191919"/>
        </w:rPr>
        <w:t>”</w:t>
      </w:r>
    </w:p>
    <w:p>
      <w:pPr>
        <w:spacing w:after="0" w:line="180" w:lineRule="exact"/>
        <w:rPr>
          <w:sz w:val="20"/>
          <w:szCs w:val="20"/>
          <w:color w:val="auto"/>
        </w:rPr>
      </w:pPr>
    </w:p>
    <w:p>
      <w:pPr>
        <w:spacing w:after="0" w:line="285" w:lineRule="auto"/>
        <w:rPr>
          <w:sz w:val="20"/>
          <w:szCs w:val="20"/>
          <w:color w:val="auto"/>
        </w:rPr>
      </w:pPr>
      <w:r>
        <w:rPr>
          <w:rFonts w:ascii="Arial" w:cs="Arial" w:eastAsia="Arial" w:hAnsi="Arial"/>
          <w:sz w:val="16"/>
          <w:szCs w:val="16"/>
          <w:color w:val="191919"/>
        </w:rPr>
        <w:t>The Compensation Committee believes that severance protections can play a valuable role in recruiting and retaining superior talent. Severance and other termination benefits are an effective way to offer executives financial security to incent them to forego an opportunity with another company. These agreements also protect the Company as the Named Executive Officers are bound by non-compete and/or non-solicit covenants for up to two years after termination of employment. Outside of the change-in-control context, each Named Executive Officer is entitled to severance benefits if his employment is involuntarily terminated by the Company without cause and, in the case of the Chief Executive Officer, if he terminates his own employment for good reason (as defined in the Chief Executive Officer’s change-in-control agreement). The level of each Named Executive Officer’s cash severance or other termination benefit is generally tied to his annual base salary and short-term incentive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84" w:lineRule="auto"/>
        <w:rPr>
          <w:sz w:val="20"/>
          <w:szCs w:val="20"/>
          <w:color w:val="auto"/>
        </w:rPr>
      </w:pPr>
      <w:r>
        <w:rPr>
          <w:rFonts w:ascii="Arial" w:cs="Arial" w:eastAsia="Arial" w:hAnsi="Arial"/>
          <w:sz w:val="16"/>
          <w:szCs w:val="16"/>
          <w:color w:val="191919"/>
        </w:rPr>
        <w:t>Additionally, each Named Executive Officer would receive enhanced severance benefits and accelerated vesting of equity awards if his employment were terminated under certain circumstances in connection with a change in control of the Company. These benefits are described in detail further below under “</w:t>
      </w:r>
      <w:r>
        <w:rPr>
          <w:rFonts w:ascii="Arial" w:cs="Arial" w:eastAsia="Arial" w:hAnsi="Arial"/>
          <w:sz w:val="16"/>
          <w:szCs w:val="16"/>
          <w:i w:val="1"/>
          <w:iCs w:val="1"/>
          <w:color w:val="191919"/>
        </w:rPr>
        <w:t>Potential Payments Upon Termination or</w:t>
      </w:r>
      <w:r>
        <w:rPr>
          <w:rFonts w:ascii="Arial" w:cs="Arial" w:eastAsia="Arial" w:hAnsi="Arial"/>
          <w:sz w:val="16"/>
          <w:szCs w:val="16"/>
          <w:color w:val="191919"/>
        </w:rPr>
        <w:t xml:space="preserve"> </w:t>
      </w:r>
      <w:r>
        <w:rPr>
          <w:rFonts w:ascii="Arial" w:cs="Arial" w:eastAsia="Arial" w:hAnsi="Arial"/>
          <w:sz w:val="16"/>
          <w:szCs w:val="16"/>
          <w:i w:val="1"/>
          <w:iCs w:val="1"/>
          <w:color w:val="191919"/>
        </w:rPr>
        <w:t>Change in Control.</w:t>
      </w:r>
      <w:r>
        <w:rPr>
          <w:rFonts w:ascii="Arial" w:cs="Arial" w:eastAsia="Arial" w:hAnsi="Arial"/>
          <w:sz w:val="16"/>
          <w:szCs w:val="16"/>
          <w:color w:val="191919"/>
        </w:rPr>
        <w:t>” The Compensation Committee believes these</w:t>
      </w:r>
      <w:r>
        <w:rPr>
          <w:rFonts w:ascii="Arial" w:cs="Arial" w:eastAsia="Arial" w:hAnsi="Arial"/>
          <w:sz w:val="16"/>
          <w:szCs w:val="16"/>
          <w:i w:val="1"/>
          <w:iCs w:val="1"/>
          <w:color w:val="191919"/>
        </w:rPr>
        <w:t xml:space="preserve"> </w:t>
      </w:r>
      <w:r>
        <w:rPr>
          <w:rFonts w:ascii="Arial" w:cs="Arial" w:eastAsia="Arial" w:hAnsi="Arial"/>
          <w:sz w:val="16"/>
          <w:szCs w:val="16"/>
          <w:color w:val="191919"/>
        </w:rPr>
        <w:t>enhanced severance benefits and accelerated vesting are appropriate because the occurrence, or potential occurrence, of a change-in-control transaction would likely create uncertainty regarding the continued employment of executive officers that typically occurs in a change-in-control context, and such severance benefits and accelerated vesting encourage the Named Executive Officers to remain employed with the Company through the change-in-control process and to focus on enhancing stockholder value both before and during the process. In addition, the vesting protection helps assure the Named Executive Officers that they will not lose the expected value of their equity awards because of a change in control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Executive Officer Stock Ownership Requirements</w:t>
      </w:r>
    </w:p>
    <w:p>
      <w:pPr>
        <w:spacing w:after="0" w:line="219" w:lineRule="exact"/>
        <w:rPr>
          <w:sz w:val="20"/>
          <w:szCs w:val="20"/>
          <w:color w:val="auto"/>
        </w:rPr>
      </w:pPr>
    </w:p>
    <w:p>
      <w:pPr>
        <w:spacing w:after="0" w:line="301" w:lineRule="auto"/>
        <w:rPr>
          <w:sz w:val="20"/>
          <w:szCs w:val="20"/>
          <w:color w:val="auto"/>
        </w:rPr>
      </w:pPr>
      <w:r>
        <w:rPr>
          <w:rFonts w:ascii="Arial" w:cs="Arial" w:eastAsia="Arial" w:hAnsi="Arial"/>
          <w:sz w:val="15"/>
          <w:szCs w:val="15"/>
          <w:color w:val="191919"/>
        </w:rPr>
        <w:t xml:space="preserve">We have adopted Executive Stock Ownership guidelines with the objective of more closely aligning the interests of our executive officers with those of our stockholders. Under the Executive Officer Ownership guidelines, our Chief Executive Officer is required to hold the </w:t>
      </w:r>
      <w:r>
        <w:rPr>
          <w:rFonts w:ascii="Arial" w:cs="Arial" w:eastAsia="Arial" w:hAnsi="Arial"/>
          <w:sz w:val="15"/>
          <w:szCs w:val="15"/>
          <w:i w:val="1"/>
          <w:iCs w:val="1"/>
          <w:color w:val="191919"/>
        </w:rPr>
        <w:t>lower</w:t>
      </w:r>
      <w:r>
        <w:rPr>
          <w:rFonts w:ascii="Arial" w:cs="Arial" w:eastAsia="Arial" w:hAnsi="Arial"/>
          <w:sz w:val="15"/>
          <w:szCs w:val="15"/>
          <w:color w:val="191919"/>
        </w:rPr>
        <w:t xml:space="preserve"> of (a) the number of shares with a fair market value equal to six (6) times such executive’s current base salary, or (b) 147,000 shares; and our Senior Vice President and Chief Financial Officer, our Senior Vice President, Sales and Marketing, and our Senior Vice President and General Counsel are each required to hold the </w:t>
      </w:r>
      <w:r>
        <w:rPr>
          <w:rFonts w:ascii="Arial" w:cs="Arial" w:eastAsia="Arial" w:hAnsi="Arial"/>
          <w:sz w:val="15"/>
          <w:szCs w:val="15"/>
          <w:i w:val="1"/>
          <w:iCs w:val="1"/>
          <w:color w:val="191919"/>
        </w:rPr>
        <w:t>lower</w:t>
      </w:r>
      <w:r>
        <w:rPr>
          <w:rFonts w:ascii="Arial" w:cs="Arial" w:eastAsia="Arial" w:hAnsi="Arial"/>
          <w:sz w:val="15"/>
          <w:szCs w:val="15"/>
          <w:color w:val="191919"/>
        </w:rPr>
        <w:t xml:space="preserve"> of (a) the number of shares with a fair market</w:t>
      </w:r>
    </w:p>
    <w:p>
      <w:pPr>
        <w:spacing w:after="0" w:line="3" w:lineRule="exact"/>
        <w:rPr>
          <w:sz w:val="20"/>
          <w:szCs w:val="20"/>
          <w:color w:val="auto"/>
        </w:rPr>
      </w:pPr>
    </w:p>
    <w:p>
      <w:pPr>
        <w:ind w:right="100"/>
        <w:spacing w:after="0" w:line="286" w:lineRule="auto"/>
        <w:rPr>
          <w:sz w:val="20"/>
          <w:szCs w:val="20"/>
          <w:color w:val="auto"/>
        </w:rPr>
      </w:pPr>
      <w:r>
        <w:rPr>
          <w:rFonts w:ascii="Arial" w:cs="Arial" w:eastAsia="Arial" w:hAnsi="Arial"/>
          <w:sz w:val="15"/>
          <w:szCs w:val="15"/>
          <w:color w:val="191919"/>
        </w:rPr>
        <w:t>value equal to two and one-half (2</w:t>
      </w:r>
      <w:r>
        <w:rPr>
          <w:rFonts w:ascii="Arial" w:cs="Arial" w:eastAsia="Arial" w:hAnsi="Arial"/>
          <w:sz w:val="24"/>
          <w:szCs w:val="24"/>
          <w:color w:val="191919"/>
          <w:vertAlign w:val="superscript"/>
        </w:rPr>
        <w:t>1</w:t>
      </w:r>
      <w:r>
        <w:rPr>
          <w:rFonts w:ascii="Arial" w:cs="Arial" w:eastAsia="Arial" w:hAnsi="Arial"/>
          <w:sz w:val="15"/>
          <w:szCs w:val="15"/>
          <w:color w:val="191919"/>
        </w:rPr>
        <w:t>/</w:t>
      </w:r>
      <w:r>
        <w:rPr>
          <w:rFonts w:ascii="Arial" w:cs="Arial" w:eastAsia="Arial" w:hAnsi="Arial"/>
          <w:sz w:val="12"/>
          <w:szCs w:val="12"/>
          <w:color w:val="191919"/>
        </w:rPr>
        <w:t>2</w:t>
      </w:r>
      <w:r>
        <w:rPr>
          <w:rFonts w:ascii="Arial" w:cs="Arial" w:eastAsia="Arial" w:hAnsi="Arial"/>
          <w:sz w:val="15"/>
          <w:szCs w:val="15"/>
          <w:color w:val="191919"/>
        </w:rPr>
        <w:t>) times such executive’s current base salary, or (b) 31,300, 26,900 or 27,900 shares, respectively. For purposes of the Executive Stock Ownership guidelines, the fair market value of the Company’s common stock is the average closing price per share of the Company’s common stock as reported on the Nasdaq Global</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149860</wp:posOffset>
            </wp:positionV>
            <wp:extent cx="713613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80" w:space="680"/>
            <w:col w:w="5280"/>
          </w:cols>
          <w:pgMar w:left="320" w:top="131"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191919"/>
        </w:rPr>
        <w:t>Select Market (or if the common stock is not then traded on such market, such other market on which the common stock is traded) for the twelve</w:t>
      </w:r>
    </w:p>
    <w:p>
      <w:pPr>
        <w:spacing w:after="0" w:line="1" w:lineRule="exact"/>
        <w:rPr>
          <w:sz w:val="20"/>
          <w:szCs w:val="20"/>
          <w:color w:val="auto"/>
        </w:rPr>
      </w:pPr>
    </w:p>
    <w:p>
      <w:pPr>
        <w:ind w:right="140" w:firstLine="8"/>
        <w:spacing w:after="0" w:line="302" w:lineRule="auto"/>
        <w:tabs>
          <w:tab w:leader="none" w:pos="336" w:val="left"/>
        </w:tabs>
        <w:numPr>
          <w:ilvl w:val="0"/>
          <w:numId w:val="48"/>
        </w:numPr>
        <w:rPr>
          <w:rFonts w:ascii="Arial" w:cs="Arial" w:eastAsia="Arial" w:hAnsi="Arial"/>
          <w:sz w:val="16"/>
          <w:szCs w:val="16"/>
          <w:color w:val="191919"/>
        </w:rPr>
      </w:pPr>
      <w:r>
        <w:rPr>
          <w:rFonts w:ascii="Arial" w:cs="Arial" w:eastAsia="Arial" w:hAnsi="Arial"/>
          <w:sz w:val="16"/>
          <w:szCs w:val="16"/>
          <w:color w:val="191919"/>
        </w:rPr>
        <w:t>month period ending with the determination date. All of our Named Executive Officers who remain employed by the Company are in compliance with the stock ownership guidelines as of the date hereof.</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000001"/>
        </w:rPr>
        <w:t>Prohibition on Hedging and Certain Other Transactions</w:t>
      </w:r>
    </w:p>
    <w:p>
      <w:pPr>
        <w:spacing w:after="0" w:line="254" w:lineRule="exact"/>
        <w:rPr>
          <w:sz w:val="20"/>
          <w:szCs w:val="20"/>
          <w:color w:val="auto"/>
        </w:rPr>
      </w:pPr>
    </w:p>
    <w:p>
      <w:pPr>
        <w:ind w:right="600"/>
        <w:spacing w:after="0" w:line="306" w:lineRule="auto"/>
        <w:rPr>
          <w:sz w:val="20"/>
          <w:szCs w:val="20"/>
          <w:color w:val="auto"/>
        </w:rPr>
      </w:pPr>
      <w:r>
        <w:rPr>
          <w:rFonts w:ascii="Arial" w:cs="Arial" w:eastAsia="Arial" w:hAnsi="Arial"/>
          <w:sz w:val="16"/>
          <w:szCs w:val="16"/>
          <w:color w:val="191919"/>
        </w:rPr>
        <w:t>We prohibit our directors, officers, and employees (or any of their designees) from directly or indirectly engaging in the following transactions with respect to securities of the Company:</w:t>
      </w:r>
    </w:p>
    <w:p>
      <w:pPr>
        <w:spacing w:after="0" w:line="174"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8"/>
          <w:szCs w:val="18"/>
          <w:color w:val="191919"/>
        </w:rPr>
      </w:pPr>
      <w:r>
        <w:rPr>
          <w:rFonts w:ascii="Arial" w:cs="Arial" w:eastAsia="Arial" w:hAnsi="Arial"/>
          <w:sz w:val="18"/>
          <w:szCs w:val="18"/>
          <w:color w:val="191919"/>
        </w:rPr>
        <w:t>selling short, including short sales “against the box”;</w:t>
      </w:r>
    </w:p>
    <w:p>
      <w:pPr>
        <w:spacing w:after="0" w:line="36" w:lineRule="exact"/>
        <w:rPr>
          <w:rFonts w:ascii="Arial" w:cs="Arial" w:eastAsia="Arial" w:hAnsi="Arial"/>
          <w:sz w:val="18"/>
          <w:szCs w:val="18"/>
          <w:color w:val="191919"/>
        </w:rPr>
      </w:pPr>
    </w:p>
    <w:p>
      <w:pPr>
        <w:ind w:left="540" w:hanging="532"/>
        <w:spacing w:after="0"/>
        <w:tabs>
          <w:tab w:leader="none" w:pos="540" w:val="left"/>
        </w:tabs>
        <w:numPr>
          <w:ilvl w:val="0"/>
          <w:numId w:val="49"/>
        </w:numPr>
        <w:rPr>
          <w:rFonts w:ascii="Arial" w:cs="Arial" w:eastAsia="Arial" w:hAnsi="Arial"/>
          <w:sz w:val="18"/>
          <w:szCs w:val="18"/>
          <w:color w:val="191919"/>
        </w:rPr>
      </w:pPr>
      <w:r>
        <w:rPr>
          <w:rFonts w:ascii="Arial" w:cs="Arial" w:eastAsia="Arial" w:hAnsi="Arial"/>
          <w:sz w:val="18"/>
          <w:szCs w:val="18"/>
          <w:color w:val="191919"/>
        </w:rPr>
        <w:t>buying or selling put or call options; or</w:t>
      </w:r>
    </w:p>
    <w:p>
      <w:pPr>
        <w:spacing w:after="0" w:line="22" w:lineRule="exact"/>
        <w:rPr>
          <w:rFonts w:ascii="Arial" w:cs="Arial" w:eastAsia="Arial" w:hAnsi="Arial"/>
          <w:sz w:val="18"/>
          <w:szCs w:val="18"/>
          <w:color w:val="191919"/>
        </w:rPr>
      </w:pPr>
    </w:p>
    <w:p>
      <w:pPr>
        <w:ind w:left="540" w:right="140" w:hanging="532"/>
        <w:spacing w:after="0" w:line="290" w:lineRule="auto"/>
        <w:tabs>
          <w:tab w:leader="none" w:pos="540" w:val="left"/>
        </w:tabs>
        <w:numPr>
          <w:ilvl w:val="0"/>
          <w:numId w:val="49"/>
        </w:numPr>
        <w:rPr>
          <w:rFonts w:ascii="Arial" w:cs="Arial" w:eastAsia="Arial" w:hAnsi="Arial"/>
          <w:sz w:val="16"/>
          <w:szCs w:val="16"/>
          <w:color w:val="191919"/>
        </w:rPr>
      </w:pPr>
      <w:r>
        <w:rPr>
          <w:rFonts w:ascii="Arial" w:cs="Arial" w:eastAsia="Arial" w:hAnsi="Arial"/>
          <w:sz w:val="16"/>
          <w:szCs w:val="16"/>
          <w:color w:val="191919"/>
        </w:rPr>
        <w:t>purchasing financial instruments (including prepaid variable forward contracts, equity swaps, collars, and exchange funds), or otherwise engaging in transactions, that hedge or offset, or are designed to hedge or offset, any decrease in the market value of securities of the Company, whether through the use of traded securities, privately negotiated derivative securities or synthetic financial instruments.</w:t>
      </w:r>
    </w:p>
    <w:p>
      <w:pPr>
        <w:spacing w:after="0" w:line="17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191919"/>
        </w:rPr>
        <w:t>In addition, we prohibit our directors, officers, and employees from purchasing Company securities on margin, borrowing against Company securities held in a margin account, or pledging Company securities as collateral for a loan.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52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000001"/>
        </w:rPr>
        <w:t>Compliance with Internal Revenue Code Section 162(m)</w:t>
      </w:r>
    </w:p>
    <w:p>
      <w:pPr>
        <w:spacing w:after="0" w:line="254"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191919"/>
        </w:rPr>
        <w:t>For fiscal years beginning on or before December 31, 2017, certain compensation, including qualified performance-based compensation and compensation paid to our Chief Financial Officer, was not subject to the deduction limit imposed by Section 162(m) of the IRC on annual compensation in excess of $1 million paid to certain of our executive officers if applicable requirements were met. Pursuant to tax reform legislation enacted at the end of 2017, subject to certain transition rules, for fiscal years beginning after December 31, 2017, including fiscal year 2019 (which began on September 29, 2018), the performance-based compensation exception to the deduction limit under Section 162(m) is no longer available, and compensation paid to our Chief Financial Officer is also subject to the deduction limit. As a result, with the exception of compensation grandfathered pursuant to the transition rules, for such fiscal years the Company will be unable to deduct compensation in excess of $1 million paid to certain executive officers, as specified under</w:t>
      </w:r>
    </w:p>
    <w:p>
      <w:pPr>
        <w:spacing w:after="0" w:line="4" w:lineRule="exact"/>
        <w:rPr>
          <w:sz w:val="20"/>
          <w:szCs w:val="20"/>
          <w:color w:val="auto"/>
        </w:rPr>
      </w:pPr>
    </w:p>
    <w:p>
      <w:pPr>
        <w:spacing w:after="0" w:line="292" w:lineRule="auto"/>
        <w:rPr>
          <w:sz w:val="20"/>
          <w:szCs w:val="20"/>
          <w:color w:val="auto"/>
        </w:rPr>
      </w:pPr>
      <w:r>
        <w:rPr>
          <w:rFonts w:ascii="Arial" w:cs="Arial" w:eastAsia="Arial" w:hAnsi="Arial"/>
          <w:sz w:val="16"/>
          <w:szCs w:val="16"/>
          <w:color w:val="191919"/>
        </w:rPr>
        <w:t>Section 162(m). The Compensation Committee reviews the potential effect of Section 162(m) periodically and uses its judgment to authorize compensation payments that may be subject to the limit when the Compensation Committee believes such payments are appropriate and in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1106170</wp:posOffset>
            </wp:positionV>
            <wp:extent cx="713613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40" w:space="720"/>
            <w:col w:w="5280"/>
          </w:cols>
          <w:pgMar w:left="320" w:top="131"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32"/>
          <w:szCs w:val="32"/>
          <w:b w:val="1"/>
          <w:bCs w:val="1"/>
          <w:color w:val="02568A"/>
        </w:rPr>
        <w:t>Compensation Tables for Named Executive Officers</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Summary Compensation Table</w:t>
      </w:r>
    </w:p>
    <w:p>
      <w:pPr>
        <w:spacing w:after="0" w:line="21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191919"/>
        </w:rPr>
        <w:t>The following table summarizes compensation earned by, or awarded or paid to, our Named Executive Officers for fiscal year 2019, fiscal year 2018, and our fiscal year ended September 29, 2017 (“fiscal year 2017”).</w:t>
      </w:r>
    </w:p>
    <w:p>
      <w:pPr>
        <w:spacing w:after="0" w:line="174"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1880" w:type="dxa"/>
            <w:vAlign w:val="bottom"/>
            <w:tcBorders>
              <w:top w:val="single" w:sz="8" w:color="02568A"/>
            </w:tcBorders>
          </w:tcPr>
          <w:p>
            <w:pPr>
              <w:spacing w:after="0"/>
              <w:rPr>
                <w:sz w:val="18"/>
                <w:szCs w:val="18"/>
                <w:color w:val="auto"/>
              </w:rPr>
            </w:pPr>
          </w:p>
        </w:tc>
        <w:tc>
          <w:tcPr>
            <w:tcW w:w="620" w:type="dxa"/>
            <w:vAlign w:val="bottom"/>
            <w:tcBorders>
              <w:top w:val="single" w:sz="8" w:color="02568A"/>
            </w:tcBorders>
          </w:tcPr>
          <w:p>
            <w:pPr>
              <w:spacing w:after="0"/>
              <w:rPr>
                <w:sz w:val="18"/>
                <w:szCs w:val="18"/>
                <w:color w:val="auto"/>
              </w:rPr>
            </w:pPr>
          </w:p>
        </w:tc>
        <w:tc>
          <w:tcPr>
            <w:tcW w:w="860" w:type="dxa"/>
            <w:vAlign w:val="bottom"/>
            <w:tcBorders>
              <w:top w:val="single" w:sz="8" w:color="02568A"/>
            </w:tcBorders>
          </w:tcPr>
          <w:p>
            <w:pPr>
              <w:spacing w:after="0"/>
              <w:rPr>
                <w:sz w:val="18"/>
                <w:szCs w:val="18"/>
                <w:color w:val="auto"/>
              </w:rPr>
            </w:pPr>
          </w:p>
        </w:tc>
        <w:tc>
          <w:tcPr>
            <w:tcW w:w="1020" w:type="dxa"/>
            <w:vAlign w:val="bottom"/>
            <w:tcBorders>
              <w:top w:val="single" w:sz="8" w:color="02568A"/>
            </w:tcBorders>
          </w:tcPr>
          <w:p>
            <w:pPr>
              <w:spacing w:after="0"/>
              <w:rPr>
                <w:sz w:val="18"/>
                <w:szCs w:val="18"/>
                <w:color w:val="auto"/>
              </w:rPr>
            </w:pPr>
          </w:p>
        </w:tc>
        <w:tc>
          <w:tcPr>
            <w:tcW w:w="900" w:type="dxa"/>
            <w:vAlign w:val="bottom"/>
            <w:tcBorders>
              <w:top w:val="single" w:sz="8" w:color="02568A"/>
            </w:tcBorders>
          </w:tcPr>
          <w:p>
            <w:pPr>
              <w:spacing w:after="0"/>
              <w:rPr>
                <w:sz w:val="18"/>
                <w:szCs w:val="18"/>
                <w:color w:val="auto"/>
              </w:rPr>
            </w:pPr>
          </w:p>
        </w:tc>
        <w:tc>
          <w:tcPr>
            <w:tcW w:w="1260" w:type="dxa"/>
            <w:vAlign w:val="bottom"/>
            <w:tcBorders>
              <w:top w:val="single" w:sz="8" w:color="02568A"/>
            </w:tcBorders>
          </w:tcPr>
          <w:p>
            <w:pPr>
              <w:jc w:val="center"/>
              <w:spacing w:after="0"/>
              <w:rPr>
                <w:sz w:val="20"/>
                <w:szCs w:val="20"/>
                <w:color w:val="auto"/>
              </w:rPr>
            </w:pPr>
            <w:r>
              <w:rPr>
                <w:rFonts w:ascii="Arial" w:cs="Arial" w:eastAsia="Arial" w:hAnsi="Arial"/>
                <w:sz w:val="18"/>
                <w:szCs w:val="18"/>
                <w:b w:val="1"/>
                <w:bCs w:val="1"/>
                <w:color w:val="02568A"/>
                <w:w w:val="91"/>
              </w:rPr>
              <w:t>Non-Equity</w:t>
            </w:r>
          </w:p>
        </w:tc>
        <w:tc>
          <w:tcPr>
            <w:tcW w:w="1320" w:type="dxa"/>
            <w:vAlign w:val="bottom"/>
            <w:tcBorders>
              <w:top w:val="single" w:sz="8" w:color="02568A"/>
            </w:tcBorders>
          </w:tcPr>
          <w:p>
            <w:pPr>
              <w:spacing w:after="0"/>
              <w:rPr>
                <w:sz w:val="18"/>
                <w:szCs w:val="18"/>
                <w:color w:val="auto"/>
              </w:rPr>
            </w:pPr>
          </w:p>
        </w:tc>
        <w:tc>
          <w:tcPr>
            <w:tcW w:w="1240" w:type="dxa"/>
            <w:vAlign w:val="bottom"/>
            <w:tcBorders>
              <w:top w:val="single" w:sz="8" w:color="02568A"/>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jc w:val="center"/>
              <w:ind w:left="32"/>
              <w:spacing w:after="0"/>
              <w:rPr>
                <w:sz w:val="20"/>
                <w:szCs w:val="20"/>
                <w:color w:val="auto"/>
              </w:rPr>
            </w:pPr>
            <w:r>
              <w:rPr>
                <w:rFonts w:ascii="Arial" w:cs="Arial" w:eastAsia="Arial" w:hAnsi="Arial"/>
                <w:sz w:val="18"/>
                <w:szCs w:val="18"/>
                <w:b w:val="1"/>
                <w:bCs w:val="1"/>
                <w:color w:val="02568A"/>
                <w:w w:val="88"/>
              </w:rPr>
              <w:t>Name and</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02568A"/>
                <w:w w:val="85"/>
              </w:rPr>
              <w:t>Stock</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02568A"/>
                <w:w w:val="89"/>
              </w:rPr>
              <w:t>Option</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02568A"/>
                <w:w w:val="89"/>
              </w:rPr>
              <w:t>Incentive Plan</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02568A"/>
                <w:w w:val="94"/>
              </w:rPr>
              <w:t>All Other</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jc w:val="center"/>
              <w:ind w:left="32"/>
              <w:spacing w:after="0"/>
              <w:rPr>
                <w:sz w:val="20"/>
                <w:szCs w:val="20"/>
                <w:color w:val="auto"/>
              </w:rPr>
            </w:pPr>
            <w:r>
              <w:rPr>
                <w:rFonts w:ascii="Arial" w:cs="Arial" w:eastAsia="Arial" w:hAnsi="Arial"/>
                <w:sz w:val="18"/>
                <w:szCs w:val="18"/>
                <w:b w:val="1"/>
                <w:bCs w:val="1"/>
                <w:color w:val="02568A"/>
                <w:w w:val="89"/>
              </w:rPr>
              <w:t>Principal</w:t>
            </w:r>
          </w:p>
        </w:tc>
        <w:tc>
          <w:tcPr>
            <w:tcW w:w="62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b w:val="1"/>
                <w:bCs w:val="1"/>
                <w:color w:val="02568A"/>
              </w:rPr>
              <w:t>Salary</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02568A"/>
                <w:w w:val="89"/>
              </w:rPr>
              <w:t>Awards</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02568A"/>
                <w:w w:val="89"/>
              </w:rPr>
              <w:t>Awards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02568A"/>
                <w:w w:val="86"/>
              </w:rPr>
              <w:t>Compensation</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02568A"/>
                <w:w w:val="86"/>
              </w:rPr>
              <w:t>Compensation</w:t>
            </w:r>
          </w:p>
        </w:tc>
        <w:tc>
          <w:tcPr>
            <w:tcW w:w="1240" w:type="dxa"/>
            <w:vAlign w:val="bottom"/>
          </w:tcPr>
          <w:p>
            <w:pPr>
              <w:jc w:val="right"/>
              <w:ind w:right="452"/>
              <w:spacing w:after="0"/>
              <w:rPr>
                <w:sz w:val="20"/>
                <w:szCs w:val="20"/>
                <w:color w:val="auto"/>
              </w:rPr>
            </w:pPr>
            <w:r>
              <w:rPr>
                <w:rFonts w:ascii="Arial" w:cs="Arial" w:eastAsia="Arial" w:hAnsi="Arial"/>
                <w:sz w:val="18"/>
                <w:szCs w:val="18"/>
                <w:b w:val="1"/>
                <w:bCs w:val="1"/>
                <w:color w:val="02568A"/>
              </w:rPr>
              <w:t>Total</w:t>
            </w:r>
          </w:p>
        </w:tc>
        <w:tc>
          <w:tcPr>
            <w:tcW w:w="0" w:type="dxa"/>
            <w:vAlign w:val="bottom"/>
          </w:tcPr>
          <w:p>
            <w:pPr>
              <w:spacing w:after="0"/>
              <w:rPr>
                <w:sz w:val="1"/>
                <w:szCs w:val="1"/>
                <w:color w:val="auto"/>
              </w:rPr>
            </w:pPr>
          </w:p>
        </w:tc>
      </w:tr>
      <w:tr>
        <w:trPr>
          <w:trHeight w:val="229"/>
        </w:trPr>
        <w:tc>
          <w:tcPr>
            <w:tcW w:w="1880" w:type="dxa"/>
            <w:vAlign w:val="bottom"/>
            <w:tcBorders>
              <w:bottom w:val="single" w:sz="8" w:color="02568A"/>
            </w:tcBorders>
          </w:tcPr>
          <w:p>
            <w:pPr>
              <w:jc w:val="center"/>
              <w:ind w:left="32"/>
              <w:spacing w:after="0"/>
              <w:rPr>
                <w:sz w:val="20"/>
                <w:szCs w:val="20"/>
                <w:color w:val="auto"/>
              </w:rPr>
            </w:pPr>
            <w:r>
              <w:rPr>
                <w:rFonts w:ascii="Arial" w:cs="Arial" w:eastAsia="Arial" w:hAnsi="Arial"/>
                <w:sz w:val="18"/>
                <w:szCs w:val="18"/>
                <w:b w:val="1"/>
                <w:bCs w:val="1"/>
                <w:color w:val="02568A"/>
                <w:w w:val="84"/>
              </w:rPr>
              <w:t>Position</w:t>
            </w:r>
          </w:p>
        </w:tc>
        <w:tc>
          <w:tcPr>
            <w:tcW w:w="620" w:type="dxa"/>
            <w:vAlign w:val="bottom"/>
            <w:tcBorders>
              <w:bottom w:val="single" w:sz="8" w:color="02568A"/>
            </w:tcBorders>
          </w:tcPr>
          <w:p>
            <w:pPr>
              <w:ind w:left="100"/>
              <w:spacing w:after="0"/>
              <w:rPr>
                <w:sz w:val="20"/>
                <w:szCs w:val="20"/>
                <w:color w:val="auto"/>
              </w:rPr>
            </w:pPr>
            <w:r>
              <w:rPr>
                <w:rFonts w:ascii="Arial" w:cs="Arial" w:eastAsia="Arial" w:hAnsi="Arial"/>
                <w:sz w:val="18"/>
                <w:szCs w:val="18"/>
                <w:b w:val="1"/>
                <w:bCs w:val="1"/>
                <w:color w:val="02568A"/>
              </w:rPr>
              <w:t>Year</w:t>
            </w:r>
          </w:p>
        </w:tc>
        <w:tc>
          <w:tcPr>
            <w:tcW w:w="860" w:type="dxa"/>
            <w:vAlign w:val="bottom"/>
            <w:tcBorders>
              <w:bottom w:val="single" w:sz="8" w:color="02568A"/>
            </w:tcBorders>
          </w:tcPr>
          <w:p>
            <w:pPr>
              <w:ind w:left="320"/>
              <w:spacing w:after="0"/>
              <w:rPr>
                <w:sz w:val="20"/>
                <w:szCs w:val="20"/>
                <w:color w:val="auto"/>
              </w:rPr>
            </w:pPr>
            <w:r>
              <w:rPr>
                <w:rFonts w:ascii="Arial" w:cs="Arial" w:eastAsia="Arial" w:hAnsi="Arial"/>
                <w:sz w:val="18"/>
                <w:szCs w:val="18"/>
                <w:b w:val="1"/>
                <w:bCs w:val="1"/>
                <w:color w:val="02568A"/>
              </w:rPr>
              <w:t>($)</w:t>
            </w:r>
          </w:p>
        </w:tc>
        <w:tc>
          <w:tcPr>
            <w:tcW w:w="102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95"/>
              </w:rPr>
              <w:t>($)(1)</w:t>
            </w:r>
          </w:p>
        </w:tc>
        <w:tc>
          <w:tcPr>
            <w:tcW w:w="90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90"/>
              </w:rPr>
              <w:t>($)(1)</w:t>
            </w:r>
          </w:p>
        </w:tc>
        <w:tc>
          <w:tcPr>
            <w:tcW w:w="126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90"/>
              </w:rPr>
              <w:t>($)(2)</w:t>
            </w:r>
          </w:p>
        </w:tc>
        <w:tc>
          <w:tcPr>
            <w:tcW w:w="132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95"/>
              </w:rPr>
              <w:t>($)(3)</w:t>
            </w:r>
          </w:p>
        </w:tc>
        <w:tc>
          <w:tcPr>
            <w:tcW w:w="1240" w:type="dxa"/>
            <w:vAlign w:val="bottom"/>
            <w:tcBorders>
              <w:bottom w:val="single" w:sz="8" w:color="02568A"/>
            </w:tcBorders>
          </w:tcPr>
          <w:p>
            <w:pPr>
              <w:jc w:val="right"/>
              <w:ind w:right="532"/>
              <w:spacing w:after="0"/>
              <w:rPr>
                <w:sz w:val="20"/>
                <w:szCs w:val="20"/>
                <w:color w:val="auto"/>
              </w:rPr>
            </w:pPr>
            <w:r>
              <w:rPr>
                <w:rFonts w:ascii="Arial" w:cs="Arial" w:eastAsia="Arial" w:hAnsi="Arial"/>
                <w:sz w:val="18"/>
                <w:szCs w:val="18"/>
                <w:b w:val="1"/>
                <w:bCs w:val="1"/>
                <w:color w:val="02568A"/>
              </w:rPr>
              <w:t>($)</w:t>
            </w:r>
          </w:p>
        </w:tc>
        <w:tc>
          <w:tcPr>
            <w:tcW w:w="0" w:type="dxa"/>
            <w:vAlign w:val="bottom"/>
          </w:tcPr>
          <w:p>
            <w:pPr>
              <w:spacing w:after="0"/>
              <w:rPr>
                <w:sz w:val="1"/>
                <w:szCs w:val="1"/>
                <w:color w:val="auto"/>
              </w:rPr>
            </w:pPr>
          </w:p>
        </w:tc>
      </w:tr>
      <w:tr>
        <w:trPr>
          <w:trHeight w:val="210"/>
        </w:trPr>
        <w:tc>
          <w:tcPr>
            <w:tcW w:w="188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Liam K. Griffin</w:t>
            </w:r>
          </w:p>
        </w:tc>
        <w:tc>
          <w:tcPr>
            <w:tcW w:w="620" w:type="dxa"/>
            <w:vAlign w:val="bottom"/>
            <w:tcBorders>
              <w:bottom w:val="single" w:sz="8" w:color="D1D2D4"/>
            </w:tcBorders>
            <w:shd w:val="clear" w:color="auto" w:fill="CED8EA"/>
          </w:tcPr>
          <w:p>
            <w:pPr>
              <w:ind w:left="100"/>
              <w:spacing w:after="0"/>
              <w:rPr>
                <w:sz w:val="20"/>
                <w:szCs w:val="20"/>
                <w:color w:val="auto"/>
              </w:rPr>
            </w:pPr>
            <w:r>
              <w:rPr>
                <w:rFonts w:ascii="Arial" w:cs="Arial" w:eastAsia="Arial" w:hAnsi="Arial"/>
                <w:sz w:val="18"/>
                <w:szCs w:val="18"/>
                <w:color w:val="02568A"/>
              </w:rPr>
              <w:t>2019</w:t>
            </w:r>
          </w:p>
        </w:tc>
        <w:tc>
          <w:tcPr>
            <w:tcW w:w="860" w:type="dxa"/>
            <w:vAlign w:val="bottom"/>
            <w:tcBorders>
              <w:bottom w:val="single" w:sz="8" w:color="D1D2D4"/>
            </w:tcBorders>
            <w:shd w:val="clear" w:color="auto" w:fill="CED8EA"/>
          </w:tcPr>
          <w:p>
            <w:pPr>
              <w:ind w:left="200"/>
              <w:spacing w:after="0"/>
              <w:rPr>
                <w:sz w:val="20"/>
                <w:szCs w:val="20"/>
                <w:color w:val="auto"/>
              </w:rPr>
            </w:pPr>
            <w:r>
              <w:rPr>
                <w:rFonts w:ascii="Arial" w:cs="Arial" w:eastAsia="Arial" w:hAnsi="Arial"/>
                <w:sz w:val="18"/>
                <w:szCs w:val="18"/>
                <w:color w:val="02568A"/>
                <w:w w:val="98"/>
              </w:rPr>
              <w:t>972,000</w:t>
            </w:r>
          </w:p>
        </w:tc>
        <w:tc>
          <w:tcPr>
            <w:tcW w:w="1020" w:type="dxa"/>
            <w:vAlign w:val="bottom"/>
            <w:tcBorders>
              <w:bottom w:val="single" w:sz="8" w:color="D1D2D4"/>
            </w:tcBorders>
            <w:shd w:val="clear" w:color="auto" w:fill="CED8EA"/>
          </w:tcPr>
          <w:p>
            <w:pPr>
              <w:jc w:val="right"/>
              <w:ind w:right="32"/>
              <w:spacing w:after="0"/>
              <w:rPr>
                <w:sz w:val="20"/>
                <w:szCs w:val="20"/>
                <w:color w:val="auto"/>
              </w:rPr>
            </w:pPr>
            <w:r>
              <w:rPr>
                <w:rFonts w:ascii="Arial" w:cs="Arial" w:eastAsia="Arial" w:hAnsi="Arial"/>
                <w:sz w:val="18"/>
                <w:szCs w:val="18"/>
                <w:color w:val="02568A"/>
                <w:w w:val="97"/>
              </w:rPr>
              <w:t>11,658,937</w:t>
            </w:r>
          </w:p>
        </w:tc>
        <w:tc>
          <w:tcPr>
            <w:tcW w:w="90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w:t>
            </w:r>
          </w:p>
        </w:tc>
        <w:tc>
          <w:tcPr>
            <w:tcW w:w="126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1,011,257</w:t>
            </w:r>
          </w:p>
        </w:tc>
        <w:tc>
          <w:tcPr>
            <w:tcW w:w="1320" w:type="dxa"/>
            <w:vAlign w:val="bottom"/>
            <w:tcBorders>
              <w:bottom w:val="single" w:sz="8" w:color="D1D2D4"/>
            </w:tcBorders>
            <w:shd w:val="clear" w:color="auto" w:fill="CED8EA"/>
          </w:tcPr>
          <w:p>
            <w:pPr>
              <w:jc w:val="right"/>
              <w:ind w:right="32"/>
              <w:spacing w:after="0"/>
              <w:rPr>
                <w:sz w:val="20"/>
                <w:szCs w:val="20"/>
                <w:color w:val="auto"/>
              </w:rPr>
            </w:pPr>
            <w:r>
              <w:rPr>
                <w:rFonts w:ascii="Arial" w:cs="Arial" w:eastAsia="Arial" w:hAnsi="Arial"/>
                <w:sz w:val="18"/>
                <w:szCs w:val="18"/>
                <w:color w:val="02568A"/>
              </w:rPr>
              <w:t>18,399</w:t>
            </w:r>
          </w:p>
        </w:tc>
        <w:tc>
          <w:tcPr>
            <w:tcW w:w="1240" w:type="dxa"/>
            <w:vAlign w:val="bottom"/>
            <w:tcBorders>
              <w:bottom w:val="single" w:sz="8" w:color="D1D2D4"/>
            </w:tcBorders>
            <w:shd w:val="clear" w:color="auto" w:fill="CED8EA"/>
          </w:tcPr>
          <w:p>
            <w:pPr>
              <w:jc w:val="right"/>
              <w:ind w:right="232"/>
              <w:spacing w:after="0"/>
              <w:rPr>
                <w:sz w:val="20"/>
                <w:szCs w:val="20"/>
                <w:color w:val="auto"/>
              </w:rPr>
            </w:pPr>
            <w:r>
              <w:rPr>
                <w:rFonts w:ascii="Arial" w:cs="Arial" w:eastAsia="Arial" w:hAnsi="Arial"/>
                <w:sz w:val="18"/>
                <w:szCs w:val="18"/>
                <w:color w:val="02568A"/>
                <w:w w:val="99"/>
              </w:rPr>
              <w:t>13,660,593</w:t>
            </w:r>
          </w:p>
        </w:tc>
        <w:tc>
          <w:tcPr>
            <w:tcW w:w="0" w:type="dxa"/>
            <w:vAlign w:val="bottom"/>
          </w:tcPr>
          <w:p>
            <w:pPr>
              <w:spacing w:after="0"/>
              <w:rPr>
                <w:sz w:val="1"/>
                <w:szCs w:val="1"/>
                <w:color w:val="auto"/>
              </w:rPr>
            </w:pPr>
          </w:p>
        </w:tc>
      </w:tr>
      <w:tr>
        <w:trPr>
          <w:trHeight w:val="201"/>
        </w:trPr>
        <w:tc>
          <w:tcPr>
            <w:tcW w:w="1880" w:type="dxa"/>
            <w:vAlign w:val="bottom"/>
          </w:tcPr>
          <w:p>
            <w:pPr>
              <w:ind w:left="440"/>
              <w:spacing w:after="0" w:line="201" w:lineRule="exact"/>
              <w:rPr>
                <w:sz w:val="20"/>
                <w:szCs w:val="20"/>
                <w:color w:val="auto"/>
              </w:rPr>
            </w:pPr>
            <w:r>
              <w:rPr>
                <w:rFonts w:ascii="Arial" w:cs="Arial" w:eastAsia="Arial" w:hAnsi="Arial"/>
                <w:sz w:val="18"/>
                <w:szCs w:val="18"/>
                <w:color w:val="02568A"/>
              </w:rPr>
              <w:t>President and</w:t>
            </w:r>
          </w:p>
        </w:tc>
        <w:tc>
          <w:tcPr>
            <w:tcW w:w="620" w:type="dxa"/>
            <w:vAlign w:val="bottom"/>
            <w:vMerge w:val="restart"/>
          </w:tcPr>
          <w:p>
            <w:pPr>
              <w:ind w:left="100"/>
              <w:spacing w:after="0"/>
              <w:rPr>
                <w:sz w:val="20"/>
                <w:szCs w:val="20"/>
                <w:color w:val="auto"/>
              </w:rPr>
            </w:pPr>
            <w:r>
              <w:rPr>
                <w:rFonts w:ascii="Arial" w:cs="Arial" w:eastAsia="Arial" w:hAnsi="Arial"/>
                <w:sz w:val="18"/>
                <w:szCs w:val="18"/>
                <w:color w:val="02568A"/>
              </w:rPr>
              <w:t>2018</w:t>
            </w:r>
          </w:p>
        </w:tc>
        <w:tc>
          <w:tcPr>
            <w:tcW w:w="860" w:type="dxa"/>
            <w:vAlign w:val="bottom"/>
            <w:vMerge w:val="restart"/>
          </w:tcPr>
          <w:p>
            <w:pPr>
              <w:ind w:left="200"/>
              <w:spacing w:after="0"/>
              <w:rPr>
                <w:sz w:val="20"/>
                <w:szCs w:val="20"/>
                <w:color w:val="auto"/>
              </w:rPr>
            </w:pPr>
            <w:r>
              <w:rPr>
                <w:rFonts w:ascii="Arial" w:cs="Arial" w:eastAsia="Arial" w:hAnsi="Arial"/>
                <w:sz w:val="18"/>
                <w:szCs w:val="18"/>
                <w:color w:val="02568A"/>
                <w:w w:val="98"/>
              </w:rPr>
              <w:t>894,808</w:t>
            </w: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02568A"/>
              </w:rPr>
              <w:t>7,150,399</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02568A"/>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02568A"/>
              </w:rPr>
              <w:t>1,284,664</w:t>
            </w:r>
          </w:p>
        </w:tc>
        <w:tc>
          <w:tcPr>
            <w:tcW w:w="1320" w:type="dxa"/>
            <w:vAlign w:val="bottom"/>
            <w:vMerge w:val="restart"/>
          </w:tcPr>
          <w:p>
            <w:pPr>
              <w:jc w:val="right"/>
              <w:ind w:right="32"/>
              <w:spacing w:after="0"/>
              <w:rPr>
                <w:sz w:val="20"/>
                <w:szCs w:val="20"/>
                <w:color w:val="auto"/>
              </w:rPr>
            </w:pPr>
            <w:r>
              <w:rPr>
                <w:rFonts w:ascii="Arial" w:cs="Arial" w:eastAsia="Arial" w:hAnsi="Arial"/>
                <w:sz w:val="18"/>
                <w:szCs w:val="18"/>
                <w:color w:val="02568A"/>
              </w:rPr>
              <w:t>12,242</w:t>
            </w:r>
          </w:p>
        </w:tc>
        <w:tc>
          <w:tcPr>
            <w:tcW w:w="1240" w:type="dxa"/>
            <w:vAlign w:val="bottom"/>
            <w:vMerge w:val="restart"/>
          </w:tcPr>
          <w:p>
            <w:pPr>
              <w:jc w:val="right"/>
              <w:ind w:right="232"/>
              <w:spacing w:after="0"/>
              <w:rPr>
                <w:sz w:val="20"/>
                <w:szCs w:val="20"/>
                <w:color w:val="auto"/>
              </w:rPr>
            </w:pPr>
            <w:r>
              <w:rPr>
                <w:rFonts w:ascii="Arial" w:cs="Arial" w:eastAsia="Arial" w:hAnsi="Arial"/>
                <w:sz w:val="18"/>
                <w:szCs w:val="18"/>
                <w:color w:val="02568A"/>
              </w:rPr>
              <w:t>9,342,113</w:t>
            </w:r>
          </w:p>
        </w:tc>
        <w:tc>
          <w:tcPr>
            <w:tcW w:w="0" w:type="dxa"/>
            <w:vAlign w:val="bottom"/>
          </w:tcPr>
          <w:p>
            <w:pPr>
              <w:spacing w:after="0"/>
              <w:rPr>
                <w:sz w:val="1"/>
                <w:szCs w:val="1"/>
                <w:color w:val="auto"/>
              </w:rPr>
            </w:pPr>
          </w:p>
        </w:tc>
      </w:tr>
      <w:tr>
        <w:trPr>
          <w:trHeight w:val="114"/>
        </w:trPr>
        <w:tc>
          <w:tcPr>
            <w:tcW w:w="1880" w:type="dxa"/>
            <w:vAlign w:val="bottom"/>
            <w:vMerge w:val="restart"/>
          </w:tcPr>
          <w:p>
            <w:pPr>
              <w:ind w:left="440"/>
              <w:spacing w:after="0"/>
              <w:rPr>
                <w:sz w:val="20"/>
                <w:szCs w:val="20"/>
                <w:color w:val="auto"/>
              </w:rPr>
            </w:pPr>
            <w:r>
              <w:rPr>
                <w:rFonts w:ascii="Arial" w:cs="Arial" w:eastAsia="Arial" w:hAnsi="Arial"/>
                <w:sz w:val="18"/>
                <w:szCs w:val="18"/>
                <w:color w:val="02568A"/>
              </w:rPr>
              <w:t>Chief</w:t>
            </w: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80" w:type="dxa"/>
            <w:vAlign w:val="bottom"/>
            <w:vMerge w:val="continue"/>
          </w:tcPr>
          <w:p>
            <w:pPr>
              <w:spacing w:after="0"/>
              <w:rPr>
                <w:sz w:val="9"/>
                <w:szCs w:val="9"/>
                <w:color w:val="auto"/>
              </w:rPr>
            </w:pPr>
          </w:p>
        </w:tc>
        <w:tc>
          <w:tcPr>
            <w:tcW w:w="620" w:type="dxa"/>
            <w:vAlign w:val="bottom"/>
            <w:tcBorders>
              <w:bottom w:val="single" w:sz="8" w:color="D1D2D4"/>
            </w:tcBorders>
          </w:tcPr>
          <w:p>
            <w:pPr>
              <w:spacing w:after="0"/>
              <w:rPr>
                <w:sz w:val="9"/>
                <w:szCs w:val="9"/>
                <w:color w:val="auto"/>
              </w:rPr>
            </w:pPr>
          </w:p>
        </w:tc>
        <w:tc>
          <w:tcPr>
            <w:tcW w:w="860" w:type="dxa"/>
            <w:vAlign w:val="bottom"/>
            <w:tcBorders>
              <w:bottom w:val="single" w:sz="8" w:color="D1D2D4"/>
            </w:tcBorders>
          </w:tcPr>
          <w:p>
            <w:pPr>
              <w:spacing w:after="0"/>
              <w:rPr>
                <w:sz w:val="9"/>
                <w:szCs w:val="9"/>
                <w:color w:val="auto"/>
              </w:rPr>
            </w:pPr>
          </w:p>
        </w:tc>
        <w:tc>
          <w:tcPr>
            <w:tcW w:w="1020" w:type="dxa"/>
            <w:vAlign w:val="bottom"/>
            <w:tcBorders>
              <w:bottom w:val="single" w:sz="8" w:color="D1D2D4"/>
            </w:tcBorders>
          </w:tcPr>
          <w:p>
            <w:pPr>
              <w:spacing w:after="0"/>
              <w:rPr>
                <w:sz w:val="9"/>
                <w:szCs w:val="9"/>
                <w:color w:val="auto"/>
              </w:rPr>
            </w:pPr>
          </w:p>
        </w:tc>
        <w:tc>
          <w:tcPr>
            <w:tcW w:w="900" w:type="dxa"/>
            <w:vAlign w:val="bottom"/>
            <w:tcBorders>
              <w:bottom w:val="single" w:sz="8" w:color="D1D2D4"/>
            </w:tcBorders>
          </w:tcPr>
          <w:p>
            <w:pPr>
              <w:spacing w:after="0"/>
              <w:rPr>
                <w:sz w:val="9"/>
                <w:szCs w:val="9"/>
                <w:color w:val="auto"/>
              </w:rPr>
            </w:pPr>
          </w:p>
        </w:tc>
        <w:tc>
          <w:tcPr>
            <w:tcW w:w="1260" w:type="dxa"/>
            <w:vAlign w:val="bottom"/>
            <w:tcBorders>
              <w:bottom w:val="single" w:sz="8" w:color="D1D2D4"/>
            </w:tcBorders>
          </w:tcPr>
          <w:p>
            <w:pPr>
              <w:spacing w:after="0"/>
              <w:rPr>
                <w:sz w:val="9"/>
                <w:szCs w:val="9"/>
                <w:color w:val="auto"/>
              </w:rPr>
            </w:pPr>
          </w:p>
        </w:tc>
        <w:tc>
          <w:tcPr>
            <w:tcW w:w="1320" w:type="dxa"/>
            <w:vAlign w:val="bottom"/>
            <w:tcBorders>
              <w:bottom w:val="single" w:sz="8" w:color="D1D2D4"/>
            </w:tcBorders>
          </w:tcPr>
          <w:p>
            <w:pPr>
              <w:spacing w:after="0"/>
              <w:rPr>
                <w:sz w:val="9"/>
                <w:szCs w:val="9"/>
                <w:color w:val="auto"/>
              </w:rPr>
            </w:pPr>
          </w:p>
        </w:tc>
        <w:tc>
          <w:tcPr>
            <w:tcW w:w="1240" w:type="dxa"/>
            <w:vAlign w:val="bottom"/>
            <w:tcBorders>
              <w:bottom w:val="single" w:sz="8" w:color="D1D2D4"/>
            </w:tcBorders>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880" w:type="dxa"/>
            <w:vAlign w:val="bottom"/>
            <w:tcBorders>
              <w:bottom w:val="single" w:sz="8" w:color="D1D2D4"/>
            </w:tcBorders>
          </w:tcPr>
          <w:p>
            <w:pPr>
              <w:ind w:left="440"/>
              <w:spacing w:after="0"/>
              <w:rPr>
                <w:sz w:val="20"/>
                <w:szCs w:val="20"/>
                <w:color w:val="auto"/>
              </w:rPr>
            </w:pPr>
            <w:r>
              <w:rPr>
                <w:rFonts w:ascii="Arial" w:cs="Arial" w:eastAsia="Arial" w:hAnsi="Arial"/>
                <w:sz w:val="18"/>
                <w:szCs w:val="18"/>
                <w:color w:val="02568A"/>
              </w:rPr>
              <w:t>Executive Officer</w:t>
            </w:r>
          </w:p>
        </w:tc>
        <w:tc>
          <w:tcPr>
            <w:tcW w:w="620" w:type="dxa"/>
            <w:vAlign w:val="bottom"/>
            <w:tcBorders>
              <w:bottom w:val="single" w:sz="8" w:color="D1D2D4"/>
            </w:tcBorders>
          </w:tcPr>
          <w:p>
            <w:pPr>
              <w:ind w:left="100"/>
              <w:spacing w:after="0"/>
              <w:rPr>
                <w:sz w:val="20"/>
                <w:szCs w:val="20"/>
                <w:color w:val="auto"/>
              </w:rPr>
            </w:pPr>
            <w:r>
              <w:rPr>
                <w:rFonts w:ascii="Arial" w:cs="Arial" w:eastAsia="Arial" w:hAnsi="Arial"/>
                <w:sz w:val="18"/>
                <w:szCs w:val="18"/>
                <w:color w:val="02568A"/>
              </w:rPr>
              <w:t>2017</w:t>
            </w:r>
          </w:p>
        </w:tc>
        <w:tc>
          <w:tcPr>
            <w:tcW w:w="860" w:type="dxa"/>
            <w:vAlign w:val="bottom"/>
            <w:tcBorders>
              <w:bottom w:val="single" w:sz="8" w:color="D1D2D4"/>
            </w:tcBorders>
          </w:tcPr>
          <w:p>
            <w:pPr>
              <w:ind w:left="200"/>
              <w:spacing w:after="0"/>
              <w:rPr>
                <w:sz w:val="20"/>
                <w:szCs w:val="20"/>
                <w:color w:val="auto"/>
              </w:rPr>
            </w:pPr>
            <w:r>
              <w:rPr>
                <w:rFonts w:ascii="Arial" w:cs="Arial" w:eastAsia="Arial" w:hAnsi="Arial"/>
                <w:sz w:val="18"/>
                <w:szCs w:val="18"/>
                <w:color w:val="02568A"/>
                <w:w w:val="98"/>
              </w:rPr>
              <w:t>850,000</w:t>
            </w:r>
          </w:p>
        </w:tc>
        <w:tc>
          <w:tcPr>
            <w:tcW w:w="1020" w:type="dxa"/>
            <w:vAlign w:val="bottom"/>
            <w:tcBorders>
              <w:bottom w:val="single" w:sz="8" w:color="D1D2D4"/>
            </w:tcBorders>
          </w:tcPr>
          <w:p>
            <w:pPr>
              <w:jc w:val="right"/>
              <w:ind w:right="32"/>
              <w:spacing w:after="0"/>
              <w:rPr>
                <w:sz w:val="20"/>
                <w:szCs w:val="20"/>
                <w:color w:val="auto"/>
              </w:rPr>
            </w:pPr>
            <w:r>
              <w:rPr>
                <w:rFonts w:ascii="Arial" w:cs="Arial" w:eastAsia="Arial" w:hAnsi="Arial"/>
                <w:sz w:val="18"/>
                <w:szCs w:val="18"/>
                <w:color w:val="02568A"/>
              </w:rPr>
              <w:t>5,336,603</w:t>
            </w:r>
          </w:p>
        </w:tc>
        <w:tc>
          <w:tcPr>
            <w:tcW w:w="9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w w:val="99"/>
              </w:rPr>
              <w:t>1,230,158</w:t>
            </w:r>
          </w:p>
        </w:tc>
        <w:tc>
          <w:tcPr>
            <w:tcW w:w="12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1,273,055</w:t>
            </w:r>
          </w:p>
        </w:tc>
        <w:tc>
          <w:tcPr>
            <w:tcW w:w="1320" w:type="dxa"/>
            <w:vAlign w:val="bottom"/>
            <w:tcBorders>
              <w:bottom w:val="single" w:sz="8" w:color="D1D2D4"/>
            </w:tcBorders>
          </w:tcPr>
          <w:p>
            <w:pPr>
              <w:jc w:val="right"/>
              <w:ind w:right="32"/>
              <w:spacing w:after="0"/>
              <w:rPr>
                <w:sz w:val="20"/>
                <w:szCs w:val="20"/>
                <w:color w:val="auto"/>
              </w:rPr>
            </w:pPr>
            <w:r>
              <w:rPr>
                <w:rFonts w:ascii="Arial" w:cs="Arial" w:eastAsia="Arial" w:hAnsi="Arial"/>
                <w:sz w:val="18"/>
                <w:szCs w:val="18"/>
                <w:color w:val="02568A"/>
              </w:rPr>
              <w:t>12,042</w:t>
            </w:r>
          </w:p>
        </w:tc>
        <w:tc>
          <w:tcPr>
            <w:tcW w:w="1240" w:type="dxa"/>
            <w:vAlign w:val="bottom"/>
            <w:tcBorders>
              <w:bottom w:val="single" w:sz="8" w:color="D1D2D4"/>
            </w:tcBorders>
          </w:tcPr>
          <w:p>
            <w:pPr>
              <w:jc w:val="right"/>
              <w:ind w:right="232"/>
              <w:spacing w:after="0"/>
              <w:rPr>
                <w:sz w:val="20"/>
                <w:szCs w:val="20"/>
                <w:color w:val="auto"/>
              </w:rPr>
            </w:pPr>
            <w:r>
              <w:rPr>
                <w:rFonts w:ascii="Arial" w:cs="Arial" w:eastAsia="Arial" w:hAnsi="Arial"/>
                <w:sz w:val="18"/>
                <w:szCs w:val="18"/>
                <w:color w:val="02568A"/>
              </w:rPr>
              <w:t>8,701,858</w:t>
            </w:r>
          </w:p>
        </w:tc>
        <w:tc>
          <w:tcPr>
            <w:tcW w:w="0" w:type="dxa"/>
            <w:vAlign w:val="bottom"/>
          </w:tcPr>
          <w:p>
            <w:pPr>
              <w:spacing w:after="0"/>
              <w:rPr>
                <w:sz w:val="1"/>
                <w:szCs w:val="1"/>
                <w:color w:val="auto"/>
              </w:rPr>
            </w:pPr>
          </w:p>
        </w:tc>
      </w:tr>
      <w:tr>
        <w:trPr>
          <w:trHeight w:val="209"/>
        </w:trPr>
        <w:tc>
          <w:tcPr>
            <w:tcW w:w="188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Kris Sennesael</w:t>
            </w:r>
          </w:p>
        </w:tc>
        <w:tc>
          <w:tcPr>
            <w:tcW w:w="620" w:type="dxa"/>
            <w:vAlign w:val="bottom"/>
            <w:tcBorders>
              <w:bottom w:val="single" w:sz="8" w:color="D1D2D4"/>
            </w:tcBorders>
            <w:shd w:val="clear" w:color="auto" w:fill="CED8EA"/>
          </w:tcPr>
          <w:p>
            <w:pPr>
              <w:ind w:left="100"/>
              <w:spacing w:after="0"/>
              <w:rPr>
                <w:sz w:val="20"/>
                <w:szCs w:val="20"/>
                <w:color w:val="auto"/>
              </w:rPr>
            </w:pPr>
            <w:r>
              <w:rPr>
                <w:rFonts w:ascii="Arial" w:cs="Arial" w:eastAsia="Arial" w:hAnsi="Arial"/>
                <w:sz w:val="18"/>
                <w:szCs w:val="18"/>
                <w:color w:val="02568A"/>
              </w:rPr>
              <w:t>2019</w:t>
            </w:r>
          </w:p>
        </w:tc>
        <w:tc>
          <w:tcPr>
            <w:tcW w:w="860" w:type="dxa"/>
            <w:vAlign w:val="bottom"/>
            <w:tcBorders>
              <w:bottom w:val="single" w:sz="8" w:color="D1D2D4"/>
            </w:tcBorders>
            <w:shd w:val="clear" w:color="auto" w:fill="CED8EA"/>
          </w:tcPr>
          <w:p>
            <w:pPr>
              <w:ind w:left="200"/>
              <w:spacing w:after="0"/>
              <w:rPr>
                <w:sz w:val="20"/>
                <w:szCs w:val="20"/>
                <w:color w:val="auto"/>
              </w:rPr>
            </w:pPr>
            <w:r>
              <w:rPr>
                <w:rFonts w:ascii="Arial" w:cs="Arial" w:eastAsia="Arial" w:hAnsi="Arial"/>
                <w:sz w:val="18"/>
                <w:szCs w:val="18"/>
                <w:color w:val="02568A"/>
                <w:w w:val="98"/>
              </w:rPr>
              <w:t>496,000</w:t>
            </w:r>
          </w:p>
        </w:tc>
        <w:tc>
          <w:tcPr>
            <w:tcW w:w="1020" w:type="dxa"/>
            <w:vAlign w:val="bottom"/>
            <w:tcBorders>
              <w:bottom w:val="single" w:sz="8" w:color="D1D2D4"/>
            </w:tcBorders>
            <w:shd w:val="clear" w:color="auto" w:fill="CED8EA"/>
          </w:tcPr>
          <w:p>
            <w:pPr>
              <w:jc w:val="right"/>
              <w:ind w:right="32"/>
              <w:spacing w:after="0"/>
              <w:rPr>
                <w:sz w:val="20"/>
                <w:szCs w:val="20"/>
                <w:color w:val="auto"/>
              </w:rPr>
            </w:pPr>
            <w:r>
              <w:rPr>
                <w:rFonts w:ascii="Arial" w:cs="Arial" w:eastAsia="Arial" w:hAnsi="Arial"/>
                <w:sz w:val="18"/>
                <w:szCs w:val="18"/>
                <w:color w:val="02568A"/>
              </w:rPr>
              <w:t>3,264,443</w:t>
            </w:r>
          </w:p>
        </w:tc>
        <w:tc>
          <w:tcPr>
            <w:tcW w:w="90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w:t>
            </w:r>
          </w:p>
        </w:tc>
        <w:tc>
          <w:tcPr>
            <w:tcW w:w="126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322,467</w:t>
            </w:r>
          </w:p>
        </w:tc>
        <w:tc>
          <w:tcPr>
            <w:tcW w:w="1320" w:type="dxa"/>
            <w:vAlign w:val="bottom"/>
            <w:tcBorders>
              <w:bottom w:val="single" w:sz="8" w:color="D1D2D4"/>
            </w:tcBorders>
            <w:shd w:val="clear" w:color="auto" w:fill="CED8EA"/>
          </w:tcPr>
          <w:p>
            <w:pPr>
              <w:jc w:val="right"/>
              <w:ind w:right="32"/>
              <w:spacing w:after="0"/>
              <w:rPr>
                <w:sz w:val="20"/>
                <w:szCs w:val="20"/>
                <w:color w:val="auto"/>
              </w:rPr>
            </w:pPr>
            <w:r>
              <w:rPr>
                <w:rFonts w:ascii="Arial" w:cs="Arial" w:eastAsia="Arial" w:hAnsi="Arial"/>
                <w:sz w:val="18"/>
                <w:szCs w:val="18"/>
                <w:color w:val="02568A"/>
              </w:rPr>
              <w:t>15,352</w:t>
            </w:r>
          </w:p>
        </w:tc>
        <w:tc>
          <w:tcPr>
            <w:tcW w:w="1240" w:type="dxa"/>
            <w:vAlign w:val="bottom"/>
            <w:tcBorders>
              <w:bottom w:val="single" w:sz="8" w:color="D1D2D4"/>
            </w:tcBorders>
            <w:shd w:val="clear" w:color="auto" w:fill="CED8EA"/>
          </w:tcPr>
          <w:p>
            <w:pPr>
              <w:jc w:val="right"/>
              <w:ind w:right="232"/>
              <w:spacing w:after="0"/>
              <w:rPr>
                <w:sz w:val="20"/>
                <w:szCs w:val="20"/>
                <w:color w:val="auto"/>
              </w:rPr>
            </w:pPr>
            <w:r>
              <w:rPr>
                <w:rFonts w:ascii="Arial" w:cs="Arial" w:eastAsia="Arial" w:hAnsi="Arial"/>
                <w:sz w:val="18"/>
                <w:szCs w:val="18"/>
                <w:color w:val="02568A"/>
              </w:rPr>
              <w:t>4,098,262</w:t>
            </w:r>
          </w:p>
        </w:tc>
        <w:tc>
          <w:tcPr>
            <w:tcW w:w="0" w:type="dxa"/>
            <w:vAlign w:val="bottom"/>
          </w:tcPr>
          <w:p>
            <w:pPr>
              <w:spacing w:after="0"/>
              <w:rPr>
                <w:sz w:val="1"/>
                <w:szCs w:val="1"/>
                <w:color w:val="auto"/>
              </w:rPr>
            </w:pPr>
          </w:p>
        </w:tc>
      </w:tr>
      <w:tr>
        <w:trPr>
          <w:trHeight w:val="201"/>
        </w:trPr>
        <w:tc>
          <w:tcPr>
            <w:tcW w:w="1880" w:type="dxa"/>
            <w:vAlign w:val="bottom"/>
          </w:tcPr>
          <w:p>
            <w:pPr>
              <w:ind w:left="440"/>
              <w:spacing w:after="0" w:line="201" w:lineRule="exact"/>
              <w:rPr>
                <w:sz w:val="20"/>
                <w:szCs w:val="20"/>
                <w:color w:val="auto"/>
              </w:rPr>
            </w:pPr>
            <w:r>
              <w:rPr>
                <w:rFonts w:ascii="Arial" w:cs="Arial" w:eastAsia="Arial" w:hAnsi="Arial"/>
                <w:sz w:val="18"/>
                <w:szCs w:val="18"/>
                <w:color w:val="02568A"/>
              </w:rPr>
              <w:t>Senior Vice</w:t>
            </w:r>
          </w:p>
        </w:tc>
        <w:tc>
          <w:tcPr>
            <w:tcW w:w="620" w:type="dxa"/>
            <w:vAlign w:val="bottom"/>
            <w:vMerge w:val="restart"/>
          </w:tcPr>
          <w:p>
            <w:pPr>
              <w:ind w:left="100"/>
              <w:spacing w:after="0"/>
              <w:rPr>
                <w:sz w:val="20"/>
                <w:szCs w:val="20"/>
                <w:color w:val="auto"/>
              </w:rPr>
            </w:pPr>
            <w:r>
              <w:rPr>
                <w:rFonts w:ascii="Arial" w:cs="Arial" w:eastAsia="Arial" w:hAnsi="Arial"/>
                <w:sz w:val="18"/>
                <w:szCs w:val="18"/>
                <w:color w:val="02568A"/>
              </w:rPr>
              <w:t>2018</w:t>
            </w:r>
          </w:p>
        </w:tc>
        <w:tc>
          <w:tcPr>
            <w:tcW w:w="860" w:type="dxa"/>
            <w:vAlign w:val="bottom"/>
            <w:vMerge w:val="restart"/>
          </w:tcPr>
          <w:p>
            <w:pPr>
              <w:ind w:left="200"/>
              <w:spacing w:after="0"/>
              <w:rPr>
                <w:sz w:val="20"/>
                <w:szCs w:val="20"/>
                <w:color w:val="auto"/>
              </w:rPr>
            </w:pPr>
            <w:r>
              <w:rPr>
                <w:rFonts w:ascii="Arial" w:cs="Arial" w:eastAsia="Arial" w:hAnsi="Arial"/>
                <w:sz w:val="18"/>
                <w:szCs w:val="18"/>
                <w:color w:val="02568A"/>
                <w:w w:val="98"/>
              </w:rPr>
              <w:t>456,366</w:t>
            </w: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02568A"/>
              </w:rPr>
              <w:t>2,491,910</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02568A"/>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02568A"/>
              </w:rPr>
              <w:t>369,341</w:t>
            </w:r>
          </w:p>
        </w:tc>
        <w:tc>
          <w:tcPr>
            <w:tcW w:w="1320" w:type="dxa"/>
            <w:vAlign w:val="bottom"/>
            <w:vMerge w:val="restart"/>
          </w:tcPr>
          <w:p>
            <w:pPr>
              <w:jc w:val="right"/>
              <w:ind w:right="32"/>
              <w:spacing w:after="0"/>
              <w:rPr>
                <w:sz w:val="20"/>
                <w:szCs w:val="20"/>
                <w:color w:val="auto"/>
              </w:rPr>
            </w:pPr>
            <w:r>
              <w:rPr>
                <w:rFonts w:ascii="Arial" w:cs="Arial" w:eastAsia="Arial" w:hAnsi="Arial"/>
                <w:sz w:val="18"/>
                <w:szCs w:val="18"/>
                <w:color w:val="02568A"/>
              </w:rPr>
              <w:t>13,075</w:t>
            </w:r>
          </w:p>
        </w:tc>
        <w:tc>
          <w:tcPr>
            <w:tcW w:w="1240" w:type="dxa"/>
            <w:vAlign w:val="bottom"/>
            <w:vMerge w:val="restart"/>
          </w:tcPr>
          <w:p>
            <w:pPr>
              <w:jc w:val="right"/>
              <w:ind w:right="232"/>
              <w:spacing w:after="0"/>
              <w:rPr>
                <w:sz w:val="20"/>
                <w:szCs w:val="20"/>
                <w:color w:val="auto"/>
              </w:rPr>
            </w:pPr>
            <w:r>
              <w:rPr>
                <w:rFonts w:ascii="Arial" w:cs="Arial" w:eastAsia="Arial" w:hAnsi="Arial"/>
                <w:sz w:val="18"/>
                <w:szCs w:val="18"/>
                <w:color w:val="02568A"/>
              </w:rPr>
              <w:t>3,330,692</w:t>
            </w:r>
          </w:p>
        </w:tc>
        <w:tc>
          <w:tcPr>
            <w:tcW w:w="0" w:type="dxa"/>
            <w:vAlign w:val="bottom"/>
          </w:tcPr>
          <w:p>
            <w:pPr>
              <w:spacing w:after="0"/>
              <w:rPr>
                <w:sz w:val="1"/>
                <w:szCs w:val="1"/>
                <w:color w:val="auto"/>
              </w:rPr>
            </w:pPr>
          </w:p>
        </w:tc>
      </w:tr>
      <w:tr>
        <w:trPr>
          <w:trHeight w:val="114"/>
        </w:trPr>
        <w:tc>
          <w:tcPr>
            <w:tcW w:w="1880" w:type="dxa"/>
            <w:vAlign w:val="bottom"/>
            <w:vMerge w:val="restart"/>
          </w:tcPr>
          <w:p>
            <w:pPr>
              <w:ind w:left="440"/>
              <w:spacing w:after="0"/>
              <w:rPr>
                <w:sz w:val="20"/>
                <w:szCs w:val="20"/>
                <w:color w:val="auto"/>
              </w:rPr>
            </w:pPr>
            <w:r>
              <w:rPr>
                <w:rFonts w:ascii="Arial" w:cs="Arial" w:eastAsia="Arial" w:hAnsi="Arial"/>
                <w:sz w:val="18"/>
                <w:szCs w:val="18"/>
                <w:color w:val="02568A"/>
              </w:rPr>
              <w:t>President and</w:t>
            </w: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80" w:type="dxa"/>
            <w:vAlign w:val="bottom"/>
            <w:vMerge w:val="continue"/>
          </w:tcPr>
          <w:p>
            <w:pPr>
              <w:spacing w:after="0"/>
              <w:rPr>
                <w:sz w:val="9"/>
                <w:szCs w:val="9"/>
                <w:color w:val="auto"/>
              </w:rPr>
            </w:pPr>
          </w:p>
        </w:tc>
        <w:tc>
          <w:tcPr>
            <w:tcW w:w="620" w:type="dxa"/>
            <w:vAlign w:val="bottom"/>
            <w:tcBorders>
              <w:bottom w:val="single" w:sz="8" w:color="D1D2D4"/>
            </w:tcBorders>
          </w:tcPr>
          <w:p>
            <w:pPr>
              <w:spacing w:after="0"/>
              <w:rPr>
                <w:sz w:val="9"/>
                <w:szCs w:val="9"/>
                <w:color w:val="auto"/>
              </w:rPr>
            </w:pPr>
          </w:p>
        </w:tc>
        <w:tc>
          <w:tcPr>
            <w:tcW w:w="860" w:type="dxa"/>
            <w:vAlign w:val="bottom"/>
            <w:tcBorders>
              <w:bottom w:val="single" w:sz="8" w:color="D1D2D4"/>
            </w:tcBorders>
          </w:tcPr>
          <w:p>
            <w:pPr>
              <w:spacing w:after="0"/>
              <w:rPr>
                <w:sz w:val="9"/>
                <w:szCs w:val="9"/>
                <w:color w:val="auto"/>
              </w:rPr>
            </w:pPr>
          </w:p>
        </w:tc>
        <w:tc>
          <w:tcPr>
            <w:tcW w:w="1020" w:type="dxa"/>
            <w:vAlign w:val="bottom"/>
            <w:tcBorders>
              <w:bottom w:val="single" w:sz="8" w:color="D1D2D4"/>
            </w:tcBorders>
          </w:tcPr>
          <w:p>
            <w:pPr>
              <w:spacing w:after="0"/>
              <w:rPr>
                <w:sz w:val="9"/>
                <w:szCs w:val="9"/>
                <w:color w:val="auto"/>
              </w:rPr>
            </w:pPr>
          </w:p>
        </w:tc>
        <w:tc>
          <w:tcPr>
            <w:tcW w:w="900" w:type="dxa"/>
            <w:vAlign w:val="bottom"/>
            <w:tcBorders>
              <w:bottom w:val="single" w:sz="8" w:color="D1D2D4"/>
            </w:tcBorders>
          </w:tcPr>
          <w:p>
            <w:pPr>
              <w:spacing w:after="0"/>
              <w:rPr>
                <w:sz w:val="9"/>
                <w:szCs w:val="9"/>
                <w:color w:val="auto"/>
              </w:rPr>
            </w:pPr>
          </w:p>
        </w:tc>
        <w:tc>
          <w:tcPr>
            <w:tcW w:w="1260" w:type="dxa"/>
            <w:vAlign w:val="bottom"/>
            <w:tcBorders>
              <w:bottom w:val="single" w:sz="8" w:color="D1D2D4"/>
            </w:tcBorders>
          </w:tcPr>
          <w:p>
            <w:pPr>
              <w:spacing w:after="0"/>
              <w:rPr>
                <w:sz w:val="9"/>
                <w:szCs w:val="9"/>
                <w:color w:val="auto"/>
              </w:rPr>
            </w:pPr>
          </w:p>
        </w:tc>
        <w:tc>
          <w:tcPr>
            <w:tcW w:w="1320" w:type="dxa"/>
            <w:vAlign w:val="bottom"/>
            <w:tcBorders>
              <w:bottom w:val="single" w:sz="8" w:color="D1D2D4"/>
            </w:tcBorders>
          </w:tcPr>
          <w:p>
            <w:pPr>
              <w:spacing w:after="0"/>
              <w:rPr>
                <w:sz w:val="9"/>
                <w:szCs w:val="9"/>
                <w:color w:val="auto"/>
              </w:rPr>
            </w:pPr>
          </w:p>
        </w:tc>
        <w:tc>
          <w:tcPr>
            <w:tcW w:w="1240" w:type="dxa"/>
            <w:vAlign w:val="bottom"/>
            <w:tcBorders>
              <w:bottom w:val="single" w:sz="8" w:color="D1D2D4"/>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440"/>
              <w:spacing w:after="0" w:line="203" w:lineRule="exact"/>
              <w:rPr>
                <w:sz w:val="20"/>
                <w:szCs w:val="20"/>
                <w:color w:val="auto"/>
              </w:rPr>
            </w:pPr>
            <w:r>
              <w:rPr>
                <w:rFonts w:ascii="Arial" w:cs="Arial" w:eastAsia="Arial" w:hAnsi="Arial"/>
                <w:sz w:val="18"/>
                <w:szCs w:val="18"/>
                <w:color w:val="02568A"/>
              </w:rPr>
              <w:t>Chief Financial</w:t>
            </w:r>
          </w:p>
        </w:tc>
        <w:tc>
          <w:tcPr>
            <w:tcW w:w="620" w:type="dxa"/>
            <w:vAlign w:val="bottom"/>
            <w:vMerge w:val="restart"/>
          </w:tcPr>
          <w:p>
            <w:pPr>
              <w:ind w:left="100"/>
              <w:spacing w:after="0"/>
              <w:rPr>
                <w:sz w:val="20"/>
                <w:szCs w:val="20"/>
                <w:color w:val="auto"/>
              </w:rPr>
            </w:pPr>
            <w:r>
              <w:rPr>
                <w:rFonts w:ascii="Arial" w:cs="Arial" w:eastAsia="Arial" w:hAnsi="Arial"/>
                <w:sz w:val="18"/>
                <w:szCs w:val="18"/>
                <w:color w:val="02568A"/>
              </w:rPr>
              <w:t>2017</w:t>
            </w:r>
          </w:p>
        </w:tc>
        <w:tc>
          <w:tcPr>
            <w:tcW w:w="860" w:type="dxa"/>
            <w:vAlign w:val="bottom"/>
            <w:vMerge w:val="restart"/>
          </w:tcPr>
          <w:p>
            <w:pPr>
              <w:ind w:left="200"/>
              <w:spacing w:after="0"/>
              <w:rPr>
                <w:sz w:val="20"/>
                <w:szCs w:val="20"/>
                <w:color w:val="auto"/>
              </w:rPr>
            </w:pPr>
            <w:r>
              <w:rPr>
                <w:rFonts w:ascii="Arial" w:cs="Arial" w:eastAsia="Arial" w:hAnsi="Arial"/>
                <w:sz w:val="18"/>
                <w:szCs w:val="18"/>
                <w:color w:val="02568A"/>
                <w:w w:val="98"/>
              </w:rPr>
              <w:t>425,000</w:t>
            </w: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02568A"/>
              </w:rPr>
              <w:t>1,289,639</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02568A"/>
              </w:rPr>
              <w:t>297,268</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02568A"/>
              </w:rPr>
              <w:t>358,047</w:t>
            </w:r>
          </w:p>
        </w:tc>
        <w:tc>
          <w:tcPr>
            <w:tcW w:w="1320" w:type="dxa"/>
            <w:vAlign w:val="bottom"/>
            <w:vMerge w:val="restart"/>
          </w:tcPr>
          <w:p>
            <w:pPr>
              <w:jc w:val="right"/>
              <w:ind w:right="32"/>
              <w:spacing w:after="0"/>
              <w:rPr>
                <w:sz w:val="20"/>
                <w:szCs w:val="20"/>
                <w:color w:val="auto"/>
              </w:rPr>
            </w:pPr>
            <w:r>
              <w:rPr>
                <w:rFonts w:ascii="Arial" w:cs="Arial" w:eastAsia="Arial" w:hAnsi="Arial"/>
                <w:sz w:val="18"/>
                <w:szCs w:val="18"/>
                <w:color w:val="02568A"/>
              </w:rPr>
              <w:t>235,494</w:t>
            </w:r>
          </w:p>
        </w:tc>
        <w:tc>
          <w:tcPr>
            <w:tcW w:w="1240" w:type="dxa"/>
            <w:vAlign w:val="bottom"/>
            <w:vMerge w:val="restart"/>
          </w:tcPr>
          <w:p>
            <w:pPr>
              <w:jc w:val="right"/>
              <w:ind w:right="232"/>
              <w:spacing w:after="0"/>
              <w:rPr>
                <w:sz w:val="20"/>
                <w:szCs w:val="20"/>
                <w:color w:val="auto"/>
              </w:rPr>
            </w:pPr>
            <w:r>
              <w:rPr>
                <w:rFonts w:ascii="Arial" w:cs="Arial" w:eastAsia="Arial" w:hAnsi="Arial"/>
                <w:sz w:val="18"/>
                <w:szCs w:val="18"/>
                <w:color w:val="02568A"/>
              </w:rPr>
              <w:t>2,605,448</w:t>
            </w:r>
          </w:p>
        </w:tc>
        <w:tc>
          <w:tcPr>
            <w:tcW w:w="0" w:type="dxa"/>
            <w:vAlign w:val="bottom"/>
          </w:tcPr>
          <w:p>
            <w:pPr>
              <w:spacing w:after="0"/>
              <w:rPr>
                <w:sz w:val="1"/>
                <w:szCs w:val="1"/>
                <w:color w:val="auto"/>
              </w:rPr>
            </w:pPr>
          </w:p>
        </w:tc>
      </w:tr>
      <w:tr>
        <w:trPr>
          <w:trHeight w:val="114"/>
        </w:trPr>
        <w:tc>
          <w:tcPr>
            <w:tcW w:w="1880" w:type="dxa"/>
            <w:vAlign w:val="bottom"/>
            <w:vMerge w:val="restart"/>
          </w:tcPr>
          <w:p>
            <w:pPr>
              <w:ind w:left="440"/>
              <w:spacing w:after="0"/>
              <w:rPr>
                <w:sz w:val="20"/>
                <w:szCs w:val="20"/>
                <w:color w:val="auto"/>
              </w:rPr>
            </w:pPr>
            <w:r>
              <w:rPr>
                <w:rFonts w:ascii="Arial" w:cs="Arial" w:eastAsia="Arial" w:hAnsi="Arial"/>
                <w:sz w:val="18"/>
                <w:szCs w:val="18"/>
                <w:color w:val="02568A"/>
              </w:rPr>
              <w:t>Officer</w:t>
            </w: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80" w:type="dxa"/>
            <w:vAlign w:val="bottom"/>
            <w:tcBorders>
              <w:bottom w:val="single" w:sz="8" w:color="D1D2D4"/>
            </w:tcBorders>
            <w:vMerge w:val="continue"/>
          </w:tcPr>
          <w:p>
            <w:pPr>
              <w:spacing w:after="0"/>
              <w:rPr>
                <w:sz w:val="9"/>
                <w:szCs w:val="9"/>
                <w:color w:val="auto"/>
              </w:rPr>
            </w:pPr>
          </w:p>
        </w:tc>
        <w:tc>
          <w:tcPr>
            <w:tcW w:w="620" w:type="dxa"/>
            <w:vAlign w:val="bottom"/>
            <w:tcBorders>
              <w:bottom w:val="single" w:sz="8" w:color="D1D2D4"/>
            </w:tcBorders>
          </w:tcPr>
          <w:p>
            <w:pPr>
              <w:spacing w:after="0"/>
              <w:rPr>
                <w:sz w:val="9"/>
                <w:szCs w:val="9"/>
                <w:color w:val="auto"/>
              </w:rPr>
            </w:pPr>
          </w:p>
        </w:tc>
        <w:tc>
          <w:tcPr>
            <w:tcW w:w="860" w:type="dxa"/>
            <w:vAlign w:val="bottom"/>
            <w:tcBorders>
              <w:bottom w:val="single" w:sz="8" w:color="D1D2D4"/>
            </w:tcBorders>
          </w:tcPr>
          <w:p>
            <w:pPr>
              <w:spacing w:after="0"/>
              <w:rPr>
                <w:sz w:val="9"/>
                <w:szCs w:val="9"/>
                <w:color w:val="auto"/>
              </w:rPr>
            </w:pPr>
          </w:p>
        </w:tc>
        <w:tc>
          <w:tcPr>
            <w:tcW w:w="1020" w:type="dxa"/>
            <w:vAlign w:val="bottom"/>
            <w:tcBorders>
              <w:bottom w:val="single" w:sz="8" w:color="D1D2D4"/>
            </w:tcBorders>
          </w:tcPr>
          <w:p>
            <w:pPr>
              <w:spacing w:after="0"/>
              <w:rPr>
                <w:sz w:val="9"/>
                <w:szCs w:val="9"/>
                <w:color w:val="auto"/>
              </w:rPr>
            </w:pPr>
          </w:p>
        </w:tc>
        <w:tc>
          <w:tcPr>
            <w:tcW w:w="900" w:type="dxa"/>
            <w:vAlign w:val="bottom"/>
            <w:tcBorders>
              <w:bottom w:val="single" w:sz="8" w:color="D1D2D4"/>
            </w:tcBorders>
          </w:tcPr>
          <w:p>
            <w:pPr>
              <w:spacing w:after="0"/>
              <w:rPr>
                <w:sz w:val="9"/>
                <w:szCs w:val="9"/>
                <w:color w:val="auto"/>
              </w:rPr>
            </w:pPr>
          </w:p>
        </w:tc>
        <w:tc>
          <w:tcPr>
            <w:tcW w:w="1260" w:type="dxa"/>
            <w:vAlign w:val="bottom"/>
            <w:tcBorders>
              <w:bottom w:val="single" w:sz="8" w:color="D1D2D4"/>
            </w:tcBorders>
          </w:tcPr>
          <w:p>
            <w:pPr>
              <w:spacing w:after="0"/>
              <w:rPr>
                <w:sz w:val="9"/>
                <w:szCs w:val="9"/>
                <w:color w:val="auto"/>
              </w:rPr>
            </w:pPr>
          </w:p>
        </w:tc>
        <w:tc>
          <w:tcPr>
            <w:tcW w:w="1320" w:type="dxa"/>
            <w:vAlign w:val="bottom"/>
            <w:tcBorders>
              <w:bottom w:val="single" w:sz="8" w:color="D1D2D4"/>
            </w:tcBorders>
          </w:tcPr>
          <w:p>
            <w:pPr>
              <w:spacing w:after="0"/>
              <w:rPr>
                <w:sz w:val="9"/>
                <w:szCs w:val="9"/>
                <w:color w:val="auto"/>
              </w:rPr>
            </w:pPr>
          </w:p>
        </w:tc>
        <w:tc>
          <w:tcPr>
            <w:tcW w:w="1240" w:type="dxa"/>
            <w:vAlign w:val="bottom"/>
            <w:tcBorders>
              <w:bottom w:val="single" w:sz="8" w:color="D1D2D4"/>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88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Carlos S. Bori</w:t>
            </w:r>
          </w:p>
        </w:tc>
        <w:tc>
          <w:tcPr>
            <w:tcW w:w="620" w:type="dxa"/>
            <w:vAlign w:val="bottom"/>
            <w:tcBorders>
              <w:bottom w:val="single" w:sz="8" w:color="D1D2D4"/>
            </w:tcBorders>
            <w:shd w:val="clear" w:color="auto" w:fill="CED8EA"/>
          </w:tcPr>
          <w:p>
            <w:pPr>
              <w:ind w:left="100"/>
              <w:spacing w:after="0"/>
              <w:rPr>
                <w:sz w:val="20"/>
                <w:szCs w:val="20"/>
                <w:color w:val="auto"/>
              </w:rPr>
            </w:pPr>
            <w:r>
              <w:rPr>
                <w:rFonts w:ascii="Arial" w:cs="Arial" w:eastAsia="Arial" w:hAnsi="Arial"/>
                <w:sz w:val="18"/>
                <w:szCs w:val="18"/>
                <w:color w:val="02568A"/>
              </w:rPr>
              <w:t>2019</w:t>
            </w:r>
          </w:p>
        </w:tc>
        <w:tc>
          <w:tcPr>
            <w:tcW w:w="860" w:type="dxa"/>
            <w:vAlign w:val="bottom"/>
            <w:tcBorders>
              <w:bottom w:val="single" w:sz="8" w:color="D1D2D4"/>
            </w:tcBorders>
            <w:shd w:val="clear" w:color="auto" w:fill="CED8EA"/>
          </w:tcPr>
          <w:p>
            <w:pPr>
              <w:ind w:left="200"/>
              <w:spacing w:after="0"/>
              <w:rPr>
                <w:sz w:val="20"/>
                <w:szCs w:val="20"/>
                <w:color w:val="auto"/>
              </w:rPr>
            </w:pPr>
            <w:r>
              <w:rPr>
                <w:rFonts w:ascii="Arial" w:cs="Arial" w:eastAsia="Arial" w:hAnsi="Arial"/>
                <w:sz w:val="18"/>
                <w:szCs w:val="18"/>
                <w:color w:val="02568A"/>
                <w:w w:val="98"/>
              </w:rPr>
              <w:t>428,200</w:t>
            </w:r>
          </w:p>
        </w:tc>
        <w:tc>
          <w:tcPr>
            <w:tcW w:w="1020" w:type="dxa"/>
            <w:vAlign w:val="bottom"/>
            <w:tcBorders>
              <w:bottom w:val="single" w:sz="8" w:color="D1D2D4"/>
            </w:tcBorders>
            <w:shd w:val="clear" w:color="auto" w:fill="CED8EA"/>
          </w:tcPr>
          <w:p>
            <w:pPr>
              <w:jc w:val="right"/>
              <w:ind w:right="32"/>
              <w:spacing w:after="0"/>
              <w:rPr>
                <w:sz w:val="20"/>
                <w:szCs w:val="20"/>
                <w:color w:val="auto"/>
              </w:rPr>
            </w:pPr>
            <w:r>
              <w:rPr>
                <w:rFonts w:ascii="Arial" w:cs="Arial" w:eastAsia="Arial" w:hAnsi="Arial"/>
                <w:sz w:val="18"/>
                <w:szCs w:val="18"/>
                <w:color w:val="02568A"/>
              </w:rPr>
              <w:t>3,147,860</w:t>
            </w:r>
          </w:p>
        </w:tc>
        <w:tc>
          <w:tcPr>
            <w:tcW w:w="90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w:t>
            </w:r>
          </w:p>
        </w:tc>
        <w:tc>
          <w:tcPr>
            <w:tcW w:w="126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222,373</w:t>
            </w:r>
          </w:p>
        </w:tc>
        <w:tc>
          <w:tcPr>
            <w:tcW w:w="1320" w:type="dxa"/>
            <w:vAlign w:val="bottom"/>
            <w:tcBorders>
              <w:bottom w:val="single" w:sz="8" w:color="D1D2D4"/>
            </w:tcBorders>
            <w:shd w:val="clear" w:color="auto" w:fill="CED8EA"/>
          </w:tcPr>
          <w:p>
            <w:pPr>
              <w:jc w:val="right"/>
              <w:ind w:right="32"/>
              <w:spacing w:after="0"/>
              <w:rPr>
                <w:sz w:val="20"/>
                <w:szCs w:val="20"/>
                <w:color w:val="auto"/>
              </w:rPr>
            </w:pPr>
            <w:r>
              <w:rPr>
                <w:rFonts w:ascii="Arial" w:cs="Arial" w:eastAsia="Arial" w:hAnsi="Arial"/>
                <w:sz w:val="18"/>
                <w:szCs w:val="18"/>
                <w:color w:val="02568A"/>
              </w:rPr>
              <w:t>12,561</w:t>
            </w:r>
          </w:p>
        </w:tc>
        <w:tc>
          <w:tcPr>
            <w:tcW w:w="1240" w:type="dxa"/>
            <w:vAlign w:val="bottom"/>
            <w:tcBorders>
              <w:bottom w:val="single" w:sz="8" w:color="D1D2D4"/>
            </w:tcBorders>
            <w:shd w:val="clear" w:color="auto" w:fill="CED8EA"/>
          </w:tcPr>
          <w:p>
            <w:pPr>
              <w:jc w:val="right"/>
              <w:ind w:right="232"/>
              <w:spacing w:after="0"/>
              <w:rPr>
                <w:sz w:val="20"/>
                <w:szCs w:val="20"/>
                <w:color w:val="auto"/>
              </w:rPr>
            </w:pPr>
            <w:r>
              <w:rPr>
                <w:rFonts w:ascii="Arial" w:cs="Arial" w:eastAsia="Arial" w:hAnsi="Arial"/>
                <w:sz w:val="18"/>
                <w:szCs w:val="18"/>
                <w:color w:val="02568A"/>
              </w:rPr>
              <w:t>3,810,994</w:t>
            </w:r>
          </w:p>
        </w:tc>
        <w:tc>
          <w:tcPr>
            <w:tcW w:w="0" w:type="dxa"/>
            <w:vAlign w:val="bottom"/>
          </w:tcPr>
          <w:p>
            <w:pPr>
              <w:spacing w:after="0"/>
              <w:rPr>
                <w:sz w:val="1"/>
                <w:szCs w:val="1"/>
                <w:color w:val="auto"/>
              </w:rPr>
            </w:pPr>
          </w:p>
        </w:tc>
      </w:tr>
      <w:tr>
        <w:trPr>
          <w:trHeight w:val="201"/>
        </w:trPr>
        <w:tc>
          <w:tcPr>
            <w:tcW w:w="1880" w:type="dxa"/>
            <w:vAlign w:val="bottom"/>
          </w:tcPr>
          <w:p>
            <w:pPr>
              <w:ind w:left="440"/>
              <w:spacing w:after="0" w:line="201" w:lineRule="exact"/>
              <w:rPr>
                <w:sz w:val="20"/>
                <w:szCs w:val="20"/>
                <w:color w:val="auto"/>
              </w:rPr>
            </w:pPr>
            <w:r>
              <w:rPr>
                <w:rFonts w:ascii="Arial" w:cs="Arial" w:eastAsia="Arial" w:hAnsi="Arial"/>
                <w:sz w:val="18"/>
                <w:szCs w:val="18"/>
                <w:color w:val="02568A"/>
              </w:rPr>
              <w:t>Senior Vice</w:t>
            </w:r>
          </w:p>
        </w:tc>
        <w:tc>
          <w:tcPr>
            <w:tcW w:w="620" w:type="dxa"/>
            <w:vAlign w:val="bottom"/>
            <w:vMerge w:val="restart"/>
          </w:tcPr>
          <w:p>
            <w:pPr>
              <w:ind w:left="100"/>
              <w:spacing w:after="0"/>
              <w:rPr>
                <w:sz w:val="20"/>
                <w:szCs w:val="20"/>
                <w:color w:val="auto"/>
              </w:rPr>
            </w:pPr>
            <w:r>
              <w:rPr>
                <w:rFonts w:ascii="Arial" w:cs="Arial" w:eastAsia="Arial" w:hAnsi="Arial"/>
                <w:sz w:val="18"/>
                <w:szCs w:val="18"/>
                <w:color w:val="02568A"/>
              </w:rPr>
              <w:t>2018</w:t>
            </w:r>
          </w:p>
        </w:tc>
        <w:tc>
          <w:tcPr>
            <w:tcW w:w="860" w:type="dxa"/>
            <w:vAlign w:val="bottom"/>
            <w:vMerge w:val="restart"/>
          </w:tcPr>
          <w:p>
            <w:pPr>
              <w:ind w:left="200"/>
              <w:spacing w:after="0"/>
              <w:rPr>
                <w:sz w:val="20"/>
                <w:szCs w:val="20"/>
                <w:color w:val="auto"/>
              </w:rPr>
            </w:pPr>
            <w:r>
              <w:rPr>
                <w:rFonts w:ascii="Arial" w:cs="Arial" w:eastAsia="Arial" w:hAnsi="Arial"/>
                <w:sz w:val="18"/>
                <w:szCs w:val="18"/>
                <w:color w:val="02568A"/>
                <w:w w:val="98"/>
              </w:rPr>
              <w:t>398,535</w:t>
            </w: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02568A"/>
              </w:rPr>
              <w:t>2,491,910</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02568A"/>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02568A"/>
              </w:rPr>
              <w:t>251,669</w:t>
            </w:r>
          </w:p>
        </w:tc>
        <w:tc>
          <w:tcPr>
            <w:tcW w:w="1320" w:type="dxa"/>
            <w:vAlign w:val="bottom"/>
            <w:vMerge w:val="restart"/>
          </w:tcPr>
          <w:p>
            <w:pPr>
              <w:jc w:val="right"/>
              <w:ind w:right="32"/>
              <w:spacing w:after="0"/>
              <w:rPr>
                <w:sz w:val="20"/>
                <w:szCs w:val="20"/>
                <w:color w:val="auto"/>
              </w:rPr>
            </w:pPr>
            <w:r>
              <w:rPr>
                <w:rFonts w:ascii="Arial" w:cs="Arial" w:eastAsia="Arial" w:hAnsi="Arial"/>
                <w:sz w:val="18"/>
                <w:szCs w:val="18"/>
                <w:color w:val="02568A"/>
              </w:rPr>
              <w:t>12,346</w:t>
            </w:r>
          </w:p>
        </w:tc>
        <w:tc>
          <w:tcPr>
            <w:tcW w:w="1240" w:type="dxa"/>
            <w:vAlign w:val="bottom"/>
            <w:vMerge w:val="restart"/>
          </w:tcPr>
          <w:p>
            <w:pPr>
              <w:jc w:val="right"/>
              <w:ind w:right="232"/>
              <w:spacing w:after="0"/>
              <w:rPr>
                <w:sz w:val="20"/>
                <w:szCs w:val="20"/>
                <w:color w:val="auto"/>
              </w:rPr>
            </w:pPr>
            <w:r>
              <w:rPr>
                <w:rFonts w:ascii="Arial" w:cs="Arial" w:eastAsia="Arial" w:hAnsi="Arial"/>
                <w:sz w:val="18"/>
                <w:szCs w:val="18"/>
                <w:color w:val="02568A"/>
              </w:rPr>
              <w:t>3,154,460</w:t>
            </w:r>
          </w:p>
        </w:tc>
        <w:tc>
          <w:tcPr>
            <w:tcW w:w="0" w:type="dxa"/>
            <w:vAlign w:val="bottom"/>
          </w:tcPr>
          <w:p>
            <w:pPr>
              <w:spacing w:after="0"/>
              <w:rPr>
                <w:sz w:val="1"/>
                <w:szCs w:val="1"/>
                <w:color w:val="auto"/>
              </w:rPr>
            </w:pPr>
          </w:p>
        </w:tc>
      </w:tr>
      <w:tr>
        <w:trPr>
          <w:trHeight w:val="114"/>
        </w:trPr>
        <w:tc>
          <w:tcPr>
            <w:tcW w:w="1880" w:type="dxa"/>
            <w:vAlign w:val="bottom"/>
            <w:vMerge w:val="restart"/>
          </w:tcPr>
          <w:p>
            <w:pPr>
              <w:ind w:left="440"/>
              <w:spacing w:after="0"/>
              <w:rPr>
                <w:sz w:val="20"/>
                <w:szCs w:val="20"/>
                <w:color w:val="auto"/>
              </w:rPr>
            </w:pPr>
            <w:r>
              <w:rPr>
                <w:rFonts w:ascii="Arial" w:cs="Arial" w:eastAsia="Arial" w:hAnsi="Arial"/>
                <w:sz w:val="18"/>
                <w:szCs w:val="18"/>
                <w:color w:val="02568A"/>
              </w:rPr>
              <w:t>President,</w:t>
            </w: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80" w:type="dxa"/>
            <w:vAlign w:val="bottom"/>
            <w:vMerge w:val="continue"/>
          </w:tcPr>
          <w:p>
            <w:pPr>
              <w:spacing w:after="0"/>
              <w:rPr>
                <w:sz w:val="9"/>
                <w:szCs w:val="9"/>
                <w:color w:val="auto"/>
              </w:rPr>
            </w:pPr>
          </w:p>
        </w:tc>
        <w:tc>
          <w:tcPr>
            <w:tcW w:w="620" w:type="dxa"/>
            <w:vAlign w:val="bottom"/>
            <w:tcBorders>
              <w:bottom w:val="single" w:sz="8" w:color="D1D2D4"/>
            </w:tcBorders>
          </w:tcPr>
          <w:p>
            <w:pPr>
              <w:spacing w:after="0"/>
              <w:rPr>
                <w:sz w:val="9"/>
                <w:szCs w:val="9"/>
                <w:color w:val="auto"/>
              </w:rPr>
            </w:pPr>
          </w:p>
        </w:tc>
        <w:tc>
          <w:tcPr>
            <w:tcW w:w="860" w:type="dxa"/>
            <w:vAlign w:val="bottom"/>
            <w:tcBorders>
              <w:bottom w:val="single" w:sz="8" w:color="D1D2D4"/>
            </w:tcBorders>
          </w:tcPr>
          <w:p>
            <w:pPr>
              <w:spacing w:after="0"/>
              <w:rPr>
                <w:sz w:val="9"/>
                <w:szCs w:val="9"/>
                <w:color w:val="auto"/>
              </w:rPr>
            </w:pPr>
          </w:p>
        </w:tc>
        <w:tc>
          <w:tcPr>
            <w:tcW w:w="1020" w:type="dxa"/>
            <w:vAlign w:val="bottom"/>
            <w:tcBorders>
              <w:bottom w:val="single" w:sz="8" w:color="D1D2D4"/>
            </w:tcBorders>
          </w:tcPr>
          <w:p>
            <w:pPr>
              <w:spacing w:after="0"/>
              <w:rPr>
                <w:sz w:val="9"/>
                <w:szCs w:val="9"/>
                <w:color w:val="auto"/>
              </w:rPr>
            </w:pPr>
          </w:p>
        </w:tc>
        <w:tc>
          <w:tcPr>
            <w:tcW w:w="900" w:type="dxa"/>
            <w:vAlign w:val="bottom"/>
            <w:tcBorders>
              <w:bottom w:val="single" w:sz="8" w:color="D1D2D4"/>
            </w:tcBorders>
          </w:tcPr>
          <w:p>
            <w:pPr>
              <w:spacing w:after="0"/>
              <w:rPr>
                <w:sz w:val="9"/>
                <w:szCs w:val="9"/>
                <w:color w:val="auto"/>
              </w:rPr>
            </w:pPr>
          </w:p>
        </w:tc>
        <w:tc>
          <w:tcPr>
            <w:tcW w:w="1260" w:type="dxa"/>
            <w:vAlign w:val="bottom"/>
            <w:tcBorders>
              <w:bottom w:val="single" w:sz="8" w:color="D1D2D4"/>
            </w:tcBorders>
          </w:tcPr>
          <w:p>
            <w:pPr>
              <w:spacing w:after="0"/>
              <w:rPr>
                <w:sz w:val="9"/>
                <w:szCs w:val="9"/>
                <w:color w:val="auto"/>
              </w:rPr>
            </w:pPr>
          </w:p>
        </w:tc>
        <w:tc>
          <w:tcPr>
            <w:tcW w:w="1320" w:type="dxa"/>
            <w:vAlign w:val="bottom"/>
            <w:tcBorders>
              <w:bottom w:val="single" w:sz="8" w:color="D1D2D4"/>
            </w:tcBorders>
          </w:tcPr>
          <w:p>
            <w:pPr>
              <w:spacing w:after="0"/>
              <w:rPr>
                <w:sz w:val="9"/>
                <w:szCs w:val="9"/>
                <w:color w:val="auto"/>
              </w:rPr>
            </w:pPr>
          </w:p>
        </w:tc>
        <w:tc>
          <w:tcPr>
            <w:tcW w:w="1240" w:type="dxa"/>
            <w:vAlign w:val="bottom"/>
            <w:tcBorders>
              <w:bottom w:val="single" w:sz="8" w:color="D1D2D4"/>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440"/>
              <w:spacing w:after="0" w:line="203" w:lineRule="exact"/>
              <w:rPr>
                <w:sz w:val="20"/>
                <w:szCs w:val="20"/>
                <w:color w:val="auto"/>
              </w:rPr>
            </w:pPr>
            <w:r>
              <w:rPr>
                <w:rFonts w:ascii="Arial" w:cs="Arial" w:eastAsia="Arial" w:hAnsi="Arial"/>
                <w:sz w:val="18"/>
                <w:szCs w:val="18"/>
                <w:color w:val="02568A"/>
              </w:rPr>
              <w:t>Sales and</w:t>
            </w:r>
          </w:p>
        </w:tc>
        <w:tc>
          <w:tcPr>
            <w:tcW w:w="620" w:type="dxa"/>
            <w:vAlign w:val="bottom"/>
            <w:vMerge w:val="restart"/>
          </w:tcPr>
          <w:p>
            <w:pPr>
              <w:ind w:left="100"/>
              <w:spacing w:after="0"/>
              <w:rPr>
                <w:sz w:val="20"/>
                <w:szCs w:val="20"/>
                <w:color w:val="auto"/>
              </w:rPr>
            </w:pPr>
            <w:r>
              <w:rPr>
                <w:rFonts w:ascii="Arial" w:cs="Arial" w:eastAsia="Arial" w:hAnsi="Arial"/>
                <w:sz w:val="18"/>
                <w:szCs w:val="18"/>
                <w:color w:val="02568A"/>
              </w:rPr>
              <w:t>2017</w:t>
            </w:r>
          </w:p>
        </w:tc>
        <w:tc>
          <w:tcPr>
            <w:tcW w:w="860" w:type="dxa"/>
            <w:vAlign w:val="bottom"/>
            <w:vMerge w:val="restart"/>
          </w:tcPr>
          <w:p>
            <w:pPr>
              <w:ind w:left="200"/>
              <w:spacing w:after="0"/>
              <w:rPr>
                <w:sz w:val="20"/>
                <w:szCs w:val="20"/>
                <w:color w:val="auto"/>
              </w:rPr>
            </w:pPr>
            <w:r>
              <w:rPr>
                <w:rFonts w:ascii="Arial" w:cs="Arial" w:eastAsia="Arial" w:hAnsi="Arial"/>
                <w:sz w:val="18"/>
                <w:szCs w:val="18"/>
                <w:color w:val="02568A"/>
                <w:w w:val="98"/>
              </w:rPr>
              <w:t>356,493</w:t>
            </w: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02568A"/>
              </w:rPr>
              <w:t>1,245,174</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02568A"/>
              </w:rPr>
              <w:t>287,025</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02568A"/>
              </w:rPr>
              <w:t>235,890</w:t>
            </w:r>
          </w:p>
        </w:tc>
        <w:tc>
          <w:tcPr>
            <w:tcW w:w="1320" w:type="dxa"/>
            <w:vAlign w:val="bottom"/>
            <w:vMerge w:val="restart"/>
          </w:tcPr>
          <w:p>
            <w:pPr>
              <w:jc w:val="right"/>
              <w:ind w:right="32"/>
              <w:spacing w:after="0"/>
              <w:rPr>
                <w:sz w:val="20"/>
                <w:szCs w:val="20"/>
                <w:color w:val="auto"/>
              </w:rPr>
            </w:pPr>
            <w:r>
              <w:rPr>
                <w:rFonts w:ascii="Arial" w:cs="Arial" w:eastAsia="Arial" w:hAnsi="Arial"/>
                <w:sz w:val="18"/>
                <w:szCs w:val="18"/>
                <w:color w:val="02568A"/>
              </w:rPr>
              <w:t>31,244</w:t>
            </w:r>
          </w:p>
        </w:tc>
        <w:tc>
          <w:tcPr>
            <w:tcW w:w="1240" w:type="dxa"/>
            <w:vAlign w:val="bottom"/>
            <w:vMerge w:val="restart"/>
          </w:tcPr>
          <w:p>
            <w:pPr>
              <w:jc w:val="right"/>
              <w:ind w:right="232"/>
              <w:spacing w:after="0"/>
              <w:rPr>
                <w:sz w:val="20"/>
                <w:szCs w:val="20"/>
                <w:color w:val="auto"/>
              </w:rPr>
            </w:pPr>
            <w:r>
              <w:rPr>
                <w:rFonts w:ascii="Arial" w:cs="Arial" w:eastAsia="Arial" w:hAnsi="Arial"/>
                <w:sz w:val="18"/>
                <w:szCs w:val="18"/>
                <w:color w:val="02568A"/>
              </w:rPr>
              <w:t>2,155,826</w:t>
            </w:r>
          </w:p>
        </w:tc>
        <w:tc>
          <w:tcPr>
            <w:tcW w:w="0" w:type="dxa"/>
            <w:vAlign w:val="bottom"/>
          </w:tcPr>
          <w:p>
            <w:pPr>
              <w:spacing w:after="0"/>
              <w:rPr>
                <w:sz w:val="1"/>
                <w:szCs w:val="1"/>
                <w:color w:val="auto"/>
              </w:rPr>
            </w:pPr>
          </w:p>
        </w:tc>
      </w:tr>
      <w:tr>
        <w:trPr>
          <w:trHeight w:val="114"/>
        </w:trPr>
        <w:tc>
          <w:tcPr>
            <w:tcW w:w="1880" w:type="dxa"/>
            <w:vAlign w:val="bottom"/>
            <w:vMerge w:val="restart"/>
          </w:tcPr>
          <w:p>
            <w:pPr>
              <w:ind w:left="440"/>
              <w:spacing w:after="0"/>
              <w:rPr>
                <w:sz w:val="20"/>
                <w:szCs w:val="20"/>
                <w:color w:val="auto"/>
              </w:rPr>
            </w:pPr>
            <w:r>
              <w:rPr>
                <w:rFonts w:ascii="Arial" w:cs="Arial" w:eastAsia="Arial" w:hAnsi="Arial"/>
                <w:sz w:val="18"/>
                <w:szCs w:val="18"/>
                <w:color w:val="02568A"/>
              </w:rPr>
              <w:t>Marketing</w:t>
            </w: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80" w:type="dxa"/>
            <w:vAlign w:val="bottom"/>
            <w:tcBorders>
              <w:bottom w:val="single" w:sz="8" w:color="D1D2D4"/>
            </w:tcBorders>
            <w:vMerge w:val="continue"/>
          </w:tcPr>
          <w:p>
            <w:pPr>
              <w:spacing w:after="0"/>
              <w:rPr>
                <w:sz w:val="9"/>
                <w:szCs w:val="9"/>
                <w:color w:val="auto"/>
              </w:rPr>
            </w:pPr>
          </w:p>
        </w:tc>
        <w:tc>
          <w:tcPr>
            <w:tcW w:w="620" w:type="dxa"/>
            <w:vAlign w:val="bottom"/>
            <w:tcBorders>
              <w:bottom w:val="single" w:sz="8" w:color="D1D2D4"/>
            </w:tcBorders>
          </w:tcPr>
          <w:p>
            <w:pPr>
              <w:spacing w:after="0"/>
              <w:rPr>
                <w:sz w:val="9"/>
                <w:szCs w:val="9"/>
                <w:color w:val="auto"/>
              </w:rPr>
            </w:pPr>
          </w:p>
        </w:tc>
        <w:tc>
          <w:tcPr>
            <w:tcW w:w="860" w:type="dxa"/>
            <w:vAlign w:val="bottom"/>
            <w:tcBorders>
              <w:bottom w:val="single" w:sz="8" w:color="D1D2D4"/>
            </w:tcBorders>
          </w:tcPr>
          <w:p>
            <w:pPr>
              <w:spacing w:after="0"/>
              <w:rPr>
                <w:sz w:val="9"/>
                <w:szCs w:val="9"/>
                <w:color w:val="auto"/>
              </w:rPr>
            </w:pPr>
          </w:p>
        </w:tc>
        <w:tc>
          <w:tcPr>
            <w:tcW w:w="1020" w:type="dxa"/>
            <w:vAlign w:val="bottom"/>
            <w:tcBorders>
              <w:bottom w:val="single" w:sz="8" w:color="D1D2D4"/>
            </w:tcBorders>
          </w:tcPr>
          <w:p>
            <w:pPr>
              <w:spacing w:after="0"/>
              <w:rPr>
                <w:sz w:val="9"/>
                <w:szCs w:val="9"/>
                <w:color w:val="auto"/>
              </w:rPr>
            </w:pPr>
          </w:p>
        </w:tc>
        <w:tc>
          <w:tcPr>
            <w:tcW w:w="900" w:type="dxa"/>
            <w:vAlign w:val="bottom"/>
            <w:tcBorders>
              <w:bottom w:val="single" w:sz="8" w:color="D1D2D4"/>
            </w:tcBorders>
          </w:tcPr>
          <w:p>
            <w:pPr>
              <w:spacing w:after="0"/>
              <w:rPr>
                <w:sz w:val="9"/>
                <w:szCs w:val="9"/>
                <w:color w:val="auto"/>
              </w:rPr>
            </w:pPr>
          </w:p>
        </w:tc>
        <w:tc>
          <w:tcPr>
            <w:tcW w:w="1260" w:type="dxa"/>
            <w:vAlign w:val="bottom"/>
            <w:tcBorders>
              <w:bottom w:val="single" w:sz="8" w:color="D1D2D4"/>
            </w:tcBorders>
          </w:tcPr>
          <w:p>
            <w:pPr>
              <w:spacing w:after="0"/>
              <w:rPr>
                <w:sz w:val="9"/>
                <w:szCs w:val="9"/>
                <w:color w:val="auto"/>
              </w:rPr>
            </w:pPr>
          </w:p>
        </w:tc>
        <w:tc>
          <w:tcPr>
            <w:tcW w:w="1320" w:type="dxa"/>
            <w:vAlign w:val="bottom"/>
            <w:tcBorders>
              <w:bottom w:val="single" w:sz="8" w:color="D1D2D4"/>
            </w:tcBorders>
          </w:tcPr>
          <w:p>
            <w:pPr>
              <w:spacing w:after="0"/>
              <w:rPr>
                <w:sz w:val="9"/>
                <w:szCs w:val="9"/>
                <w:color w:val="auto"/>
              </w:rPr>
            </w:pPr>
          </w:p>
        </w:tc>
        <w:tc>
          <w:tcPr>
            <w:tcW w:w="1240" w:type="dxa"/>
            <w:vAlign w:val="bottom"/>
            <w:tcBorders>
              <w:bottom w:val="single" w:sz="8" w:color="D1D2D4"/>
            </w:tcBorders>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88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Robert J. Terry(4)</w:t>
            </w:r>
          </w:p>
        </w:tc>
        <w:tc>
          <w:tcPr>
            <w:tcW w:w="620" w:type="dxa"/>
            <w:vAlign w:val="bottom"/>
            <w:tcBorders>
              <w:bottom w:val="single" w:sz="8" w:color="D1D2D4"/>
            </w:tcBorders>
            <w:shd w:val="clear" w:color="auto" w:fill="CED8EA"/>
          </w:tcPr>
          <w:p>
            <w:pPr>
              <w:ind w:left="100"/>
              <w:spacing w:after="0"/>
              <w:rPr>
                <w:sz w:val="20"/>
                <w:szCs w:val="20"/>
                <w:color w:val="auto"/>
              </w:rPr>
            </w:pPr>
            <w:r>
              <w:rPr>
                <w:rFonts w:ascii="Arial" w:cs="Arial" w:eastAsia="Arial" w:hAnsi="Arial"/>
                <w:sz w:val="18"/>
                <w:szCs w:val="18"/>
                <w:color w:val="02568A"/>
              </w:rPr>
              <w:t>2019</w:t>
            </w:r>
          </w:p>
        </w:tc>
        <w:tc>
          <w:tcPr>
            <w:tcW w:w="860" w:type="dxa"/>
            <w:vAlign w:val="bottom"/>
            <w:tcBorders>
              <w:bottom w:val="single" w:sz="8" w:color="D1D2D4"/>
            </w:tcBorders>
            <w:shd w:val="clear" w:color="auto" w:fill="CED8EA"/>
          </w:tcPr>
          <w:p>
            <w:pPr>
              <w:ind w:left="200"/>
              <w:spacing w:after="0"/>
              <w:rPr>
                <w:sz w:val="20"/>
                <w:szCs w:val="20"/>
                <w:color w:val="auto"/>
              </w:rPr>
            </w:pPr>
            <w:r>
              <w:rPr>
                <w:rFonts w:ascii="Arial" w:cs="Arial" w:eastAsia="Arial" w:hAnsi="Arial"/>
                <w:sz w:val="18"/>
                <w:szCs w:val="18"/>
                <w:color w:val="02568A"/>
                <w:w w:val="98"/>
              </w:rPr>
              <w:t>442,700</w:t>
            </w:r>
          </w:p>
        </w:tc>
        <w:tc>
          <w:tcPr>
            <w:tcW w:w="1020" w:type="dxa"/>
            <w:vAlign w:val="bottom"/>
            <w:tcBorders>
              <w:bottom w:val="single" w:sz="8" w:color="D1D2D4"/>
            </w:tcBorders>
            <w:shd w:val="clear" w:color="auto" w:fill="CED8EA"/>
          </w:tcPr>
          <w:p>
            <w:pPr>
              <w:jc w:val="right"/>
              <w:ind w:right="32"/>
              <w:spacing w:after="0"/>
              <w:rPr>
                <w:sz w:val="20"/>
                <w:szCs w:val="20"/>
                <w:color w:val="auto"/>
              </w:rPr>
            </w:pPr>
            <w:r>
              <w:rPr>
                <w:rFonts w:ascii="Arial" w:cs="Arial" w:eastAsia="Arial" w:hAnsi="Arial"/>
                <w:sz w:val="18"/>
                <w:szCs w:val="18"/>
                <w:color w:val="02568A"/>
              </w:rPr>
              <w:t>1,981,920</w:t>
            </w:r>
          </w:p>
        </w:tc>
        <w:tc>
          <w:tcPr>
            <w:tcW w:w="90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w:t>
            </w:r>
          </w:p>
        </w:tc>
        <w:tc>
          <w:tcPr>
            <w:tcW w:w="126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230,112</w:t>
            </w:r>
          </w:p>
        </w:tc>
        <w:tc>
          <w:tcPr>
            <w:tcW w:w="1320" w:type="dxa"/>
            <w:vAlign w:val="bottom"/>
            <w:tcBorders>
              <w:bottom w:val="single" w:sz="8" w:color="D1D2D4"/>
            </w:tcBorders>
            <w:shd w:val="clear" w:color="auto" w:fill="CED8EA"/>
          </w:tcPr>
          <w:p>
            <w:pPr>
              <w:jc w:val="right"/>
              <w:ind w:right="32"/>
              <w:spacing w:after="0"/>
              <w:rPr>
                <w:sz w:val="20"/>
                <w:szCs w:val="20"/>
                <w:color w:val="auto"/>
              </w:rPr>
            </w:pPr>
            <w:r>
              <w:rPr>
                <w:rFonts w:ascii="Arial" w:cs="Arial" w:eastAsia="Arial" w:hAnsi="Arial"/>
                <w:sz w:val="18"/>
                <w:szCs w:val="18"/>
                <w:color w:val="02568A"/>
              </w:rPr>
              <w:t>15,287</w:t>
            </w:r>
          </w:p>
        </w:tc>
        <w:tc>
          <w:tcPr>
            <w:tcW w:w="1240" w:type="dxa"/>
            <w:vAlign w:val="bottom"/>
            <w:tcBorders>
              <w:bottom w:val="single" w:sz="8" w:color="D1D2D4"/>
            </w:tcBorders>
            <w:shd w:val="clear" w:color="auto" w:fill="CED8EA"/>
          </w:tcPr>
          <w:p>
            <w:pPr>
              <w:jc w:val="right"/>
              <w:ind w:right="232"/>
              <w:spacing w:after="0"/>
              <w:rPr>
                <w:sz w:val="20"/>
                <w:szCs w:val="20"/>
                <w:color w:val="auto"/>
              </w:rPr>
            </w:pPr>
            <w:r>
              <w:rPr>
                <w:rFonts w:ascii="Arial" w:cs="Arial" w:eastAsia="Arial" w:hAnsi="Arial"/>
                <w:sz w:val="18"/>
                <w:szCs w:val="18"/>
                <w:color w:val="02568A"/>
              </w:rPr>
              <w:t>2,670,019</w:t>
            </w:r>
          </w:p>
        </w:tc>
        <w:tc>
          <w:tcPr>
            <w:tcW w:w="0" w:type="dxa"/>
            <w:vAlign w:val="bottom"/>
          </w:tcPr>
          <w:p>
            <w:pPr>
              <w:spacing w:after="0"/>
              <w:rPr>
                <w:sz w:val="1"/>
                <w:szCs w:val="1"/>
                <w:color w:val="auto"/>
              </w:rPr>
            </w:pPr>
          </w:p>
        </w:tc>
      </w:tr>
      <w:tr>
        <w:trPr>
          <w:trHeight w:val="201"/>
        </w:trPr>
        <w:tc>
          <w:tcPr>
            <w:tcW w:w="1880" w:type="dxa"/>
            <w:vAlign w:val="bottom"/>
          </w:tcPr>
          <w:p>
            <w:pPr>
              <w:ind w:left="440"/>
              <w:spacing w:after="0" w:line="201" w:lineRule="exact"/>
              <w:rPr>
                <w:sz w:val="20"/>
                <w:szCs w:val="20"/>
                <w:color w:val="auto"/>
              </w:rPr>
            </w:pPr>
            <w:r>
              <w:rPr>
                <w:rFonts w:ascii="Arial" w:cs="Arial" w:eastAsia="Arial" w:hAnsi="Arial"/>
                <w:sz w:val="18"/>
                <w:szCs w:val="18"/>
                <w:color w:val="02568A"/>
              </w:rPr>
              <w:t>Senior Vice</w:t>
            </w: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02568A"/>
              </w:rPr>
              <w:t>President,</w:t>
            </w:r>
          </w:p>
        </w:tc>
        <w:tc>
          <w:tcPr>
            <w:tcW w:w="620" w:type="dxa"/>
            <w:vAlign w:val="bottom"/>
            <w:vMerge w:val="restart"/>
          </w:tcPr>
          <w:p>
            <w:pPr>
              <w:ind w:left="100"/>
              <w:spacing w:after="0"/>
              <w:rPr>
                <w:sz w:val="20"/>
                <w:szCs w:val="20"/>
                <w:color w:val="auto"/>
              </w:rPr>
            </w:pPr>
            <w:r>
              <w:rPr>
                <w:rFonts w:ascii="Arial" w:cs="Arial" w:eastAsia="Arial" w:hAnsi="Arial"/>
                <w:sz w:val="18"/>
                <w:szCs w:val="18"/>
                <w:color w:val="02568A"/>
              </w:rPr>
              <w:t>2018</w:t>
            </w:r>
          </w:p>
        </w:tc>
        <w:tc>
          <w:tcPr>
            <w:tcW w:w="860" w:type="dxa"/>
            <w:vAlign w:val="bottom"/>
            <w:vMerge w:val="restart"/>
          </w:tcPr>
          <w:p>
            <w:pPr>
              <w:ind w:left="200"/>
              <w:spacing w:after="0"/>
              <w:rPr>
                <w:sz w:val="20"/>
                <w:szCs w:val="20"/>
                <w:color w:val="auto"/>
              </w:rPr>
            </w:pPr>
            <w:r>
              <w:rPr>
                <w:rFonts w:ascii="Arial" w:cs="Arial" w:eastAsia="Arial" w:hAnsi="Arial"/>
                <w:sz w:val="18"/>
                <w:szCs w:val="18"/>
                <w:color w:val="02568A"/>
                <w:w w:val="98"/>
              </w:rPr>
              <w:t>409,054</w:t>
            </w: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02568A"/>
              </w:rPr>
              <w:t>1,557,371</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02568A"/>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02568A"/>
              </w:rPr>
              <w:t>257,914</w:t>
            </w:r>
          </w:p>
        </w:tc>
        <w:tc>
          <w:tcPr>
            <w:tcW w:w="1320" w:type="dxa"/>
            <w:vAlign w:val="bottom"/>
            <w:vMerge w:val="restart"/>
          </w:tcPr>
          <w:p>
            <w:pPr>
              <w:jc w:val="right"/>
              <w:ind w:right="32"/>
              <w:spacing w:after="0"/>
              <w:rPr>
                <w:sz w:val="20"/>
                <w:szCs w:val="20"/>
                <w:color w:val="auto"/>
              </w:rPr>
            </w:pPr>
            <w:r>
              <w:rPr>
                <w:rFonts w:ascii="Arial" w:cs="Arial" w:eastAsia="Arial" w:hAnsi="Arial"/>
                <w:sz w:val="18"/>
                <w:szCs w:val="18"/>
                <w:color w:val="02568A"/>
              </w:rPr>
              <w:t>12,466</w:t>
            </w:r>
          </w:p>
        </w:tc>
        <w:tc>
          <w:tcPr>
            <w:tcW w:w="1240" w:type="dxa"/>
            <w:vAlign w:val="bottom"/>
            <w:vMerge w:val="restart"/>
          </w:tcPr>
          <w:p>
            <w:pPr>
              <w:jc w:val="right"/>
              <w:ind w:right="232"/>
              <w:spacing w:after="0"/>
              <w:rPr>
                <w:sz w:val="20"/>
                <w:szCs w:val="20"/>
                <w:color w:val="auto"/>
              </w:rPr>
            </w:pPr>
            <w:r>
              <w:rPr>
                <w:rFonts w:ascii="Arial" w:cs="Arial" w:eastAsia="Arial" w:hAnsi="Arial"/>
                <w:sz w:val="18"/>
                <w:szCs w:val="18"/>
                <w:color w:val="02568A"/>
              </w:rPr>
              <w:t>2,236,805</w:t>
            </w:r>
          </w:p>
        </w:tc>
        <w:tc>
          <w:tcPr>
            <w:tcW w:w="0" w:type="dxa"/>
            <w:vAlign w:val="bottom"/>
          </w:tcPr>
          <w:p>
            <w:pPr>
              <w:spacing w:after="0"/>
              <w:rPr>
                <w:sz w:val="1"/>
                <w:szCs w:val="1"/>
                <w:color w:val="auto"/>
              </w:rPr>
            </w:pPr>
          </w:p>
        </w:tc>
      </w:tr>
      <w:tr>
        <w:trPr>
          <w:trHeight w:val="114"/>
        </w:trPr>
        <w:tc>
          <w:tcPr>
            <w:tcW w:w="1880" w:type="dxa"/>
            <w:vAlign w:val="bottom"/>
            <w:vMerge w:val="restart"/>
          </w:tcPr>
          <w:p>
            <w:pPr>
              <w:ind w:left="440"/>
              <w:spacing w:after="0"/>
              <w:rPr>
                <w:sz w:val="20"/>
                <w:szCs w:val="20"/>
                <w:color w:val="auto"/>
              </w:rPr>
            </w:pPr>
            <w:r>
              <w:rPr>
                <w:rFonts w:ascii="Arial" w:cs="Arial" w:eastAsia="Arial" w:hAnsi="Arial"/>
                <w:sz w:val="18"/>
                <w:szCs w:val="18"/>
                <w:color w:val="02568A"/>
              </w:rPr>
              <w:t>General Counsel</w:t>
            </w: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880" w:type="dxa"/>
            <w:vAlign w:val="bottom"/>
            <w:tcBorders>
              <w:bottom w:val="single" w:sz="8" w:color="D1D2D4"/>
            </w:tcBorders>
          </w:tcPr>
          <w:p>
            <w:pPr>
              <w:ind w:left="440"/>
              <w:spacing w:after="0"/>
              <w:rPr>
                <w:sz w:val="20"/>
                <w:szCs w:val="20"/>
                <w:color w:val="auto"/>
              </w:rPr>
            </w:pPr>
            <w:r>
              <w:rPr>
                <w:rFonts w:ascii="Arial" w:cs="Arial" w:eastAsia="Arial" w:hAnsi="Arial"/>
                <w:sz w:val="18"/>
                <w:szCs w:val="18"/>
                <w:color w:val="02568A"/>
              </w:rPr>
              <w:t>and Secretary</w:t>
            </w:r>
          </w:p>
        </w:tc>
        <w:tc>
          <w:tcPr>
            <w:tcW w:w="620" w:type="dxa"/>
            <w:vAlign w:val="bottom"/>
            <w:tcBorders>
              <w:bottom w:val="single" w:sz="8" w:color="D1D2D4"/>
            </w:tcBorders>
          </w:tcPr>
          <w:p>
            <w:pPr>
              <w:spacing w:after="0"/>
              <w:rPr>
                <w:sz w:val="19"/>
                <w:szCs w:val="19"/>
                <w:color w:val="auto"/>
              </w:rPr>
            </w:pPr>
          </w:p>
        </w:tc>
        <w:tc>
          <w:tcPr>
            <w:tcW w:w="860" w:type="dxa"/>
            <w:vAlign w:val="bottom"/>
            <w:tcBorders>
              <w:bottom w:val="single" w:sz="8" w:color="D1D2D4"/>
            </w:tcBorders>
          </w:tcPr>
          <w:p>
            <w:pPr>
              <w:spacing w:after="0"/>
              <w:rPr>
                <w:sz w:val="19"/>
                <w:szCs w:val="19"/>
                <w:color w:val="auto"/>
              </w:rPr>
            </w:pPr>
          </w:p>
        </w:tc>
        <w:tc>
          <w:tcPr>
            <w:tcW w:w="1020" w:type="dxa"/>
            <w:vAlign w:val="bottom"/>
            <w:tcBorders>
              <w:bottom w:val="single" w:sz="8" w:color="D1D2D4"/>
            </w:tcBorders>
          </w:tcPr>
          <w:p>
            <w:pPr>
              <w:spacing w:after="0"/>
              <w:rPr>
                <w:sz w:val="19"/>
                <w:szCs w:val="19"/>
                <w:color w:val="auto"/>
              </w:rPr>
            </w:pPr>
          </w:p>
        </w:tc>
        <w:tc>
          <w:tcPr>
            <w:tcW w:w="900" w:type="dxa"/>
            <w:vAlign w:val="bottom"/>
            <w:tcBorders>
              <w:bottom w:val="single" w:sz="8" w:color="D1D2D4"/>
            </w:tcBorders>
          </w:tcPr>
          <w:p>
            <w:pPr>
              <w:spacing w:after="0"/>
              <w:rPr>
                <w:sz w:val="19"/>
                <w:szCs w:val="19"/>
                <w:color w:val="auto"/>
              </w:rPr>
            </w:pPr>
          </w:p>
        </w:tc>
        <w:tc>
          <w:tcPr>
            <w:tcW w:w="1260" w:type="dxa"/>
            <w:vAlign w:val="bottom"/>
            <w:tcBorders>
              <w:bottom w:val="single" w:sz="8" w:color="D1D2D4"/>
            </w:tcBorders>
          </w:tcPr>
          <w:p>
            <w:pPr>
              <w:spacing w:after="0"/>
              <w:rPr>
                <w:sz w:val="19"/>
                <w:szCs w:val="19"/>
                <w:color w:val="auto"/>
              </w:rPr>
            </w:pPr>
          </w:p>
        </w:tc>
        <w:tc>
          <w:tcPr>
            <w:tcW w:w="1320" w:type="dxa"/>
            <w:vAlign w:val="bottom"/>
            <w:tcBorders>
              <w:bottom w:val="single" w:sz="8" w:color="D1D2D4"/>
            </w:tcBorders>
          </w:tcPr>
          <w:p>
            <w:pPr>
              <w:spacing w:after="0"/>
              <w:rPr>
                <w:sz w:val="19"/>
                <w:szCs w:val="19"/>
                <w:color w:val="auto"/>
              </w:rPr>
            </w:pPr>
          </w:p>
        </w:tc>
        <w:tc>
          <w:tcPr>
            <w:tcW w:w="1240" w:type="dxa"/>
            <w:vAlign w:val="bottom"/>
            <w:tcBorders>
              <w:bottom w:val="single" w:sz="8" w:color="D1D2D4"/>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80" w:type="dxa"/>
            <w:vAlign w:val="bottom"/>
            <w:shd w:val="clear" w:color="auto" w:fill="CED8EA"/>
          </w:tcPr>
          <w:p>
            <w:pPr>
              <w:ind w:left="280"/>
              <w:spacing w:after="0" w:line="196" w:lineRule="exact"/>
              <w:rPr>
                <w:sz w:val="20"/>
                <w:szCs w:val="20"/>
                <w:color w:val="auto"/>
              </w:rPr>
            </w:pPr>
            <w:r>
              <w:rPr>
                <w:rFonts w:ascii="Arial" w:cs="Arial" w:eastAsia="Arial" w:hAnsi="Arial"/>
                <w:sz w:val="18"/>
                <w:szCs w:val="18"/>
                <w:b w:val="1"/>
                <w:bCs w:val="1"/>
                <w:color w:val="02568A"/>
              </w:rPr>
              <w:t>Peter L.</w:t>
            </w:r>
          </w:p>
        </w:tc>
        <w:tc>
          <w:tcPr>
            <w:tcW w:w="620" w:type="dxa"/>
            <w:vAlign w:val="bottom"/>
            <w:vMerge w:val="restart"/>
            <w:shd w:val="clear" w:color="auto" w:fill="CED8EA"/>
          </w:tcPr>
          <w:p>
            <w:pPr>
              <w:ind w:left="100"/>
              <w:spacing w:after="0"/>
              <w:rPr>
                <w:sz w:val="20"/>
                <w:szCs w:val="20"/>
                <w:color w:val="auto"/>
              </w:rPr>
            </w:pPr>
            <w:r>
              <w:rPr>
                <w:rFonts w:ascii="Arial" w:cs="Arial" w:eastAsia="Arial" w:hAnsi="Arial"/>
                <w:sz w:val="18"/>
                <w:szCs w:val="18"/>
                <w:color w:val="02568A"/>
              </w:rPr>
              <w:t>2019</w:t>
            </w:r>
          </w:p>
        </w:tc>
        <w:tc>
          <w:tcPr>
            <w:tcW w:w="860" w:type="dxa"/>
            <w:vAlign w:val="bottom"/>
            <w:vMerge w:val="restart"/>
            <w:shd w:val="clear" w:color="auto" w:fill="CED8EA"/>
          </w:tcPr>
          <w:p>
            <w:pPr>
              <w:ind w:left="200"/>
              <w:spacing w:after="0"/>
              <w:rPr>
                <w:sz w:val="20"/>
                <w:szCs w:val="20"/>
                <w:color w:val="auto"/>
              </w:rPr>
            </w:pPr>
            <w:r>
              <w:rPr>
                <w:rFonts w:ascii="Arial" w:cs="Arial" w:eastAsia="Arial" w:hAnsi="Arial"/>
                <w:sz w:val="18"/>
                <w:szCs w:val="18"/>
                <w:color w:val="02568A"/>
                <w:w w:val="98"/>
              </w:rPr>
              <w:t>409,200</w:t>
            </w:r>
          </w:p>
        </w:tc>
        <w:tc>
          <w:tcPr>
            <w:tcW w:w="1020" w:type="dxa"/>
            <w:vAlign w:val="bottom"/>
            <w:vMerge w:val="restart"/>
            <w:shd w:val="clear" w:color="auto" w:fill="CED8EA"/>
          </w:tcPr>
          <w:p>
            <w:pPr>
              <w:jc w:val="right"/>
              <w:ind w:right="32"/>
              <w:spacing w:after="0"/>
              <w:rPr>
                <w:sz w:val="20"/>
                <w:szCs w:val="20"/>
                <w:color w:val="auto"/>
              </w:rPr>
            </w:pPr>
            <w:r>
              <w:rPr>
                <w:rFonts w:ascii="Arial" w:cs="Arial" w:eastAsia="Arial" w:hAnsi="Arial"/>
                <w:sz w:val="18"/>
                <w:szCs w:val="18"/>
                <w:color w:val="02568A"/>
              </w:rPr>
              <w:t>1,165,835</w:t>
            </w:r>
          </w:p>
        </w:tc>
        <w:tc>
          <w:tcPr>
            <w:tcW w:w="900" w:type="dxa"/>
            <w:vAlign w:val="bottom"/>
            <w:vMerge w:val="restart"/>
            <w:shd w:val="clear" w:color="auto" w:fill="CED8EA"/>
          </w:tcPr>
          <w:p>
            <w:pPr>
              <w:jc w:val="right"/>
              <w:spacing w:after="0"/>
              <w:rPr>
                <w:sz w:val="20"/>
                <w:szCs w:val="20"/>
                <w:color w:val="auto"/>
              </w:rPr>
            </w:pPr>
            <w:r>
              <w:rPr>
                <w:rFonts w:ascii="Arial" w:cs="Arial" w:eastAsia="Arial" w:hAnsi="Arial"/>
                <w:sz w:val="18"/>
                <w:szCs w:val="18"/>
                <w:color w:val="02568A"/>
              </w:rPr>
              <w:t>—</w:t>
            </w:r>
          </w:p>
        </w:tc>
        <w:tc>
          <w:tcPr>
            <w:tcW w:w="1260" w:type="dxa"/>
            <w:vAlign w:val="bottom"/>
            <w:vMerge w:val="restart"/>
            <w:shd w:val="clear" w:color="auto" w:fill="CED8EA"/>
          </w:tcPr>
          <w:p>
            <w:pPr>
              <w:jc w:val="right"/>
              <w:spacing w:after="0"/>
              <w:rPr>
                <w:sz w:val="20"/>
                <w:szCs w:val="20"/>
                <w:color w:val="auto"/>
              </w:rPr>
            </w:pPr>
            <w:r>
              <w:rPr>
                <w:rFonts w:ascii="Arial" w:cs="Arial" w:eastAsia="Arial" w:hAnsi="Arial"/>
                <w:sz w:val="18"/>
                <w:szCs w:val="18"/>
                <w:color w:val="02568A"/>
              </w:rPr>
              <w:t>211,538</w:t>
            </w:r>
          </w:p>
        </w:tc>
        <w:tc>
          <w:tcPr>
            <w:tcW w:w="1320" w:type="dxa"/>
            <w:vAlign w:val="bottom"/>
            <w:vMerge w:val="restart"/>
            <w:shd w:val="clear" w:color="auto" w:fill="CED8EA"/>
          </w:tcPr>
          <w:p>
            <w:pPr>
              <w:jc w:val="right"/>
              <w:ind w:right="32"/>
              <w:spacing w:after="0"/>
              <w:rPr>
                <w:sz w:val="20"/>
                <w:szCs w:val="20"/>
                <w:color w:val="auto"/>
              </w:rPr>
            </w:pPr>
            <w:r>
              <w:rPr>
                <w:rFonts w:ascii="Arial" w:cs="Arial" w:eastAsia="Arial" w:hAnsi="Arial"/>
                <w:sz w:val="18"/>
                <w:szCs w:val="18"/>
                <w:color w:val="02568A"/>
              </w:rPr>
              <w:t>1,140,824</w:t>
            </w:r>
          </w:p>
        </w:tc>
        <w:tc>
          <w:tcPr>
            <w:tcW w:w="1240" w:type="dxa"/>
            <w:vAlign w:val="bottom"/>
            <w:vMerge w:val="restart"/>
            <w:shd w:val="clear" w:color="auto" w:fill="CED8EA"/>
          </w:tcPr>
          <w:p>
            <w:pPr>
              <w:jc w:val="right"/>
              <w:ind w:right="232"/>
              <w:spacing w:after="0"/>
              <w:rPr>
                <w:sz w:val="20"/>
                <w:szCs w:val="20"/>
                <w:color w:val="auto"/>
              </w:rPr>
            </w:pPr>
            <w:r>
              <w:rPr>
                <w:rFonts w:ascii="Arial" w:cs="Arial" w:eastAsia="Arial" w:hAnsi="Arial"/>
                <w:sz w:val="18"/>
                <w:szCs w:val="18"/>
                <w:color w:val="02568A"/>
              </w:rPr>
              <w:t>2,927,397</w:t>
            </w:r>
          </w:p>
        </w:tc>
        <w:tc>
          <w:tcPr>
            <w:tcW w:w="0" w:type="dxa"/>
            <w:vAlign w:val="bottom"/>
          </w:tcPr>
          <w:p>
            <w:pPr>
              <w:spacing w:after="0"/>
              <w:rPr>
                <w:sz w:val="1"/>
                <w:szCs w:val="1"/>
                <w:color w:val="auto"/>
              </w:rPr>
            </w:pPr>
          </w:p>
        </w:tc>
      </w:tr>
      <w:tr>
        <w:trPr>
          <w:trHeight w:val="120"/>
        </w:trPr>
        <w:tc>
          <w:tcPr>
            <w:tcW w:w="1880" w:type="dxa"/>
            <w:vAlign w:val="bottom"/>
            <w:vMerge w:val="restart"/>
            <w:shd w:val="clear" w:color="auto" w:fill="CED8EA"/>
          </w:tcPr>
          <w:p>
            <w:pPr>
              <w:ind w:left="280"/>
              <w:spacing w:after="0"/>
              <w:rPr>
                <w:sz w:val="20"/>
                <w:szCs w:val="20"/>
                <w:color w:val="auto"/>
              </w:rPr>
            </w:pPr>
            <w:r>
              <w:rPr>
                <w:rFonts w:ascii="Arial" w:cs="Arial" w:eastAsia="Arial" w:hAnsi="Arial"/>
                <w:sz w:val="18"/>
                <w:szCs w:val="18"/>
                <w:b w:val="1"/>
                <w:bCs w:val="1"/>
                <w:color w:val="02568A"/>
              </w:rPr>
              <w:t>Gammel(5)</w:t>
            </w:r>
          </w:p>
        </w:tc>
        <w:tc>
          <w:tcPr>
            <w:tcW w:w="620" w:type="dxa"/>
            <w:vAlign w:val="bottom"/>
            <w:vMerge w:val="continue"/>
            <w:shd w:val="clear" w:color="auto" w:fill="CED8EA"/>
          </w:tcPr>
          <w:p>
            <w:pPr>
              <w:spacing w:after="0"/>
              <w:rPr>
                <w:sz w:val="10"/>
                <w:szCs w:val="10"/>
                <w:color w:val="auto"/>
              </w:rPr>
            </w:pPr>
          </w:p>
        </w:tc>
        <w:tc>
          <w:tcPr>
            <w:tcW w:w="860" w:type="dxa"/>
            <w:vAlign w:val="bottom"/>
            <w:vMerge w:val="continue"/>
            <w:shd w:val="clear" w:color="auto" w:fill="CED8EA"/>
          </w:tcPr>
          <w:p>
            <w:pPr>
              <w:spacing w:after="0"/>
              <w:rPr>
                <w:sz w:val="10"/>
                <w:szCs w:val="10"/>
                <w:color w:val="auto"/>
              </w:rPr>
            </w:pPr>
          </w:p>
        </w:tc>
        <w:tc>
          <w:tcPr>
            <w:tcW w:w="1020" w:type="dxa"/>
            <w:vAlign w:val="bottom"/>
            <w:vMerge w:val="continue"/>
            <w:shd w:val="clear" w:color="auto" w:fill="CED8EA"/>
          </w:tcPr>
          <w:p>
            <w:pPr>
              <w:spacing w:after="0"/>
              <w:rPr>
                <w:sz w:val="10"/>
                <w:szCs w:val="10"/>
                <w:color w:val="auto"/>
              </w:rPr>
            </w:pPr>
          </w:p>
        </w:tc>
        <w:tc>
          <w:tcPr>
            <w:tcW w:w="900" w:type="dxa"/>
            <w:vAlign w:val="bottom"/>
            <w:vMerge w:val="continue"/>
            <w:shd w:val="clear" w:color="auto" w:fill="CED8EA"/>
          </w:tcPr>
          <w:p>
            <w:pPr>
              <w:spacing w:after="0"/>
              <w:rPr>
                <w:sz w:val="10"/>
                <w:szCs w:val="10"/>
                <w:color w:val="auto"/>
              </w:rPr>
            </w:pPr>
          </w:p>
        </w:tc>
        <w:tc>
          <w:tcPr>
            <w:tcW w:w="1260" w:type="dxa"/>
            <w:vAlign w:val="bottom"/>
            <w:vMerge w:val="continue"/>
            <w:shd w:val="clear" w:color="auto" w:fill="CED8EA"/>
          </w:tcPr>
          <w:p>
            <w:pPr>
              <w:spacing w:after="0"/>
              <w:rPr>
                <w:sz w:val="10"/>
                <w:szCs w:val="10"/>
                <w:color w:val="auto"/>
              </w:rPr>
            </w:pPr>
          </w:p>
        </w:tc>
        <w:tc>
          <w:tcPr>
            <w:tcW w:w="1320" w:type="dxa"/>
            <w:vAlign w:val="bottom"/>
            <w:vMerge w:val="continue"/>
            <w:shd w:val="clear" w:color="auto" w:fill="CED8EA"/>
          </w:tcPr>
          <w:p>
            <w:pPr>
              <w:spacing w:after="0"/>
              <w:rPr>
                <w:sz w:val="10"/>
                <w:szCs w:val="10"/>
                <w:color w:val="auto"/>
              </w:rPr>
            </w:pPr>
          </w:p>
        </w:tc>
        <w:tc>
          <w:tcPr>
            <w:tcW w:w="1240" w:type="dxa"/>
            <w:vAlign w:val="bottom"/>
            <w:vMerge w:val="continue"/>
            <w:shd w:val="clear" w:color="auto" w:fill="CED8EA"/>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880" w:type="dxa"/>
            <w:vAlign w:val="bottom"/>
            <w:tcBorders>
              <w:bottom w:val="single" w:sz="8" w:color="D1D2D4"/>
            </w:tcBorders>
            <w:vMerge w:val="continue"/>
            <w:shd w:val="clear" w:color="auto" w:fill="CED8EA"/>
          </w:tcPr>
          <w:p>
            <w:pPr>
              <w:spacing w:after="0"/>
              <w:rPr>
                <w:sz w:val="9"/>
                <w:szCs w:val="9"/>
                <w:color w:val="auto"/>
              </w:rPr>
            </w:pPr>
          </w:p>
        </w:tc>
        <w:tc>
          <w:tcPr>
            <w:tcW w:w="620" w:type="dxa"/>
            <w:vAlign w:val="bottom"/>
            <w:tcBorders>
              <w:bottom w:val="single" w:sz="8" w:color="D1D2D4"/>
            </w:tcBorders>
            <w:shd w:val="clear" w:color="auto" w:fill="CED8EA"/>
          </w:tcPr>
          <w:p>
            <w:pPr>
              <w:spacing w:after="0"/>
              <w:rPr>
                <w:sz w:val="9"/>
                <w:szCs w:val="9"/>
                <w:color w:val="auto"/>
              </w:rPr>
            </w:pPr>
          </w:p>
        </w:tc>
        <w:tc>
          <w:tcPr>
            <w:tcW w:w="860" w:type="dxa"/>
            <w:vAlign w:val="bottom"/>
            <w:tcBorders>
              <w:bottom w:val="single" w:sz="8" w:color="D1D2D4"/>
            </w:tcBorders>
            <w:shd w:val="clear" w:color="auto" w:fill="CED8EA"/>
          </w:tcPr>
          <w:p>
            <w:pPr>
              <w:spacing w:after="0"/>
              <w:rPr>
                <w:sz w:val="9"/>
                <w:szCs w:val="9"/>
                <w:color w:val="auto"/>
              </w:rPr>
            </w:pPr>
          </w:p>
        </w:tc>
        <w:tc>
          <w:tcPr>
            <w:tcW w:w="1020" w:type="dxa"/>
            <w:vAlign w:val="bottom"/>
            <w:tcBorders>
              <w:bottom w:val="single" w:sz="8" w:color="D1D2D4"/>
            </w:tcBorders>
            <w:shd w:val="clear" w:color="auto" w:fill="CED8EA"/>
          </w:tcPr>
          <w:p>
            <w:pPr>
              <w:spacing w:after="0"/>
              <w:rPr>
                <w:sz w:val="9"/>
                <w:szCs w:val="9"/>
                <w:color w:val="auto"/>
              </w:rPr>
            </w:pPr>
          </w:p>
        </w:tc>
        <w:tc>
          <w:tcPr>
            <w:tcW w:w="900" w:type="dxa"/>
            <w:vAlign w:val="bottom"/>
            <w:tcBorders>
              <w:bottom w:val="single" w:sz="8" w:color="D1D2D4"/>
            </w:tcBorders>
            <w:shd w:val="clear" w:color="auto" w:fill="CED8EA"/>
          </w:tcPr>
          <w:p>
            <w:pPr>
              <w:spacing w:after="0"/>
              <w:rPr>
                <w:sz w:val="9"/>
                <w:szCs w:val="9"/>
                <w:color w:val="auto"/>
              </w:rPr>
            </w:pPr>
          </w:p>
        </w:tc>
        <w:tc>
          <w:tcPr>
            <w:tcW w:w="1260" w:type="dxa"/>
            <w:vAlign w:val="bottom"/>
            <w:tcBorders>
              <w:bottom w:val="single" w:sz="8" w:color="D1D2D4"/>
            </w:tcBorders>
            <w:shd w:val="clear" w:color="auto" w:fill="CED8EA"/>
          </w:tcPr>
          <w:p>
            <w:pPr>
              <w:spacing w:after="0"/>
              <w:rPr>
                <w:sz w:val="9"/>
                <w:szCs w:val="9"/>
                <w:color w:val="auto"/>
              </w:rPr>
            </w:pPr>
          </w:p>
        </w:tc>
        <w:tc>
          <w:tcPr>
            <w:tcW w:w="1320" w:type="dxa"/>
            <w:vAlign w:val="bottom"/>
            <w:tcBorders>
              <w:bottom w:val="single" w:sz="8" w:color="D1D2D4"/>
            </w:tcBorders>
            <w:shd w:val="clear" w:color="auto" w:fill="CED8EA"/>
          </w:tcPr>
          <w:p>
            <w:pPr>
              <w:spacing w:after="0"/>
              <w:rPr>
                <w:sz w:val="9"/>
                <w:szCs w:val="9"/>
                <w:color w:val="auto"/>
              </w:rPr>
            </w:pPr>
          </w:p>
        </w:tc>
        <w:tc>
          <w:tcPr>
            <w:tcW w:w="1240" w:type="dxa"/>
            <w:vAlign w:val="bottom"/>
            <w:tcBorders>
              <w:bottom w:val="single" w:sz="8" w:color="D1D2D4"/>
            </w:tcBorders>
            <w:shd w:val="clear" w:color="auto" w:fill="CED8EA"/>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880" w:type="dxa"/>
            <w:vAlign w:val="bottom"/>
          </w:tcPr>
          <w:p>
            <w:pPr>
              <w:ind w:left="440"/>
              <w:spacing w:after="0"/>
              <w:rPr>
                <w:sz w:val="20"/>
                <w:szCs w:val="20"/>
                <w:color w:val="auto"/>
              </w:rPr>
            </w:pPr>
            <w:r>
              <w:rPr>
                <w:rFonts w:ascii="Arial" w:cs="Arial" w:eastAsia="Arial" w:hAnsi="Arial"/>
                <w:sz w:val="18"/>
                <w:szCs w:val="18"/>
                <w:color w:val="02568A"/>
              </w:rPr>
              <w:t>Former Chief</w:t>
            </w:r>
          </w:p>
        </w:tc>
        <w:tc>
          <w:tcPr>
            <w:tcW w:w="620" w:type="dxa"/>
            <w:vAlign w:val="bottom"/>
            <w:tcBorders>
              <w:bottom w:val="single" w:sz="8" w:color="D1D2D4"/>
            </w:tcBorders>
          </w:tcPr>
          <w:p>
            <w:pPr>
              <w:ind w:left="100"/>
              <w:spacing w:after="0"/>
              <w:rPr>
                <w:sz w:val="20"/>
                <w:szCs w:val="20"/>
                <w:color w:val="auto"/>
              </w:rPr>
            </w:pPr>
            <w:r>
              <w:rPr>
                <w:rFonts w:ascii="Arial" w:cs="Arial" w:eastAsia="Arial" w:hAnsi="Arial"/>
                <w:sz w:val="18"/>
                <w:szCs w:val="18"/>
                <w:color w:val="02568A"/>
              </w:rPr>
              <w:t>2018</w:t>
            </w:r>
          </w:p>
        </w:tc>
        <w:tc>
          <w:tcPr>
            <w:tcW w:w="860" w:type="dxa"/>
            <w:vAlign w:val="bottom"/>
            <w:tcBorders>
              <w:bottom w:val="single" w:sz="8" w:color="D1D2D4"/>
            </w:tcBorders>
          </w:tcPr>
          <w:p>
            <w:pPr>
              <w:ind w:left="200"/>
              <w:spacing w:after="0"/>
              <w:rPr>
                <w:sz w:val="20"/>
                <w:szCs w:val="20"/>
                <w:color w:val="auto"/>
              </w:rPr>
            </w:pPr>
            <w:r>
              <w:rPr>
                <w:rFonts w:ascii="Arial" w:cs="Arial" w:eastAsia="Arial" w:hAnsi="Arial"/>
                <w:sz w:val="18"/>
                <w:szCs w:val="18"/>
                <w:color w:val="02568A"/>
                <w:w w:val="98"/>
              </w:rPr>
              <w:t>400,754</w:t>
            </w:r>
          </w:p>
        </w:tc>
        <w:tc>
          <w:tcPr>
            <w:tcW w:w="1020" w:type="dxa"/>
            <w:vAlign w:val="bottom"/>
            <w:tcBorders>
              <w:bottom w:val="single" w:sz="8" w:color="D1D2D4"/>
            </w:tcBorders>
          </w:tcPr>
          <w:p>
            <w:pPr>
              <w:jc w:val="right"/>
              <w:ind w:right="32"/>
              <w:spacing w:after="0"/>
              <w:rPr>
                <w:sz w:val="20"/>
                <w:szCs w:val="20"/>
                <w:color w:val="auto"/>
              </w:rPr>
            </w:pPr>
            <w:r>
              <w:rPr>
                <w:rFonts w:ascii="Arial" w:cs="Arial" w:eastAsia="Arial" w:hAnsi="Arial"/>
                <w:sz w:val="18"/>
                <w:szCs w:val="18"/>
                <w:color w:val="02568A"/>
              </w:rPr>
              <w:t>1,245,896</w:t>
            </w:r>
          </w:p>
        </w:tc>
        <w:tc>
          <w:tcPr>
            <w:tcW w:w="9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w:t>
            </w:r>
          </w:p>
        </w:tc>
        <w:tc>
          <w:tcPr>
            <w:tcW w:w="12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251,045</w:t>
            </w:r>
          </w:p>
        </w:tc>
        <w:tc>
          <w:tcPr>
            <w:tcW w:w="1320" w:type="dxa"/>
            <w:vAlign w:val="bottom"/>
            <w:tcBorders>
              <w:bottom w:val="single" w:sz="8" w:color="D1D2D4"/>
            </w:tcBorders>
          </w:tcPr>
          <w:p>
            <w:pPr>
              <w:jc w:val="right"/>
              <w:ind w:right="32"/>
              <w:spacing w:after="0"/>
              <w:rPr>
                <w:sz w:val="20"/>
                <w:szCs w:val="20"/>
                <w:color w:val="auto"/>
              </w:rPr>
            </w:pPr>
            <w:r>
              <w:rPr>
                <w:rFonts w:ascii="Arial" w:cs="Arial" w:eastAsia="Arial" w:hAnsi="Arial"/>
                <w:sz w:val="18"/>
                <w:szCs w:val="18"/>
                <w:color w:val="02568A"/>
              </w:rPr>
              <w:t>389,623</w:t>
            </w:r>
          </w:p>
        </w:tc>
        <w:tc>
          <w:tcPr>
            <w:tcW w:w="1240" w:type="dxa"/>
            <w:vAlign w:val="bottom"/>
            <w:tcBorders>
              <w:bottom w:val="single" w:sz="8" w:color="D1D2D4"/>
            </w:tcBorders>
          </w:tcPr>
          <w:p>
            <w:pPr>
              <w:jc w:val="right"/>
              <w:ind w:right="232"/>
              <w:spacing w:after="0"/>
              <w:rPr>
                <w:sz w:val="20"/>
                <w:szCs w:val="20"/>
                <w:color w:val="auto"/>
              </w:rPr>
            </w:pPr>
            <w:r>
              <w:rPr>
                <w:rFonts w:ascii="Arial" w:cs="Arial" w:eastAsia="Arial" w:hAnsi="Arial"/>
                <w:sz w:val="18"/>
                <w:szCs w:val="18"/>
                <w:color w:val="02568A"/>
              </w:rPr>
              <w:t>2,287,318</w:t>
            </w:r>
          </w:p>
        </w:tc>
        <w:tc>
          <w:tcPr>
            <w:tcW w:w="0" w:type="dxa"/>
            <w:vAlign w:val="bottom"/>
          </w:tcPr>
          <w:p>
            <w:pPr>
              <w:spacing w:after="0"/>
              <w:rPr>
                <w:sz w:val="1"/>
                <w:szCs w:val="1"/>
                <w:color w:val="auto"/>
              </w:rPr>
            </w:pPr>
          </w:p>
        </w:tc>
      </w:tr>
      <w:tr>
        <w:trPr>
          <w:trHeight w:val="201"/>
        </w:trPr>
        <w:tc>
          <w:tcPr>
            <w:tcW w:w="1880" w:type="dxa"/>
            <w:vAlign w:val="bottom"/>
          </w:tcPr>
          <w:p>
            <w:pPr>
              <w:ind w:left="440"/>
              <w:spacing w:after="0" w:line="201" w:lineRule="exact"/>
              <w:rPr>
                <w:sz w:val="20"/>
                <w:szCs w:val="20"/>
                <w:color w:val="auto"/>
              </w:rPr>
            </w:pPr>
            <w:r>
              <w:rPr>
                <w:rFonts w:ascii="Arial" w:cs="Arial" w:eastAsia="Arial" w:hAnsi="Arial"/>
                <w:sz w:val="18"/>
                <w:szCs w:val="18"/>
                <w:color w:val="02568A"/>
              </w:rPr>
              <w:t>Technology</w:t>
            </w:r>
          </w:p>
        </w:tc>
        <w:tc>
          <w:tcPr>
            <w:tcW w:w="620" w:type="dxa"/>
            <w:vAlign w:val="bottom"/>
            <w:vMerge w:val="restart"/>
          </w:tcPr>
          <w:p>
            <w:pPr>
              <w:ind w:left="100"/>
              <w:spacing w:after="0"/>
              <w:rPr>
                <w:sz w:val="20"/>
                <w:szCs w:val="20"/>
                <w:color w:val="auto"/>
              </w:rPr>
            </w:pPr>
            <w:r>
              <w:rPr>
                <w:rFonts w:ascii="Arial" w:cs="Arial" w:eastAsia="Arial" w:hAnsi="Arial"/>
                <w:sz w:val="18"/>
                <w:szCs w:val="18"/>
                <w:color w:val="02568A"/>
              </w:rPr>
              <w:t>2017</w:t>
            </w:r>
          </w:p>
        </w:tc>
        <w:tc>
          <w:tcPr>
            <w:tcW w:w="860" w:type="dxa"/>
            <w:vAlign w:val="bottom"/>
            <w:vMerge w:val="restart"/>
          </w:tcPr>
          <w:p>
            <w:pPr>
              <w:ind w:left="200"/>
              <w:spacing w:after="0"/>
              <w:rPr>
                <w:sz w:val="20"/>
                <w:szCs w:val="20"/>
                <w:color w:val="auto"/>
              </w:rPr>
            </w:pPr>
            <w:r>
              <w:rPr>
                <w:rFonts w:ascii="Arial" w:cs="Arial" w:eastAsia="Arial" w:hAnsi="Arial"/>
                <w:sz w:val="18"/>
                <w:szCs w:val="18"/>
                <w:color w:val="02568A"/>
                <w:w w:val="98"/>
              </w:rPr>
              <w:t>389,065</w:t>
            </w: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02568A"/>
              </w:rPr>
              <w:t>978,287</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02568A"/>
              </w:rPr>
              <w:t>225,523</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02568A"/>
              </w:rPr>
              <w:t>255,547</w:t>
            </w:r>
          </w:p>
        </w:tc>
        <w:tc>
          <w:tcPr>
            <w:tcW w:w="1320" w:type="dxa"/>
            <w:vAlign w:val="bottom"/>
            <w:vMerge w:val="restart"/>
          </w:tcPr>
          <w:p>
            <w:pPr>
              <w:jc w:val="right"/>
              <w:ind w:right="32"/>
              <w:spacing w:after="0"/>
              <w:rPr>
                <w:sz w:val="20"/>
                <w:szCs w:val="20"/>
                <w:color w:val="auto"/>
              </w:rPr>
            </w:pPr>
            <w:r>
              <w:rPr>
                <w:rFonts w:ascii="Arial" w:cs="Arial" w:eastAsia="Arial" w:hAnsi="Arial"/>
                <w:sz w:val="18"/>
                <w:szCs w:val="18"/>
                <w:color w:val="02568A"/>
              </w:rPr>
              <w:t>73,367</w:t>
            </w:r>
          </w:p>
        </w:tc>
        <w:tc>
          <w:tcPr>
            <w:tcW w:w="1240" w:type="dxa"/>
            <w:vAlign w:val="bottom"/>
            <w:vMerge w:val="restart"/>
          </w:tcPr>
          <w:p>
            <w:pPr>
              <w:jc w:val="right"/>
              <w:ind w:right="232"/>
              <w:spacing w:after="0"/>
              <w:rPr>
                <w:sz w:val="20"/>
                <w:szCs w:val="20"/>
                <w:color w:val="auto"/>
              </w:rPr>
            </w:pPr>
            <w:r>
              <w:rPr>
                <w:rFonts w:ascii="Arial" w:cs="Arial" w:eastAsia="Arial" w:hAnsi="Arial"/>
                <w:sz w:val="18"/>
                <w:szCs w:val="18"/>
                <w:color w:val="02568A"/>
              </w:rPr>
              <w:t>1,921,789</w:t>
            </w:r>
          </w:p>
        </w:tc>
        <w:tc>
          <w:tcPr>
            <w:tcW w:w="0" w:type="dxa"/>
            <w:vAlign w:val="bottom"/>
          </w:tcPr>
          <w:p>
            <w:pPr>
              <w:spacing w:after="0"/>
              <w:rPr>
                <w:sz w:val="1"/>
                <w:szCs w:val="1"/>
                <w:color w:val="auto"/>
              </w:rPr>
            </w:pPr>
          </w:p>
        </w:tc>
      </w:tr>
      <w:tr>
        <w:trPr>
          <w:trHeight w:val="114"/>
        </w:trPr>
        <w:tc>
          <w:tcPr>
            <w:tcW w:w="1880" w:type="dxa"/>
            <w:vAlign w:val="bottom"/>
            <w:vMerge w:val="restart"/>
          </w:tcPr>
          <w:p>
            <w:pPr>
              <w:ind w:left="440"/>
              <w:spacing w:after="0"/>
              <w:rPr>
                <w:sz w:val="20"/>
                <w:szCs w:val="20"/>
                <w:color w:val="auto"/>
              </w:rPr>
            </w:pPr>
            <w:r>
              <w:rPr>
                <w:rFonts w:ascii="Arial" w:cs="Arial" w:eastAsia="Arial" w:hAnsi="Arial"/>
                <w:sz w:val="18"/>
                <w:szCs w:val="18"/>
                <w:color w:val="02568A"/>
              </w:rPr>
              <w:t>Officer</w:t>
            </w: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80" w:type="dxa"/>
            <w:vAlign w:val="bottom"/>
            <w:tcBorders>
              <w:bottom w:val="single" w:sz="8" w:color="D1D2D4"/>
            </w:tcBorders>
            <w:vMerge w:val="continue"/>
          </w:tcPr>
          <w:p>
            <w:pPr>
              <w:spacing w:after="0"/>
              <w:rPr>
                <w:sz w:val="9"/>
                <w:szCs w:val="9"/>
                <w:color w:val="auto"/>
              </w:rPr>
            </w:pPr>
          </w:p>
        </w:tc>
        <w:tc>
          <w:tcPr>
            <w:tcW w:w="620" w:type="dxa"/>
            <w:vAlign w:val="bottom"/>
            <w:tcBorders>
              <w:bottom w:val="single" w:sz="8" w:color="D1D2D4"/>
            </w:tcBorders>
          </w:tcPr>
          <w:p>
            <w:pPr>
              <w:spacing w:after="0"/>
              <w:rPr>
                <w:sz w:val="9"/>
                <w:szCs w:val="9"/>
                <w:color w:val="auto"/>
              </w:rPr>
            </w:pPr>
          </w:p>
        </w:tc>
        <w:tc>
          <w:tcPr>
            <w:tcW w:w="860" w:type="dxa"/>
            <w:vAlign w:val="bottom"/>
            <w:tcBorders>
              <w:bottom w:val="single" w:sz="8" w:color="D1D2D4"/>
            </w:tcBorders>
          </w:tcPr>
          <w:p>
            <w:pPr>
              <w:spacing w:after="0"/>
              <w:rPr>
                <w:sz w:val="9"/>
                <w:szCs w:val="9"/>
                <w:color w:val="auto"/>
              </w:rPr>
            </w:pPr>
          </w:p>
        </w:tc>
        <w:tc>
          <w:tcPr>
            <w:tcW w:w="1020" w:type="dxa"/>
            <w:vAlign w:val="bottom"/>
            <w:tcBorders>
              <w:bottom w:val="single" w:sz="8" w:color="D1D2D4"/>
            </w:tcBorders>
          </w:tcPr>
          <w:p>
            <w:pPr>
              <w:spacing w:after="0"/>
              <w:rPr>
                <w:sz w:val="9"/>
                <w:szCs w:val="9"/>
                <w:color w:val="auto"/>
              </w:rPr>
            </w:pPr>
          </w:p>
        </w:tc>
        <w:tc>
          <w:tcPr>
            <w:tcW w:w="900" w:type="dxa"/>
            <w:vAlign w:val="bottom"/>
            <w:tcBorders>
              <w:bottom w:val="single" w:sz="8" w:color="D1D2D4"/>
            </w:tcBorders>
          </w:tcPr>
          <w:p>
            <w:pPr>
              <w:spacing w:after="0"/>
              <w:rPr>
                <w:sz w:val="9"/>
                <w:szCs w:val="9"/>
                <w:color w:val="auto"/>
              </w:rPr>
            </w:pPr>
          </w:p>
        </w:tc>
        <w:tc>
          <w:tcPr>
            <w:tcW w:w="1260" w:type="dxa"/>
            <w:vAlign w:val="bottom"/>
            <w:tcBorders>
              <w:bottom w:val="single" w:sz="8" w:color="D1D2D4"/>
            </w:tcBorders>
          </w:tcPr>
          <w:p>
            <w:pPr>
              <w:spacing w:after="0"/>
              <w:rPr>
                <w:sz w:val="9"/>
                <w:szCs w:val="9"/>
                <w:color w:val="auto"/>
              </w:rPr>
            </w:pPr>
          </w:p>
        </w:tc>
        <w:tc>
          <w:tcPr>
            <w:tcW w:w="1320" w:type="dxa"/>
            <w:vAlign w:val="bottom"/>
            <w:tcBorders>
              <w:bottom w:val="single" w:sz="8" w:color="D1D2D4"/>
            </w:tcBorders>
          </w:tcPr>
          <w:p>
            <w:pPr>
              <w:spacing w:after="0"/>
              <w:rPr>
                <w:sz w:val="9"/>
                <w:szCs w:val="9"/>
                <w:color w:val="auto"/>
              </w:rPr>
            </w:pPr>
          </w:p>
        </w:tc>
        <w:tc>
          <w:tcPr>
            <w:tcW w:w="1240" w:type="dxa"/>
            <w:vAlign w:val="bottom"/>
            <w:tcBorders>
              <w:bottom w:val="single" w:sz="8" w:color="D1D2D4"/>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60" w:hanging="549"/>
        <w:spacing w:after="0" w:line="282" w:lineRule="auto"/>
        <w:tabs>
          <w:tab w:leader="none" w:pos="1680" w:val="left"/>
        </w:tabs>
        <w:numPr>
          <w:ilvl w:val="0"/>
          <w:numId w:val="50"/>
        </w:numPr>
        <w:rPr>
          <w:rFonts w:ascii="Arial" w:cs="Arial" w:eastAsia="Arial" w:hAnsi="Arial"/>
          <w:sz w:val="16"/>
          <w:szCs w:val="16"/>
          <w:color w:val="191919"/>
        </w:rPr>
      </w:pPr>
      <w:r>
        <w:rPr>
          <w:rFonts w:ascii="Arial" w:cs="Arial" w:eastAsia="Arial" w:hAnsi="Arial"/>
          <w:sz w:val="16"/>
          <w:szCs w:val="16"/>
          <w:color w:val="191919"/>
        </w:rPr>
        <w:t>The amounts in the Stock Awards and Option Awards columns represent the grant date fair values, computed in accordance with the provisions of FASB ASC Topic 718—Compensation—Stock Compensation (“ASC 718”), of stock options, PSAs, and RSUs granted during the applicable fiscal year, without regard to estimated forfeiture rates. For fiscal years 2017, 2018, and 2019, assuming the highest level of performance achievement with respect to the PSAs, the grant date fair values of the Stock Awards would be as follows: Mr. Griffin (FY 2017: $7,136,568; FY 2018: $9,216,421; FY 2019: $14,658,935), Mr. Sennesael (FY 2017: $1,724,613; FY 2018: $3,211,920; FY 2019: $4,104,438), Mr. Bori (FY 2017: $1,665,160; FY 2018: $3,211,920; FY 2019: $3,957,856), Mr. Terry (FY 2018: $2,007,357; FY 2019: $2,491,891), and Mr. Gammel (FY 2017: $1,308,264; FY 2018: $1,605,873; FY 2019: $1,465,818). For a description of the assumptions used in calculating the fair value of equity awards in 2019 under ASC 718, see Note 9 of the Company’s financial statements included in the Company’s Annual Report on Form 10-K filed with the SEC on November 14, 2019.</w:t>
      </w:r>
    </w:p>
    <w:p>
      <w:pPr>
        <w:spacing w:after="0" w:line="25" w:lineRule="exact"/>
        <w:rPr>
          <w:rFonts w:ascii="Arial" w:cs="Arial" w:eastAsia="Arial" w:hAnsi="Arial"/>
          <w:sz w:val="16"/>
          <w:szCs w:val="16"/>
          <w:color w:val="191919"/>
        </w:rPr>
      </w:pPr>
    </w:p>
    <w:p>
      <w:pPr>
        <w:ind w:left="1680" w:right="680" w:hanging="549"/>
        <w:spacing w:after="0" w:line="254" w:lineRule="auto"/>
        <w:tabs>
          <w:tab w:leader="none" w:pos="1680" w:val="left"/>
        </w:tabs>
        <w:numPr>
          <w:ilvl w:val="0"/>
          <w:numId w:val="50"/>
        </w:numPr>
        <w:rPr>
          <w:rFonts w:ascii="Arial" w:cs="Arial" w:eastAsia="Arial" w:hAnsi="Arial"/>
          <w:sz w:val="18"/>
          <w:szCs w:val="18"/>
          <w:color w:val="191919"/>
        </w:rPr>
      </w:pPr>
      <w:r>
        <w:rPr>
          <w:rFonts w:ascii="Arial" w:cs="Arial" w:eastAsia="Arial" w:hAnsi="Arial"/>
          <w:sz w:val="18"/>
          <w:szCs w:val="18"/>
          <w:color w:val="191919"/>
        </w:rPr>
        <w:t>Reflects amounts paid to the Named Executive Officers pursuant to the executive incentive plan adopted by the Compensation Committee for each year indicated.</w:t>
      </w:r>
    </w:p>
    <w:p>
      <w:pPr>
        <w:spacing w:after="0" w:line="7" w:lineRule="exact"/>
        <w:rPr>
          <w:rFonts w:ascii="Arial" w:cs="Arial" w:eastAsia="Arial" w:hAnsi="Arial"/>
          <w:sz w:val="18"/>
          <w:szCs w:val="18"/>
          <w:color w:val="191919"/>
        </w:rPr>
      </w:pPr>
    </w:p>
    <w:p>
      <w:pPr>
        <w:ind w:left="1680" w:right="20" w:hanging="549"/>
        <w:spacing w:after="0" w:line="251" w:lineRule="auto"/>
        <w:tabs>
          <w:tab w:leader="none" w:pos="1680" w:val="left"/>
        </w:tabs>
        <w:numPr>
          <w:ilvl w:val="0"/>
          <w:numId w:val="50"/>
        </w:numPr>
        <w:rPr>
          <w:rFonts w:ascii="Arial" w:cs="Arial" w:eastAsia="Arial" w:hAnsi="Arial"/>
          <w:sz w:val="18"/>
          <w:szCs w:val="18"/>
          <w:color w:val="191919"/>
        </w:rPr>
      </w:pPr>
      <w:r>
        <w:rPr>
          <w:rFonts w:ascii="Arial" w:cs="Arial" w:eastAsia="Arial" w:hAnsi="Arial"/>
          <w:sz w:val="18"/>
          <w:szCs w:val="18"/>
          <w:color w:val="191919"/>
        </w:rPr>
        <w:t>“All Other Compensation” includes the Company’s contributions to the executive’s 401(k) Plan account, the cost of group term life insurance premiums, relocation expenses, tax equalization payments, and financial planning benefits. For fiscal year 2019, it specifically includes $11,200 in Company contributions to each Named Executive Officer’s 401(k) Plan account, as well as $135,878 in relocation expenses and $989,855 in tax equalization payments for Mr. Gammel in connection with the International Assignment Agreement.</w:t>
      </w:r>
    </w:p>
    <w:p>
      <w:pPr>
        <w:spacing w:after="0" w:line="11" w:lineRule="exact"/>
        <w:rPr>
          <w:rFonts w:ascii="Arial" w:cs="Arial" w:eastAsia="Arial" w:hAnsi="Arial"/>
          <w:sz w:val="18"/>
          <w:szCs w:val="18"/>
          <w:color w:val="191919"/>
        </w:rPr>
      </w:pPr>
    </w:p>
    <w:p>
      <w:pPr>
        <w:ind w:left="1680" w:hanging="549"/>
        <w:spacing w:after="0"/>
        <w:tabs>
          <w:tab w:leader="none" w:pos="1680" w:val="left"/>
        </w:tabs>
        <w:numPr>
          <w:ilvl w:val="0"/>
          <w:numId w:val="50"/>
        </w:numPr>
        <w:rPr>
          <w:rFonts w:ascii="Arial" w:cs="Arial" w:eastAsia="Arial" w:hAnsi="Arial"/>
          <w:sz w:val="18"/>
          <w:szCs w:val="18"/>
          <w:color w:val="191919"/>
        </w:rPr>
      </w:pPr>
      <w:r>
        <w:rPr>
          <w:rFonts w:ascii="Arial" w:cs="Arial" w:eastAsia="Arial" w:hAnsi="Arial"/>
          <w:sz w:val="18"/>
          <w:szCs w:val="18"/>
          <w:color w:val="191919"/>
        </w:rPr>
        <w:t>Mr. Terry was not a named executive officer prior to fiscal year 2018.</w:t>
      </w:r>
    </w:p>
    <w:p>
      <w:pPr>
        <w:spacing w:after="0" w:line="36" w:lineRule="exact"/>
        <w:rPr>
          <w:rFonts w:ascii="Arial" w:cs="Arial" w:eastAsia="Arial" w:hAnsi="Arial"/>
          <w:sz w:val="18"/>
          <w:szCs w:val="18"/>
          <w:color w:val="191919"/>
        </w:rPr>
      </w:pPr>
    </w:p>
    <w:p>
      <w:pPr>
        <w:ind w:left="1680" w:hanging="549"/>
        <w:spacing w:after="0"/>
        <w:tabs>
          <w:tab w:leader="none" w:pos="1680" w:val="left"/>
        </w:tabs>
        <w:numPr>
          <w:ilvl w:val="0"/>
          <w:numId w:val="50"/>
        </w:numPr>
        <w:rPr>
          <w:rFonts w:ascii="Arial" w:cs="Arial" w:eastAsia="Arial" w:hAnsi="Arial"/>
          <w:sz w:val="18"/>
          <w:szCs w:val="18"/>
          <w:color w:val="191919"/>
        </w:rPr>
      </w:pPr>
      <w:r>
        <w:rPr>
          <w:rFonts w:ascii="Arial" w:cs="Arial" w:eastAsia="Arial" w:hAnsi="Arial"/>
          <w:sz w:val="18"/>
          <w:szCs w:val="18"/>
          <w:color w:val="191919"/>
        </w:rPr>
        <w:t>Mr. Gammel retired as Chief Technology Officer effective as of November 19, 2019.</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61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Grants of Plan-Based Awards Table</w:t>
      </w:r>
    </w:p>
    <w:p>
      <w:pPr>
        <w:spacing w:after="0" w:line="2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191919"/>
        </w:rPr>
        <w:t>The following table summarizes all grants of plan-based awards made to the Named Executive Officers in fiscal year 2019, including incentive awards payable under our Fiscal Year 2019 Executive Incentive Plan.</w:t>
      </w:r>
    </w:p>
    <w:p>
      <w:pPr>
        <w:spacing w:after="0" w:line="174"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1200" w:type="dxa"/>
            <w:vAlign w:val="bottom"/>
            <w:tcBorders>
              <w:top w:val="single" w:sz="8" w:color="02568A"/>
            </w:tcBorders>
          </w:tcPr>
          <w:p>
            <w:pPr>
              <w:spacing w:after="0"/>
              <w:rPr>
                <w:sz w:val="18"/>
                <w:szCs w:val="18"/>
                <w:color w:val="auto"/>
              </w:rPr>
            </w:pPr>
          </w:p>
        </w:tc>
        <w:tc>
          <w:tcPr>
            <w:tcW w:w="800" w:type="dxa"/>
            <w:vAlign w:val="bottom"/>
            <w:tcBorders>
              <w:top w:val="single" w:sz="8" w:color="02568A"/>
            </w:tcBorders>
          </w:tcPr>
          <w:p>
            <w:pPr>
              <w:spacing w:after="0"/>
              <w:rPr>
                <w:sz w:val="18"/>
                <w:szCs w:val="18"/>
                <w:color w:val="auto"/>
              </w:rPr>
            </w:pPr>
          </w:p>
        </w:tc>
        <w:tc>
          <w:tcPr>
            <w:tcW w:w="800" w:type="dxa"/>
            <w:vAlign w:val="bottom"/>
            <w:tcBorders>
              <w:top w:val="single" w:sz="8" w:color="02568A"/>
            </w:tcBorders>
          </w:tcPr>
          <w:p>
            <w:pPr>
              <w:spacing w:after="0"/>
              <w:rPr>
                <w:sz w:val="18"/>
                <w:szCs w:val="18"/>
                <w:color w:val="auto"/>
              </w:rPr>
            </w:pPr>
          </w:p>
        </w:tc>
        <w:tc>
          <w:tcPr>
            <w:tcW w:w="840" w:type="dxa"/>
            <w:vAlign w:val="bottom"/>
            <w:tcBorders>
              <w:top w:val="single" w:sz="8" w:color="02568A"/>
            </w:tcBorders>
          </w:tcPr>
          <w:p>
            <w:pPr>
              <w:spacing w:after="0"/>
              <w:rPr>
                <w:sz w:val="18"/>
                <w:szCs w:val="18"/>
                <w:color w:val="auto"/>
              </w:rPr>
            </w:pPr>
          </w:p>
        </w:tc>
        <w:tc>
          <w:tcPr>
            <w:tcW w:w="800" w:type="dxa"/>
            <w:vAlign w:val="bottom"/>
            <w:tcBorders>
              <w:top w:val="single" w:sz="8" w:color="02568A"/>
            </w:tcBorders>
          </w:tcPr>
          <w:p>
            <w:pPr>
              <w:spacing w:after="0"/>
              <w:rPr>
                <w:sz w:val="18"/>
                <w:szCs w:val="18"/>
                <w:color w:val="auto"/>
              </w:rPr>
            </w:pPr>
          </w:p>
        </w:tc>
        <w:tc>
          <w:tcPr>
            <w:tcW w:w="80" w:type="dxa"/>
            <w:vAlign w:val="bottom"/>
            <w:tcBorders>
              <w:top w:val="single" w:sz="8" w:color="02568A"/>
            </w:tcBorders>
          </w:tcPr>
          <w:p>
            <w:pPr>
              <w:spacing w:after="0"/>
              <w:rPr>
                <w:sz w:val="18"/>
                <w:szCs w:val="18"/>
                <w:color w:val="auto"/>
              </w:rPr>
            </w:pPr>
          </w:p>
        </w:tc>
        <w:tc>
          <w:tcPr>
            <w:tcW w:w="820" w:type="dxa"/>
            <w:vAlign w:val="bottom"/>
            <w:tcBorders>
              <w:top w:val="single" w:sz="8" w:color="02568A"/>
            </w:tcBorders>
          </w:tcPr>
          <w:p>
            <w:pPr>
              <w:spacing w:after="0"/>
              <w:rPr>
                <w:sz w:val="18"/>
                <w:szCs w:val="18"/>
                <w:color w:val="auto"/>
              </w:rPr>
            </w:pPr>
          </w:p>
        </w:tc>
        <w:tc>
          <w:tcPr>
            <w:tcW w:w="840" w:type="dxa"/>
            <w:vAlign w:val="bottom"/>
            <w:tcBorders>
              <w:top w:val="single" w:sz="8" w:color="02568A"/>
            </w:tcBorders>
          </w:tcPr>
          <w:p>
            <w:pPr>
              <w:spacing w:after="0"/>
              <w:rPr>
                <w:sz w:val="18"/>
                <w:szCs w:val="18"/>
                <w:color w:val="auto"/>
              </w:rPr>
            </w:pPr>
          </w:p>
        </w:tc>
        <w:tc>
          <w:tcPr>
            <w:tcW w:w="800" w:type="dxa"/>
            <w:vAlign w:val="bottom"/>
            <w:tcBorders>
              <w:top w:val="single" w:sz="8" w:color="02568A"/>
            </w:tcBorders>
          </w:tcPr>
          <w:p>
            <w:pPr>
              <w:spacing w:after="0"/>
              <w:rPr>
                <w:sz w:val="18"/>
                <w:szCs w:val="18"/>
                <w:color w:val="auto"/>
              </w:rPr>
            </w:pPr>
          </w:p>
        </w:tc>
        <w:tc>
          <w:tcPr>
            <w:tcW w:w="60" w:type="dxa"/>
            <w:vAlign w:val="bottom"/>
            <w:tcBorders>
              <w:top w:val="single" w:sz="8" w:color="02568A"/>
            </w:tcBorders>
          </w:tcPr>
          <w:p>
            <w:pPr>
              <w:spacing w:after="0"/>
              <w:rPr>
                <w:sz w:val="18"/>
                <w:szCs w:val="18"/>
                <w:color w:val="auto"/>
              </w:rPr>
            </w:pPr>
          </w:p>
        </w:tc>
        <w:tc>
          <w:tcPr>
            <w:tcW w:w="860" w:type="dxa"/>
            <w:vAlign w:val="bottom"/>
            <w:tcBorders>
              <w:top w:val="single" w:sz="8" w:color="02568A"/>
            </w:tcBorders>
          </w:tcPr>
          <w:p>
            <w:pPr>
              <w:jc w:val="center"/>
              <w:spacing w:after="0"/>
              <w:rPr>
                <w:sz w:val="20"/>
                <w:szCs w:val="20"/>
                <w:color w:val="auto"/>
              </w:rPr>
            </w:pPr>
            <w:r>
              <w:rPr>
                <w:rFonts w:ascii="Arial" w:cs="Arial" w:eastAsia="Arial" w:hAnsi="Arial"/>
                <w:sz w:val="18"/>
                <w:szCs w:val="18"/>
                <w:b w:val="1"/>
                <w:bCs w:val="1"/>
                <w:color w:val="02568A"/>
                <w:w w:val="94"/>
              </w:rPr>
              <w:t>All Other</w:t>
            </w:r>
          </w:p>
        </w:tc>
        <w:tc>
          <w:tcPr>
            <w:tcW w:w="1200" w:type="dxa"/>
            <w:vAlign w:val="bottom"/>
            <w:tcBorders>
              <w:top w:val="single" w:sz="8" w:color="02568A"/>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520" w:type="dxa"/>
            <w:vAlign w:val="bottom"/>
            <w:gridSpan w:val="4"/>
            <w:vMerge w:val="restart"/>
          </w:tcPr>
          <w:p>
            <w:pPr>
              <w:jc w:val="center"/>
              <w:ind w:right="80"/>
              <w:spacing w:after="0"/>
              <w:rPr>
                <w:sz w:val="20"/>
                <w:szCs w:val="20"/>
                <w:color w:val="auto"/>
              </w:rPr>
            </w:pPr>
            <w:r>
              <w:rPr>
                <w:rFonts w:ascii="Arial" w:cs="Arial" w:eastAsia="Arial" w:hAnsi="Arial"/>
                <w:sz w:val="18"/>
                <w:szCs w:val="18"/>
                <w:b w:val="1"/>
                <w:bCs w:val="1"/>
                <w:color w:val="02568A"/>
                <w:w w:val="88"/>
              </w:rPr>
              <w:t>Estimated Future Payouts</w:t>
            </w: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02568A"/>
                <w:w w:val="85"/>
              </w:rPr>
              <w:t>Stock</w:t>
            </w:r>
          </w:p>
        </w:tc>
        <w:tc>
          <w:tcPr>
            <w:tcW w:w="1200" w:type="dxa"/>
            <w:vAlign w:val="bottom"/>
          </w:tcPr>
          <w:p>
            <w:pPr>
              <w:jc w:val="center"/>
              <w:ind w:right="132"/>
              <w:spacing w:after="0"/>
              <w:rPr>
                <w:sz w:val="20"/>
                <w:szCs w:val="20"/>
                <w:color w:val="auto"/>
              </w:rPr>
            </w:pPr>
            <w:r>
              <w:rPr>
                <w:rFonts w:ascii="Arial" w:cs="Arial" w:eastAsia="Arial" w:hAnsi="Arial"/>
                <w:sz w:val="18"/>
                <w:szCs w:val="18"/>
                <w:b w:val="1"/>
                <w:bCs w:val="1"/>
                <w:color w:val="02568A"/>
                <w:w w:val="95"/>
              </w:rPr>
              <w:t>Grant</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gridSpan w:val="4"/>
            <w:vMerge w:val="continue"/>
          </w:tcPr>
          <w:p>
            <w:pPr>
              <w:spacing w:after="0"/>
              <w:rPr>
                <w:sz w:val="17"/>
                <w:szCs w:val="17"/>
                <w:color w:val="auto"/>
              </w:rPr>
            </w:pPr>
          </w:p>
        </w:tc>
        <w:tc>
          <w:tcPr>
            <w:tcW w:w="2520" w:type="dxa"/>
            <w:vAlign w:val="bottom"/>
            <w:gridSpan w:val="4"/>
            <w:vMerge w:val="restart"/>
          </w:tcPr>
          <w:p>
            <w:pPr>
              <w:jc w:val="center"/>
              <w:ind w:right="40"/>
              <w:spacing w:after="0"/>
              <w:rPr>
                <w:sz w:val="20"/>
                <w:szCs w:val="20"/>
                <w:color w:val="auto"/>
              </w:rPr>
            </w:pPr>
            <w:r>
              <w:rPr>
                <w:rFonts w:ascii="Arial" w:cs="Arial" w:eastAsia="Arial" w:hAnsi="Arial"/>
                <w:sz w:val="18"/>
                <w:szCs w:val="18"/>
                <w:b w:val="1"/>
                <w:bCs w:val="1"/>
                <w:color w:val="02568A"/>
                <w:w w:val="88"/>
              </w:rPr>
              <w:t>Estimated Future Payouts</w:t>
            </w:r>
          </w:p>
        </w:tc>
        <w:tc>
          <w:tcPr>
            <w:tcW w:w="860" w:type="dxa"/>
            <w:vAlign w:val="bottom"/>
            <w:vMerge w:val="restart"/>
          </w:tcPr>
          <w:p>
            <w:pPr>
              <w:jc w:val="center"/>
              <w:spacing w:after="0"/>
              <w:rPr>
                <w:sz w:val="20"/>
                <w:szCs w:val="20"/>
                <w:color w:val="auto"/>
              </w:rPr>
            </w:pPr>
            <w:r>
              <w:rPr>
                <w:rFonts w:ascii="Arial" w:cs="Arial" w:eastAsia="Arial" w:hAnsi="Arial"/>
                <w:sz w:val="18"/>
                <w:szCs w:val="18"/>
                <w:b w:val="1"/>
                <w:bCs w:val="1"/>
                <w:color w:val="02568A"/>
                <w:w w:val="90"/>
              </w:rPr>
              <w:t>Awards:</w:t>
            </w:r>
          </w:p>
        </w:tc>
        <w:tc>
          <w:tcPr>
            <w:tcW w:w="1200" w:type="dxa"/>
            <w:vAlign w:val="bottom"/>
            <w:vMerge w:val="restart"/>
          </w:tcPr>
          <w:p>
            <w:pPr>
              <w:jc w:val="center"/>
              <w:ind w:right="112"/>
              <w:spacing w:after="0"/>
              <w:rPr>
                <w:sz w:val="20"/>
                <w:szCs w:val="20"/>
                <w:color w:val="auto"/>
              </w:rPr>
            </w:pPr>
            <w:r>
              <w:rPr>
                <w:rFonts w:ascii="Arial" w:cs="Arial" w:eastAsia="Arial" w:hAnsi="Arial"/>
                <w:sz w:val="18"/>
                <w:szCs w:val="18"/>
                <w:b w:val="1"/>
                <w:bCs w:val="1"/>
                <w:color w:val="02568A"/>
                <w:w w:val="93"/>
              </w:rPr>
              <w:t>Date Fair</w:t>
            </w:r>
          </w:p>
        </w:tc>
        <w:tc>
          <w:tcPr>
            <w:tcW w:w="0" w:type="dxa"/>
            <w:vAlign w:val="bottom"/>
          </w:tcPr>
          <w:p>
            <w:pPr>
              <w:spacing w:after="0"/>
              <w:rPr>
                <w:sz w:val="1"/>
                <w:szCs w:val="1"/>
                <w:color w:val="auto"/>
              </w:rPr>
            </w:pPr>
          </w:p>
        </w:tc>
      </w:tr>
      <w:tr>
        <w:trPr>
          <w:trHeight w:val="120"/>
        </w:trPr>
        <w:tc>
          <w:tcPr>
            <w:tcW w:w="1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02568A"/>
                <w:w w:val="92"/>
              </w:rPr>
              <w:t>Under</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5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02568A"/>
                <w:w w:val="90"/>
              </w:rPr>
              <w:t>Non-Equity Incentive Plan</w:t>
            </w:r>
          </w:p>
        </w:tc>
        <w:tc>
          <w:tcPr>
            <w:tcW w:w="252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02568A"/>
                <w:w w:val="90"/>
              </w:rPr>
              <w:t>Under Equity Incentive Plan</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02568A"/>
                <w:w w:val="91"/>
              </w:rPr>
              <w:t>Number</w:t>
            </w:r>
          </w:p>
        </w:tc>
        <w:tc>
          <w:tcPr>
            <w:tcW w:w="1200" w:type="dxa"/>
            <w:vAlign w:val="bottom"/>
          </w:tcPr>
          <w:p>
            <w:pPr>
              <w:jc w:val="center"/>
              <w:ind w:right="132"/>
              <w:spacing w:after="0"/>
              <w:rPr>
                <w:sz w:val="20"/>
                <w:szCs w:val="20"/>
                <w:color w:val="auto"/>
              </w:rPr>
            </w:pPr>
            <w:r>
              <w:rPr>
                <w:rFonts w:ascii="Arial" w:cs="Arial" w:eastAsia="Arial" w:hAnsi="Arial"/>
                <w:sz w:val="18"/>
                <w:szCs w:val="18"/>
                <w:b w:val="1"/>
                <w:bCs w:val="1"/>
                <w:color w:val="02568A"/>
                <w:w w:val="88"/>
              </w:rPr>
              <w:t>Value of</w:t>
            </w:r>
          </w:p>
        </w:tc>
        <w:tc>
          <w:tcPr>
            <w:tcW w:w="0" w:type="dxa"/>
            <w:vAlign w:val="bottom"/>
          </w:tcPr>
          <w:p>
            <w:pPr>
              <w:spacing w:after="0"/>
              <w:rPr>
                <w:sz w:val="1"/>
                <w:szCs w:val="1"/>
                <w:color w:val="auto"/>
              </w:rPr>
            </w:pPr>
          </w:p>
        </w:tc>
      </w:tr>
      <w:tr>
        <w:trPr>
          <w:trHeight w:val="228"/>
        </w:trPr>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Borders>
              <w:bottom w:val="single" w:sz="8" w:color="02568A"/>
            </w:tcBorders>
          </w:tcPr>
          <w:p>
            <w:pPr>
              <w:spacing w:after="0"/>
              <w:rPr>
                <w:sz w:val="19"/>
                <w:szCs w:val="19"/>
                <w:color w:val="auto"/>
              </w:rPr>
            </w:pPr>
          </w:p>
        </w:tc>
        <w:tc>
          <w:tcPr>
            <w:tcW w:w="84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89"/>
              </w:rPr>
              <w:t>Awards(1)</w:t>
            </w:r>
          </w:p>
        </w:tc>
        <w:tc>
          <w:tcPr>
            <w:tcW w:w="800" w:type="dxa"/>
            <w:vAlign w:val="bottom"/>
            <w:tcBorders>
              <w:bottom w:val="single" w:sz="8" w:color="02568A"/>
            </w:tcBorders>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02568A"/>
            </w:tcBorders>
          </w:tcPr>
          <w:p>
            <w:pPr>
              <w:spacing w:after="0"/>
              <w:rPr>
                <w:sz w:val="19"/>
                <w:szCs w:val="19"/>
                <w:color w:val="auto"/>
              </w:rPr>
            </w:pPr>
          </w:p>
        </w:tc>
        <w:tc>
          <w:tcPr>
            <w:tcW w:w="84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89"/>
              </w:rPr>
              <w:t>Awards(2)</w:t>
            </w:r>
          </w:p>
        </w:tc>
        <w:tc>
          <w:tcPr>
            <w:tcW w:w="800" w:type="dxa"/>
            <w:vAlign w:val="bottom"/>
            <w:tcBorders>
              <w:bottom w:val="single" w:sz="8" w:color="02568A"/>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02568A"/>
                <w:w w:val="84"/>
              </w:rPr>
              <w:t>of Stock</w:t>
            </w:r>
          </w:p>
        </w:tc>
        <w:tc>
          <w:tcPr>
            <w:tcW w:w="1200" w:type="dxa"/>
            <w:vAlign w:val="bottom"/>
          </w:tcPr>
          <w:p>
            <w:pPr>
              <w:jc w:val="center"/>
              <w:ind w:right="132"/>
              <w:spacing w:after="0"/>
              <w:rPr>
                <w:sz w:val="20"/>
                <w:szCs w:val="20"/>
                <w:color w:val="auto"/>
              </w:rPr>
            </w:pPr>
            <w:r>
              <w:rPr>
                <w:rFonts w:ascii="Arial" w:cs="Arial" w:eastAsia="Arial" w:hAnsi="Arial"/>
                <w:sz w:val="18"/>
                <w:szCs w:val="18"/>
                <w:b w:val="1"/>
                <w:bCs w:val="1"/>
                <w:color w:val="02568A"/>
                <w:w w:val="85"/>
              </w:rPr>
              <w:t>Stock and</w:t>
            </w:r>
          </w:p>
        </w:tc>
        <w:tc>
          <w:tcPr>
            <w:tcW w:w="0" w:type="dxa"/>
            <w:vAlign w:val="bottom"/>
          </w:tcPr>
          <w:p>
            <w:pPr>
              <w:spacing w:after="0"/>
              <w:rPr>
                <w:sz w:val="1"/>
                <w:szCs w:val="1"/>
                <w:color w:val="auto"/>
              </w:rPr>
            </w:pPr>
          </w:p>
        </w:tc>
      </w:tr>
      <w:tr>
        <w:trPr>
          <w:trHeight w:val="197"/>
        </w:trPr>
        <w:tc>
          <w:tcPr>
            <w:tcW w:w="1200" w:type="dxa"/>
            <w:vAlign w:val="bottom"/>
          </w:tcPr>
          <w:p>
            <w:pPr>
              <w:spacing w:after="0"/>
              <w:rPr>
                <w:sz w:val="17"/>
                <w:szCs w:val="17"/>
                <w:color w:val="auto"/>
              </w:rPr>
            </w:pPr>
          </w:p>
        </w:tc>
        <w:tc>
          <w:tcPr>
            <w:tcW w:w="800" w:type="dxa"/>
            <w:vAlign w:val="bottom"/>
          </w:tcPr>
          <w:p>
            <w:pPr>
              <w:jc w:val="center"/>
              <w:ind w:right="12"/>
              <w:spacing w:after="0" w:line="197" w:lineRule="exact"/>
              <w:rPr>
                <w:sz w:val="20"/>
                <w:szCs w:val="20"/>
                <w:color w:val="auto"/>
              </w:rPr>
            </w:pPr>
            <w:r>
              <w:rPr>
                <w:rFonts w:ascii="Arial" w:cs="Arial" w:eastAsia="Arial" w:hAnsi="Arial"/>
                <w:sz w:val="18"/>
                <w:szCs w:val="18"/>
                <w:b w:val="1"/>
                <w:bCs w:val="1"/>
                <w:color w:val="02568A"/>
                <w:w w:val="95"/>
              </w:rPr>
              <w:t>Grant</w:t>
            </w:r>
          </w:p>
        </w:tc>
        <w:tc>
          <w:tcPr>
            <w:tcW w:w="800" w:type="dxa"/>
            <w:vAlign w:val="bottom"/>
          </w:tcPr>
          <w:p>
            <w:pPr>
              <w:jc w:val="right"/>
              <w:spacing w:after="0" w:line="197" w:lineRule="exact"/>
              <w:rPr>
                <w:sz w:val="20"/>
                <w:szCs w:val="20"/>
                <w:color w:val="auto"/>
              </w:rPr>
            </w:pPr>
            <w:r>
              <w:rPr>
                <w:rFonts w:ascii="Arial" w:cs="Arial" w:eastAsia="Arial" w:hAnsi="Arial"/>
                <w:sz w:val="18"/>
                <w:szCs w:val="18"/>
                <w:b w:val="1"/>
                <w:bCs w:val="1"/>
                <w:color w:val="02568A"/>
                <w:w w:val="84"/>
              </w:rPr>
              <w:t>Threshold</w:t>
            </w:r>
          </w:p>
        </w:tc>
        <w:tc>
          <w:tcPr>
            <w:tcW w:w="840" w:type="dxa"/>
            <w:vAlign w:val="bottom"/>
          </w:tcPr>
          <w:p>
            <w:pPr>
              <w:jc w:val="center"/>
              <w:spacing w:after="0" w:line="197" w:lineRule="exact"/>
              <w:rPr>
                <w:sz w:val="20"/>
                <w:szCs w:val="20"/>
                <w:color w:val="auto"/>
              </w:rPr>
            </w:pPr>
            <w:r>
              <w:rPr>
                <w:rFonts w:ascii="Arial" w:cs="Arial" w:eastAsia="Arial" w:hAnsi="Arial"/>
                <w:sz w:val="18"/>
                <w:szCs w:val="18"/>
                <w:b w:val="1"/>
                <w:bCs w:val="1"/>
                <w:color w:val="02568A"/>
                <w:w w:val="90"/>
              </w:rPr>
              <w:t>Target</w:t>
            </w:r>
          </w:p>
        </w:tc>
        <w:tc>
          <w:tcPr>
            <w:tcW w:w="800" w:type="dxa"/>
            <w:vAlign w:val="bottom"/>
          </w:tcPr>
          <w:p>
            <w:pPr>
              <w:jc w:val="right"/>
              <w:spacing w:after="0" w:line="197" w:lineRule="exact"/>
              <w:rPr>
                <w:sz w:val="20"/>
                <w:szCs w:val="20"/>
                <w:color w:val="auto"/>
              </w:rPr>
            </w:pPr>
            <w:r>
              <w:rPr>
                <w:rFonts w:ascii="Arial" w:cs="Arial" w:eastAsia="Arial" w:hAnsi="Arial"/>
                <w:sz w:val="18"/>
                <w:szCs w:val="18"/>
                <w:b w:val="1"/>
                <w:bCs w:val="1"/>
                <w:color w:val="02568A"/>
                <w:w w:val="93"/>
              </w:rPr>
              <w:t>Maximum</w:t>
            </w:r>
          </w:p>
        </w:tc>
        <w:tc>
          <w:tcPr>
            <w:tcW w:w="80" w:type="dxa"/>
            <w:vAlign w:val="bottom"/>
          </w:tcPr>
          <w:p>
            <w:pPr>
              <w:spacing w:after="0"/>
              <w:rPr>
                <w:sz w:val="17"/>
                <w:szCs w:val="17"/>
                <w:color w:val="auto"/>
              </w:rPr>
            </w:pPr>
          </w:p>
        </w:tc>
        <w:tc>
          <w:tcPr>
            <w:tcW w:w="820" w:type="dxa"/>
            <w:vAlign w:val="bottom"/>
          </w:tcPr>
          <w:p>
            <w:pPr>
              <w:jc w:val="right"/>
              <w:spacing w:after="0" w:line="197" w:lineRule="exact"/>
              <w:rPr>
                <w:sz w:val="20"/>
                <w:szCs w:val="20"/>
                <w:color w:val="auto"/>
              </w:rPr>
            </w:pPr>
            <w:r>
              <w:rPr>
                <w:rFonts w:ascii="Arial" w:cs="Arial" w:eastAsia="Arial" w:hAnsi="Arial"/>
                <w:sz w:val="18"/>
                <w:szCs w:val="18"/>
                <w:b w:val="1"/>
                <w:bCs w:val="1"/>
                <w:color w:val="02568A"/>
                <w:w w:val="87"/>
              </w:rPr>
              <w:t>Threshold</w:t>
            </w:r>
          </w:p>
        </w:tc>
        <w:tc>
          <w:tcPr>
            <w:tcW w:w="840" w:type="dxa"/>
            <w:vAlign w:val="bottom"/>
          </w:tcPr>
          <w:p>
            <w:pPr>
              <w:jc w:val="center"/>
              <w:spacing w:after="0" w:line="197" w:lineRule="exact"/>
              <w:rPr>
                <w:sz w:val="20"/>
                <w:szCs w:val="20"/>
                <w:color w:val="auto"/>
              </w:rPr>
            </w:pPr>
            <w:r>
              <w:rPr>
                <w:rFonts w:ascii="Arial" w:cs="Arial" w:eastAsia="Arial" w:hAnsi="Arial"/>
                <w:sz w:val="18"/>
                <w:szCs w:val="18"/>
                <w:b w:val="1"/>
                <w:bCs w:val="1"/>
                <w:color w:val="02568A"/>
                <w:w w:val="87"/>
              </w:rPr>
              <w:t>Target</w:t>
            </w:r>
          </w:p>
        </w:tc>
        <w:tc>
          <w:tcPr>
            <w:tcW w:w="800" w:type="dxa"/>
            <w:vAlign w:val="bottom"/>
          </w:tcPr>
          <w:p>
            <w:pPr>
              <w:jc w:val="center"/>
              <w:spacing w:after="0" w:line="197" w:lineRule="exact"/>
              <w:rPr>
                <w:sz w:val="20"/>
                <w:szCs w:val="20"/>
                <w:color w:val="auto"/>
              </w:rPr>
            </w:pPr>
            <w:r>
              <w:rPr>
                <w:rFonts w:ascii="Arial" w:cs="Arial" w:eastAsia="Arial" w:hAnsi="Arial"/>
                <w:sz w:val="18"/>
                <w:szCs w:val="18"/>
                <w:b w:val="1"/>
                <w:bCs w:val="1"/>
                <w:color w:val="02568A"/>
                <w:w w:val="93"/>
              </w:rPr>
              <w:t>Maximum</w:t>
            </w:r>
          </w:p>
        </w:tc>
        <w:tc>
          <w:tcPr>
            <w:tcW w:w="60" w:type="dxa"/>
            <w:vAlign w:val="bottom"/>
          </w:tcPr>
          <w:p>
            <w:pPr>
              <w:spacing w:after="0"/>
              <w:rPr>
                <w:sz w:val="17"/>
                <w:szCs w:val="17"/>
                <w:color w:val="auto"/>
              </w:rPr>
            </w:pPr>
          </w:p>
        </w:tc>
        <w:tc>
          <w:tcPr>
            <w:tcW w:w="860" w:type="dxa"/>
            <w:vAlign w:val="bottom"/>
          </w:tcPr>
          <w:p>
            <w:pPr>
              <w:jc w:val="center"/>
              <w:spacing w:after="0" w:line="197" w:lineRule="exact"/>
              <w:rPr>
                <w:sz w:val="20"/>
                <w:szCs w:val="20"/>
                <w:color w:val="auto"/>
              </w:rPr>
            </w:pPr>
            <w:r>
              <w:rPr>
                <w:rFonts w:ascii="Arial" w:cs="Arial" w:eastAsia="Arial" w:hAnsi="Arial"/>
                <w:sz w:val="18"/>
                <w:szCs w:val="18"/>
                <w:b w:val="1"/>
                <w:bCs w:val="1"/>
                <w:color w:val="02568A"/>
                <w:w w:val="92"/>
              </w:rPr>
              <w:t>Or Units</w:t>
            </w:r>
          </w:p>
        </w:tc>
        <w:tc>
          <w:tcPr>
            <w:tcW w:w="1200" w:type="dxa"/>
            <w:vAlign w:val="bottom"/>
          </w:tcPr>
          <w:p>
            <w:pPr>
              <w:jc w:val="center"/>
              <w:ind w:right="112"/>
              <w:spacing w:after="0" w:line="197" w:lineRule="exact"/>
              <w:rPr>
                <w:sz w:val="20"/>
                <w:szCs w:val="20"/>
                <w:color w:val="auto"/>
              </w:rPr>
            </w:pPr>
            <w:r>
              <w:rPr>
                <w:rFonts w:ascii="Arial" w:cs="Arial" w:eastAsia="Arial" w:hAnsi="Arial"/>
                <w:sz w:val="18"/>
                <w:szCs w:val="18"/>
                <w:b w:val="1"/>
                <w:bCs w:val="1"/>
                <w:color w:val="02568A"/>
                <w:w w:val="89"/>
              </w:rPr>
              <w:t>Option</w:t>
            </w:r>
          </w:p>
        </w:tc>
        <w:tc>
          <w:tcPr>
            <w:tcW w:w="0" w:type="dxa"/>
            <w:vAlign w:val="bottom"/>
          </w:tcPr>
          <w:p>
            <w:pPr>
              <w:spacing w:after="0"/>
              <w:rPr>
                <w:sz w:val="1"/>
                <w:szCs w:val="1"/>
                <w:color w:val="auto"/>
              </w:rPr>
            </w:pPr>
          </w:p>
        </w:tc>
      </w:tr>
      <w:tr>
        <w:trPr>
          <w:trHeight w:val="229"/>
        </w:trPr>
        <w:tc>
          <w:tcPr>
            <w:tcW w:w="1200" w:type="dxa"/>
            <w:vAlign w:val="bottom"/>
            <w:tcBorders>
              <w:bottom w:val="single" w:sz="8" w:color="02568A"/>
            </w:tcBorders>
          </w:tcPr>
          <w:p>
            <w:pPr>
              <w:ind w:left="440"/>
              <w:spacing w:after="0"/>
              <w:rPr>
                <w:sz w:val="20"/>
                <w:szCs w:val="20"/>
                <w:color w:val="auto"/>
              </w:rPr>
            </w:pPr>
            <w:r>
              <w:rPr>
                <w:rFonts w:ascii="Arial" w:cs="Arial" w:eastAsia="Arial" w:hAnsi="Arial"/>
                <w:sz w:val="18"/>
                <w:szCs w:val="18"/>
                <w:b w:val="1"/>
                <w:bCs w:val="1"/>
                <w:color w:val="02568A"/>
              </w:rPr>
              <w:t>Name</w:t>
            </w:r>
          </w:p>
        </w:tc>
        <w:tc>
          <w:tcPr>
            <w:tcW w:w="80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92"/>
              </w:rPr>
              <w:t>Date</w:t>
            </w:r>
          </w:p>
        </w:tc>
        <w:tc>
          <w:tcPr>
            <w:tcW w:w="800" w:type="dxa"/>
            <w:vAlign w:val="bottom"/>
            <w:tcBorders>
              <w:bottom w:val="single" w:sz="8" w:color="02568A"/>
            </w:tcBorders>
          </w:tcPr>
          <w:p>
            <w:pPr>
              <w:jc w:val="right"/>
              <w:ind w:right="232"/>
              <w:spacing w:after="0"/>
              <w:rPr>
                <w:sz w:val="20"/>
                <w:szCs w:val="20"/>
                <w:color w:val="auto"/>
              </w:rPr>
            </w:pPr>
            <w:r>
              <w:rPr>
                <w:rFonts w:ascii="Arial" w:cs="Arial" w:eastAsia="Arial" w:hAnsi="Arial"/>
                <w:sz w:val="18"/>
                <w:szCs w:val="18"/>
                <w:b w:val="1"/>
                <w:bCs w:val="1"/>
                <w:color w:val="02568A"/>
              </w:rPr>
              <w:t>($)</w:t>
            </w:r>
          </w:p>
        </w:tc>
        <w:tc>
          <w:tcPr>
            <w:tcW w:w="84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99"/>
              </w:rPr>
              <w:t>($)</w:t>
            </w:r>
          </w:p>
        </w:tc>
        <w:tc>
          <w:tcPr>
            <w:tcW w:w="800" w:type="dxa"/>
            <w:vAlign w:val="bottom"/>
            <w:tcBorders>
              <w:bottom w:val="single" w:sz="8" w:color="02568A"/>
            </w:tcBorders>
          </w:tcPr>
          <w:p>
            <w:pPr>
              <w:jc w:val="right"/>
              <w:ind w:right="212"/>
              <w:spacing w:after="0"/>
              <w:rPr>
                <w:sz w:val="20"/>
                <w:szCs w:val="20"/>
                <w:color w:val="auto"/>
              </w:rPr>
            </w:pPr>
            <w:r>
              <w:rPr>
                <w:rFonts w:ascii="Arial" w:cs="Arial" w:eastAsia="Arial" w:hAnsi="Arial"/>
                <w:sz w:val="18"/>
                <w:szCs w:val="18"/>
                <w:b w:val="1"/>
                <w:bCs w:val="1"/>
                <w:color w:val="02568A"/>
              </w:rPr>
              <w:t>($)</w:t>
            </w:r>
          </w:p>
        </w:tc>
        <w:tc>
          <w:tcPr>
            <w:tcW w:w="80" w:type="dxa"/>
            <w:vAlign w:val="bottom"/>
            <w:tcBorders>
              <w:bottom w:val="single" w:sz="8" w:color="02568A"/>
            </w:tcBorders>
          </w:tcPr>
          <w:p>
            <w:pPr>
              <w:spacing w:after="0"/>
              <w:rPr>
                <w:sz w:val="19"/>
                <w:szCs w:val="19"/>
                <w:color w:val="auto"/>
              </w:rPr>
            </w:pPr>
          </w:p>
        </w:tc>
        <w:tc>
          <w:tcPr>
            <w:tcW w:w="820" w:type="dxa"/>
            <w:vAlign w:val="bottom"/>
            <w:tcBorders>
              <w:bottom w:val="single" w:sz="8" w:color="02568A"/>
            </w:tcBorders>
          </w:tcPr>
          <w:p>
            <w:pPr>
              <w:jc w:val="right"/>
              <w:ind w:right="232"/>
              <w:spacing w:after="0"/>
              <w:rPr>
                <w:sz w:val="20"/>
                <w:szCs w:val="20"/>
                <w:color w:val="auto"/>
              </w:rPr>
            </w:pPr>
            <w:r>
              <w:rPr>
                <w:rFonts w:ascii="Arial" w:cs="Arial" w:eastAsia="Arial" w:hAnsi="Arial"/>
                <w:sz w:val="18"/>
                <w:szCs w:val="18"/>
                <w:b w:val="1"/>
                <w:bCs w:val="1"/>
                <w:color w:val="02568A"/>
              </w:rPr>
              <w:t>(#)</w:t>
            </w:r>
          </w:p>
        </w:tc>
        <w:tc>
          <w:tcPr>
            <w:tcW w:w="840" w:type="dxa"/>
            <w:vAlign w:val="bottom"/>
            <w:tcBorders>
              <w:bottom w:val="single" w:sz="8" w:color="02568A"/>
            </w:tcBorders>
          </w:tcPr>
          <w:p>
            <w:pPr>
              <w:jc w:val="right"/>
              <w:ind w:right="232"/>
              <w:spacing w:after="0"/>
              <w:rPr>
                <w:sz w:val="20"/>
                <w:szCs w:val="20"/>
                <w:color w:val="auto"/>
              </w:rPr>
            </w:pPr>
            <w:r>
              <w:rPr>
                <w:rFonts w:ascii="Arial" w:cs="Arial" w:eastAsia="Arial" w:hAnsi="Arial"/>
                <w:sz w:val="18"/>
                <w:szCs w:val="18"/>
                <w:b w:val="1"/>
                <w:bCs w:val="1"/>
                <w:color w:val="02568A"/>
              </w:rPr>
              <w:t>(#)</w:t>
            </w:r>
          </w:p>
        </w:tc>
        <w:tc>
          <w:tcPr>
            <w:tcW w:w="800" w:type="dxa"/>
            <w:vAlign w:val="bottom"/>
            <w:tcBorders>
              <w:bottom w:val="single" w:sz="8" w:color="02568A"/>
            </w:tcBorders>
          </w:tcPr>
          <w:p>
            <w:pPr>
              <w:jc w:val="right"/>
              <w:ind w:right="192"/>
              <w:spacing w:after="0"/>
              <w:rPr>
                <w:sz w:val="20"/>
                <w:szCs w:val="20"/>
                <w:color w:val="auto"/>
              </w:rPr>
            </w:pPr>
            <w:r>
              <w:rPr>
                <w:rFonts w:ascii="Arial" w:cs="Arial" w:eastAsia="Arial" w:hAnsi="Arial"/>
                <w:sz w:val="18"/>
                <w:szCs w:val="18"/>
                <w:b w:val="1"/>
                <w:bCs w:val="1"/>
                <w:color w:val="02568A"/>
              </w:rPr>
              <w:t>(#)</w:t>
            </w:r>
          </w:p>
        </w:tc>
        <w:tc>
          <w:tcPr>
            <w:tcW w:w="60" w:type="dxa"/>
            <w:vAlign w:val="bottom"/>
            <w:tcBorders>
              <w:bottom w:val="single" w:sz="8" w:color="02568A"/>
            </w:tcBorders>
          </w:tcPr>
          <w:p>
            <w:pPr>
              <w:spacing w:after="0"/>
              <w:rPr>
                <w:sz w:val="19"/>
                <w:szCs w:val="19"/>
                <w:color w:val="auto"/>
              </w:rPr>
            </w:pPr>
          </w:p>
        </w:tc>
        <w:tc>
          <w:tcPr>
            <w:tcW w:w="86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90"/>
              </w:rPr>
              <w:t>(#)(3)</w:t>
            </w:r>
          </w:p>
        </w:tc>
        <w:tc>
          <w:tcPr>
            <w:tcW w:w="1200" w:type="dxa"/>
            <w:vAlign w:val="bottom"/>
            <w:tcBorders>
              <w:bottom w:val="single" w:sz="8" w:color="02568A"/>
            </w:tcBorders>
          </w:tcPr>
          <w:p>
            <w:pPr>
              <w:jc w:val="center"/>
              <w:ind w:right="132"/>
              <w:spacing w:after="0"/>
              <w:rPr>
                <w:sz w:val="20"/>
                <w:szCs w:val="20"/>
                <w:color w:val="auto"/>
              </w:rPr>
            </w:pPr>
            <w:r>
              <w:rPr>
                <w:rFonts w:ascii="Arial" w:cs="Arial" w:eastAsia="Arial" w:hAnsi="Arial"/>
                <w:sz w:val="18"/>
                <w:szCs w:val="18"/>
                <w:b w:val="1"/>
                <w:bCs w:val="1"/>
                <w:color w:val="02568A"/>
                <w:w w:val="89"/>
              </w:rPr>
              <w:t>Awards ($)</w:t>
            </w:r>
          </w:p>
        </w:tc>
        <w:tc>
          <w:tcPr>
            <w:tcW w:w="0" w:type="dxa"/>
            <w:vAlign w:val="bottom"/>
          </w:tcPr>
          <w:p>
            <w:pPr>
              <w:spacing w:after="0"/>
              <w:rPr>
                <w:sz w:val="1"/>
                <w:szCs w:val="1"/>
                <w:color w:val="auto"/>
              </w:rPr>
            </w:pPr>
          </w:p>
        </w:tc>
      </w:tr>
      <w:tr>
        <w:trPr>
          <w:trHeight w:val="196"/>
        </w:trPr>
        <w:tc>
          <w:tcPr>
            <w:tcW w:w="1200" w:type="dxa"/>
            <w:vAlign w:val="bottom"/>
            <w:shd w:val="clear" w:color="auto" w:fill="CED8EA"/>
          </w:tcPr>
          <w:p>
            <w:pPr>
              <w:ind w:left="200"/>
              <w:spacing w:after="0" w:line="196" w:lineRule="exact"/>
              <w:rPr>
                <w:sz w:val="20"/>
                <w:szCs w:val="20"/>
                <w:color w:val="auto"/>
              </w:rPr>
            </w:pPr>
            <w:r>
              <w:rPr>
                <w:rFonts w:ascii="Arial" w:cs="Arial" w:eastAsia="Arial" w:hAnsi="Arial"/>
                <w:sz w:val="18"/>
                <w:szCs w:val="18"/>
                <w:b w:val="1"/>
                <w:bCs w:val="1"/>
                <w:color w:val="02568A"/>
              </w:rPr>
              <w:t>Liam K.</w:t>
            </w:r>
          </w:p>
        </w:tc>
        <w:tc>
          <w:tcPr>
            <w:tcW w:w="800" w:type="dxa"/>
            <w:vAlign w:val="bottom"/>
            <w:shd w:val="clear" w:color="auto" w:fill="CED8EA"/>
          </w:tcPr>
          <w:p>
            <w:pPr>
              <w:spacing w:after="0"/>
              <w:rPr>
                <w:sz w:val="17"/>
                <w:szCs w:val="17"/>
                <w:color w:val="auto"/>
              </w:rPr>
            </w:pPr>
          </w:p>
        </w:tc>
        <w:tc>
          <w:tcPr>
            <w:tcW w:w="800" w:type="dxa"/>
            <w:vAlign w:val="bottom"/>
            <w:vMerge w:val="restart"/>
            <w:shd w:val="clear" w:color="auto" w:fill="CED8EA"/>
          </w:tcPr>
          <w:p>
            <w:pPr>
              <w:jc w:val="right"/>
              <w:spacing w:after="0"/>
              <w:rPr>
                <w:sz w:val="20"/>
                <w:szCs w:val="20"/>
                <w:color w:val="auto"/>
              </w:rPr>
            </w:pPr>
            <w:r>
              <w:rPr>
                <w:rFonts w:ascii="Arial" w:cs="Arial" w:eastAsia="Arial" w:hAnsi="Arial"/>
                <w:sz w:val="18"/>
                <w:szCs w:val="18"/>
                <w:color w:val="02568A"/>
              </w:rPr>
              <w:t>784,000</w:t>
            </w:r>
          </w:p>
        </w:tc>
        <w:tc>
          <w:tcPr>
            <w:tcW w:w="840" w:type="dxa"/>
            <w:vAlign w:val="bottom"/>
            <w:vMerge w:val="restart"/>
            <w:shd w:val="clear" w:color="auto" w:fill="CED8EA"/>
          </w:tcPr>
          <w:p>
            <w:pPr>
              <w:jc w:val="right"/>
              <w:spacing w:after="0"/>
              <w:rPr>
                <w:sz w:val="20"/>
                <w:szCs w:val="20"/>
                <w:color w:val="auto"/>
              </w:rPr>
            </w:pPr>
            <w:r>
              <w:rPr>
                <w:rFonts w:ascii="Arial" w:cs="Arial" w:eastAsia="Arial" w:hAnsi="Arial"/>
                <w:sz w:val="18"/>
                <w:szCs w:val="18"/>
                <w:color w:val="02568A"/>
                <w:w w:val="94"/>
              </w:rPr>
              <w:t>1,568,000</w:t>
            </w:r>
          </w:p>
        </w:tc>
        <w:tc>
          <w:tcPr>
            <w:tcW w:w="880" w:type="dxa"/>
            <w:vAlign w:val="bottom"/>
            <w:gridSpan w:val="2"/>
            <w:vMerge w:val="restart"/>
            <w:shd w:val="clear" w:color="auto" w:fill="CED8EA"/>
          </w:tcPr>
          <w:p>
            <w:pPr>
              <w:jc w:val="right"/>
              <w:ind w:right="80"/>
              <w:spacing w:after="0"/>
              <w:rPr>
                <w:sz w:val="20"/>
                <w:szCs w:val="20"/>
                <w:color w:val="auto"/>
              </w:rPr>
            </w:pPr>
            <w:r>
              <w:rPr>
                <w:rFonts w:ascii="Arial" w:cs="Arial" w:eastAsia="Arial" w:hAnsi="Arial"/>
                <w:sz w:val="18"/>
                <w:szCs w:val="18"/>
                <w:color w:val="02568A"/>
                <w:w w:val="97"/>
              </w:rPr>
              <w:t>3,136,000</w:t>
            </w:r>
          </w:p>
        </w:tc>
        <w:tc>
          <w:tcPr>
            <w:tcW w:w="820" w:type="dxa"/>
            <w:vAlign w:val="bottom"/>
            <w:shd w:val="clear" w:color="auto" w:fill="CED8EA"/>
          </w:tcPr>
          <w:p>
            <w:pPr>
              <w:spacing w:after="0"/>
              <w:rPr>
                <w:sz w:val="17"/>
                <w:szCs w:val="17"/>
                <w:color w:val="auto"/>
              </w:rPr>
            </w:pPr>
          </w:p>
        </w:tc>
        <w:tc>
          <w:tcPr>
            <w:tcW w:w="840" w:type="dxa"/>
            <w:vAlign w:val="bottom"/>
            <w:shd w:val="clear" w:color="auto" w:fill="CED8EA"/>
          </w:tcPr>
          <w:p>
            <w:pPr>
              <w:spacing w:after="0"/>
              <w:rPr>
                <w:sz w:val="17"/>
                <w:szCs w:val="17"/>
                <w:color w:val="auto"/>
              </w:rPr>
            </w:pPr>
          </w:p>
        </w:tc>
        <w:tc>
          <w:tcPr>
            <w:tcW w:w="800" w:type="dxa"/>
            <w:vAlign w:val="bottom"/>
            <w:shd w:val="clear" w:color="auto" w:fill="CED8EA"/>
          </w:tcPr>
          <w:p>
            <w:pPr>
              <w:spacing w:after="0"/>
              <w:rPr>
                <w:sz w:val="17"/>
                <w:szCs w:val="17"/>
                <w:color w:val="auto"/>
              </w:rPr>
            </w:pPr>
          </w:p>
        </w:tc>
        <w:tc>
          <w:tcPr>
            <w:tcW w:w="60" w:type="dxa"/>
            <w:vAlign w:val="bottom"/>
            <w:shd w:val="clear" w:color="auto" w:fill="CED8EA"/>
          </w:tcPr>
          <w:p>
            <w:pPr>
              <w:spacing w:after="0"/>
              <w:rPr>
                <w:sz w:val="17"/>
                <w:szCs w:val="17"/>
                <w:color w:val="auto"/>
              </w:rPr>
            </w:pPr>
          </w:p>
        </w:tc>
        <w:tc>
          <w:tcPr>
            <w:tcW w:w="860" w:type="dxa"/>
            <w:vAlign w:val="bottom"/>
            <w:shd w:val="clear" w:color="auto" w:fill="CED8EA"/>
          </w:tcPr>
          <w:p>
            <w:pPr>
              <w:spacing w:after="0"/>
              <w:rPr>
                <w:sz w:val="17"/>
                <w:szCs w:val="17"/>
                <w:color w:val="auto"/>
              </w:rPr>
            </w:pPr>
          </w:p>
        </w:tc>
        <w:tc>
          <w:tcPr>
            <w:tcW w:w="1200" w:type="dxa"/>
            <w:vAlign w:val="bottom"/>
            <w:shd w:val="clear" w:color="auto" w:fill="CED8EA"/>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1200" w:type="dxa"/>
            <w:vAlign w:val="bottom"/>
            <w:vMerge w:val="restart"/>
            <w:shd w:val="clear" w:color="auto" w:fill="CED8EA"/>
          </w:tcPr>
          <w:p>
            <w:pPr>
              <w:ind w:left="200"/>
              <w:spacing w:after="0"/>
              <w:rPr>
                <w:sz w:val="20"/>
                <w:szCs w:val="20"/>
                <w:color w:val="auto"/>
              </w:rPr>
            </w:pPr>
            <w:r>
              <w:rPr>
                <w:rFonts w:ascii="Arial" w:cs="Arial" w:eastAsia="Arial" w:hAnsi="Arial"/>
                <w:sz w:val="18"/>
                <w:szCs w:val="18"/>
                <w:b w:val="1"/>
                <w:bCs w:val="1"/>
                <w:color w:val="02568A"/>
              </w:rPr>
              <w:t>Griffin</w:t>
            </w:r>
          </w:p>
        </w:tc>
        <w:tc>
          <w:tcPr>
            <w:tcW w:w="800" w:type="dxa"/>
            <w:vAlign w:val="bottom"/>
            <w:shd w:val="clear" w:color="auto" w:fill="CED8EA"/>
          </w:tcPr>
          <w:p>
            <w:pPr>
              <w:spacing w:after="0"/>
              <w:rPr>
                <w:sz w:val="10"/>
                <w:szCs w:val="10"/>
                <w:color w:val="auto"/>
              </w:rPr>
            </w:pPr>
          </w:p>
        </w:tc>
        <w:tc>
          <w:tcPr>
            <w:tcW w:w="800" w:type="dxa"/>
            <w:vAlign w:val="bottom"/>
            <w:vMerge w:val="continue"/>
            <w:shd w:val="clear" w:color="auto" w:fill="CED8EA"/>
          </w:tcPr>
          <w:p>
            <w:pPr>
              <w:spacing w:after="0"/>
              <w:rPr>
                <w:sz w:val="10"/>
                <w:szCs w:val="10"/>
                <w:color w:val="auto"/>
              </w:rPr>
            </w:pPr>
          </w:p>
        </w:tc>
        <w:tc>
          <w:tcPr>
            <w:tcW w:w="840" w:type="dxa"/>
            <w:vAlign w:val="bottom"/>
            <w:vMerge w:val="continue"/>
            <w:shd w:val="clear" w:color="auto" w:fill="CED8EA"/>
          </w:tcPr>
          <w:p>
            <w:pPr>
              <w:spacing w:after="0"/>
              <w:rPr>
                <w:sz w:val="10"/>
                <w:szCs w:val="10"/>
                <w:color w:val="auto"/>
              </w:rPr>
            </w:pPr>
          </w:p>
        </w:tc>
        <w:tc>
          <w:tcPr>
            <w:tcW w:w="880" w:type="dxa"/>
            <w:vAlign w:val="bottom"/>
            <w:gridSpan w:val="2"/>
            <w:vMerge w:val="continue"/>
            <w:shd w:val="clear" w:color="auto" w:fill="CED8EA"/>
          </w:tcPr>
          <w:p>
            <w:pPr>
              <w:spacing w:after="0"/>
              <w:rPr>
                <w:sz w:val="10"/>
                <w:szCs w:val="10"/>
                <w:color w:val="auto"/>
              </w:rPr>
            </w:pPr>
          </w:p>
        </w:tc>
        <w:tc>
          <w:tcPr>
            <w:tcW w:w="820" w:type="dxa"/>
            <w:vAlign w:val="bottom"/>
            <w:shd w:val="clear" w:color="auto" w:fill="CED8EA"/>
          </w:tcPr>
          <w:p>
            <w:pPr>
              <w:spacing w:after="0"/>
              <w:rPr>
                <w:sz w:val="10"/>
                <w:szCs w:val="10"/>
                <w:color w:val="auto"/>
              </w:rPr>
            </w:pPr>
          </w:p>
        </w:tc>
        <w:tc>
          <w:tcPr>
            <w:tcW w:w="840" w:type="dxa"/>
            <w:vAlign w:val="bottom"/>
            <w:shd w:val="clear" w:color="auto" w:fill="CED8EA"/>
          </w:tcPr>
          <w:p>
            <w:pPr>
              <w:spacing w:after="0"/>
              <w:rPr>
                <w:sz w:val="10"/>
                <w:szCs w:val="10"/>
                <w:color w:val="auto"/>
              </w:rPr>
            </w:pPr>
          </w:p>
        </w:tc>
        <w:tc>
          <w:tcPr>
            <w:tcW w:w="800" w:type="dxa"/>
            <w:vAlign w:val="bottom"/>
            <w:shd w:val="clear" w:color="auto" w:fill="CED8EA"/>
          </w:tcPr>
          <w:p>
            <w:pPr>
              <w:spacing w:after="0"/>
              <w:rPr>
                <w:sz w:val="10"/>
                <w:szCs w:val="10"/>
                <w:color w:val="auto"/>
              </w:rPr>
            </w:pPr>
          </w:p>
        </w:tc>
        <w:tc>
          <w:tcPr>
            <w:tcW w:w="60" w:type="dxa"/>
            <w:vAlign w:val="bottom"/>
            <w:shd w:val="clear" w:color="auto" w:fill="CED8EA"/>
          </w:tcPr>
          <w:p>
            <w:pPr>
              <w:spacing w:after="0"/>
              <w:rPr>
                <w:sz w:val="10"/>
                <w:szCs w:val="10"/>
                <w:color w:val="auto"/>
              </w:rPr>
            </w:pPr>
          </w:p>
        </w:tc>
        <w:tc>
          <w:tcPr>
            <w:tcW w:w="860" w:type="dxa"/>
            <w:vAlign w:val="bottom"/>
            <w:shd w:val="clear" w:color="auto" w:fill="CED8EA"/>
          </w:tcPr>
          <w:p>
            <w:pPr>
              <w:spacing w:after="0"/>
              <w:rPr>
                <w:sz w:val="10"/>
                <w:szCs w:val="10"/>
                <w:color w:val="auto"/>
              </w:rPr>
            </w:pPr>
          </w:p>
        </w:tc>
        <w:tc>
          <w:tcPr>
            <w:tcW w:w="1200" w:type="dxa"/>
            <w:vAlign w:val="bottom"/>
            <w:shd w:val="clear" w:color="auto" w:fill="CED8EA"/>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200" w:type="dxa"/>
            <w:vAlign w:val="bottom"/>
            <w:tcBorders>
              <w:bottom w:val="single" w:sz="8" w:color="D1D2D4"/>
            </w:tcBorders>
            <w:vMerge w:val="continue"/>
            <w:shd w:val="clear" w:color="auto" w:fill="CED8EA"/>
          </w:tcPr>
          <w:p>
            <w:pPr>
              <w:spacing w:after="0"/>
              <w:rPr>
                <w:sz w:val="9"/>
                <w:szCs w:val="9"/>
                <w:color w:val="auto"/>
              </w:rPr>
            </w:pPr>
          </w:p>
        </w:tc>
        <w:tc>
          <w:tcPr>
            <w:tcW w:w="800" w:type="dxa"/>
            <w:vAlign w:val="bottom"/>
            <w:tcBorders>
              <w:bottom w:val="single" w:sz="8" w:color="D1D2D4"/>
            </w:tcBorders>
            <w:shd w:val="clear" w:color="auto" w:fill="CED8EA"/>
          </w:tcPr>
          <w:p>
            <w:pPr>
              <w:spacing w:after="0"/>
              <w:rPr>
                <w:sz w:val="9"/>
                <w:szCs w:val="9"/>
                <w:color w:val="auto"/>
              </w:rPr>
            </w:pPr>
          </w:p>
        </w:tc>
        <w:tc>
          <w:tcPr>
            <w:tcW w:w="800" w:type="dxa"/>
            <w:vAlign w:val="bottom"/>
            <w:tcBorders>
              <w:bottom w:val="single" w:sz="8" w:color="D1D2D4"/>
            </w:tcBorders>
            <w:shd w:val="clear" w:color="auto" w:fill="CED8EA"/>
          </w:tcPr>
          <w:p>
            <w:pPr>
              <w:spacing w:after="0"/>
              <w:rPr>
                <w:sz w:val="9"/>
                <w:szCs w:val="9"/>
                <w:color w:val="auto"/>
              </w:rPr>
            </w:pPr>
          </w:p>
        </w:tc>
        <w:tc>
          <w:tcPr>
            <w:tcW w:w="840" w:type="dxa"/>
            <w:vAlign w:val="bottom"/>
            <w:tcBorders>
              <w:bottom w:val="single" w:sz="8" w:color="D1D2D4"/>
            </w:tcBorders>
            <w:shd w:val="clear" w:color="auto" w:fill="CED8EA"/>
          </w:tcPr>
          <w:p>
            <w:pPr>
              <w:spacing w:after="0"/>
              <w:rPr>
                <w:sz w:val="9"/>
                <w:szCs w:val="9"/>
                <w:color w:val="auto"/>
              </w:rPr>
            </w:pPr>
          </w:p>
        </w:tc>
        <w:tc>
          <w:tcPr>
            <w:tcW w:w="800" w:type="dxa"/>
            <w:vAlign w:val="bottom"/>
            <w:tcBorders>
              <w:bottom w:val="single" w:sz="8" w:color="D1D2D4"/>
            </w:tcBorders>
            <w:shd w:val="clear" w:color="auto" w:fill="CED8EA"/>
          </w:tcPr>
          <w:p>
            <w:pPr>
              <w:spacing w:after="0"/>
              <w:rPr>
                <w:sz w:val="9"/>
                <w:szCs w:val="9"/>
                <w:color w:val="auto"/>
              </w:rPr>
            </w:pPr>
          </w:p>
        </w:tc>
        <w:tc>
          <w:tcPr>
            <w:tcW w:w="80" w:type="dxa"/>
            <w:vAlign w:val="bottom"/>
            <w:tcBorders>
              <w:bottom w:val="single" w:sz="8" w:color="D1D2D4"/>
            </w:tcBorders>
            <w:shd w:val="clear" w:color="auto" w:fill="CED8EA"/>
          </w:tcPr>
          <w:p>
            <w:pPr>
              <w:spacing w:after="0"/>
              <w:rPr>
                <w:sz w:val="9"/>
                <w:szCs w:val="9"/>
                <w:color w:val="auto"/>
              </w:rPr>
            </w:pPr>
          </w:p>
        </w:tc>
        <w:tc>
          <w:tcPr>
            <w:tcW w:w="820" w:type="dxa"/>
            <w:vAlign w:val="bottom"/>
            <w:tcBorders>
              <w:bottom w:val="single" w:sz="8" w:color="D1D2D4"/>
            </w:tcBorders>
            <w:shd w:val="clear" w:color="auto" w:fill="CED8EA"/>
          </w:tcPr>
          <w:p>
            <w:pPr>
              <w:spacing w:after="0"/>
              <w:rPr>
                <w:sz w:val="9"/>
                <w:szCs w:val="9"/>
                <w:color w:val="auto"/>
              </w:rPr>
            </w:pPr>
          </w:p>
        </w:tc>
        <w:tc>
          <w:tcPr>
            <w:tcW w:w="840" w:type="dxa"/>
            <w:vAlign w:val="bottom"/>
            <w:tcBorders>
              <w:bottom w:val="single" w:sz="8" w:color="D1D2D4"/>
            </w:tcBorders>
            <w:shd w:val="clear" w:color="auto" w:fill="CED8EA"/>
          </w:tcPr>
          <w:p>
            <w:pPr>
              <w:spacing w:after="0"/>
              <w:rPr>
                <w:sz w:val="9"/>
                <w:szCs w:val="9"/>
                <w:color w:val="auto"/>
              </w:rPr>
            </w:pPr>
          </w:p>
        </w:tc>
        <w:tc>
          <w:tcPr>
            <w:tcW w:w="800" w:type="dxa"/>
            <w:vAlign w:val="bottom"/>
            <w:tcBorders>
              <w:bottom w:val="single" w:sz="8" w:color="D1D2D4"/>
            </w:tcBorders>
            <w:shd w:val="clear" w:color="auto" w:fill="CED8EA"/>
          </w:tcPr>
          <w:p>
            <w:pPr>
              <w:spacing w:after="0"/>
              <w:rPr>
                <w:sz w:val="9"/>
                <w:szCs w:val="9"/>
                <w:color w:val="auto"/>
              </w:rPr>
            </w:pPr>
          </w:p>
        </w:tc>
        <w:tc>
          <w:tcPr>
            <w:tcW w:w="60" w:type="dxa"/>
            <w:vAlign w:val="bottom"/>
            <w:tcBorders>
              <w:bottom w:val="single" w:sz="8" w:color="D1D2D4"/>
            </w:tcBorders>
            <w:shd w:val="clear" w:color="auto" w:fill="CED8EA"/>
          </w:tcPr>
          <w:p>
            <w:pPr>
              <w:spacing w:after="0"/>
              <w:rPr>
                <w:sz w:val="9"/>
                <w:szCs w:val="9"/>
                <w:color w:val="auto"/>
              </w:rPr>
            </w:pPr>
          </w:p>
        </w:tc>
        <w:tc>
          <w:tcPr>
            <w:tcW w:w="860" w:type="dxa"/>
            <w:vAlign w:val="bottom"/>
            <w:tcBorders>
              <w:bottom w:val="single" w:sz="8" w:color="D1D2D4"/>
            </w:tcBorders>
            <w:shd w:val="clear" w:color="auto" w:fill="CED8EA"/>
          </w:tcPr>
          <w:p>
            <w:pPr>
              <w:spacing w:after="0"/>
              <w:rPr>
                <w:sz w:val="9"/>
                <w:szCs w:val="9"/>
                <w:color w:val="auto"/>
              </w:rPr>
            </w:pPr>
          </w:p>
        </w:tc>
        <w:tc>
          <w:tcPr>
            <w:tcW w:w="1200" w:type="dxa"/>
            <w:vAlign w:val="bottom"/>
            <w:tcBorders>
              <w:bottom w:val="single" w:sz="8" w:color="D1D2D4"/>
            </w:tcBorders>
            <w:shd w:val="clear" w:color="auto" w:fill="CED8EA"/>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200" w:type="dxa"/>
            <w:vAlign w:val="bottom"/>
          </w:tcPr>
          <w:p>
            <w:pPr>
              <w:spacing w:after="0"/>
              <w:rPr>
                <w:sz w:val="18"/>
                <w:szCs w:val="18"/>
                <w:color w:val="auto"/>
              </w:rPr>
            </w:pPr>
          </w:p>
        </w:tc>
        <w:tc>
          <w:tcPr>
            <w:tcW w:w="800" w:type="dxa"/>
            <w:vAlign w:val="bottom"/>
            <w:tcBorders>
              <w:bottom w:val="single" w:sz="8" w:color="D1D2D4"/>
            </w:tcBorders>
          </w:tcPr>
          <w:p>
            <w:pPr>
              <w:jc w:val="center"/>
              <w:ind w:right="12"/>
              <w:spacing w:after="0"/>
              <w:rPr>
                <w:sz w:val="20"/>
                <w:szCs w:val="20"/>
                <w:color w:val="auto"/>
              </w:rPr>
            </w:pPr>
            <w:r>
              <w:rPr>
                <w:rFonts w:ascii="Arial" w:cs="Arial" w:eastAsia="Arial" w:hAnsi="Arial"/>
                <w:sz w:val="18"/>
                <w:szCs w:val="18"/>
                <w:color w:val="02568A"/>
                <w:w w:val="87"/>
              </w:rPr>
              <w:t>11/6/2018</w:t>
            </w:r>
          </w:p>
        </w:tc>
        <w:tc>
          <w:tcPr>
            <w:tcW w:w="800" w:type="dxa"/>
            <w:vAlign w:val="bottom"/>
            <w:tcBorders>
              <w:bottom w:val="single" w:sz="8" w:color="D1D2D4"/>
            </w:tcBorders>
          </w:tcPr>
          <w:p>
            <w:pPr>
              <w:spacing w:after="0"/>
              <w:rPr>
                <w:sz w:val="18"/>
                <w:szCs w:val="18"/>
                <w:color w:val="auto"/>
              </w:rPr>
            </w:pPr>
          </w:p>
        </w:tc>
        <w:tc>
          <w:tcPr>
            <w:tcW w:w="840" w:type="dxa"/>
            <w:vAlign w:val="bottom"/>
            <w:tcBorders>
              <w:bottom w:val="single" w:sz="8" w:color="D1D2D4"/>
            </w:tcBorders>
          </w:tcPr>
          <w:p>
            <w:pPr>
              <w:spacing w:after="0"/>
              <w:rPr>
                <w:sz w:val="18"/>
                <w:szCs w:val="18"/>
                <w:color w:val="auto"/>
              </w:rPr>
            </w:pPr>
          </w:p>
        </w:tc>
        <w:tc>
          <w:tcPr>
            <w:tcW w:w="800" w:type="dxa"/>
            <w:vAlign w:val="bottom"/>
            <w:tcBorders>
              <w:bottom w:val="single" w:sz="8" w:color="D1D2D4"/>
            </w:tcBorders>
          </w:tcPr>
          <w:p>
            <w:pPr>
              <w:spacing w:after="0"/>
              <w:rPr>
                <w:sz w:val="18"/>
                <w:szCs w:val="18"/>
                <w:color w:val="auto"/>
              </w:rPr>
            </w:pPr>
          </w:p>
        </w:tc>
        <w:tc>
          <w:tcPr>
            <w:tcW w:w="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36,302</w:t>
            </w:r>
          </w:p>
        </w:tc>
        <w:tc>
          <w:tcPr>
            <w:tcW w:w="8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72,604</w:t>
            </w:r>
          </w:p>
        </w:tc>
        <w:tc>
          <w:tcPr>
            <w:tcW w:w="860" w:type="dxa"/>
            <w:vAlign w:val="bottom"/>
            <w:tcBorders>
              <w:bottom w:val="single" w:sz="8" w:color="D1D2D4"/>
            </w:tcBorders>
            <w:gridSpan w:val="2"/>
          </w:tcPr>
          <w:p>
            <w:pPr>
              <w:jc w:val="right"/>
              <w:ind w:right="40"/>
              <w:spacing w:after="0"/>
              <w:rPr>
                <w:sz w:val="20"/>
                <w:szCs w:val="20"/>
                <w:color w:val="auto"/>
              </w:rPr>
            </w:pPr>
            <w:r>
              <w:rPr>
                <w:rFonts w:ascii="Arial" w:cs="Arial" w:eastAsia="Arial" w:hAnsi="Arial"/>
                <w:sz w:val="18"/>
                <w:szCs w:val="18"/>
                <w:color w:val="02568A"/>
              </w:rPr>
              <w:t>181,510</w:t>
            </w:r>
          </w:p>
        </w:tc>
        <w:tc>
          <w:tcPr>
            <w:tcW w:w="860" w:type="dxa"/>
            <w:vAlign w:val="bottom"/>
            <w:tcBorders>
              <w:bottom w:val="single" w:sz="8" w:color="D1D2D4"/>
            </w:tcBorders>
          </w:tcPr>
          <w:p>
            <w:pPr>
              <w:spacing w:after="0"/>
              <w:rPr>
                <w:sz w:val="18"/>
                <w:szCs w:val="18"/>
                <w:color w:val="auto"/>
              </w:rPr>
            </w:pPr>
          </w:p>
        </w:tc>
        <w:tc>
          <w:tcPr>
            <w:tcW w:w="1200" w:type="dxa"/>
            <w:vAlign w:val="bottom"/>
            <w:tcBorders>
              <w:bottom w:val="single" w:sz="8" w:color="D1D2D4"/>
            </w:tcBorders>
          </w:tcPr>
          <w:p>
            <w:pPr>
              <w:jc w:val="right"/>
              <w:ind w:right="152"/>
              <w:spacing w:after="0"/>
              <w:rPr>
                <w:sz w:val="20"/>
                <w:szCs w:val="20"/>
                <w:color w:val="auto"/>
              </w:rPr>
            </w:pPr>
            <w:r>
              <w:rPr>
                <w:rFonts w:ascii="Arial" w:cs="Arial" w:eastAsia="Arial" w:hAnsi="Arial"/>
                <w:sz w:val="18"/>
                <w:szCs w:val="18"/>
                <w:color w:val="02568A"/>
                <w:w w:val="92"/>
              </w:rPr>
              <w:t>7,658,996(4)</w:t>
            </w:r>
          </w:p>
        </w:tc>
        <w:tc>
          <w:tcPr>
            <w:tcW w:w="0" w:type="dxa"/>
            <w:vAlign w:val="bottom"/>
          </w:tcPr>
          <w:p>
            <w:pPr>
              <w:spacing w:after="0"/>
              <w:rPr>
                <w:sz w:val="1"/>
                <w:szCs w:val="1"/>
                <w:color w:val="auto"/>
              </w:rPr>
            </w:pPr>
          </w:p>
        </w:tc>
      </w:tr>
      <w:tr>
        <w:trPr>
          <w:trHeight w:val="209"/>
        </w:trPr>
        <w:tc>
          <w:tcPr>
            <w:tcW w:w="1200" w:type="dxa"/>
            <w:vAlign w:val="bottom"/>
            <w:tcBorders>
              <w:bottom w:val="single" w:sz="8" w:color="D1D2D4"/>
            </w:tcBorders>
          </w:tcPr>
          <w:p>
            <w:pPr>
              <w:spacing w:after="0"/>
              <w:rPr>
                <w:sz w:val="18"/>
                <w:szCs w:val="18"/>
                <w:color w:val="auto"/>
              </w:rPr>
            </w:pPr>
          </w:p>
        </w:tc>
        <w:tc>
          <w:tcPr>
            <w:tcW w:w="800" w:type="dxa"/>
            <w:vAlign w:val="bottom"/>
            <w:tcBorders>
              <w:bottom w:val="single" w:sz="8" w:color="D1D2D4"/>
            </w:tcBorders>
          </w:tcPr>
          <w:p>
            <w:pPr>
              <w:jc w:val="center"/>
              <w:ind w:right="12"/>
              <w:spacing w:after="0"/>
              <w:rPr>
                <w:sz w:val="20"/>
                <w:szCs w:val="20"/>
                <w:color w:val="auto"/>
              </w:rPr>
            </w:pPr>
            <w:r>
              <w:rPr>
                <w:rFonts w:ascii="Arial" w:cs="Arial" w:eastAsia="Arial" w:hAnsi="Arial"/>
                <w:sz w:val="18"/>
                <w:szCs w:val="18"/>
                <w:color w:val="02568A"/>
                <w:w w:val="87"/>
              </w:rPr>
              <w:t>11/6/2018</w:t>
            </w:r>
          </w:p>
        </w:tc>
        <w:tc>
          <w:tcPr>
            <w:tcW w:w="800" w:type="dxa"/>
            <w:vAlign w:val="bottom"/>
            <w:tcBorders>
              <w:bottom w:val="single" w:sz="8" w:color="D1D2D4"/>
            </w:tcBorders>
          </w:tcPr>
          <w:p>
            <w:pPr>
              <w:spacing w:after="0"/>
              <w:rPr>
                <w:sz w:val="18"/>
                <w:szCs w:val="18"/>
                <w:color w:val="auto"/>
              </w:rPr>
            </w:pPr>
          </w:p>
        </w:tc>
        <w:tc>
          <w:tcPr>
            <w:tcW w:w="840" w:type="dxa"/>
            <w:vAlign w:val="bottom"/>
            <w:tcBorders>
              <w:bottom w:val="single" w:sz="8" w:color="D1D2D4"/>
            </w:tcBorders>
          </w:tcPr>
          <w:p>
            <w:pPr>
              <w:spacing w:after="0"/>
              <w:rPr>
                <w:sz w:val="18"/>
                <w:szCs w:val="18"/>
                <w:color w:val="auto"/>
              </w:rPr>
            </w:pPr>
          </w:p>
        </w:tc>
        <w:tc>
          <w:tcPr>
            <w:tcW w:w="800" w:type="dxa"/>
            <w:vAlign w:val="bottom"/>
            <w:tcBorders>
              <w:bottom w:val="single" w:sz="8" w:color="D1D2D4"/>
            </w:tcBorders>
          </w:tcPr>
          <w:p>
            <w:pPr>
              <w:spacing w:after="0"/>
              <w:rPr>
                <w:sz w:val="18"/>
                <w:szCs w:val="18"/>
                <w:color w:val="auto"/>
              </w:rPr>
            </w:pPr>
          </w:p>
        </w:tc>
        <w:tc>
          <w:tcPr>
            <w:tcW w:w="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840" w:type="dxa"/>
            <w:vAlign w:val="bottom"/>
            <w:tcBorders>
              <w:bottom w:val="single" w:sz="8" w:color="D1D2D4"/>
            </w:tcBorders>
          </w:tcPr>
          <w:p>
            <w:pPr>
              <w:spacing w:after="0"/>
              <w:rPr>
                <w:sz w:val="18"/>
                <w:szCs w:val="18"/>
                <w:color w:val="auto"/>
              </w:rPr>
            </w:pPr>
          </w:p>
        </w:tc>
        <w:tc>
          <w:tcPr>
            <w:tcW w:w="800" w:type="dxa"/>
            <w:vAlign w:val="bottom"/>
            <w:tcBorders>
              <w:bottom w:val="single" w:sz="8" w:color="D1D2D4"/>
            </w:tcBorders>
          </w:tcPr>
          <w:p>
            <w:pPr>
              <w:spacing w:after="0"/>
              <w:rPr>
                <w:sz w:val="18"/>
                <w:szCs w:val="18"/>
                <w:color w:val="auto"/>
              </w:rPr>
            </w:pPr>
          </w:p>
        </w:tc>
        <w:tc>
          <w:tcPr>
            <w:tcW w:w="60" w:type="dxa"/>
            <w:vAlign w:val="bottom"/>
            <w:tcBorders>
              <w:bottom w:val="single" w:sz="8" w:color="D1D2D4"/>
            </w:tcBorders>
          </w:tcPr>
          <w:p>
            <w:pPr>
              <w:spacing w:after="0"/>
              <w:rPr>
                <w:sz w:val="18"/>
                <w:szCs w:val="18"/>
                <w:color w:val="auto"/>
              </w:rPr>
            </w:pP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48,402</w:t>
            </w:r>
          </w:p>
        </w:tc>
        <w:tc>
          <w:tcPr>
            <w:tcW w:w="1200" w:type="dxa"/>
            <w:vAlign w:val="bottom"/>
            <w:tcBorders>
              <w:bottom w:val="single" w:sz="8" w:color="D1D2D4"/>
            </w:tcBorders>
          </w:tcPr>
          <w:p>
            <w:pPr>
              <w:jc w:val="right"/>
              <w:ind w:right="152"/>
              <w:spacing w:after="0"/>
              <w:rPr>
                <w:sz w:val="20"/>
                <w:szCs w:val="20"/>
                <w:color w:val="auto"/>
              </w:rPr>
            </w:pPr>
            <w:r>
              <w:rPr>
                <w:rFonts w:ascii="Arial" w:cs="Arial" w:eastAsia="Arial" w:hAnsi="Arial"/>
                <w:sz w:val="18"/>
                <w:szCs w:val="18"/>
                <w:color w:val="02568A"/>
                <w:w w:val="92"/>
              </w:rPr>
              <w:t>3,999,941(5)</w:t>
            </w:r>
          </w:p>
        </w:tc>
        <w:tc>
          <w:tcPr>
            <w:tcW w:w="0" w:type="dxa"/>
            <w:vAlign w:val="bottom"/>
          </w:tcPr>
          <w:p>
            <w:pPr>
              <w:spacing w:after="0"/>
              <w:rPr>
                <w:sz w:val="1"/>
                <w:szCs w:val="1"/>
                <w:color w:val="auto"/>
              </w:rPr>
            </w:pPr>
          </w:p>
        </w:tc>
      </w:tr>
      <w:tr>
        <w:trPr>
          <w:trHeight w:val="195"/>
        </w:trPr>
        <w:tc>
          <w:tcPr>
            <w:tcW w:w="1200" w:type="dxa"/>
            <w:vAlign w:val="bottom"/>
            <w:shd w:val="clear" w:color="auto" w:fill="CED8EA"/>
          </w:tcPr>
          <w:p>
            <w:pPr>
              <w:ind w:left="200"/>
              <w:spacing w:after="0" w:line="195" w:lineRule="exact"/>
              <w:rPr>
                <w:sz w:val="20"/>
                <w:szCs w:val="20"/>
                <w:color w:val="auto"/>
              </w:rPr>
            </w:pPr>
            <w:r>
              <w:rPr>
                <w:rFonts w:ascii="Arial" w:cs="Arial" w:eastAsia="Arial" w:hAnsi="Arial"/>
                <w:sz w:val="18"/>
                <w:szCs w:val="18"/>
                <w:b w:val="1"/>
                <w:bCs w:val="1"/>
                <w:color w:val="02568A"/>
              </w:rPr>
              <w:t>Kris</w:t>
            </w:r>
          </w:p>
        </w:tc>
        <w:tc>
          <w:tcPr>
            <w:tcW w:w="800" w:type="dxa"/>
            <w:vAlign w:val="bottom"/>
            <w:shd w:val="clear" w:color="auto" w:fill="CED8EA"/>
          </w:tcPr>
          <w:p>
            <w:pPr>
              <w:spacing w:after="0"/>
              <w:rPr>
                <w:sz w:val="16"/>
                <w:szCs w:val="16"/>
                <w:color w:val="auto"/>
              </w:rPr>
            </w:pPr>
          </w:p>
        </w:tc>
        <w:tc>
          <w:tcPr>
            <w:tcW w:w="800" w:type="dxa"/>
            <w:vAlign w:val="bottom"/>
            <w:vMerge w:val="restart"/>
            <w:shd w:val="clear" w:color="auto" w:fill="CED8EA"/>
          </w:tcPr>
          <w:p>
            <w:pPr>
              <w:jc w:val="right"/>
              <w:spacing w:after="0"/>
              <w:rPr>
                <w:sz w:val="20"/>
                <w:szCs w:val="20"/>
                <w:color w:val="auto"/>
              </w:rPr>
            </w:pPr>
            <w:r>
              <w:rPr>
                <w:rFonts w:ascii="Arial" w:cs="Arial" w:eastAsia="Arial" w:hAnsi="Arial"/>
                <w:sz w:val="18"/>
                <w:szCs w:val="18"/>
                <w:color w:val="02568A"/>
              </w:rPr>
              <w:t>250,000</w:t>
            </w:r>
          </w:p>
        </w:tc>
        <w:tc>
          <w:tcPr>
            <w:tcW w:w="840" w:type="dxa"/>
            <w:vAlign w:val="bottom"/>
            <w:vMerge w:val="restart"/>
            <w:shd w:val="clear" w:color="auto" w:fill="CED8EA"/>
          </w:tcPr>
          <w:p>
            <w:pPr>
              <w:jc w:val="right"/>
              <w:spacing w:after="0"/>
              <w:rPr>
                <w:sz w:val="20"/>
                <w:szCs w:val="20"/>
                <w:color w:val="auto"/>
              </w:rPr>
            </w:pPr>
            <w:r>
              <w:rPr>
                <w:rFonts w:ascii="Arial" w:cs="Arial" w:eastAsia="Arial" w:hAnsi="Arial"/>
                <w:sz w:val="18"/>
                <w:szCs w:val="18"/>
                <w:color w:val="02568A"/>
              </w:rPr>
              <w:t>500,000</w:t>
            </w:r>
          </w:p>
        </w:tc>
        <w:tc>
          <w:tcPr>
            <w:tcW w:w="880" w:type="dxa"/>
            <w:vAlign w:val="bottom"/>
            <w:gridSpan w:val="2"/>
            <w:vMerge w:val="restart"/>
            <w:shd w:val="clear" w:color="auto" w:fill="CED8EA"/>
          </w:tcPr>
          <w:p>
            <w:pPr>
              <w:jc w:val="right"/>
              <w:ind w:right="80"/>
              <w:spacing w:after="0"/>
              <w:rPr>
                <w:sz w:val="20"/>
                <w:szCs w:val="20"/>
                <w:color w:val="auto"/>
              </w:rPr>
            </w:pPr>
            <w:r>
              <w:rPr>
                <w:rFonts w:ascii="Arial" w:cs="Arial" w:eastAsia="Arial" w:hAnsi="Arial"/>
                <w:sz w:val="18"/>
                <w:szCs w:val="18"/>
                <w:color w:val="02568A"/>
                <w:w w:val="97"/>
              </w:rPr>
              <w:t>1,000,000</w:t>
            </w:r>
          </w:p>
        </w:tc>
        <w:tc>
          <w:tcPr>
            <w:tcW w:w="820" w:type="dxa"/>
            <w:vAlign w:val="bottom"/>
            <w:shd w:val="clear" w:color="auto" w:fill="CED8EA"/>
          </w:tcPr>
          <w:p>
            <w:pPr>
              <w:spacing w:after="0"/>
              <w:rPr>
                <w:sz w:val="16"/>
                <w:szCs w:val="16"/>
                <w:color w:val="auto"/>
              </w:rPr>
            </w:pPr>
          </w:p>
        </w:tc>
        <w:tc>
          <w:tcPr>
            <w:tcW w:w="840" w:type="dxa"/>
            <w:vAlign w:val="bottom"/>
            <w:shd w:val="clear" w:color="auto" w:fill="CED8EA"/>
          </w:tcPr>
          <w:p>
            <w:pPr>
              <w:spacing w:after="0"/>
              <w:rPr>
                <w:sz w:val="16"/>
                <w:szCs w:val="16"/>
                <w:color w:val="auto"/>
              </w:rPr>
            </w:pPr>
          </w:p>
        </w:tc>
        <w:tc>
          <w:tcPr>
            <w:tcW w:w="800" w:type="dxa"/>
            <w:vAlign w:val="bottom"/>
            <w:shd w:val="clear" w:color="auto" w:fill="CED8EA"/>
          </w:tcPr>
          <w:p>
            <w:pPr>
              <w:spacing w:after="0"/>
              <w:rPr>
                <w:sz w:val="16"/>
                <w:szCs w:val="16"/>
                <w:color w:val="auto"/>
              </w:rPr>
            </w:pPr>
          </w:p>
        </w:tc>
        <w:tc>
          <w:tcPr>
            <w:tcW w:w="60" w:type="dxa"/>
            <w:vAlign w:val="bottom"/>
            <w:shd w:val="clear" w:color="auto" w:fill="CED8EA"/>
          </w:tcPr>
          <w:p>
            <w:pPr>
              <w:spacing w:after="0"/>
              <w:rPr>
                <w:sz w:val="16"/>
                <w:szCs w:val="16"/>
                <w:color w:val="auto"/>
              </w:rPr>
            </w:pPr>
          </w:p>
        </w:tc>
        <w:tc>
          <w:tcPr>
            <w:tcW w:w="860" w:type="dxa"/>
            <w:vAlign w:val="bottom"/>
            <w:shd w:val="clear" w:color="auto" w:fill="CED8EA"/>
          </w:tcPr>
          <w:p>
            <w:pPr>
              <w:spacing w:after="0"/>
              <w:rPr>
                <w:sz w:val="16"/>
                <w:szCs w:val="16"/>
                <w:color w:val="auto"/>
              </w:rPr>
            </w:pPr>
          </w:p>
        </w:tc>
        <w:tc>
          <w:tcPr>
            <w:tcW w:w="1200" w:type="dxa"/>
            <w:vAlign w:val="bottom"/>
            <w:shd w:val="clear" w:color="auto" w:fill="CED8EA"/>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200" w:type="dxa"/>
            <w:vAlign w:val="bottom"/>
            <w:vMerge w:val="restart"/>
            <w:shd w:val="clear" w:color="auto" w:fill="CED8EA"/>
          </w:tcPr>
          <w:p>
            <w:pPr>
              <w:ind w:left="200"/>
              <w:spacing w:after="0"/>
              <w:rPr>
                <w:sz w:val="20"/>
                <w:szCs w:val="20"/>
                <w:color w:val="auto"/>
              </w:rPr>
            </w:pPr>
            <w:r>
              <w:rPr>
                <w:rFonts w:ascii="Arial" w:cs="Arial" w:eastAsia="Arial" w:hAnsi="Arial"/>
                <w:sz w:val="18"/>
                <w:szCs w:val="18"/>
                <w:b w:val="1"/>
                <w:bCs w:val="1"/>
                <w:color w:val="02568A"/>
              </w:rPr>
              <w:t>Sennesael</w:t>
            </w:r>
          </w:p>
        </w:tc>
        <w:tc>
          <w:tcPr>
            <w:tcW w:w="800" w:type="dxa"/>
            <w:vAlign w:val="bottom"/>
            <w:shd w:val="clear" w:color="auto" w:fill="CED8EA"/>
          </w:tcPr>
          <w:p>
            <w:pPr>
              <w:spacing w:after="0"/>
              <w:rPr>
                <w:sz w:val="10"/>
                <w:szCs w:val="10"/>
                <w:color w:val="auto"/>
              </w:rPr>
            </w:pPr>
          </w:p>
        </w:tc>
        <w:tc>
          <w:tcPr>
            <w:tcW w:w="800" w:type="dxa"/>
            <w:vAlign w:val="bottom"/>
            <w:vMerge w:val="continue"/>
            <w:shd w:val="clear" w:color="auto" w:fill="CED8EA"/>
          </w:tcPr>
          <w:p>
            <w:pPr>
              <w:spacing w:after="0"/>
              <w:rPr>
                <w:sz w:val="10"/>
                <w:szCs w:val="10"/>
                <w:color w:val="auto"/>
              </w:rPr>
            </w:pPr>
          </w:p>
        </w:tc>
        <w:tc>
          <w:tcPr>
            <w:tcW w:w="840" w:type="dxa"/>
            <w:vAlign w:val="bottom"/>
            <w:vMerge w:val="continue"/>
            <w:shd w:val="clear" w:color="auto" w:fill="CED8EA"/>
          </w:tcPr>
          <w:p>
            <w:pPr>
              <w:spacing w:after="0"/>
              <w:rPr>
                <w:sz w:val="10"/>
                <w:szCs w:val="10"/>
                <w:color w:val="auto"/>
              </w:rPr>
            </w:pPr>
          </w:p>
        </w:tc>
        <w:tc>
          <w:tcPr>
            <w:tcW w:w="880" w:type="dxa"/>
            <w:vAlign w:val="bottom"/>
            <w:gridSpan w:val="2"/>
            <w:vMerge w:val="continue"/>
            <w:shd w:val="clear" w:color="auto" w:fill="CED8EA"/>
          </w:tcPr>
          <w:p>
            <w:pPr>
              <w:spacing w:after="0"/>
              <w:rPr>
                <w:sz w:val="10"/>
                <w:szCs w:val="10"/>
                <w:color w:val="auto"/>
              </w:rPr>
            </w:pPr>
          </w:p>
        </w:tc>
        <w:tc>
          <w:tcPr>
            <w:tcW w:w="820" w:type="dxa"/>
            <w:vAlign w:val="bottom"/>
            <w:shd w:val="clear" w:color="auto" w:fill="CED8EA"/>
          </w:tcPr>
          <w:p>
            <w:pPr>
              <w:spacing w:after="0"/>
              <w:rPr>
                <w:sz w:val="10"/>
                <w:szCs w:val="10"/>
                <w:color w:val="auto"/>
              </w:rPr>
            </w:pPr>
          </w:p>
        </w:tc>
        <w:tc>
          <w:tcPr>
            <w:tcW w:w="840" w:type="dxa"/>
            <w:vAlign w:val="bottom"/>
            <w:shd w:val="clear" w:color="auto" w:fill="CED8EA"/>
          </w:tcPr>
          <w:p>
            <w:pPr>
              <w:spacing w:after="0"/>
              <w:rPr>
                <w:sz w:val="10"/>
                <w:szCs w:val="10"/>
                <w:color w:val="auto"/>
              </w:rPr>
            </w:pPr>
          </w:p>
        </w:tc>
        <w:tc>
          <w:tcPr>
            <w:tcW w:w="800" w:type="dxa"/>
            <w:vAlign w:val="bottom"/>
            <w:shd w:val="clear" w:color="auto" w:fill="CED8EA"/>
          </w:tcPr>
          <w:p>
            <w:pPr>
              <w:spacing w:after="0"/>
              <w:rPr>
                <w:sz w:val="10"/>
                <w:szCs w:val="10"/>
                <w:color w:val="auto"/>
              </w:rPr>
            </w:pPr>
          </w:p>
        </w:tc>
        <w:tc>
          <w:tcPr>
            <w:tcW w:w="60" w:type="dxa"/>
            <w:vAlign w:val="bottom"/>
            <w:shd w:val="clear" w:color="auto" w:fill="CED8EA"/>
          </w:tcPr>
          <w:p>
            <w:pPr>
              <w:spacing w:after="0"/>
              <w:rPr>
                <w:sz w:val="10"/>
                <w:szCs w:val="10"/>
                <w:color w:val="auto"/>
              </w:rPr>
            </w:pPr>
          </w:p>
        </w:tc>
        <w:tc>
          <w:tcPr>
            <w:tcW w:w="860" w:type="dxa"/>
            <w:vAlign w:val="bottom"/>
            <w:shd w:val="clear" w:color="auto" w:fill="CED8EA"/>
          </w:tcPr>
          <w:p>
            <w:pPr>
              <w:spacing w:after="0"/>
              <w:rPr>
                <w:sz w:val="10"/>
                <w:szCs w:val="10"/>
                <w:color w:val="auto"/>
              </w:rPr>
            </w:pPr>
          </w:p>
        </w:tc>
        <w:tc>
          <w:tcPr>
            <w:tcW w:w="1200" w:type="dxa"/>
            <w:vAlign w:val="bottom"/>
            <w:shd w:val="clear" w:color="auto" w:fill="CED8EA"/>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200" w:type="dxa"/>
            <w:vAlign w:val="bottom"/>
            <w:tcBorders>
              <w:bottom w:val="single" w:sz="8" w:color="D1D2D4"/>
            </w:tcBorders>
            <w:vMerge w:val="continue"/>
            <w:shd w:val="clear" w:color="auto" w:fill="CED8EA"/>
          </w:tcPr>
          <w:p>
            <w:pPr>
              <w:spacing w:after="0"/>
              <w:rPr>
                <w:sz w:val="9"/>
                <w:szCs w:val="9"/>
                <w:color w:val="auto"/>
              </w:rPr>
            </w:pPr>
          </w:p>
        </w:tc>
        <w:tc>
          <w:tcPr>
            <w:tcW w:w="800" w:type="dxa"/>
            <w:vAlign w:val="bottom"/>
            <w:tcBorders>
              <w:bottom w:val="single" w:sz="8" w:color="D1D2D4"/>
            </w:tcBorders>
            <w:shd w:val="clear" w:color="auto" w:fill="CED8EA"/>
          </w:tcPr>
          <w:p>
            <w:pPr>
              <w:spacing w:after="0"/>
              <w:rPr>
                <w:sz w:val="9"/>
                <w:szCs w:val="9"/>
                <w:color w:val="auto"/>
              </w:rPr>
            </w:pPr>
          </w:p>
        </w:tc>
        <w:tc>
          <w:tcPr>
            <w:tcW w:w="800" w:type="dxa"/>
            <w:vAlign w:val="bottom"/>
            <w:tcBorders>
              <w:bottom w:val="single" w:sz="8" w:color="D1D2D4"/>
            </w:tcBorders>
            <w:shd w:val="clear" w:color="auto" w:fill="CED8EA"/>
          </w:tcPr>
          <w:p>
            <w:pPr>
              <w:spacing w:after="0"/>
              <w:rPr>
                <w:sz w:val="9"/>
                <w:szCs w:val="9"/>
                <w:color w:val="auto"/>
              </w:rPr>
            </w:pPr>
          </w:p>
        </w:tc>
        <w:tc>
          <w:tcPr>
            <w:tcW w:w="840" w:type="dxa"/>
            <w:vAlign w:val="bottom"/>
            <w:tcBorders>
              <w:bottom w:val="single" w:sz="8" w:color="D1D2D4"/>
            </w:tcBorders>
            <w:shd w:val="clear" w:color="auto" w:fill="CED8EA"/>
          </w:tcPr>
          <w:p>
            <w:pPr>
              <w:spacing w:after="0"/>
              <w:rPr>
                <w:sz w:val="9"/>
                <w:szCs w:val="9"/>
                <w:color w:val="auto"/>
              </w:rPr>
            </w:pPr>
          </w:p>
        </w:tc>
        <w:tc>
          <w:tcPr>
            <w:tcW w:w="800" w:type="dxa"/>
            <w:vAlign w:val="bottom"/>
            <w:tcBorders>
              <w:bottom w:val="single" w:sz="8" w:color="D1D2D4"/>
            </w:tcBorders>
            <w:shd w:val="clear" w:color="auto" w:fill="CED8EA"/>
          </w:tcPr>
          <w:p>
            <w:pPr>
              <w:spacing w:after="0"/>
              <w:rPr>
                <w:sz w:val="9"/>
                <w:szCs w:val="9"/>
                <w:color w:val="auto"/>
              </w:rPr>
            </w:pPr>
          </w:p>
        </w:tc>
        <w:tc>
          <w:tcPr>
            <w:tcW w:w="80" w:type="dxa"/>
            <w:vAlign w:val="bottom"/>
            <w:tcBorders>
              <w:bottom w:val="single" w:sz="8" w:color="D1D2D4"/>
            </w:tcBorders>
            <w:shd w:val="clear" w:color="auto" w:fill="CED8EA"/>
          </w:tcPr>
          <w:p>
            <w:pPr>
              <w:spacing w:after="0"/>
              <w:rPr>
                <w:sz w:val="9"/>
                <w:szCs w:val="9"/>
                <w:color w:val="auto"/>
              </w:rPr>
            </w:pPr>
          </w:p>
        </w:tc>
        <w:tc>
          <w:tcPr>
            <w:tcW w:w="820" w:type="dxa"/>
            <w:vAlign w:val="bottom"/>
            <w:tcBorders>
              <w:bottom w:val="single" w:sz="8" w:color="D1D2D4"/>
            </w:tcBorders>
            <w:shd w:val="clear" w:color="auto" w:fill="CED8EA"/>
          </w:tcPr>
          <w:p>
            <w:pPr>
              <w:spacing w:after="0"/>
              <w:rPr>
                <w:sz w:val="9"/>
                <w:szCs w:val="9"/>
                <w:color w:val="auto"/>
              </w:rPr>
            </w:pPr>
          </w:p>
        </w:tc>
        <w:tc>
          <w:tcPr>
            <w:tcW w:w="840" w:type="dxa"/>
            <w:vAlign w:val="bottom"/>
            <w:tcBorders>
              <w:bottom w:val="single" w:sz="8" w:color="D1D2D4"/>
            </w:tcBorders>
            <w:shd w:val="clear" w:color="auto" w:fill="CED8EA"/>
          </w:tcPr>
          <w:p>
            <w:pPr>
              <w:spacing w:after="0"/>
              <w:rPr>
                <w:sz w:val="9"/>
                <w:szCs w:val="9"/>
                <w:color w:val="auto"/>
              </w:rPr>
            </w:pPr>
          </w:p>
        </w:tc>
        <w:tc>
          <w:tcPr>
            <w:tcW w:w="800" w:type="dxa"/>
            <w:vAlign w:val="bottom"/>
            <w:tcBorders>
              <w:bottom w:val="single" w:sz="8" w:color="D1D2D4"/>
            </w:tcBorders>
            <w:shd w:val="clear" w:color="auto" w:fill="CED8EA"/>
          </w:tcPr>
          <w:p>
            <w:pPr>
              <w:spacing w:after="0"/>
              <w:rPr>
                <w:sz w:val="9"/>
                <w:szCs w:val="9"/>
                <w:color w:val="auto"/>
              </w:rPr>
            </w:pPr>
          </w:p>
        </w:tc>
        <w:tc>
          <w:tcPr>
            <w:tcW w:w="60" w:type="dxa"/>
            <w:vAlign w:val="bottom"/>
            <w:tcBorders>
              <w:bottom w:val="single" w:sz="8" w:color="D1D2D4"/>
            </w:tcBorders>
            <w:shd w:val="clear" w:color="auto" w:fill="CED8EA"/>
          </w:tcPr>
          <w:p>
            <w:pPr>
              <w:spacing w:after="0"/>
              <w:rPr>
                <w:sz w:val="9"/>
                <w:szCs w:val="9"/>
                <w:color w:val="auto"/>
              </w:rPr>
            </w:pPr>
          </w:p>
        </w:tc>
        <w:tc>
          <w:tcPr>
            <w:tcW w:w="860" w:type="dxa"/>
            <w:vAlign w:val="bottom"/>
            <w:tcBorders>
              <w:bottom w:val="single" w:sz="8" w:color="D1D2D4"/>
            </w:tcBorders>
            <w:shd w:val="clear" w:color="auto" w:fill="CED8EA"/>
          </w:tcPr>
          <w:p>
            <w:pPr>
              <w:spacing w:after="0"/>
              <w:rPr>
                <w:sz w:val="9"/>
                <w:szCs w:val="9"/>
                <w:color w:val="auto"/>
              </w:rPr>
            </w:pPr>
          </w:p>
        </w:tc>
        <w:tc>
          <w:tcPr>
            <w:tcW w:w="1200" w:type="dxa"/>
            <w:vAlign w:val="bottom"/>
            <w:tcBorders>
              <w:bottom w:val="single" w:sz="8" w:color="D1D2D4"/>
            </w:tcBorders>
            <w:shd w:val="clear" w:color="auto" w:fill="CED8EA"/>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200" w:type="dxa"/>
            <w:vAlign w:val="bottom"/>
          </w:tcPr>
          <w:p>
            <w:pPr>
              <w:spacing w:after="0"/>
              <w:rPr>
                <w:sz w:val="18"/>
                <w:szCs w:val="18"/>
                <w:color w:val="auto"/>
              </w:rPr>
            </w:pPr>
          </w:p>
        </w:tc>
        <w:tc>
          <w:tcPr>
            <w:tcW w:w="800" w:type="dxa"/>
            <w:vAlign w:val="bottom"/>
            <w:tcBorders>
              <w:bottom w:val="single" w:sz="8" w:color="D1D2D4"/>
            </w:tcBorders>
          </w:tcPr>
          <w:p>
            <w:pPr>
              <w:jc w:val="center"/>
              <w:ind w:right="12"/>
              <w:spacing w:after="0"/>
              <w:rPr>
                <w:sz w:val="20"/>
                <w:szCs w:val="20"/>
                <w:color w:val="auto"/>
              </w:rPr>
            </w:pPr>
            <w:r>
              <w:rPr>
                <w:rFonts w:ascii="Arial" w:cs="Arial" w:eastAsia="Arial" w:hAnsi="Arial"/>
                <w:sz w:val="18"/>
                <w:szCs w:val="18"/>
                <w:color w:val="02568A"/>
                <w:w w:val="87"/>
              </w:rPr>
              <w:t>11/6/2018</w:t>
            </w:r>
          </w:p>
        </w:tc>
        <w:tc>
          <w:tcPr>
            <w:tcW w:w="800" w:type="dxa"/>
            <w:vAlign w:val="bottom"/>
            <w:tcBorders>
              <w:bottom w:val="single" w:sz="8" w:color="D1D2D4"/>
            </w:tcBorders>
          </w:tcPr>
          <w:p>
            <w:pPr>
              <w:spacing w:after="0"/>
              <w:rPr>
                <w:sz w:val="18"/>
                <w:szCs w:val="18"/>
                <w:color w:val="auto"/>
              </w:rPr>
            </w:pPr>
          </w:p>
        </w:tc>
        <w:tc>
          <w:tcPr>
            <w:tcW w:w="840" w:type="dxa"/>
            <w:vAlign w:val="bottom"/>
            <w:tcBorders>
              <w:bottom w:val="single" w:sz="8" w:color="D1D2D4"/>
            </w:tcBorders>
          </w:tcPr>
          <w:p>
            <w:pPr>
              <w:spacing w:after="0"/>
              <w:rPr>
                <w:sz w:val="18"/>
                <w:szCs w:val="18"/>
                <w:color w:val="auto"/>
              </w:rPr>
            </w:pPr>
          </w:p>
        </w:tc>
        <w:tc>
          <w:tcPr>
            <w:tcW w:w="800" w:type="dxa"/>
            <w:vAlign w:val="bottom"/>
            <w:tcBorders>
              <w:bottom w:val="single" w:sz="8" w:color="D1D2D4"/>
            </w:tcBorders>
          </w:tcPr>
          <w:p>
            <w:pPr>
              <w:spacing w:after="0"/>
              <w:rPr>
                <w:sz w:val="18"/>
                <w:szCs w:val="18"/>
                <w:color w:val="auto"/>
              </w:rPr>
            </w:pPr>
          </w:p>
        </w:tc>
        <w:tc>
          <w:tcPr>
            <w:tcW w:w="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10,164</w:t>
            </w:r>
          </w:p>
        </w:tc>
        <w:tc>
          <w:tcPr>
            <w:tcW w:w="8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20,329</w:t>
            </w:r>
          </w:p>
        </w:tc>
        <w:tc>
          <w:tcPr>
            <w:tcW w:w="860" w:type="dxa"/>
            <w:vAlign w:val="bottom"/>
            <w:tcBorders>
              <w:bottom w:val="single" w:sz="8" w:color="D1D2D4"/>
            </w:tcBorders>
            <w:gridSpan w:val="2"/>
          </w:tcPr>
          <w:p>
            <w:pPr>
              <w:jc w:val="right"/>
              <w:ind w:right="40"/>
              <w:spacing w:after="0"/>
              <w:rPr>
                <w:sz w:val="20"/>
                <w:szCs w:val="20"/>
                <w:color w:val="auto"/>
              </w:rPr>
            </w:pPr>
            <w:r>
              <w:rPr>
                <w:rFonts w:ascii="Arial" w:cs="Arial" w:eastAsia="Arial" w:hAnsi="Arial"/>
                <w:sz w:val="18"/>
                <w:szCs w:val="18"/>
                <w:color w:val="02568A"/>
              </w:rPr>
              <w:t>50,822</w:t>
            </w:r>
          </w:p>
        </w:tc>
        <w:tc>
          <w:tcPr>
            <w:tcW w:w="860" w:type="dxa"/>
            <w:vAlign w:val="bottom"/>
            <w:tcBorders>
              <w:bottom w:val="single" w:sz="8" w:color="D1D2D4"/>
            </w:tcBorders>
          </w:tcPr>
          <w:p>
            <w:pPr>
              <w:spacing w:after="0"/>
              <w:rPr>
                <w:sz w:val="18"/>
                <w:szCs w:val="18"/>
                <w:color w:val="auto"/>
              </w:rPr>
            </w:pPr>
          </w:p>
        </w:tc>
        <w:tc>
          <w:tcPr>
            <w:tcW w:w="1200" w:type="dxa"/>
            <w:vAlign w:val="bottom"/>
            <w:tcBorders>
              <w:bottom w:val="single" w:sz="8" w:color="D1D2D4"/>
            </w:tcBorders>
          </w:tcPr>
          <w:p>
            <w:pPr>
              <w:jc w:val="right"/>
              <w:ind w:right="152"/>
              <w:spacing w:after="0"/>
              <w:rPr>
                <w:sz w:val="20"/>
                <w:szCs w:val="20"/>
                <w:color w:val="auto"/>
              </w:rPr>
            </w:pPr>
            <w:r>
              <w:rPr>
                <w:rFonts w:ascii="Arial" w:cs="Arial" w:eastAsia="Arial" w:hAnsi="Arial"/>
                <w:sz w:val="18"/>
                <w:szCs w:val="18"/>
                <w:color w:val="02568A"/>
                <w:w w:val="92"/>
              </w:rPr>
              <w:t>2,144,506(4)</w:t>
            </w:r>
          </w:p>
        </w:tc>
        <w:tc>
          <w:tcPr>
            <w:tcW w:w="0" w:type="dxa"/>
            <w:vAlign w:val="bottom"/>
          </w:tcPr>
          <w:p>
            <w:pPr>
              <w:spacing w:after="0"/>
              <w:rPr>
                <w:sz w:val="1"/>
                <w:szCs w:val="1"/>
                <w:color w:val="auto"/>
              </w:rPr>
            </w:pPr>
          </w:p>
        </w:tc>
      </w:tr>
      <w:tr>
        <w:trPr>
          <w:trHeight w:val="210"/>
        </w:trPr>
        <w:tc>
          <w:tcPr>
            <w:tcW w:w="1200" w:type="dxa"/>
            <w:vAlign w:val="bottom"/>
            <w:tcBorders>
              <w:bottom w:val="single" w:sz="8" w:color="D1D2D4"/>
            </w:tcBorders>
          </w:tcPr>
          <w:p>
            <w:pPr>
              <w:spacing w:after="0"/>
              <w:rPr>
                <w:sz w:val="18"/>
                <w:szCs w:val="18"/>
                <w:color w:val="auto"/>
              </w:rPr>
            </w:pPr>
          </w:p>
        </w:tc>
        <w:tc>
          <w:tcPr>
            <w:tcW w:w="800" w:type="dxa"/>
            <w:vAlign w:val="bottom"/>
            <w:tcBorders>
              <w:bottom w:val="single" w:sz="8" w:color="D1D2D4"/>
            </w:tcBorders>
          </w:tcPr>
          <w:p>
            <w:pPr>
              <w:jc w:val="center"/>
              <w:ind w:right="12"/>
              <w:spacing w:after="0"/>
              <w:rPr>
                <w:sz w:val="20"/>
                <w:szCs w:val="20"/>
                <w:color w:val="auto"/>
              </w:rPr>
            </w:pPr>
            <w:r>
              <w:rPr>
                <w:rFonts w:ascii="Arial" w:cs="Arial" w:eastAsia="Arial" w:hAnsi="Arial"/>
                <w:sz w:val="18"/>
                <w:szCs w:val="18"/>
                <w:color w:val="02568A"/>
                <w:w w:val="87"/>
              </w:rPr>
              <w:t>11/6/2018</w:t>
            </w:r>
          </w:p>
        </w:tc>
        <w:tc>
          <w:tcPr>
            <w:tcW w:w="800" w:type="dxa"/>
            <w:vAlign w:val="bottom"/>
            <w:tcBorders>
              <w:bottom w:val="single" w:sz="8" w:color="D1D2D4"/>
            </w:tcBorders>
          </w:tcPr>
          <w:p>
            <w:pPr>
              <w:spacing w:after="0"/>
              <w:rPr>
                <w:sz w:val="18"/>
                <w:szCs w:val="18"/>
                <w:color w:val="auto"/>
              </w:rPr>
            </w:pPr>
          </w:p>
        </w:tc>
        <w:tc>
          <w:tcPr>
            <w:tcW w:w="840" w:type="dxa"/>
            <w:vAlign w:val="bottom"/>
            <w:tcBorders>
              <w:bottom w:val="single" w:sz="8" w:color="D1D2D4"/>
            </w:tcBorders>
          </w:tcPr>
          <w:p>
            <w:pPr>
              <w:spacing w:after="0"/>
              <w:rPr>
                <w:sz w:val="18"/>
                <w:szCs w:val="18"/>
                <w:color w:val="auto"/>
              </w:rPr>
            </w:pPr>
          </w:p>
        </w:tc>
        <w:tc>
          <w:tcPr>
            <w:tcW w:w="800" w:type="dxa"/>
            <w:vAlign w:val="bottom"/>
            <w:tcBorders>
              <w:bottom w:val="single" w:sz="8" w:color="D1D2D4"/>
            </w:tcBorders>
          </w:tcPr>
          <w:p>
            <w:pPr>
              <w:spacing w:after="0"/>
              <w:rPr>
                <w:sz w:val="18"/>
                <w:szCs w:val="18"/>
                <w:color w:val="auto"/>
              </w:rPr>
            </w:pPr>
          </w:p>
        </w:tc>
        <w:tc>
          <w:tcPr>
            <w:tcW w:w="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840" w:type="dxa"/>
            <w:vAlign w:val="bottom"/>
            <w:tcBorders>
              <w:bottom w:val="single" w:sz="8" w:color="D1D2D4"/>
            </w:tcBorders>
          </w:tcPr>
          <w:p>
            <w:pPr>
              <w:spacing w:after="0"/>
              <w:rPr>
                <w:sz w:val="18"/>
                <w:szCs w:val="18"/>
                <w:color w:val="auto"/>
              </w:rPr>
            </w:pPr>
          </w:p>
        </w:tc>
        <w:tc>
          <w:tcPr>
            <w:tcW w:w="800" w:type="dxa"/>
            <w:vAlign w:val="bottom"/>
            <w:tcBorders>
              <w:bottom w:val="single" w:sz="8" w:color="D1D2D4"/>
            </w:tcBorders>
          </w:tcPr>
          <w:p>
            <w:pPr>
              <w:spacing w:after="0"/>
              <w:rPr>
                <w:sz w:val="18"/>
                <w:szCs w:val="18"/>
                <w:color w:val="auto"/>
              </w:rPr>
            </w:pPr>
          </w:p>
        </w:tc>
        <w:tc>
          <w:tcPr>
            <w:tcW w:w="60" w:type="dxa"/>
            <w:vAlign w:val="bottom"/>
            <w:tcBorders>
              <w:bottom w:val="single" w:sz="8" w:color="D1D2D4"/>
            </w:tcBorders>
          </w:tcPr>
          <w:p>
            <w:pPr>
              <w:spacing w:after="0"/>
              <w:rPr>
                <w:sz w:val="18"/>
                <w:szCs w:val="18"/>
                <w:color w:val="auto"/>
              </w:rPr>
            </w:pP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13,552</w:t>
            </w:r>
          </w:p>
        </w:tc>
        <w:tc>
          <w:tcPr>
            <w:tcW w:w="1200" w:type="dxa"/>
            <w:vAlign w:val="bottom"/>
            <w:tcBorders>
              <w:bottom w:val="single" w:sz="8" w:color="D1D2D4"/>
            </w:tcBorders>
          </w:tcPr>
          <w:p>
            <w:pPr>
              <w:jc w:val="right"/>
              <w:ind w:right="152"/>
              <w:spacing w:after="0"/>
              <w:rPr>
                <w:sz w:val="20"/>
                <w:szCs w:val="20"/>
                <w:color w:val="auto"/>
              </w:rPr>
            </w:pPr>
            <w:r>
              <w:rPr>
                <w:rFonts w:ascii="Arial" w:cs="Arial" w:eastAsia="Arial" w:hAnsi="Arial"/>
                <w:sz w:val="18"/>
                <w:szCs w:val="18"/>
                <w:color w:val="02568A"/>
                <w:w w:val="92"/>
              </w:rPr>
              <w:t>1,119,937(5)</w:t>
            </w:r>
          </w:p>
        </w:tc>
        <w:tc>
          <w:tcPr>
            <w:tcW w:w="0" w:type="dxa"/>
            <w:vAlign w:val="bottom"/>
          </w:tcPr>
          <w:p>
            <w:pPr>
              <w:spacing w:after="0"/>
              <w:rPr>
                <w:sz w:val="1"/>
                <w:szCs w:val="1"/>
                <w:color w:val="auto"/>
              </w:rPr>
            </w:pPr>
          </w:p>
        </w:tc>
      </w:tr>
      <w:tr>
        <w:trPr>
          <w:trHeight w:val="195"/>
        </w:trPr>
        <w:tc>
          <w:tcPr>
            <w:tcW w:w="1200" w:type="dxa"/>
            <w:vAlign w:val="bottom"/>
            <w:shd w:val="clear" w:color="auto" w:fill="CED8EA"/>
          </w:tcPr>
          <w:p>
            <w:pPr>
              <w:ind w:left="200"/>
              <w:spacing w:after="0" w:line="195" w:lineRule="exact"/>
              <w:rPr>
                <w:sz w:val="20"/>
                <w:szCs w:val="20"/>
                <w:color w:val="auto"/>
              </w:rPr>
            </w:pPr>
            <w:r>
              <w:rPr>
                <w:rFonts w:ascii="Arial" w:cs="Arial" w:eastAsia="Arial" w:hAnsi="Arial"/>
                <w:sz w:val="18"/>
                <w:szCs w:val="18"/>
                <w:b w:val="1"/>
                <w:bCs w:val="1"/>
                <w:color w:val="02568A"/>
              </w:rPr>
              <w:t>Carlos S.</w:t>
            </w:r>
          </w:p>
        </w:tc>
        <w:tc>
          <w:tcPr>
            <w:tcW w:w="800" w:type="dxa"/>
            <w:vAlign w:val="bottom"/>
            <w:shd w:val="clear" w:color="auto" w:fill="CED8EA"/>
          </w:tcPr>
          <w:p>
            <w:pPr>
              <w:spacing w:after="0"/>
              <w:rPr>
                <w:sz w:val="16"/>
                <w:szCs w:val="16"/>
                <w:color w:val="auto"/>
              </w:rPr>
            </w:pPr>
          </w:p>
        </w:tc>
        <w:tc>
          <w:tcPr>
            <w:tcW w:w="800" w:type="dxa"/>
            <w:vAlign w:val="bottom"/>
            <w:vMerge w:val="restart"/>
            <w:shd w:val="clear" w:color="auto" w:fill="CED8EA"/>
          </w:tcPr>
          <w:p>
            <w:pPr>
              <w:jc w:val="right"/>
              <w:spacing w:after="0"/>
              <w:rPr>
                <w:sz w:val="20"/>
                <w:szCs w:val="20"/>
                <w:color w:val="auto"/>
              </w:rPr>
            </w:pPr>
            <w:r>
              <w:rPr>
                <w:rFonts w:ascii="Arial" w:cs="Arial" w:eastAsia="Arial" w:hAnsi="Arial"/>
                <w:sz w:val="18"/>
                <w:szCs w:val="18"/>
                <w:color w:val="02568A"/>
              </w:rPr>
              <w:t>172,400</w:t>
            </w:r>
          </w:p>
        </w:tc>
        <w:tc>
          <w:tcPr>
            <w:tcW w:w="840" w:type="dxa"/>
            <w:vAlign w:val="bottom"/>
            <w:vMerge w:val="restart"/>
            <w:shd w:val="clear" w:color="auto" w:fill="CED8EA"/>
          </w:tcPr>
          <w:p>
            <w:pPr>
              <w:jc w:val="right"/>
              <w:spacing w:after="0"/>
              <w:rPr>
                <w:sz w:val="20"/>
                <w:szCs w:val="20"/>
                <w:color w:val="auto"/>
              </w:rPr>
            </w:pPr>
            <w:r>
              <w:rPr>
                <w:rFonts w:ascii="Arial" w:cs="Arial" w:eastAsia="Arial" w:hAnsi="Arial"/>
                <w:sz w:val="18"/>
                <w:szCs w:val="18"/>
                <w:color w:val="02568A"/>
              </w:rPr>
              <w:t>344,800</w:t>
            </w:r>
          </w:p>
        </w:tc>
        <w:tc>
          <w:tcPr>
            <w:tcW w:w="880" w:type="dxa"/>
            <w:vAlign w:val="bottom"/>
            <w:gridSpan w:val="2"/>
            <w:vMerge w:val="restart"/>
            <w:shd w:val="clear" w:color="auto" w:fill="CED8EA"/>
          </w:tcPr>
          <w:p>
            <w:pPr>
              <w:jc w:val="right"/>
              <w:ind w:right="80"/>
              <w:spacing w:after="0"/>
              <w:rPr>
                <w:sz w:val="20"/>
                <w:szCs w:val="20"/>
                <w:color w:val="auto"/>
              </w:rPr>
            </w:pPr>
            <w:r>
              <w:rPr>
                <w:rFonts w:ascii="Arial" w:cs="Arial" w:eastAsia="Arial" w:hAnsi="Arial"/>
                <w:sz w:val="18"/>
                <w:szCs w:val="18"/>
                <w:color w:val="02568A"/>
              </w:rPr>
              <w:t>689,600</w:t>
            </w:r>
          </w:p>
        </w:tc>
        <w:tc>
          <w:tcPr>
            <w:tcW w:w="820" w:type="dxa"/>
            <w:vAlign w:val="bottom"/>
            <w:shd w:val="clear" w:color="auto" w:fill="CED8EA"/>
          </w:tcPr>
          <w:p>
            <w:pPr>
              <w:spacing w:after="0"/>
              <w:rPr>
                <w:sz w:val="16"/>
                <w:szCs w:val="16"/>
                <w:color w:val="auto"/>
              </w:rPr>
            </w:pPr>
          </w:p>
        </w:tc>
        <w:tc>
          <w:tcPr>
            <w:tcW w:w="840" w:type="dxa"/>
            <w:vAlign w:val="bottom"/>
            <w:shd w:val="clear" w:color="auto" w:fill="CED8EA"/>
          </w:tcPr>
          <w:p>
            <w:pPr>
              <w:spacing w:after="0"/>
              <w:rPr>
                <w:sz w:val="16"/>
                <w:szCs w:val="16"/>
                <w:color w:val="auto"/>
              </w:rPr>
            </w:pPr>
          </w:p>
        </w:tc>
        <w:tc>
          <w:tcPr>
            <w:tcW w:w="800" w:type="dxa"/>
            <w:vAlign w:val="bottom"/>
            <w:shd w:val="clear" w:color="auto" w:fill="CED8EA"/>
          </w:tcPr>
          <w:p>
            <w:pPr>
              <w:spacing w:after="0"/>
              <w:rPr>
                <w:sz w:val="16"/>
                <w:szCs w:val="16"/>
                <w:color w:val="auto"/>
              </w:rPr>
            </w:pPr>
          </w:p>
        </w:tc>
        <w:tc>
          <w:tcPr>
            <w:tcW w:w="60" w:type="dxa"/>
            <w:vAlign w:val="bottom"/>
            <w:shd w:val="clear" w:color="auto" w:fill="CED8EA"/>
          </w:tcPr>
          <w:p>
            <w:pPr>
              <w:spacing w:after="0"/>
              <w:rPr>
                <w:sz w:val="16"/>
                <w:szCs w:val="16"/>
                <w:color w:val="auto"/>
              </w:rPr>
            </w:pPr>
          </w:p>
        </w:tc>
        <w:tc>
          <w:tcPr>
            <w:tcW w:w="860" w:type="dxa"/>
            <w:vAlign w:val="bottom"/>
            <w:shd w:val="clear" w:color="auto" w:fill="CED8EA"/>
          </w:tcPr>
          <w:p>
            <w:pPr>
              <w:spacing w:after="0"/>
              <w:rPr>
                <w:sz w:val="16"/>
                <w:szCs w:val="16"/>
                <w:color w:val="auto"/>
              </w:rPr>
            </w:pPr>
          </w:p>
        </w:tc>
        <w:tc>
          <w:tcPr>
            <w:tcW w:w="1200" w:type="dxa"/>
            <w:vAlign w:val="bottom"/>
            <w:shd w:val="clear" w:color="auto" w:fill="CED8EA"/>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200" w:type="dxa"/>
            <w:vAlign w:val="bottom"/>
            <w:vMerge w:val="restart"/>
            <w:shd w:val="clear" w:color="auto" w:fill="CED8EA"/>
          </w:tcPr>
          <w:p>
            <w:pPr>
              <w:ind w:left="200"/>
              <w:spacing w:after="0"/>
              <w:rPr>
                <w:sz w:val="20"/>
                <w:szCs w:val="20"/>
                <w:color w:val="auto"/>
              </w:rPr>
            </w:pPr>
            <w:r>
              <w:rPr>
                <w:rFonts w:ascii="Arial" w:cs="Arial" w:eastAsia="Arial" w:hAnsi="Arial"/>
                <w:sz w:val="18"/>
                <w:szCs w:val="18"/>
                <w:b w:val="1"/>
                <w:bCs w:val="1"/>
                <w:color w:val="02568A"/>
              </w:rPr>
              <w:t>Bori</w:t>
            </w:r>
          </w:p>
        </w:tc>
        <w:tc>
          <w:tcPr>
            <w:tcW w:w="800" w:type="dxa"/>
            <w:vAlign w:val="bottom"/>
            <w:shd w:val="clear" w:color="auto" w:fill="CED8EA"/>
          </w:tcPr>
          <w:p>
            <w:pPr>
              <w:spacing w:after="0"/>
              <w:rPr>
                <w:sz w:val="10"/>
                <w:szCs w:val="10"/>
                <w:color w:val="auto"/>
              </w:rPr>
            </w:pPr>
          </w:p>
        </w:tc>
        <w:tc>
          <w:tcPr>
            <w:tcW w:w="800" w:type="dxa"/>
            <w:vAlign w:val="bottom"/>
            <w:vMerge w:val="continue"/>
            <w:shd w:val="clear" w:color="auto" w:fill="CED8EA"/>
          </w:tcPr>
          <w:p>
            <w:pPr>
              <w:spacing w:after="0"/>
              <w:rPr>
                <w:sz w:val="10"/>
                <w:szCs w:val="10"/>
                <w:color w:val="auto"/>
              </w:rPr>
            </w:pPr>
          </w:p>
        </w:tc>
        <w:tc>
          <w:tcPr>
            <w:tcW w:w="840" w:type="dxa"/>
            <w:vAlign w:val="bottom"/>
            <w:vMerge w:val="continue"/>
            <w:shd w:val="clear" w:color="auto" w:fill="CED8EA"/>
          </w:tcPr>
          <w:p>
            <w:pPr>
              <w:spacing w:after="0"/>
              <w:rPr>
                <w:sz w:val="10"/>
                <w:szCs w:val="10"/>
                <w:color w:val="auto"/>
              </w:rPr>
            </w:pPr>
          </w:p>
        </w:tc>
        <w:tc>
          <w:tcPr>
            <w:tcW w:w="880" w:type="dxa"/>
            <w:vAlign w:val="bottom"/>
            <w:gridSpan w:val="2"/>
            <w:vMerge w:val="continue"/>
            <w:shd w:val="clear" w:color="auto" w:fill="CED8EA"/>
          </w:tcPr>
          <w:p>
            <w:pPr>
              <w:spacing w:after="0"/>
              <w:rPr>
                <w:sz w:val="10"/>
                <w:szCs w:val="10"/>
                <w:color w:val="auto"/>
              </w:rPr>
            </w:pPr>
          </w:p>
        </w:tc>
        <w:tc>
          <w:tcPr>
            <w:tcW w:w="820" w:type="dxa"/>
            <w:vAlign w:val="bottom"/>
            <w:shd w:val="clear" w:color="auto" w:fill="CED8EA"/>
          </w:tcPr>
          <w:p>
            <w:pPr>
              <w:spacing w:after="0"/>
              <w:rPr>
                <w:sz w:val="10"/>
                <w:szCs w:val="10"/>
                <w:color w:val="auto"/>
              </w:rPr>
            </w:pPr>
          </w:p>
        </w:tc>
        <w:tc>
          <w:tcPr>
            <w:tcW w:w="840" w:type="dxa"/>
            <w:vAlign w:val="bottom"/>
            <w:shd w:val="clear" w:color="auto" w:fill="CED8EA"/>
          </w:tcPr>
          <w:p>
            <w:pPr>
              <w:spacing w:after="0"/>
              <w:rPr>
                <w:sz w:val="10"/>
                <w:szCs w:val="10"/>
                <w:color w:val="auto"/>
              </w:rPr>
            </w:pPr>
          </w:p>
        </w:tc>
        <w:tc>
          <w:tcPr>
            <w:tcW w:w="800" w:type="dxa"/>
            <w:vAlign w:val="bottom"/>
            <w:shd w:val="clear" w:color="auto" w:fill="CED8EA"/>
          </w:tcPr>
          <w:p>
            <w:pPr>
              <w:spacing w:after="0"/>
              <w:rPr>
                <w:sz w:val="10"/>
                <w:szCs w:val="10"/>
                <w:color w:val="auto"/>
              </w:rPr>
            </w:pPr>
          </w:p>
        </w:tc>
        <w:tc>
          <w:tcPr>
            <w:tcW w:w="60" w:type="dxa"/>
            <w:vAlign w:val="bottom"/>
            <w:shd w:val="clear" w:color="auto" w:fill="CED8EA"/>
          </w:tcPr>
          <w:p>
            <w:pPr>
              <w:spacing w:after="0"/>
              <w:rPr>
                <w:sz w:val="10"/>
                <w:szCs w:val="10"/>
                <w:color w:val="auto"/>
              </w:rPr>
            </w:pPr>
          </w:p>
        </w:tc>
        <w:tc>
          <w:tcPr>
            <w:tcW w:w="860" w:type="dxa"/>
            <w:vAlign w:val="bottom"/>
            <w:shd w:val="clear" w:color="auto" w:fill="CED8EA"/>
          </w:tcPr>
          <w:p>
            <w:pPr>
              <w:spacing w:after="0"/>
              <w:rPr>
                <w:sz w:val="10"/>
                <w:szCs w:val="10"/>
                <w:color w:val="auto"/>
              </w:rPr>
            </w:pPr>
          </w:p>
        </w:tc>
        <w:tc>
          <w:tcPr>
            <w:tcW w:w="1200" w:type="dxa"/>
            <w:vAlign w:val="bottom"/>
            <w:shd w:val="clear" w:color="auto" w:fill="CED8EA"/>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200" w:type="dxa"/>
            <w:vAlign w:val="bottom"/>
            <w:tcBorders>
              <w:bottom w:val="single" w:sz="8" w:color="D1D2D4"/>
            </w:tcBorders>
            <w:vMerge w:val="continue"/>
            <w:shd w:val="clear" w:color="auto" w:fill="CED8EA"/>
          </w:tcPr>
          <w:p>
            <w:pPr>
              <w:spacing w:after="0"/>
              <w:rPr>
                <w:sz w:val="9"/>
                <w:szCs w:val="9"/>
                <w:color w:val="auto"/>
              </w:rPr>
            </w:pPr>
          </w:p>
        </w:tc>
        <w:tc>
          <w:tcPr>
            <w:tcW w:w="800" w:type="dxa"/>
            <w:vAlign w:val="bottom"/>
            <w:tcBorders>
              <w:bottom w:val="single" w:sz="8" w:color="D1D2D4"/>
            </w:tcBorders>
            <w:shd w:val="clear" w:color="auto" w:fill="CED8EA"/>
          </w:tcPr>
          <w:p>
            <w:pPr>
              <w:spacing w:after="0"/>
              <w:rPr>
                <w:sz w:val="9"/>
                <w:szCs w:val="9"/>
                <w:color w:val="auto"/>
              </w:rPr>
            </w:pPr>
          </w:p>
        </w:tc>
        <w:tc>
          <w:tcPr>
            <w:tcW w:w="800" w:type="dxa"/>
            <w:vAlign w:val="bottom"/>
            <w:tcBorders>
              <w:bottom w:val="single" w:sz="8" w:color="D1D2D4"/>
            </w:tcBorders>
            <w:shd w:val="clear" w:color="auto" w:fill="CED8EA"/>
          </w:tcPr>
          <w:p>
            <w:pPr>
              <w:spacing w:after="0"/>
              <w:rPr>
                <w:sz w:val="9"/>
                <w:szCs w:val="9"/>
                <w:color w:val="auto"/>
              </w:rPr>
            </w:pPr>
          </w:p>
        </w:tc>
        <w:tc>
          <w:tcPr>
            <w:tcW w:w="840" w:type="dxa"/>
            <w:vAlign w:val="bottom"/>
            <w:tcBorders>
              <w:bottom w:val="single" w:sz="8" w:color="D1D2D4"/>
            </w:tcBorders>
            <w:shd w:val="clear" w:color="auto" w:fill="CED8EA"/>
          </w:tcPr>
          <w:p>
            <w:pPr>
              <w:spacing w:after="0"/>
              <w:rPr>
                <w:sz w:val="9"/>
                <w:szCs w:val="9"/>
                <w:color w:val="auto"/>
              </w:rPr>
            </w:pPr>
          </w:p>
        </w:tc>
        <w:tc>
          <w:tcPr>
            <w:tcW w:w="800" w:type="dxa"/>
            <w:vAlign w:val="bottom"/>
            <w:tcBorders>
              <w:bottom w:val="single" w:sz="8" w:color="D1D2D4"/>
            </w:tcBorders>
            <w:shd w:val="clear" w:color="auto" w:fill="CED8EA"/>
          </w:tcPr>
          <w:p>
            <w:pPr>
              <w:spacing w:after="0"/>
              <w:rPr>
                <w:sz w:val="9"/>
                <w:szCs w:val="9"/>
                <w:color w:val="auto"/>
              </w:rPr>
            </w:pPr>
          </w:p>
        </w:tc>
        <w:tc>
          <w:tcPr>
            <w:tcW w:w="80" w:type="dxa"/>
            <w:vAlign w:val="bottom"/>
            <w:tcBorders>
              <w:bottom w:val="single" w:sz="8" w:color="D1D2D4"/>
            </w:tcBorders>
            <w:shd w:val="clear" w:color="auto" w:fill="CED8EA"/>
          </w:tcPr>
          <w:p>
            <w:pPr>
              <w:spacing w:after="0"/>
              <w:rPr>
                <w:sz w:val="9"/>
                <w:szCs w:val="9"/>
                <w:color w:val="auto"/>
              </w:rPr>
            </w:pPr>
          </w:p>
        </w:tc>
        <w:tc>
          <w:tcPr>
            <w:tcW w:w="820" w:type="dxa"/>
            <w:vAlign w:val="bottom"/>
            <w:tcBorders>
              <w:bottom w:val="single" w:sz="8" w:color="D1D2D4"/>
            </w:tcBorders>
            <w:shd w:val="clear" w:color="auto" w:fill="CED8EA"/>
          </w:tcPr>
          <w:p>
            <w:pPr>
              <w:spacing w:after="0"/>
              <w:rPr>
                <w:sz w:val="9"/>
                <w:szCs w:val="9"/>
                <w:color w:val="auto"/>
              </w:rPr>
            </w:pPr>
          </w:p>
        </w:tc>
        <w:tc>
          <w:tcPr>
            <w:tcW w:w="840" w:type="dxa"/>
            <w:vAlign w:val="bottom"/>
            <w:tcBorders>
              <w:bottom w:val="single" w:sz="8" w:color="D1D2D4"/>
            </w:tcBorders>
            <w:shd w:val="clear" w:color="auto" w:fill="CED8EA"/>
          </w:tcPr>
          <w:p>
            <w:pPr>
              <w:spacing w:after="0"/>
              <w:rPr>
                <w:sz w:val="9"/>
                <w:szCs w:val="9"/>
                <w:color w:val="auto"/>
              </w:rPr>
            </w:pPr>
          </w:p>
        </w:tc>
        <w:tc>
          <w:tcPr>
            <w:tcW w:w="800" w:type="dxa"/>
            <w:vAlign w:val="bottom"/>
            <w:tcBorders>
              <w:bottom w:val="single" w:sz="8" w:color="D1D2D4"/>
            </w:tcBorders>
            <w:shd w:val="clear" w:color="auto" w:fill="CED8EA"/>
          </w:tcPr>
          <w:p>
            <w:pPr>
              <w:spacing w:after="0"/>
              <w:rPr>
                <w:sz w:val="9"/>
                <w:szCs w:val="9"/>
                <w:color w:val="auto"/>
              </w:rPr>
            </w:pPr>
          </w:p>
        </w:tc>
        <w:tc>
          <w:tcPr>
            <w:tcW w:w="60" w:type="dxa"/>
            <w:vAlign w:val="bottom"/>
            <w:tcBorders>
              <w:bottom w:val="single" w:sz="8" w:color="D1D2D4"/>
            </w:tcBorders>
            <w:shd w:val="clear" w:color="auto" w:fill="CED8EA"/>
          </w:tcPr>
          <w:p>
            <w:pPr>
              <w:spacing w:after="0"/>
              <w:rPr>
                <w:sz w:val="9"/>
                <w:szCs w:val="9"/>
                <w:color w:val="auto"/>
              </w:rPr>
            </w:pPr>
          </w:p>
        </w:tc>
        <w:tc>
          <w:tcPr>
            <w:tcW w:w="860" w:type="dxa"/>
            <w:vAlign w:val="bottom"/>
            <w:tcBorders>
              <w:bottom w:val="single" w:sz="8" w:color="D1D2D4"/>
            </w:tcBorders>
            <w:shd w:val="clear" w:color="auto" w:fill="CED8EA"/>
          </w:tcPr>
          <w:p>
            <w:pPr>
              <w:spacing w:after="0"/>
              <w:rPr>
                <w:sz w:val="9"/>
                <w:szCs w:val="9"/>
                <w:color w:val="auto"/>
              </w:rPr>
            </w:pPr>
          </w:p>
        </w:tc>
        <w:tc>
          <w:tcPr>
            <w:tcW w:w="1200" w:type="dxa"/>
            <w:vAlign w:val="bottom"/>
            <w:tcBorders>
              <w:bottom w:val="single" w:sz="8" w:color="D1D2D4"/>
            </w:tcBorders>
            <w:shd w:val="clear" w:color="auto" w:fill="CED8EA"/>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200" w:type="dxa"/>
            <w:vAlign w:val="bottom"/>
          </w:tcPr>
          <w:p>
            <w:pPr>
              <w:spacing w:after="0"/>
              <w:rPr>
                <w:sz w:val="18"/>
                <w:szCs w:val="18"/>
                <w:color w:val="auto"/>
              </w:rPr>
            </w:pPr>
          </w:p>
        </w:tc>
        <w:tc>
          <w:tcPr>
            <w:tcW w:w="800" w:type="dxa"/>
            <w:vAlign w:val="bottom"/>
            <w:tcBorders>
              <w:bottom w:val="single" w:sz="8" w:color="D1D2D4"/>
            </w:tcBorders>
          </w:tcPr>
          <w:p>
            <w:pPr>
              <w:jc w:val="center"/>
              <w:ind w:right="12"/>
              <w:spacing w:after="0"/>
              <w:rPr>
                <w:sz w:val="20"/>
                <w:szCs w:val="20"/>
                <w:color w:val="auto"/>
              </w:rPr>
            </w:pPr>
            <w:r>
              <w:rPr>
                <w:rFonts w:ascii="Arial" w:cs="Arial" w:eastAsia="Arial" w:hAnsi="Arial"/>
                <w:sz w:val="18"/>
                <w:szCs w:val="18"/>
                <w:color w:val="02568A"/>
                <w:w w:val="87"/>
              </w:rPr>
              <w:t>11/6/2018</w:t>
            </w:r>
          </w:p>
        </w:tc>
        <w:tc>
          <w:tcPr>
            <w:tcW w:w="800" w:type="dxa"/>
            <w:vAlign w:val="bottom"/>
            <w:tcBorders>
              <w:bottom w:val="single" w:sz="8" w:color="D1D2D4"/>
            </w:tcBorders>
          </w:tcPr>
          <w:p>
            <w:pPr>
              <w:spacing w:after="0"/>
              <w:rPr>
                <w:sz w:val="18"/>
                <w:szCs w:val="18"/>
                <w:color w:val="auto"/>
              </w:rPr>
            </w:pPr>
          </w:p>
        </w:tc>
        <w:tc>
          <w:tcPr>
            <w:tcW w:w="840" w:type="dxa"/>
            <w:vAlign w:val="bottom"/>
            <w:tcBorders>
              <w:bottom w:val="single" w:sz="8" w:color="D1D2D4"/>
            </w:tcBorders>
          </w:tcPr>
          <w:p>
            <w:pPr>
              <w:spacing w:after="0"/>
              <w:rPr>
                <w:sz w:val="18"/>
                <w:szCs w:val="18"/>
                <w:color w:val="auto"/>
              </w:rPr>
            </w:pPr>
          </w:p>
        </w:tc>
        <w:tc>
          <w:tcPr>
            <w:tcW w:w="800" w:type="dxa"/>
            <w:vAlign w:val="bottom"/>
            <w:tcBorders>
              <w:bottom w:val="single" w:sz="8" w:color="D1D2D4"/>
            </w:tcBorders>
          </w:tcPr>
          <w:p>
            <w:pPr>
              <w:spacing w:after="0"/>
              <w:rPr>
                <w:sz w:val="18"/>
                <w:szCs w:val="18"/>
                <w:color w:val="auto"/>
              </w:rPr>
            </w:pPr>
          </w:p>
        </w:tc>
        <w:tc>
          <w:tcPr>
            <w:tcW w:w="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9,801</w:t>
            </w:r>
          </w:p>
        </w:tc>
        <w:tc>
          <w:tcPr>
            <w:tcW w:w="8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19,603</w:t>
            </w:r>
          </w:p>
        </w:tc>
        <w:tc>
          <w:tcPr>
            <w:tcW w:w="860" w:type="dxa"/>
            <w:vAlign w:val="bottom"/>
            <w:tcBorders>
              <w:bottom w:val="single" w:sz="8" w:color="D1D2D4"/>
            </w:tcBorders>
            <w:gridSpan w:val="2"/>
          </w:tcPr>
          <w:p>
            <w:pPr>
              <w:jc w:val="right"/>
              <w:ind w:right="40"/>
              <w:spacing w:after="0"/>
              <w:rPr>
                <w:sz w:val="20"/>
                <w:szCs w:val="20"/>
                <w:color w:val="auto"/>
              </w:rPr>
            </w:pPr>
            <w:r>
              <w:rPr>
                <w:rFonts w:ascii="Arial" w:cs="Arial" w:eastAsia="Arial" w:hAnsi="Arial"/>
                <w:sz w:val="18"/>
                <w:szCs w:val="18"/>
                <w:color w:val="02568A"/>
              </w:rPr>
              <w:t>49,007</w:t>
            </w:r>
          </w:p>
        </w:tc>
        <w:tc>
          <w:tcPr>
            <w:tcW w:w="860" w:type="dxa"/>
            <w:vAlign w:val="bottom"/>
            <w:tcBorders>
              <w:bottom w:val="single" w:sz="8" w:color="D1D2D4"/>
            </w:tcBorders>
          </w:tcPr>
          <w:p>
            <w:pPr>
              <w:spacing w:after="0"/>
              <w:rPr>
                <w:sz w:val="18"/>
                <w:szCs w:val="18"/>
                <w:color w:val="auto"/>
              </w:rPr>
            </w:pPr>
          </w:p>
        </w:tc>
        <w:tc>
          <w:tcPr>
            <w:tcW w:w="1200" w:type="dxa"/>
            <w:vAlign w:val="bottom"/>
            <w:tcBorders>
              <w:bottom w:val="single" w:sz="8" w:color="D1D2D4"/>
            </w:tcBorders>
          </w:tcPr>
          <w:p>
            <w:pPr>
              <w:jc w:val="right"/>
              <w:ind w:right="152"/>
              <w:spacing w:after="0"/>
              <w:rPr>
                <w:sz w:val="20"/>
                <w:szCs w:val="20"/>
                <w:color w:val="auto"/>
              </w:rPr>
            </w:pPr>
            <w:r>
              <w:rPr>
                <w:rFonts w:ascii="Arial" w:cs="Arial" w:eastAsia="Arial" w:hAnsi="Arial"/>
                <w:sz w:val="18"/>
                <w:szCs w:val="18"/>
                <w:color w:val="02568A"/>
                <w:w w:val="92"/>
              </w:rPr>
              <w:t>2,067,920(4)</w:t>
            </w:r>
          </w:p>
        </w:tc>
        <w:tc>
          <w:tcPr>
            <w:tcW w:w="0" w:type="dxa"/>
            <w:vAlign w:val="bottom"/>
          </w:tcPr>
          <w:p>
            <w:pPr>
              <w:spacing w:after="0"/>
              <w:rPr>
                <w:sz w:val="1"/>
                <w:szCs w:val="1"/>
                <w:color w:val="auto"/>
              </w:rPr>
            </w:pPr>
          </w:p>
        </w:tc>
      </w:tr>
      <w:tr>
        <w:trPr>
          <w:trHeight w:val="209"/>
        </w:trPr>
        <w:tc>
          <w:tcPr>
            <w:tcW w:w="1200" w:type="dxa"/>
            <w:vAlign w:val="bottom"/>
            <w:tcBorders>
              <w:bottom w:val="single" w:sz="8" w:color="D1D2D4"/>
            </w:tcBorders>
          </w:tcPr>
          <w:p>
            <w:pPr>
              <w:spacing w:after="0"/>
              <w:rPr>
                <w:sz w:val="18"/>
                <w:szCs w:val="18"/>
                <w:color w:val="auto"/>
              </w:rPr>
            </w:pPr>
          </w:p>
        </w:tc>
        <w:tc>
          <w:tcPr>
            <w:tcW w:w="800" w:type="dxa"/>
            <w:vAlign w:val="bottom"/>
            <w:tcBorders>
              <w:bottom w:val="single" w:sz="8" w:color="D1D2D4"/>
            </w:tcBorders>
          </w:tcPr>
          <w:p>
            <w:pPr>
              <w:jc w:val="center"/>
              <w:ind w:right="12"/>
              <w:spacing w:after="0"/>
              <w:rPr>
                <w:sz w:val="20"/>
                <w:szCs w:val="20"/>
                <w:color w:val="auto"/>
              </w:rPr>
            </w:pPr>
            <w:r>
              <w:rPr>
                <w:rFonts w:ascii="Arial" w:cs="Arial" w:eastAsia="Arial" w:hAnsi="Arial"/>
                <w:sz w:val="18"/>
                <w:szCs w:val="18"/>
                <w:color w:val="02568A"/>
                <w:w w:val="87"/>
              </w:rPr>
              <w:t>11/6/2018</w:t>
            </w:r>
          </w:p>
        </w:tc>
        <w:tc>
          <w:tcPr>
            <w:tcW w:w="800" w:type="dxa"/>
            <w:vAlign w:val="bottom"/>
            <w:tcBorders>
              <w:bottom w:val="single" w:sz="8" w:color="D1D2D4"/>
            </w:tcBorders>
          </w:tcPr>
          <w:p>
            <w:pPr>
              <w:spacing w:after="0"/>
              <w:rPr>
                <w:sz w:val="18"/>
                <w:szCs w:val="18"/>
                <w:color w:val="auto"/>
              </w:rPr>
            </w:pPr>
          </w:p>
        </w:tc>
        <w:tc>
          <w:tcPr>
            <w:tcW w:w="840" w:type="dxa"/>
            <w:vAlign w:val="bottom"/>
            <w:tcBorders>
              <w:bottom w:val="single" w:sz="8" w:color="D1D2D4"/>
            </w:tcBorders>
          </w:tcPr>
          <w:p>
            <w:pPr>
              <w:spacing w:after="0"/>
              <w:rPr>
                <w:sz w:val="18"/>
                <w:szCs w:val="18"/>
                <w:color w:val="auto"/>
              </w:rPr>
            </w:pPr>
          </w:p>
        </w:tc>
        <w:tc>
          <w:tcPr>
            <w:tcW w:w="800" w:type="dxa"/>
            <w:vAlign w:val="bottom"/>
            <w:tcBorders>
              <w:bottom w:val="single" w:sz="8" w:color="D1D2D4"/>
            </w:tcBorders>
          </w:tcPr>
          <w:p>
            <w:pPr>
              <w:spacing w:after="0"/>
              <w:rPr>
                <w:sz w:val="18"/>
                <w:szCs w:val="18"/>
                <w:color w:val="auto"/>
              </w:rPr>
            </w:pPr>
          </w:p>
        </w:tc>
        <w:tc>
          <w:tcPr>
            <w:tcW w:w="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840" w:type="dxa"/>
            <w:vAlign w:val="bottom"/>
            <w:tcBorders>
              <w:bottom w:val="single" w:sz="8" w:color="D1D2D4"/>
            </w:tcBorders>
          </w:tcPr>
          <w:p>
            <w:pPr>
              <w:spacing w:after="0"/>
              <w:rPr>
                <w:sz w:val="18"/>
                <w:szCs w:val="18"/>
                <w:color w:val="auto"/>
              </w:rPr>
            </w:pPr>
          </w:p>
        </w:tc>
        <w:tc>
          <w:tcPr>
            <w:tcW w:w="800" w:type="dxa"/>
            <w:vAlign w:val="bottom"/>
            <w:tcBorders>
              <w:bottom w:val="single" w:sz="8" w:color="D1D2D4"/>
            </w:tcBorders>
          </w:tcPr>
          <w:p>
            <w:pPr>
              <w:spacing w:after="0"/>
              <w:rPr>
                <w:sz w:val="18"/>
                <w:szCs w:val="18"/>
                <w:color w:val="auto"/>
              </w:rPr>
            </w:pPr>
          </w:p>
        </w:tc>
        <w:tc>
          <w:tcPr>
            <w:tcW w:w="60" w:type="dxa"/>
            <w:vAlign w:val="bottom"/>
            <w:tcBorders>
              <w:bottom w:val="single" w:sz="8" w:color="D1D2D4"/>
            </w:tcBorders>
          </w:tcPr>
          <w:p>
            <w:pPr>
              <w:spacing w:after="0"/>
              <w:rPr>
                <w:sz w:val="18"/>
                <w:szCs w:val="18"/>
                <w:color w:val="auto"/>
              </w:rPr>
            </w:pP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13,068</w:t>
            </w:r>
          </w:p>
        </w:tc>
        <w:tc>
          <w:tcPr>
            <w:tcW w:w="1200" w:type="dxa"/>
            <w:vAlign w:val="bottom"/>
            <w:tcBorders>
              <w:bottom w:val="single" w:sz="8" w:color="D1D2D4"/>
            </w:tcBorders>
          </w:tcPr>
          <w:p>
            <w:pPr>
              <w:jc w:val="right"/>
              <w:ind w:right="152"/>
              <w:spacing w:after="0"/>
              <w:rPr>
                <w:sz w:val="20"/>
                <w:szCs w:val="20"/>
                <w:color w:val="auto"/>
              </w:rPr>
            </w:pPr>
            <w:r>
              <w:rPr>
                <w:rFonts w:ascii="Arial" w:cs="Arial" w:eastAsia="Arial" w:hAnsi="Arial"/>
                <w:sz w:val="18"/>
                <w:szCs w:val="18"/>
                <w:color w:val="02568A"/>
                <w:w w:val="92"/>
              </w:rPr>
              <w:t>1,079,940(5)</w:t>
            </w:r>
          </w:p>
        </w:tc>
        <w:tc>
          <w:tcPr>
            <w:tcW w:w="0" w:type="dxa"/>
            <w:vAlign w:val="bottom"/>
          </w:tcPr>
          <w:p>
            <w:pPr>
              <w:spacing w:after="0"/>
              <w:rPr>
                <w:sz w:val="1"/>
                <w:szCs w:val="1"/>
                <w:color w:val="auto"/>
              </w:rPr>
            </w:pPr>
          </w:p>
        </w:tc>
      </w:tr>
      <w:tr>
        <w:trPr>
          <w:trHeight w:val="195"/>
        </w:trPr>
        <w:tc>
          <w:tcPr>
            <w:tcW w:w="1200" w:type="dxa"/>
            <w:vAlign w:val="bottom"/>
            <w:shd w:val="clear" w:color="auto" w:fill="CED8EA"/>
          </w:tcPr>
          <w:p>
            <w:pPr>
              <w:ind w:left="200"/>
              <w:spacing w:after="0" w:line="195" w:lineRule="exact"/>
              <w:rPr>
                <w:sz w:val="20"/>
                <w:szCs w:val="20"/>
                <w:color w:val="auto"/>
              </w:rPr>
            </w:pPr>
            <w:r>
              <w:rPr>
                <w:rFonts w:ascii="Arial" w:cs="Arial" w:eastAsia="Arial" w:hAnsi="Arial"/>
                <w:sz w:val="18"/>
                <w:szCs w:val="18"/>
                <w:b w:val="1"/>
                <w:bCs w:val="1"/>
                <w:color w:val="02568A"/>
              </w:rPr>
              <w:t>Robert J.</w:t>
            </w:r>
          </w:p>
        </w:tc>
        <w:tc>
          <w:tcPr>
            <w:tcW w:w="800" w:type="dxa"/>
            <w:vAlign w:val="bottom"/>
            <w:shd w:val="clear" w:color="auto" w:fill="CED8EA"/>
          </w:tcPr>
          <w:p>
            <w:pPr>
              <w:spacing w:after="0"/>
              <w:rPr>
                <w:sz w:val="16"/>
                <w:szCs w:val="16"/>
                <w:color w:val="auto"/>
              </w:rPr>
            </w:pPr>
          </w:p>
        </w:tc>
        <w:tc>
          <w:tcPr>
            <w:tcW w:w="800" w:type="dxa"/>
            <w:vAlign w:val="bottom"/>
            <w:vMerge w:val="restart"/>
            <w:shd w:val="clear" w:color="auto" w:fill="CED8EA"/>
          </w:tcPr>
          <w:p>
            <w:pPr>
              <w:jc w:val="right"/>
              <w:spacing w:after="0"/>
              <w:rPr>
                <w:sz w:val="20"/>
                <w:szCs w:val="20"/>
                <w:color w:val="auto"/>
              </w:rPr>
            </w:pPr>
            <w:r>
              <w:rPr>
                <w:rFonts w:ascii="Arial" w:cs="Arial" w:eastAsia="Arial" w:hAnsi="Arial"/>
                <w:sz w:val="18"/>
                <w:szCs w:val="18"/>
                <w:color w:val="02568A"/>
              </w:rPr>
              <w:t>178,400</w:t>
            </w:r>
          </w:p>
        </w:tc>
        <w:tc>
          <w:tcPr>
            <w:tcW w:w="840" w:type="dxa"/>
            <w:vAlign w:val="bottom"/>
            <w:vMerge w:val="restart"/>
            <w:shd w:val="clear" w:color="auto" w:fill="CED8EA"/>
          </w:tcPr>
          <w:p>
            <w:pPr>
              <w:jc w:val="right"/>
              <w:spacing w:after="0"/>
              <w:rPr>
                <w:sz w:val="20"/>
                <w:szCs w:val="20"/>
                <w:color w:val="auto"/>
              </w:rPr>
            </w:pPr>
            <w:r>
              <w:rPr>
                <w:rFonts w:ascii="Arial" w:cs="Arial" w:eastAsia="Arial" w:hAnsi="Arial"/>
                <w:sz w:val="18"/>
                <w:szCs w:val="18"/>
                <w:color w:val="02568A"/>
              </w:rPr>
              <w:t>356,800</w:t>
            </w:r>
          </w:p>
        </w:tc>
        <w:tc>
          <w:tcPr>
            <w:tcW w:w="880" w:type="dxa"/>
            <w:vAlign w:val="bottom"/>
            <w:gridSpan w:val="2"/>
            <w:vMerge w:val="restart"/>
            <w:shd w:val="clear" w:color="auto" w:fill="CED8EA"/>
          </w:tcPr>
          <w:p>
            <w:pPr>
              <w:jc w:val="right"/>
              <w:ind w:right="80"/>
              <w:spacing w:after="0"/>
              <w:rPr>
                <w:sz w:val="20"/>
                <w:szCs w:val="20"/>
                <w:color w:val="auto"/>
              </w:rPr>
            </w:pPr>
            <w:r>
              <w:rPr>
                <w:rFonts w:ascii="Arial" w:cs="Arial" w:eastAsia="Arial" w:hAnsi="Arial"/>
                <w:sz w:val="18"/>
                <w:szCs w:val="18"/>
                <w:color w:val="02568A"/>
              </w:rPr>
              <w:t>713,600</w:t>
            </w:r>
          </w:p>
        </w:tc>
        <w:tc>
          <w:tcPr>
            <w:tcW w:w="820" w:type="dxa"/>
            <w:vAlign w:val="bottom"/>
            <w:shd w:val="clear" w:color="auto" w:fill="CED8EA"/>
          </w:tcPr>
          <w:p>
            <w:pPr>
              <w:spacing w:after="0"/>
              <w:rPr>
                <w:sz w:val="16"/>
                <w:szCs w:val="16"/>
                <w:color w:val="auto"/>
              </w:rPr>
            </w:pPr>
          </w:p>
        </w:tc>
        <w:tc>
          <w:tcPr>
            <w:tcW w:w="840" w:type="dxa"/>
            <w:vAlign w:val="bottom"/>
            <w:shd w:val="clear" w:color="auto" w:fill="CED8EA"/>
          </w:tcPr>
          <w:p>
            <w:pPr>
              <w:spacing w:after="0"/>
              <w:rPr>
                <w:sz w:val="16"/>
                <w:szCs w:val="16"/>
                <w:color w:val="auto"/>
              </w:rPr>
            </w:pPr>
          </w:p>
        </w:tc>
        <w:tc>
          <w:tcPr>
            <w:tcW w:w="800" w:type="dxa"/>
            <w:vAlign w:val="bottom"/>
            <w:shd w:val="clear" w:color="auto" w:fill="CED8EA"/>
          </w:tcPr>
          <w:p>
            <w:pPr>
              <w:spacing w:after="0"/>
              <w:rPr>
                <w:sz w:val="16"/>
                <w:szCs w:val="16"/>
                <w:color w:val="auto"/>
              </w:rPr>
            </w:pPr>
          </w:p>
        </w:tc>
        <w:tc>
          <w:tcPr>
            <w:tcW w:w="60" w:type="dxa"/>
            <w:vAlign w:val="bottom"/>
            <w:shd w:val="clear" w:color="auto" w:fill="CED8EA"/>
          </w:tcPr>
          <w:p>
            <w:pPr>
              <w:spacing w:after="0"/>
              <w:rPr>
                <w:sz w:val="16"/>
                <w:szCs w:val="16"/>
                <w:color w:val="auto"/>
              </w:rPr>
            </w:pPr>
          </w:p>
        </w:tc>
        <w:tc>
          <w:tcPr>
            <w:tcW w:w="860" w:type="dxa"/>
            <w:vAlign w:val="bottom"/>
            <w:shd w:val="clear" w:color="auto" w:fill="CED8EA"/>
          </w:tcPr>
          <w:p>
            <w:pPr>
              <w:spacing w:after="0"/>
              <w:rPr>
                <w:sz w:val="16"/>
                <w:szCs w:val="16"/>
                <w:color w:val="auto"/>
              </w:rPr>
            </w:pPr>
          </w:p>
        </w:tc>
        <w:tc>
          <w:tcPr>
            <w:tcW w:w="1200" w:type="dxa"/>
            <w:vAlign w:val="bottom"/>
            <w:shd w:val="clear" w:color="auto" w:fill="CED8EA"/>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200" w:type="dxa"/>
            <w:vAlign w:val="bottom"/>
            <w:vMerge w:val="restart"/>
            <w:shd w:val="clear" w:color="auto" w:fill="CED8EA"/>
          </w:tcPr>
          <w:p>
            <w:pPr>
              <w:ind w:left="200"/>
              <w:spacing w:after="0"/>
              <w:rPr>
                <w:sz w:val="20"/>
                <w:szCs w:val="20"/>
                <w:color w:val="auto"/>
              </w:rPr>
            </w:pPr>
            <w:r>
              <w:rPr>
                <w:rFonts w:ascii="Arial" w:cs="Arial" w:eastAsia="Arial" w:hAnsi="Arial"/>
                <w:sz w:val="18"/>
                <w:szCs w:val="18"/>
                <w:b w:val="1"/>
                <w:bCs w:val="1"/>
                <w:color w:val="02568A"/>
              </w:rPr>
              <w:t>Terry</w:t>
            </w:r>
          </w:p>
        </w:tc>
        <w:tc>
          <w:tcPr>
            <w:tcW w:w="800" w:type="dxa"/>
            <w:vAlign w:val="bottom"/>
            <w:shd w:val="clear" w:color="auto" w:fill="CED8EA"/>
          </w:tcPr>
          <w:p>
            <w:pPr>
              <w:spacing w:after="0"/>
              <w:rPr>
                <w:sz w:val="10"/>
                <w:szCs w:val="10"/>
                <w:color w:val="auto"/>
              </w:rPr>
            </w:pPr>
          </w:p>
        </w:tc>
        <w:tc>
          <w:tcPr>
            <w:tcW w:w="800" w:type="dxa"/>
            <w:vAlign w:val="bottom"/>
            <w:vMerge w:val="continue"/>
            <w:shd w:val="clear" w:color="auto" w:fill="CED8EA"/>
          </w:tcPr>
          <w:p>
            <w:pPr>
              <w:spacing w:after="0"/>
              <w:rPr>
                <w:sz w:val="10"/>
                <w:szCs w:val="10"/>
                <w:color w:val="auto"/>
              </w:rPr>
            </w:pPr>
          </w:p>
        </w:tc>
        <w:tc>
          <w:tcPr>
            <w:tcW w:w="840" w:type="dxa"/>
            <w:vAlign w:val="bottom"/>
            <w:vMerge w:val="continue"/>
            <w:shd w:val="clear" w:color="auto" w:fill="CED8EA"/>
          </w:tcPr>
          <w:p>
            <w:pPr>
              <w:spacing w:after="0"/>
              <w:rPr>
                <w:sz w:val="10"/>
                <w:szCs w:val="10"/>
                <w:color w:val="auto"/>
              </w:rPr>
            </w:pPr>
          </w:p>
        </w:tc>
        <w:tc>
          <w:tcPr>
            <w:tcW w:w="880" w:type="dxa"/>
            <w:vAlign w:val="bottom"/>
            <w:gridSpan w:val="2"/>
            <w:vMerge w:val="continue"/>
            <w:shd w:val="clear" w:color="auto" w:fill="CED8EA"/>
          </w:tcPr>
          <w:p>
            <w:pPr>
              <w:spacing w:after="0"/>
              <w:rPr>
                <w:sz w:val="10"/>
                <w:szCs w:val="10"/>
                <w:color w:val="auto"/>
              </w:rPr>
            </w:pPr>
          </w:p>
        </w:tc>
        <w:tc>
          <w:tcPr>
            <w:tcW w:w="820" w:type="dxa"/>
            <w:vAlign w:val="bottom"/>
            <w:shd w:val="clear" w:color="auto" w:fill="CED8EA"/>
          </w:tcPr>
          <w:p>
            <w:pPr>
              <w:spacing w:after="0"/>
              <w:rPr>
                <w:sz w:val="10"/>
                <w:szCs w:val="10"/>
                <w:color w:val="auto"/>
              </w:rPr>
            </w:pPr>
          </w:p>
        </w:tc>
        <w:tc>
          <w:tcPr>
            <w:tcW w:w="840" w:type="dxa"/>
            <w:vAlign w:val="bottom"/>
            <w:shd w:val="clear" w:color="auto" w:fill="CED8EA"/>
          </w:tcPr>
          <w:p>
            <w:pPr>
              <w:spacing w:after="0"/>
              <w:rPr>
                <w:sz w:val="10"/>
                <w:szCs w:val="10"/>
                <w:color w:val="auto"/>
              </w:rPr>
            </w:pPr>
          </w:p>
        </w:tc>
        <w:tc>
          <w:tcPr>
            <w:tcW w:w="800" w:type="dxa"/>
            <w:vAlign w:val="bottom"/>
            <w:shd w:val="clear" w:color="auto" w:fill="CED8EA"/>
          </w:tcPr>
          <w:p>
            <w:pPr>
              <w:spacing w:after="0"/>
              <w:rPr>
                <w:sz w:val="10"/>
                <w:szCs w:val="10"/>
                <w:color w:val="auto"/>
              </w:rPr>
            </w:pPr>
          </w:p>
        </w:tc>
        <w:tc>
          <w:tcPr>
            <w:tcW w:w="60" w:type="dxa"/>
            <w:vAlign w:val="bottom"/>
            <w:shd w:val="clear" w:color="auto" w:fill="CED8EA"/>
          </w:tcPr>
          <w:p>
            <w:pPr>
              <w:spacing w:after="0"/>
              <w:rPr>
                <w:sz w:val="10"/>
                <w:szCs w:val="10"/>
                <w:color w:val="auto"/>
              </w:rPr>
            </w:pPr>
          </w:p>
        </w:tc>
        <w:tc>
          <w:tcPr>
            <w:tcW w:w="860" w:type="dxa"/>
            <w:vAlign w:val="bottom"/>
            <w:shd w:val="clear" w:color="auto" w:fill="CED8EA"/>
          </w:tcPr>
          <w:p>
            <w:pPr>
              <w:spacing w:after="0"/>
              <w:rPr>
                <w:sz w:val="10"/>
                <w:szCs w:val="10"/>
                <w:color w:val="auto"/>
              </w:rPr>
            </w:pPr>
          </w:p>
        </w:tc>
        <w:tc>
          <w:tcPr>
            <w:tcW w:w="1200" w:type="dxa"/>
            <w:vAlign w:val="bottom"/>
            <w:shd w:val="clear" w:color="auto" w:fill="CED8EA"/>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200" w:type="dxa"/>
            <w:vAlign w:val="bottom"/>
            <w:tcBorders>
              <w:bottom w:val="single" w:sz="8" w:color="D1D2D4"/>
            </w:tcBorders>
            <w:vMerge w:val="continue"/>
            <w:shd w:val="clear" w:color="auto" w:fill="CED8EA"/>
          </w:tcPr>
          <w:p>
            <w:pPr>
              <w:spacing w:after="0"/>
              <w:rPr>
                <w:sz w:val="9"/>
                <w:szCs w:val="9"/>
                <w:color w:val="auto"/>
              </w:rPr>
            </w:pPr>
          </w:p>
        </w:tc>
        <w:tc>
          <w:tcPr>
            <w:tcW w:w="800" w:type="dxa"/>
            <w:vAlign w:val="bottom"/>
            <w:tcBorders>
              <w:bottom w:val="single" w:sz="8" w:color="D1D2D4"/>
            </w:tcBorders>
            <w:shd w:val="clear" w:color="auto" w:fill="CED8EA"/>
          </w:tcPr>
          <w:p>
            <w:pPr>
              <w:spacing w:after="0"/>
              <w:rPr>
                <w:sz w:val="9"/>
                <w:szCs w:val="9"/>
                <w:color w:val="auto"/>
              </w:rPr>
            </w:pPr>
          </w:p>
        </w:tc>
        <w:tc>
          <w:tcPr>
            <w:tcW w:w="800" w:type="dxa"/>
            <w:vAlign w:val="bottom"/>
            <w:tcBorders>
              <w:bottom w:val="single" w:sz="8" w:color="D1D2D4"/>
            </w:tcBorders>
            <w:shd w:val="clear" w:color="auto" w:fill="CED8EA"/>
          </w:tcPr>
          <w:p>
            <w:pPr>
              <w:spacing w:after="0"/>
              <w:rPr>
                <w:sz w:val="9"/>
                <w:szCs w:val="9"/>
                <w:color w:val="auto"/>
              </w:rPr>
            </w:pPr>
          </w:p>
        </w:tc>
        <w:tc>
          <w:tcPr>
            <w:tcW w:w="840" w:type="dxa"/>
            <w:vAlign w:val="bottom"/>
            <w:tcBorders>
              <w:bottom w:val="single" w:sz="8" w:color="D1D2D4"/>
            </w:tcBorders>
            <w:shd w:val="clear" w:color="auto" w:fill="CED8EA"/>
          </w:tcPr>
          <w:p>
            <w:pPr>
              <w:spacing w:after="0"/>
              <w:rPr>
                <w:sz w:val="9"/>
                <w:szCs w:val="9"/>
                <w:color w:val="auto"/>
              </w:rPr>
            </w:pPr>
          </w:p>
        </w:tc>
        <w:tc>
          <w:tcPr>
            <w:tcW w:w="800" w:type="dxa"/>
            <w:vAlign w:val="bottom"/>
            <w:tcBorders>
              <w:bottom w:val="single" w:sz="8" w:color="D1D2D4"/>
            </w:tcBorders>
            <w:shd w:val="clear" w:color="auto" w:fill="CED8EA"/>
          </w:tcPr>
          <w:p>
            <w:pPr>
              <w:spacing w:after="0"/>
              <w:rPr>
                <w:sz w:val="9"/>
                <w:szCs w:val="9"/>
                <w:color w:val="auto"/>
              </w:rPr>
            </w:pPr>
          </w:p>
        </w:tc>
        <w:tc>
          <w:tcPr>
            <w:tcW w:w="80" w:type="dxa"/>
            <w:vAlign w:val="bottom"/>
            <w:tcBorders>
              <w:bottom w:val="single" w:sz="8" w:color="D1D2D4"/>
            </w:tcBorders>
            <w:shd w:val="clear" w:color="auto" w:fill="CED8EA"/>
          </w:tcPr>
          <w:p>
            <w:pPr>
              <w:spacing w:after="0"/>
              <w:rPr>
                <w:sz w:val="9"/>
                <w:szCs w:val="9"/>
                <w:color w:val="auto"/>
              </w:rPr>
            </w:pPr>
          </w:p>
        </w:tc>
        <w:tc>
          <w:tcPr>
            <w:tcW w:w="820" w:type="dxa"/>
            <w:vAlign w:val="bottom"/>
            <w:tcBorders>
              <w:bottom w:val="single" w:sz="8" w:color="D1D2D4"/>
            </w:tcBorders>
            <w:shd w:val="clear" w:color="auto" w:fill="CED8EA"/>
          </w:tcPr>
          <w:p>
            <w:pPr>
              <w:spacing w:after="0"/>
              <w:rPr>
                <w:sz w:val="9"/>
                <w:szCs w:val="9"/>
                <w:color w:val="auto"/>
              </w:rPr>
            </w:pPr>
          </w:p>
        </w:tc>
        <w:tc>
          <w:tcPr>
            <w:tcW w:w="840" w:type="dxa"/>
            <w:vAlign w:val="bottom"/>
            <w:tcBorders>
              <w:bottom w:val="single" w:sz="8" w:color="D1D2D4"/>
            </w:tcBorders>
            <w:shd w:val="clear" w:color="auto" w:fill="CED8EA"/>
          </w:tcPr>
          <w:p>
            <w:pPr>
              <w:spacing w:after="0"/>
              <w:rPr>
                <w:sz w:val="9"/>
                <w:szCs w:val="9"/>
                <w:color w:val="auto"/>
              </w:rPr>
            </w:pPr>
          </w:p>
        </w:tc>
        <w:tc>
          <w:tcPr>
            <w:tcW w:w="800" w:type="dxa"/>
            <w:vAlign w:val="bottom"/>
            <w:tcBorders>
              <w:bottom w:val="single" w:sz="8" w:color="D1D2D4"/>
            </w:tcBorders>
            <w:shd w:val="clear" w:color="auto" w:fill="CED8EA"/>
          </w:tcPr>
          <w:p>
            <w:pPr>
              <w:spacing w:after="0"/>
              <w:rPr>
                <w:sz w:val="9"/>
                <w:szCs w:val="9"/>
                <w:color w:val="auto"/>
              </w:rPr>
            </w:pPr>
          </w:p>
        </w:tc>
        <w:tc>
          <w:tcPr>
            <w:tcW w:w="60" w:type="dxa"/>
            <w:vAlign w:val="bottom"/>
            <w:tcBorders>
              <w:bottom w:val="single" w:sz="8" w:color="D1D2D4"/>
            </w:tcBorders>
            <w:shd w:val="clear" w:color="auto" w:fill="CED8EA"/>
          </w:tcPr>
          <w:p>
            <w:pPr>
              <w:spacing w:after="0"/>
              <w:rPr>
                <w:sz w:val="9"/>
                <w:szCs w:val="9"/>
                <w:color w:val="auto"/>
              </w:rPr>
            </w:pPr>
          </w:p>
        </w:tc>
        <w:tc>
          <w:tcPr>
            <w:tcW w:w="860" w:type="dxa"/>
            <w:vAlign w:val="bottom"/>
            <w:tcBorders>
              <w:bottom w:val="single" w:sz="8" w:color="D1D2D4"/>
            </w:tcBorders>
            <w:shd w:val="clear" w:color="auto" w:fill="CED8EA"/>
          </w:tcPr>
          <w:p>
            <w:pPr>
              <w:spacing w:after="0"/>
              <w:rPr>
                <w:sz w:val="9"/>
                <w:szCs w:val="9"/>
                <w:color w:val="auto"/>
              </w:rPr>
            </w:pPr>
          </w:p>
        </w:tc>
        <w:tc>
          <w:tcPr>
            <w:tcW w:w="1200" w:type="dxa"/>
            <w:vAlign w:val="bottom"/>
            <w:tcBorders>
              <w:bottom w:val="single" w:sz="8" w:color="D1D2D4"/>
            </w:tcBorders>
            <w:shd w:val="clear" w:color="auto" w:fill="CED8EA"/>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200" w:type="dxa"/>
            <w:vAlign w:val="bottom"/>
          </w:tcPr>
          <w:p>
            <w:pPr>
              <w:spacing w:after="0"/>
              <w:rPr>
                <w:sz w:val="18"/>
                <w:szCs w:val="18"/>
                <w:color w:val="auto"/>
              </w:rPr>
            </w:pPr>
          </w:p>
        </w:tc>
        <w:tc>
          <w:tcPr>
            <w:tcW w:w="800" w:type="dxa"/>
            <w:vAlign w:val="bottom"/>
            <w:tcBorders>
              <w:bottom w:val="single" w:sz="8" w:color="D1D2D4"/>
            </w:tcBorders>
          </w:tcPr>
          <w:p>
            <w:pPr>
              <w:jc w:val="center"/>
              <w:ind w:right="12"/>
              <w:spacing w:after="0"/>
              <w:rPr>
                <w:sz w:val="20"/>
                <w:szCs w:val="20"/>
                <w:color w:val="auto"/>
              </w:rPr>
            </w:pPr>
            <w:r>
              <w:rPr>
                <w:rFonts w:ascii="Arial" w:cs="Arial" w:eastAsia="Arial" w:hAnsi="Arial"/>
                <w:sz w:val="18"/>
                <w:szCs w:val="18"/>
                <w:color w:val="02568A"/>
                <w:w w:val="87"/>
              </w:rPr>
              <w:t>11/6/2018</w:t>
            </w:r>
          </w:p>
        </w:tc>
        <w:tc>
          <w:tcPr>
            <w:tcW w:w="800" w:type="dxa"/>
            <w:vAlign w:val="bottom"/>
            <w:tcBorders>
              <w:bottom w:val="single" w:sz="8" w:color="D1D2D4"/>
            </w:tcBorders>
          </w:tcPr>
          <w:p>
            <w:pPr>
              <w:spacing w:after="0"/>
              <w:rPr>
                <w:sz w:val="18"/>
                <w:szCs w:val="18"/>
                <w:color w:val="auto"/>
              </w:rPr>
            </w:pPr>
          </w:p>
        </w:tc>
        <w:tc>
          <w:tcPr>
            <w:tcW w:w="840" w:type="dxa"/>
            <w:vAlign w:val="bottom"/>
            <w:tcBorders>
              <w:bottom w:val="single" w:sz="8" w:color="D1D2D4"/>
            </w:tcBorders>
          </w:tcPr>
          <w:p>
            <w:pPr>
              <w:spacing w:after="0"/>
              <w:rPr>
                <w:sz w:val="18"/>
                <w:szCs w:val="18"/>
                <w:color w:val="auto"/>
              </w:rPr>
            </w:pPr>
          </w:p>
        </w:tc>
        <w:tc>
          <w:tcPr>
            <w:tcW w:w="800" w:type="dxa"/>
            <w:vAlign w:val="bottom"/>
            <w:tcBorders>
              <w:bottom w:val="single" w:sz="8" w:color="D1D2D4"/>
            </w:tcBorders>
          </w:tcPr>
          <w:p>
            <w:pPr>
              <w:spacing w:after="0"/>
              <w:rPr>
                <w:sz w:val="18"/>
                <w:szCs w:val="18"/>
                <w:color w:val="auto"/>
              </w:rPr>
            </w:pPr>
          </w:p>
        </w:tc>
        <w:tc>
          <w:tcPr>
            <w:tcW w:w="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6,171</w:t>
            </w:r>
          </w:p>
        </w:tc>
        <w:tc>
          <w:tcPr>
            <w:tcW w:w="8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12,342</w:t>
            </w:r>
          </w:p>
        </w:tc>
        <w:tc>
          <w:tcPr>
            <w:tcW w:w="860" w:type="dxa"/>
            <w:vAlign w:val="bottom"/>
            <w:tcBorders>
              <w:bottom w:val="single" w:sz="8" w:color="D1D2D4"/>
            </w:tcBorders>
            <w:gridSpan w:val="2"/>
          </w:tcPr>
          <w:p>
            <w:pPr>
              <w:jc w:val="right"/>
              <w:ind w:right="40"/>
              <w:spacing w:after="0"/>
              <w:rPr>
                <w:sz w:val="20"/>
                <w:szCs w:val="20"/>
                <w:color w:val="auto"/>
              </w:rPr>
            </w:pPr>
            <w:r>
              <w:rPr>
                <w:rFonts w:ascii="Arial" w:cs="Arial" w:eastAsia="Arial" w:hAnsi="Arial"/>
                <w:sz w:val="18"/>
                <w:szCs w:val="18"/>
                <w:color w:val="02568A"/>
              </w:rPr>
              <w:t>30,855</w:t>
            </w:r>
          </w:p>
        </w:tc>
        <w:tc>
          <w:tcPr>
            <w:tcW w:w="860" w:type="dxa"/>
            <w:vAlign w:val="bottom"/>
            <w:tcBorders>
              <w:bottom w:val="single" w:sz="8" w:color="D1D2D4"/>
            </w:tcBorders>
          </w:tcPr>
          <w:p>
            <w:pPr>
              <w:spacing w:after="0"/>
              <w:rPr>
                <w:sz w:val="18"/>
                <w:szCs w:val="18"/>
                <w:color w:val="auto"/>
              </w:rPr>
            </w:pPr>
          </w:p>
        </w:tc>
        <w:tc>
          <w:tcPr>
            <w:tcW w:w="1200" w:type="dxa"/>
            <w:vAlign w:val="bottom"/>
            <w:tcBorders>
              <w:bottom w:val="single" w:sz="8" w:color="D1D2D4"/>
            </w:tcBorders>
          </w:tcPr>
          <w:p>
            <w:pPr>
              <w:jc w:val="right"/>
              <w:ind w:right="152"/>
              <w:spacing w:after="0"/>
              <w:rPr>
                <w:sz w:val="20"/>
                <w:szCs w:val="20"/>
                <w:color w:val="auto"/>
              </w:rPr>
            </w:pPr>
            <w:r>
              <w:rPr>
                <w:rFonts w:ascii="Arial" w:cs="Arial" w:eastAsia="Arial" w:hAnsi="Arial"/>
                <w:sz w:val="18"/>
                <w:szCs w:val="18"/>
                <w:color w:val="02568A"/>
                <w:w w:val="92"/>
              </w:rPr>
              <w:t>1,301,958(4)</w:t>
            </w:r>
          </w:p>
        </w:tc>
        <w:tc>
          <w:tcPr>
            <w:tcW w:w="0" w:type="dxa"/>
            <w:vAlign w:val="bottom"/>
          </w:tcPr>
          <w:p>
            <w:pPr>
              <w:spacing w:after="0"/>
              <w:rPr>
                <w:sz w:val="1"/>
                <w:szCs w:val="1"/>
                <w:color w:val="auto"/>
              </w:rPr>
            </w:pPr>
          </w:p>
        </w:tc>
      </w:tr>
      <w:tr>
        <w:trPr>
          <w:trHeight w:val="209"/>
        </w:trPr>
        <w:tc>
          <w:tcPr>
            <w:tcW w:w="1200" w:type="dxa"/>
            <w:vAlign w:val="bottom"/>
            <w:tcBorders>
              <w:bottom w:val="single" w:sz="8" w:color="D1D2D4"/>
            </w:tcBorders>
          </w:tcPr>
          <w:p>
            <w:pPr>
              <w:spacing w:after="0"/>
              <w:rPr>
                <w:sz w:val="18"/>
                <w:szCs w:val="18"/>
                <w:color w:val="auto"/>
              </w:rPr>
            </w:pPr>
          </w:p>
        </w:tc>
        <w:tc>
          <w:tcPr>
            <w:tcW w:w="800" w:type="dxa"/>
            <w:vAlign w:val="bottom"/>
            <w:tcBorders>
              <w:bottom w:val="single" w:sz="8" w:color="D1D2D4"/>
            </w:tcBorders>
          </w:tcPr>
          <w:p>
            <w:pPr>
              <w:jc w:val="center"/>
              <w:ind w:right="12"/>
              <w:spacing w:after="0"/>
              <w:rPr>
                <w:sz w:val="20"/>
                <w:szCs w:val="20"/>
                <w:color w:val="auto"/>
              </w:rPr>
            </w:pPr>
            <w:r>
              <w:rPr>
                <w:rFonts w:ascii="Arial" w:cs="Arial" w:eastAsia="Arial" w:hAnsi="Arial"/>
                <w:sz w:val="18"/>
                <w:szCs w:val="18"/>
                <w:color w:val="02568A"/>
                <w:w w:val="87"/>
              </w:rPr>
              <w:t>11/6/2018</w:t>
            </w:r>
          </w:p>
        </w:tc>
        <w:tc>
          <w:tcPr>
            <w:tcW w:w="800" w:type="dxa"/>
            <w:vAlign w:val="bottom"/>
            <w:tcBorders>
              <w:bottom w:val="single" w:sz="8" w:color="D1D2D4"/>
            </w:tcBorders>
          </w:tcPr>
          <w:p>
            <w:pPr>
              <w:spacing w:after="0"/>
              <w:rPr>
                <w:sz w:val="18"/>
                <w:szCs w:val="18"/>
                <w:color w:val="auto"/>
              </w:rPr>
            </w:pPr>
          </w:p>
        </w:tc>
        <w:tc>
          <w:tcPr>
            <w:tcW w:w="840" w:type="dxa"/>
            <w:vAlign w:val="bottom"/>
            <w:tcBorders>
              <w:bottom w:val="single" w:sz="8" w:color="D1D2D4"/>
            </w:tcBorders>
          </w:tcPr>
          <w:p>
            <w:pPr>
              <w:spacing w:after="0"/>
              <w:rPr>
                <w:sz w:val="18"/>
                <w:szCs w:val="18"/>
                <w:color w:val="auto"/>
              </w:rPr>
            </w:pPr>
          </w:p>
        </w:tc>
        <w:tc>
          <w:tcPr>
            <w:tcW w:w="800" w:type="dxa"/>
            <w:vAlign w:val="bottom"/>
            <w:tcBorders>
              <w:bottom w:val="single" w:sz="8" w:color="D1D2D4"/>
            </w:tcBorders>
          </w:tcPr>
          <w:p>
            <w:pPr>
              <w:spacing w:after="0"/>
              <w:rPr>
                <w:sz w:val="18"/>
                <w:szCs w:val="18"/>
                <w:color w:val="auto"/>
              </w:rPr>
            </w:pPr>
          </w:p>
        </w:tc>
        <w:tc>
          <w:tcPr>
            <w:tcW w:w="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840" w:type="dxa"/>
            <w:vAlign w:val="bottom"/>
            <w:tcBorders>
              <w:bottom w:val="single" w:sz="8" w:color="D1D2D4"/>
            </w:tcBorders>
          </w:tcPr>
          <w:p>
            <w:pPr>
              <w:spacing w:after="0"/>
              <w:rPr>
                <w:sz w:val="18"/>
                <w:szCs w:val="18"/>
                <w:color w:val="auto"/>
              </w:rPr>
            </w:pPr>
          </w:p>
        </w:tc>
        <w:tc>
          <w:tcPr>
            <w:tcW w:w="800" w:type="dxa"/>
            <w:vAlign w:val="bottom"/>
            <w:tcBorders>
              <w:bottom w:val="single" w:sz="8" w:color="D1D2D4"/>
            </w:tcBorders>
          </w:tcPr>
          <w:p>
            <w:pPr>
              <w:spacing w:after="0"/>
              <w:rPr>
                <w:sz w:val="18"/>
                <w:szCs w:val="18"/>
                <w:color w:val="auto"/>
              </w:rPr>
            </w:pPr>
          </w:p>
        </w:tc>
        <w:tc>
          <w:tcPr>
            <w:tcW w:w="60" w:type="dxa"/>
            <w:vAlign w:val="bottom"/>
            <w:tcBorders>
              <w:bottom w:val="single" w:sz="8" w:color="D1D2D4"/>
            </w:tcBorders>
          </w:tcPr>
          <w:p>
            <w:pPr>
              <w:spacing w:after="0"/>
              <w:rPr>
                <w:sz w:val="18"/>
                <w:szCs w:val="18"/>
                <w:color w:val="auto"/>
              </w:rPr>
            </w:pP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8,228</w:t>
            </w:r>
          </w:p>
        </w:tc>
        <w:tc>
          <w:tcPr>
            <w:tcW w:w="1200" w:type="dxa"/>
            <w:vAlign w:val="bottom"/>
            <w:tcBorders>
              <w:bottom w:val="single" w:sz="8" w:color="D1D2D4"/>
            </w:tcBorders>
          </w:tcPr>
          <w:p>
            <w:pPr>
              <w:jc w:val="right"/>
              <w:ind w:right="152"/>
              <w:spacing w:after="0"/>
              <w:rPr>
                <w:sz w:val="20"/>
                <w:szCs w:val="20"/>
                <w:color w:val="auto"/>
              </w:rPr>
            </w:pPr>
            <w:r>
              <w:rPr>
                <w:rFonts w:ascii="Arial" w:cs="Arial" w:eastAsia="Arial" w:hAnsi="Arial"/>
                <w:sz w:val="18"/>
                <w:szCs w:val="18"/>
                <w:color w:val="02568A"/>
              </w:rPr>
              <w:t>679,962(5)</w:t>
            </w:r>
          </w:p>
        </w:tc>
        <w:tc>
          <w:tcPr>
            <w:tcW w:w="0" w:type="dxa"/>
            <w:vAlign w:val="bottom"/>
          </w:tcPr>
          <w:p>
            <w:pPr>
              <w:spacing w:after="0"/>
              <w:rPr>
                <w:sz w:val="1"/>
                <w:szCs w:val="1"/>
                <w:color w:val="auto"/>
              </w:rPr>
            </w:pPr>
          </w:p>
        </w:tc>
      </w:tr>
      <w:tr>
        <w:trPr>
          <w:trHeight w:val="195"/>
        </w:trPr>
        <w:tc>
          <w:tcPr>
            <w:tcW w:w="1200" w:type="dxa"/>
            <w:vAlign w:val="bottom"/>
            <w:shd w:val="clear" w:color="auto" w:fill="CED8EA"/>
          </w:tcPr>
          <w:p>
            <w:pPr>
              <w:ind w:left="200"/>
              <w:spacing w:after="0" w:line="195" w:lineRule="exact"/>
              <w:rPr>
                <w:sz w:val="20"/>
                <w:szCs w:val="20"/>
                <w:color w:val="auto"/>
              </w:rPr>
            </w:pPr>
            <w:r>
              <w:rPr>
                <w:rFonts w:ascii="Arial" w:cs="Arial" w:eastAsia="Arial" w:hAnsi="Arial"/>
                <w:sz w:val="18"/>
                <w:szCs w:val="18"/>
                <w:b w:val="1"/>
                <w:bCs w:val="1"/>
                <w:color w:val="02568A"/>
              </w:rPr>
              <w:t>Peter L.</w:t>
            </w:r>
          </w:p>
        </w:tc>
        <w:tc>
          <w:tcPr>
            <w:tcW w:w="800" w:type="dxa"/>
            <w:vAlign w:val="bottom"/>
            <w:shd w:val="clear" w:color="auto" w:fill="CED8EA"/>
          </w:tcPr>
          <w:p>
            <w:pPr>
              <w:spacing w:after="0"/>
              <w:rPr>
                <w:sz w:val="16"/>
                <w:szCs w:val="16"/>
                <w:color w:val="auto"/>
              </w:rPr>
            </w:pPr>
          </w:p>
        </w:tc>
        <w:tc>
          <w:tcPr>
            <w:tcW w:w="800" w:type="dxa"/>
            <w:vAlign w:val="bottom"/>
            <w:vMerge w:val="restart"/>
            <w:shd w:val="clear" w:color="auto" w:fill="CED8EA"/>
          </w:tcPr>
          <w:p>
            <w:pPr>
              <w:jc w:val="right"/>
              <w:spacing w:after="0"/>
              <w:rPr>
                <w:sz w:val="20"/>
                <w:szCs w:val="20"/>
                <w:color w:val="auto"/>
              </w:rPr>
            </w:pPr>
            <w:r>
              <w:rPr>
                <w:rFonts w:ascii="Arial" w:cs="Arial" w:eastAsia="Arial" w:hAnsi="Arial"/>
                <w:sz w:val="18"/>
                <w:szCs w:val="18"/>
                <w:color w:val="02568A"/>
              </w:rPr>
              <w:t>164,000</w:t>
            </w:r>
          </w:p>
        </w:tc>
        <w:tc>
          <w:tcPr>
            <w:tcW w:w="840" w:type="dxa"/>
            <w:vAlign w:val="bottom"/>
            <w:vMerge w:val="restart"/>
            <w:shd w:val="clear" w:color="auto" w:fill="CED8EA"/>
          </w:tcPr>
          <w:p>
            <w:pPr>
              <w:jc w:val="right"/>
              <w:spacing w:after="0"/>
              <w:rPr>
                <w:sz w:val="20"/>
                <w:szCs w:val="20"/>
                <w:color w:val="auto"/>
              </w:rPr>
            </w:pPr>
            <w:r>
              <w:rPr>
                <w:rFonts w:ascii="Arial" w:cs="Arial" w:eastAsia="Arial" w:hAnsi="Arial"/>
                <w:sz w:val="18"/>
                <w:szCs w:val="18"/>
                <w:color w:val="02568A"/>
              </w:rPr>
              <w:t>328,000</w:t>
            </w:r>
          </w:p>
        </w:tc>
        <w:tc>
          <w:tcPr>
            <w:tcW w:w="880" w:type="dxa"/>
            <w:vAlign w:val="bottom"/>
            <w:gridSpan w:val="2"/>
            <w:vMerge w:val="restart"/>
            <w:shd w:val="clear" w:color="auto" w:fill="CED8EA"/>
          </w:tcPr>
          <w:p>
            <w:pPr>
              <w:jc w:val="right"/>
              <w:ind w:right="80"/>
              <w:spacing w:after="0"/>
              <w:rPr>
                <w:sz w:val="20"/>
                <w:szCs w:val="20"/>
                <w:color w:val="auto"/>
              </w:rPr>
            </w:pPr>
            <w:r>
              <w:rPr>
                <w:rFonts w:ascii="Arial" w:cs="Arial" w:eastAsia="Arial" w:hAnsi="Arial"/>
                <w:sz w:val="18"/>
                <w:szCs w:val="18"/>
                <w:color w:val="02568A"/>
              </w:rPr>
              <w:t>656,000</w:t>
            </w:r>
          </w:p>
        </w:tc>
        <w:tc>
          <w:tcPr>
            <w:tcW w:w="820" w:type="dxa"/>
            <w:vAlign w:val="bottom"/>
            <w:shd w:val="clear" w:color="auto" w:fill="CED8EA"/>
          </w:tcPr>
          <w:p>
            <w:pPr>
              <w:spacing w:after="0"/>
              <w:rPr>
                <w:sz w:val="16"/>
                <w:szCs w:val="16"/>
                <w:color w:val="auto"/>
              </w:rPr>
            </w:pPr>
          </w:p>
        </w:tc>
        <w:tc>
          <w:tcPr>
            <w:tcW w:w="840" w:type="dxa"/>
            <w:vAlign w:val="bottom"/>
            <w:shd w:val="clear" w:color="auto" w:fill="CED8EA"/>
          </w:tcPr>
          <w:p>
            <w:pPr>
              <w:spacing w:after="0"/>
              <w:rPr>
                <w:sz w:val="16"/>
                <w:szCs w:val="16"/>
                <w:color w:val="auto"/>
              </w:rPr>
            </w:pPr>
          </w:p>
        </w:tc>
        <w:tc>
          <w:tcPr>
            <w:tcW w:w="800" w:type="dxa"/>
            <w:vAlign w:val="bottom"/>
            <w:shd w:val="clear" w:color="auto" w:fill="CED8EA"/>
          </w:tcPr>
          <w:p>
            <w:pPr>
              <w:spacing w:after="0"/>
              <w:rPr>
                <w:sz w:val="16"/>
                <w:szCs w:val="16"/>
                <w:color w:val="auto"/>
              </w:rPr>
            </w:pPr>
          </w:p>
        </w:tc>
        <w:tc>
          <w:tcPr>
            <w:tcW w:w="60" w:type="dxa"/>
            <w:vAlign w:val="bottom"/>
            <w:shd w:val="clear" w:color="auto" w:fill="CED8EA"/>
          </w:tcPr>
          <w:p>
            <w:pPr>
              <w:spacing w:after="0"/>
              <w:rPr>
                <w:sz w:val="16"/>
                <w:szCs w:val="16"/>
                <w:color w:val="auto"/>
              </w:rPr>
            </w:pPr>
          </w:p>
        </w:tc>
        <w:tc>
          <w:tcPr>
            <w:tcW w:w="860" w:type="dxa"/>
            <w:vAlign w:val="bottom"/>
            <w:shd w:val="clear" w:color="auto" w:fill="CED8EA"/>
          </w:tcPr>
          <w:p>
            <w:pPr>
              <w:spacing w:after="0"/>
              <w:rPr>
                <w:sz w:val="16"/>
                <w:szCs w:val="16"/>
                <w:color w:val="auto"/>
              </w:rPr>
            </w:pPr>
          </w:p>
        </w:tc>
        <w:tc>
          <w:tcPr>
            <w:tcW w:w="1200" w:type="dxa"/>
            <w:vAlign w:val="bottom"/>
            <w:shd w:val="clear" w:color="auto" w:fill="CED8EA"/>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200" w:type="dxa"/>
            <w:vAlign w:val="bottom"/>
            <w:vMerge w:val="restart"/>
            <w:shd w:val="clear" w:color="auto" w:fill="CED8EA"/>
          </w:tcPr>
          <w:p>
            <w:pPr>
              <w:ind w:left="200"/>
              <w:spacing w:after="0"/>
              <w:rPr>
                <w:sz w:val="20"/>
                <w:szCs w:val="20"/>
                <w:color w:val="auto"/>
              </w:rPr>
            </w:pPr>
            <w:r>
              <w:rPr>
                <w:rFonts w:ascii="Arial" w:cs="Arial" w:eastAsia="Arial" w:hAnsi="Arial"/>
                <w:sz w:val="18"/>
                <w:szCs w:val="18"/>
                <w:b w:val="1"/>
                <w:bCs w:val="1"/>
                <w:color w:val="02568A"/>
              </w:rPr>
              <w:t>Gammel</w:t>
            </w:r>
          </w:p>
        </w:tc>
        <w:tc>
          <w:tcPr>
            <w:tcW w:w="800" w:type="dxa"/>
            <w:vAlign w:val="bottom"/>
            <w:shd w:val="clear" w:color="auto" w:fill="CED8EA"/>
          </w:tcPr>
          <w:p>
            <w:pPr>
              <w:spacing w:after="0"/>
              <w:rPr>
                <w:sz w:val="10"/>
                <w:szCs w:val="10"/>
                <w:color w:val="auto"/>
              </w:rPr>
            </w:pPr>
          </w:p>
        </w:tc>
        <w:tc>
          <w:tcPr>
            <w:tcW w:w="800" w:type="dxa"/>
            <w:vAlign w:val="bottom"/>
            <w:vMerge w:val="continue"/>
            <w:shd w:val="clear" w:color="auto" w:fill="CED8EA"/>
          </w:tcPr>
          <w:p>
            <w:pPr>
              <w:spacing w:after="0"/>
              <w:rPr>
                <w:sz w:val="10"/>
                <w:szCs w:val="10"/>
                <w:color w:val="auto"/>
              </w:rPr>
            </w:pPr>
          </w:p>
        </w:tc>
        <w:tc>
          <w:tcPr>
            <w:tcW w:w="840" w:type="dxa"/>
            <w:vAlign w:val="bottom"/>
            <w:vMerge w:val="continue"/>
            <w:shd w:val="clear" w:color="auto" w:fill="CED8EA"/>
          </w:tcPr>
          <w:p>
            <w:pPr>
              <w:spacing w:after="0"/>
              <w:rPr>
                <w:sz w:val="10"/>
                <w:szCs w:val="10"/>
                <w:color w:val="auto"/>
              </w:rPr>
            </w:pPr>
          </w:p>
        </w:tc>
        <w:tc>
          <w:tcPr>
            <w:tcW w:w="880" w:type="dxa"/>
            <w:vAlign w:val="bottom"/>
            <w:gridSpan w:val="2"/>
            <w:vMerge w:val="continue"/>
            <w:shd w:val="clear" w:color="auto" w:fill="CED8EA"/>
          </w:tcPr>
          <w:p>
            <w:pPr>
              <w:spacing w:after="0"/>
              <w:rPr>
                <w:sz w:val="10"/>
                <w:szCs w:val="10"/>
                <w:color w:val="auto"/>
              </w:rPr>
            </w:pPr>
          </w:p>
        </w:tc>
        <w:tc>
          <w:tcPr>
            <w:tcW w:w="820" w:type="dxa"/>
            <w:vAlign w:val="bottom"/>
            <w:shd w:val="clear" w:color="auto" w:fill="CED8EA"/>
          </w:tcPr>
          <w:p>
            <w:pPr>
              <w:spacing w:after="0"/>
              <w:rPr>
                <w:sz w:val="10"/>
                <w:szCs w:val="10"/>
                <w:color w:val="auto"/>
              </w:rPr>
            </w:pPr>
          </w:p>
        </w:tc>
        <w:tc>
          <w:tcPr>
            <w:tcW w:w="840" w:type="dxa"/>
            <w:vAlign w:val="bottom"/>
            <w:shd w:val="clear" w:color="auto" w:fill="CED8EA"/>
          </w:tcPr>
          <w:p>
            <w:pPr>
              <w:spacing w:after="0"/>
              <w:rPr>
                <w:sz w:val="10"/>
                <w:szCs w:val="10"/>
                <w:color w:val="auto"/>
              </w:rPr>
            </w:pPr>
          </w:p>
        </w:tc>
        <w:tc>
          <w:tcPr>
            <w:tcW w:w="800" w:type="dxa"/>
            <w:vAlign w:val="bottom"/>
            <w:shd w:val="clear" w:color="auto" w:fill="CED8EA"/>
          </w:tcPr>
          <w:p>
            <w:pPr>
              <w:spacing w:after="0"/>
              <w:rPr>
                <w:sz w:val="10"/>
                <w:szCs w:val="10"/>
                <w:color w:val="auto"/>
              </w:rPr>
            </w:pPr>
          </w:p>
        </w:tc>
        <w:tc>
          <w:tcPr>
            <w:tcW w:w="60" w:type="dxa"/>
            <w:vAlign w:val="bottom"/>
            <w:shd w:val="clear" w:color="auto" w:fill="CED8EA"/>
          </w:tcPr>
          <w:p>
            <w:pPr>
              <w:spacing w:after="0"/>
              <w:rPr>
                <w:sz w:val="10"/>
                <w:szCs w:val="10"/>
                <w:color w:val="auto"/>
              </w:rPr>
            </w:pPr>
          </w:p>
        </w:tc>
        <w:tc>
          <w:tcPr>
            <w:tcW w:w="860" w:type="dxa"/>
            <w:vAlign w:val="bottom"/>
            <w:shd w:val="clear" w:color="auto" w:fill="CED8EA"/>
          </w:tcPr>
          <w:p>
            <w:pPr>
              <w:spacing w:after="0"/>
              <w:rPr>
                <w:sz w:val="10"/>
                <w:szCs w:val="10"/>
                <w:color w:val="auto"/>
              </w:rPr>
            </w:pPr>
          </w:p>
        </w:tc>
        <w:tc>
          <w:tcPr>
            <w:tcW w:w="1200" w:type="dxa"/>
            <w:vAlign w:val="bottom"/>
            <w:shd w:val="clear" w:color="auto" w:fill="CED8EA"/>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200" w:type="dxa"/>
            <w:vAlign w:val="bottom"/>
            <w:tcBorders>
              <w:bottom w:val="single" w:sz="8" w:color="D1D2D4"/>
            </w:tcBorders>
            <w:vMerge w:val="continue"/>
            <w:shd w:val="clear" w:color="auto" w:fill="CED8EA"/>
          </w:tcPr>
          <w:p>
            <w:pPr>
              <w:spacing w:after="0"/>
              <w:rPr>
                <w:sz w:val="9"/>
                <w:szCs w:val="9"/>
                <w:color w:val="auto"/>
              </w:rPr>
            </w:pPr>
          </w:p>
        </w:tc>
        <w:tc>
          <w:tcPr>
            <w:tcW w:w="800" w:type="dxa"/>
            <w:vAlign w:val="bottom"/>
            <w:tcBorders>
              <w:bottom w:val="single" w:sz="8" w:color="D1D2D4"/>
            </w:tcBorders>
            <w:shd w:val="clear" w:color="auto" w:fill="CED8EA"/>
          </w:tcPr>
          <w:p>
            <w:pPr>
              <w:spacing w:after="0"/>
              <w:rPr>
                <w:sz w:val="9"/>
                <w:szCs w:val="9"/>
                <w:color w:val="auto"/>
              </w:rPr>
            </w:pPr>
          </w:p>
        </w:tc>
        <w:tc>
          <w:tcPr>
            <w:tcW w:w="800" w:type="dxa"/>
            <w:vAlign w:val="bottom"/>
            <w:tcBorders>
              <w:bottom w:val="single" w:sz="8" w:color="D1D2D4"/>
            </w:tcBorders>
            <w:shd w:val="clear" w:color="auto" w:fill="CED8EA"/>
          </w:tcPr>
          <w:p>
            <w:pPr>
              <w:spacing w:after="0"/>
              <w:rPr>
                <w:sz w:val="9"/>
                <w:szCs w:val="9"/>
                <w:color w:val="auto"/>
              </w:rPr>
            </w:pPr>
          </w:p>
        </w:tc>
        <w:tc>
          <w:tcPr>
            <w:tcW w:w="840" w:type="dxa"/>
            <w:vAlign w:val="bottom"/>
            <w:tcBorders>
              <w:bottom w:val="single" w:sz="8" w:color="D1D2D4"/>
            </w:tcBorders>
            <w:shd w:val="clear" w:color="auto" w:fill="CED8EA"/>
          </w:tcPr>
          <w:p>
            <w:pPr>
              <w:spacing w:after="0"/>
              <w:rPr>
                <w:sz w:val="9"/>
                <w:szCs w:val="9"/>
                <w:color w:val="auto"/>
              </w:rPr>
            </w:pPr>
          </w:p>
        </w:tc>
        <w:tc>
          <w:tcPr>
            <w:tcW w:w="800" w:type="dxa"/>
            <w:vAlign w:val="bottom"/>
            <w:tcBorders>
              <w:bottom w:val="single" w:sz="8" w:color="D1D2D4"/>
            </w:tcBorders>
            <w:shd w:val="clear" w:color="auto" w:fill="CED8EA"/>
          </w:tcPr>
          <w:p>
            <w:pPr>
              <w:spacing w:after="0"/>
              <w:rPr>
                <w:sz w:val="9"/>
                <w:szCs w:val="9"/>
                <w:color w:val="auto"/>
              </w:rPr>
            </w:pPr>
          </w:p>
        </w:tc>
        <w:tc>
          <w:tcPr>
            <w:tcW w:w="80" w:type="dxa"/>
            <w:vAlign w:val="bottom"/>
            <w:tcBorders>
              <w:bottom w:val="single" w:sz="8" w:color="D1D2D4"/>
            </w:tcBorders>
            <w:shd w:val="clear" w:color="auto" w:fill="CED8EA"/>
          </w:tcPr>
          <w:p>
            <w:pPr>
              <w:spacing w:after="0"/>
              <w:rPr>
                <w:sz w:val="9"/>
                <w:szCs w:val="9"/>
                <w:color w:val="auto"/>
              </w:rPr>
            </w:pPr>
          </w:p>
        </w:tc>
        <w:tc>
          <w:tcPr>
            <w:tcW w:w="820" w:type="dxa"/>
            <w:vAlign w:val="bottom"/>
            <w:tcBorders>
              <w:bottom w:val="single" w:sz="8" w:color="D1D2D4"/>
            </w:tcBorders>
            <w:shd w:val="clear" w:color="auto" w:fill="CED8EA"/>
          </w:tcPr>
          <w:p>
            <w:pPr>
              <w:spacing w:after="0"/>
              <w:rPr>
                <w:sz w:val="9"/>
                <w:szCs w:val="9"/>
                <w:color w:val="auto"/>
              </w:rPr>
            </w:pPr>
          </w:p>
        </w:tc>
        <w:tc>
          <w:tcPr>
            <w:tcW w:w="840" w:type="dxa"/>
            <w:vAlign w:val="bottom"/>
            <w:tcBorders>
              <w:bottom w:val="single" w:sz="8" w:color="D1D2D4"/>
            </w:tcBorders>
            <w:shd w:val="clear" w:color="auto" w:fill="CED8EA"/>
          </w:tcPr>
          <w:p>
            <w:pPr>
              <w:spacing w:after="0"/>
              <w:rPr>
                <w:sz w:val="9"/>
                <w:szCs w:val="9"/>
                <w:color w:val="auto"/>
              </w:rPr>
            </w:pPr>
          </w:p>
        </w:tc>
        <w:tc>
          <w:tcPr>
            <w:tcW w:w="800" w:type="dxa"/>
            <w:vAlign w:val="bottom"/>
            <w:tcBorders>
              <w:bottom w:val="single" w:sz="8" w:color="D1D2D4"/>
            </w:tcBorders>
            <w:shd w:val="clear" w:color="auto" w:fill="CED8EA"/>
          </w:tcPr>
          <w:p>
            <w:pPr>
              <w:spacing w:after="0"/>
              <w:rPr>
                <w:sz w:val="9"/>
                <w:szCs w:val="9"/>
                <w:color w:val="auto"/>
              </w:rPr>
            </w:pPr>
          </w:p>
        </w:tc>
        <w:tc>
          <w:tcPr>
            <w:tcW w:w="60" w:type="dxa"/>
            <w:vAlign w:val="bottom"/>
            <w:tcBorders>
              <w:bottom w:val="single" w:sz="8" w:color="D1D2D4"/>
            </w:tcBorders>
            <w:shd w:val="clear" w:color="auto" w:fill="CED8EA"/>
          </w:tcPr>
          <w:p>
            <w:pPr>
              <w:spacing w:after="0"/>
              <w:rPr>
                <w:sz w:val="9"/>
                <w:szCs w:val="9"/>
                <w:color w:val="auto"/>
              </w:rPr>
            </w:pPr>
          </w:p>
        </w:tc>
        <w:tc>
          <w:tcPr>
            <w:tcW w:w="860" w:type="dxa"/>
            <w:vAlign w:val="bottom"/>
            <w:tcBorders>
              <w:bottom w:val="single" w:sz="8" w:color="D1D2D4"/>
            </w:tcBorders>
            <w:shd w:val="clear" w:color="auto" w:fill="CED8EA"/>
          </w:tcPr>
          <w:p>
            <w:pPr>
              <w:spacing w:after="0"/>
              <w:rPr>
                <w:sz w:val="9"/>
                <w:szCs w:val="9"/>
                <w:color w:val="auto"/>
              </w:rPr>
            </w:pPr>
          </w:p>
        </w:tc>
        <w:tc>
          <w:tcPr>
            <w:tcW w:w="1200" w:type="dxa"/>
            <w:vAlign w:val="bottom"/>
            <w:tcBorders>
              <w:bottom w:val="single" w:sz="8" w:color="D1D2D4"/>
            </w:tcBorders>
            <w:shd w:val="clear" w:color="auto" w:fill="CED8EA"/>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800" w:type="dxa"/>
            <w:vAlign w:val="bottom"/>
            <w:tcBorders>
              <w:bottom w:val="single" w:sz="8" w:color="D1D2D4"/>
            </w:tcBorders>
          </w:tcPr>
          <w:p>
            <w:pPr>
              <w:jc w:val="center"/>
              <w:ind w:right="12"/>
              <w:spacing w:after="0"/>
              <w:rPr>
                <w:sz w:val="20"/>
                <w:szCs w:val="20"/>
                <w:color w:val="auto"/>
              </w:rPr>
            </w:pPr>
            <w:r>
              <w:rPr>
                <w:rFonts w:ascii="Arial" w:cs="Arial" w:eastAsia="Arial" w:hAnsi="Arial"/>
                <w:sz w:val="18"/>
                <w:szCs w:val="18"/>
                <w:color w:val="02568A"/>
                <w:w w:val="87"/>
              </w:rPr>
              <w:t>11/6/2018</w:t>
            </w:r>
          </w:p>
        </w:tc>
        <w:tc>
          <w:tcPr>
            <w:tcW w:w="800" w:type="dxa"/>
            <w:vAlign w:val="bottom"/>
            <w:tcBorders>
              <w:bottom w:val="single" w:sz="8" w:color="D1D2D4"/>
            </w:tcBorders>
          </w:tcPr>
          <w:p>
            <w:pPr>
              <w:spacing w:after="0"/>
              <w:rPr>
                <w:sz w:val="18"/>
                <w:szCs w:val="18"/>
                <w:color w:val="auto"/>
              </w:rPr>
            </w:pPr>
          </w:p>
        </w:tc>
        <w:tc>
          <w:tcPr>
            <w:tcW w:w="840" w:type="dxa"/>
            <w:vAlign w:val="bottom"/>
            <w:tcBorders>
              <w:bottom w:val="single" w:sz="8" w:color="D1D2D4"/>
            </w:tcBorders>
          </w:tcPr>
          <w:p>
            <w:pPr>
              <w:spacing w:after="0"/>
              <w:rPr>
                <w:sz w:val="18"/>
                <w:szCs w:val="18"/>
                <w:color w:val="auto"/>
              </w:rPr>
            </w:pPr>
          </w:p>
        </w:tc>
        <w:tc>
          <w:tcPr>
            <w:tcW w:w="800" w:type="dxa"/>
            <w:vAlign w:val="bottom"/>
            <w:tcBorders>
              <w:bottom w:val="single" w:sz="8" w:color="D1D2D4"/>
            </w:tcBorders>
          </w:tcPr>
          <w:p>
            <w:pPr>
              <w:spacing w:after="0"/>
              <w:rPr>
                <w:sz w:val="18"/>
                <w:szCs w:val="18"/>
                <w:color w:val="auto"/>
              </w:rPr>
            </w:pPr>
          </w:p>
        </w:tc>
        <w:tc>
          <w:tcPr>
            <w:tcW w:w="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3,630</w:t>
            </w:r>
          </w:p>
        </w:tc>
        <w:tc>
          <w:tcPr>
            <w:tcW w:w="8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7,260</w:t>
            </w:r>
          </w:p>
        </w:tc>
        <w:tc>
          <w:tcPr>
            <w:tcW w:w="860" w:type="dxa"/>
            <w:vAlign w:val="bottom"/>
            <w:tcBorders>
              <w:bottom w:val="single" w:sz="8" w:color="D1D2D4"/>
            </w:tcBorders>
            <w:gridSpan w:val="2"/>
          </w:tcPr>
          <w:p>
            <w:pPr>
              <w:jc w:val="right"/>
              <w:ind w:right="40"/>
              <w:spacing w:after="0"/>
              <w:rPr>
                <w:sz w:val="20"/>
                <w:szCs w:val="20"/>
                <w:color w:val="auto"/>
              </w:rPr>
            </w:pPr>
            <w:r>
              <w:rPr>
                <w:rFonts w:ascii="Arial" w:cs="Arial" w:eastAsia="Arial" w:hAnsi="Arial"/>
                <w:sz w:val="18"/>
                <w:szCs w:val="18"/>
                <w:color w:val="02568A"/>
              </w:rPr>
              <w:t>18,150</w:t>
            </w:r>
          </w:p>
        </w:tc>
        <w:tc>
          <w:tcPr>
            <w:tcW w:w="860" w:type="dxa"/>
            <w:vAlign w:val="bottom"/>
            <w:tcBorders>
              <w:bottom w:val="single" w:sz="8" w:color="D1D2D4"/>
            </w:tcBorders>
          </w:tcPr>
          <w:p>
            <w:pPr>
              <w:spacing w:after="0"/>
              <w:rPr>
                <w:sz w:val="18"/>
                <w:szCs w:val="18"/>
                <w:color w:val="auto"/>
              </w:rPr>
            </w:pPr>
          </w:p>
        </w:tc>
        <w:tc>
          <w:tcPr>
            <w:tcW w:w="1200" w:type="dxa"/>
            <w:vAlign w:val="bottom"/>
            <w:tcBorders>
              <w:bottom w:val="single" w:sz="8" w:color="D1D2D4"/>
            </w:tcBorders>
          </w:tcPr>
          <w:p>
            <w:pPr>
              <w:jc w:val="right"/>
              <w:ind w:right="152"/>
              <w:spacing w:after="0"/>
              <w:rPr>
                <w:sz w:val="20"/>
                <w:szCs w:val="20"/>
                <w:color w:val="auto"/>
              </w:rPr>
            </w:pPr>
            <w:r>
              <w:rPr>
                <w:rFonts w:ascii="Arial" w:cs="Arial" w:eastAsia="Arial" w:hAnsi="Arial"/>
                <w:sz w:val="18"/>
                <w:szCs w:val="18"/>
                <w:color w:val="02568A"/>
              </w:rPr>
              <w:t>765,857(4)</w:t>
            </w:r>
          </w:p>
        </w:tc>
        <w:tc>
          <w:tcPr>
            <w:tcW w:w="0" w:type="dxa"/>
            <w:vAlign w:val="bottom"/>
          </w:tcPr>
          <w:p>
            <w:pPr>
              <w:spacing w:after="0"/>
              <w:rPr>
                <w:sz w:val="1"/>
                <w:szCs w:val="1"/>
                <w:color w:val="auto"/>
              </w:rPr>
            </w:pPr>
          </w:p>
        </w:tc>
      </w:tr>
      <w:tr>
        <w:trPr>
          <w:trHeight w:val="210"/>
        </w:trPr>
        <w:tc>
          <w:tcPr>
            <w:tcW w:w="1200" w:type="dxa"/>
            <w:vAlign w:val="bottom"/>
            <w:tcBorders>
              <w:bottom w:val="single" w:sz="8" w:color="D1D2D4"/>
            </w:tcBorders>
          </w:tcPr>
          <w:p>
            <w:pPr>
              <w:spacing w:after="0"/>
              <w:rPr>
                <w:sz w:val="18"/>
                <w:szCs w:val="18"/>
                <w:color w:val="auto"/>
              </w:rPr>
            </w:pPr>
          </w:p>
        </w:tc>
        <w:tc>
          <w:tcPr>
            <w:tcW w:w="800" w:type="dxa"/>
            <w:vAlign w:val="bottom"/>
            <w:tcBorders>
              <w:bottom w:val="single" w:sz="8" w:color="D1D2D4"/>
            </w:tcBorders>
          </w:tcPr>
          <w:p>
            <w:pPr>
              <w:jc w:val="center"/>
              <w:ind w:right="12"/>
              <w:spacing w:after="0"/>
              <w:rPr>
                <w:sz w:val="20"/>
                <w:szCs w:val="20"/>
                <w:color w:val="auto"/>
              </w:rPr>
            </w:pPr>
            <w:r>
              <w:rPr>
                <w:rFonts w:ascii="Arial" w:cs="Arial" w:eastAsia="Arial" w:hAnsi="Arial"/>
                <w:sz w:val="18"/>
                <w:szCs w:val="18"/>
                <w:color w:val="02568A"/>
                <w:w w:val="87"/>
              </w:rPr>
              <w:t>11/6/2018</w:t>
            </w:r>
          </w:p>
        </w:tc>
        <w:tc>
          <w:tcPr>
            <w:tcW w:w="800" w:type="dxa"/>
            <w:vAlign w:val="bottom"/>
            <w:tcBorders>
              <w:bottom w:val="single" w:sz="8" w:color="D1D2D4"/>
            </w:tcBorders>
          </w:tcPr>
          <w:p>
            <w:pPr>
              <w:spacing w:after="0"/>
              <w:rPr>
                <w:sz w:val="18"/>
                <w:szCs w:val="18"/>
                <w:color w:val="auto"/>
              </w:rPr>
            </w:pPr>
          </w:p>
        </w:tc>
        <w:tc>
          <w:tcPr>
            <w:tcW w:w="840" w:type="dxa"/>
            <w:vAlign w:val="bottom"/>
            <w:tcBorders>
              <w:bottom w:val="single" w:sz="8" w:color="D1D2D4"/>
            </w:tcBorders>
          </w:tcPr>
          <w:p>
            <w:pPr>
              <w:spacing w:after="0"/>
              <w:rPr>
                <w:sz w:val="18"/>
                <w:szCs w:val="18"/>
                <w:color w:val="auto"/>
              </w:rPr>
            </w:pPr>
          </w:p>
        </w:tc>
        <w:tc>
          <w:tcPr>
            <w:tcW w:w="800" w:type="dxa"/>
            <w:vAlign w:val="bottom"/>
            <w:tcBorders>
              <w:bottom w:val="single" w:sz="8" w:color="D1D2D4"/>
            </w:tcBorders>
          </w:tcPr>
          <w:p>
            <w:pPr>
              <w:spacing w:after="0"/>
              <w:rPr>
                <w:sz w:val="18"/>
                <w:szCs w:val="18"/>
                <w:color w:val="auto"/>
              </w:rPr>
            </w:pPr>
          </w:p>
        </w:tc>
        <w:tc>
          <w:tcPr>
            <w:tcW w:w="8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840" w:type="dxa"/>
            <w:vAlign w:val="bottom"/>
            <w:tcBorders>
              <w:bottom w:val="single" w:sz="8" w:color="D1D2D4"/>
            </w:tcBorders>
          </w:tcPr>
          <w:p>
            <w:pPr>
              <w:spacing w:after="0"/>
              <w:rPr>
                <w:sz w:val="18"/>
                <w:szCs w:val="18"/>
                <w:color w:val="auto"/>
              </w:rPr>
            </w:pPr>
          </w:p>
        </w:tc>
        <w:tc>
          <w:tcPr>
            <w:tcW w:w="800" w:type="dxa"/>
            <w:vAlign w:val="bottom"/>
            <w:tcBorders>
              <w:bottom w:val="single" w:sz="8" w:color="D1D2D4"/>
            </w:tcBorders>
          </w:tcPr>
          <w:p>
            <w:pPr>
              <w:spacing w:after="0"/>
              <w:rPr>
                <w:sz w:val="18"/>
                <w:szCs w:val="18"/>
                <w:color w:val="auto"/>
              </w:rPr>
            </w:pPr>
          </w:p>
        </w:tc>
        <w:tc>
          <w:tcPr>
            <w:tcW w:w="60" w:type="dxa"/>
            <w:vAlign w:val="bottom"/>
            <w:tcBorders>
              <w:bottom w:val="single" w:sz="8" w:color="D1D2D4"/>
            </w:tcBorders>
          </w:tcPr>
          <w:p>
            <w:pPr>
              <w:spacing w:after="0"/>
              <w:rPr>
                <w:sz w:val="18"/>
                <w:szCs w:val="18"/>
                <w:color w:val="auto"/>
              </w:rPr>
            </w:pP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4,840</w:t>
            </w:r>
          </w:p>
        </w:tc>
        <w:tc>
          <w:tcPr>
            <w:tcW w:w="1200" w:type="dxa"/>
            <w:vAlign w:val="bottom"/>
            <w:tcBorders>
              <w:bottom w:val="single" w:sz="8" w:color="D1D2D4"/>
            </w:tcBorders>
          </w:tcPr>
          <w:p>
            <w:pPr>
              <w:jc w:val="right"/>
              <w:ind w:right="152"/>
              <w:spacing w:after="0"/>
              <w:rPr>
                <w:sz w:val="20"/>
                <w:szCs w:val="20"/>
                <w:color w:val="auto"/>
              </w:rPr>
            </w:pPr>
            <w:r>
              <w:rPr>
                <w:rFonts w:ascii="Arial" w:cs="Arial" w:eastAsia="Arial" w:hAnsi="Arial"/>
                <w:sz w:val="18"/>
                <w:szCs w:val="18"/>
                <w:color w:val="02568A"/>
              </w:rPr>
              <w:t>399,978(5)</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40" w:hanging="549"/>
        <w:spacing w:after="0" w:line="252" w:lineRule="auto"/>
        <w:tabs>
          <w:tab w:leader="none" w:pos="1680" w:val="left"/>
        </w:tabs>
        <w:numPr>
          <w:ilvl w:val="0"/>
          <w:numId w:val="51"/>
        </w:numPr>
        <w:rPr>
          <w:rFonts w:ascii="Arial" w:cs="Arial" w:eastAsia="Arial" w:hAnsi="Arial"/>
          <w:sz w:val="18"/>
          <w:szCs w:val="18"/>
          <w:color w:val="191919"/>
        </w:rPr>
      </w:pPr>
      <w:r>
        <w:rPr>
          <w:rFonts w:ascii="Arial" w:cs="Arial" w:eastAsia="Arial" w:hAnsi="Arial"/>
          <w:sz w:val="18"/>
          <w:szCs w:val="18"/>
          <w:color w:val="191919"/>
        </w:rPr>
        <w:t>The amounts shown represent the potential value of awards earned under the Incentive Plan. The amounts actually paid to the Named Executive Officers under the Incentive Plan are shown above in the “</w:t>
      </w:r>
      <w:r>
        <w:rPr>
          <w:rFonts w:ascii="Arial" w:cs="Arial" w:eastAsia="Arial" w:hAnsi="Arial"/>
          <w:sz w:val="18"/>
          <w:szCs w:val="18"/>
          <w:i w:val="1"/>
          <w:iCs w:val="1"/>
          <w:color w:val="191919"/>
        </w:rPr>
        <w:t>Summary Compensation Table</w:t>
      </w:r>
      <w:r>
        <w:rPr>
          <w:rFonts w:ascii="Arial" w:cs="Arial" w:eastAsia="Arial" w:hAnsi="Arial"/>
          <w:sz w:val="18"/>
          <w:szCs w:val="18"/>
          <w:color w:val="191919"/>
        </w:rPr>
        <w:t>” under “</w:t>
      </w:r>
      <w:r>
        <w:rPr>
          <w:rFonts w:ascii="Arial" w:cs="Arial" w:eastAsia="Arial" w:hAnsi="Arial"/>
          <w:sz w:val="18"/>
          <w:szCs w:val="18"/>
          <w:i w:val="1"/>
          <w:iCs w:val="1"/>
          <w:color w:val="191919"/>
        </w:rPr>
        <w:t>Non-Equity Incentive Plan</w:t>
      </w:r>
      <w:r>
        <w:rPr>
          <w:rFonts w:ascii="Arial" w:cs="Arial" w:eastAsia="Arial" w:hAnsi="Arial"/>
          <w:sz w:val="18"/>
          <w:szCs w:val="18"/>
          <w:color w:val="191919"/>
        </w:rPr>
        <w:t xml:space="preserve"> </w:t>
      </w:r>
      <w:r>
        <w:rPr>
          <w:rFonts w:ascii="Arial" w:cs="Arial" w:eastAsia="Arial" w:hAnsi="Arial"/>
          <w:sz w:val="18"/>
          <w:szCs w:val="18"/>
          <w:i w:val="1"/>
          <w:iCs w:val="1"/>
          <w:color w:val="191919"/>
        </w:rPr>
        <w:t>Compensation.</w:t>
      </w:r>
      <w:r>
        <w:rPr>
          <w:rFonts w:ascii="Arial" w:cs="Arial" w:eastAsia="Arial" w:hAnsi="Arial"/>
          <w:sz w:val="18"/>
          <w:szCs w:val="18"/>
          <w:color w:val="191919"/>
        </w:rPr>
        <w:t>” For a more complete description of the Incentive Plan, please see description above under “</w:t>
      </w:r>
      <w:r>
        <w:rPr>
          <w:rFonts w:ascii="Arial" w:cs="Arial" w:eastAsia="Arial" w:hAnsi="Arial"/>
          <w:sz w:val="18"/>
          <w:szCs w:val="18"/>
          <w:i w:val="1"/>
          <w:iCs w:val="1"/>
          <w:color w:val="191919"/>
        </w:rPr>
        <w:t>Components of Compensation—Short-Term Incentives</w:t>
      </w:r>
      <w:r>
        <w:rPr>
          <w:rFonts w:ascii="Arial" w:cs="Arial" w:eastAsia="Arial" w:hAnsi="Arial"/>
          <w:sz w:val="18"/>
          <w:szCs w:val="18"/>
          <w:color w:val="191919"/>
        </w:rPr>
        <w:t>.”</w:t>
      </w:r>
    </w:p>
    <w:p>
      <w:pPr>
        <w:spacing w:after="0" w:line="21" w:lineRule="exact"/>
        <w:rPr>
          <w:rFonts w:ascii="Arial" w:cs="Arial" w:eastAsia="Arial" w:hAnsi="Arial"/>
          <w:sz w:val="18"/>
          <w:szCs w:val="18"/>
          <w:color w:val="191919"/>
        </w:rPr>
      </w:pPr>
    </w:p>
    <w:p>
      <w:pPr>
        <w:ind w:left="1680" w:right="520" w:hanging="549"/>
        <w:spacing w:after="0" w:line="252" w:lineRule="auto"/>
        <w:tabs>
          <w:tab w:leader="none" w:pos="1680" w:val="left"/>
        </w:tabs>
        <w:numPr>
          <w:ilvl w:val="0"/>
          <w:numId w:val="51"/>
        </w:numPr>
        <w:rPr>
          <w:rFonts w:ascii="Arial" w:cs="Arial" w:eastAsia="Arial" w:hAnsi="Arial"/>
          <w:sz w:val="18"/>
          <w:szCs w:val="18"/>
          <w:color w:val="191919"/>
        </w:rPr>
      </w:pPr>
      <w:r>
        <w:rPr>
          <w:rFonts w:ascii="Arial" w:cs="Arial" w:eastAsia="Arial" w:hAnsi="Arial"/>
          <w:sz w:val="18"/>
          <w:szCs w:val="18"/>
          <w:color w:val="191919"/>
        </w:rPr>
        <w:t>The amounts shown represent shares potentially issuable pursuant to the FY19 PSAs granted on November 6, 2018, under the Company’s 2015 Long-Term Incentive Plan, as described above under “</w:t>
      </w:r>
      <w:r>
        <w:rPr>
          <w:rFonts w:ascii="Arial" w:cs="Arial" w:eastAsia="Arial" w:hAnsi="Arial"/>
          <w:sz w:val="18"/>
          <w:szCs w:val="18"/>
          <w:i w:val="1"/>
          <w:iCs w:val="1"/>
          <w:color w:val="191919"/>
        </w:rPr>
        <w:t>Components of Compensation—Long-Term Stock-Based</w:t>
      </w:r>
      <w:r>
        <w:rPr>
          <w:rFonts w:ascii="Arial" w:cs="Arial" w:eastAsia="Arial" w:hAnsi="Arial"/>
          <w:sz w:val="18"/>
          <w:szCs w:val="18"/>
          <w:color w:val="191919"/>
        </w:rPr>
        <w:t xml:space="preserve"> </w:t>
      </w:r>
      <w:r>
        <w:rPr>
          <w:rFonts w:ascii="Arial" w:cs="Arial" w:eastAsia="Arial" w:hAnsi="Arial"/>
          <w:sz w:val="18"/>
          <w:szCs w:val="18"/>
          <w:i w:val="1"/>
          <w:iCs w:val="1"/>
          <w:color w:val="191919"/>
        </w:rPr>
        <w:t>Compensation</w:t>
      </w:r>
      <w:r>
        <w:rPr>
          <w:rFonts w:ascii="Arial" w:cs="Arial" w:eastAsia="Arial" w:hAnsi="Arial"/>
          <w:sz w:val="18"/>
          <w:szCs w:val="18"/>
          <w:color w:val="191919"/>
        </w:rPr>
        <w:t>.”</w:t>
      </w:r>
    </w:p>
    <w:p>
      <w:pPr>
        <w:spacing w:after="0" w:line="9" w:lineRule="exact"/>
        <w:rPr>
          <w:rFonts w:ascii="Arial" w:cs="Arial" w:eastAsia="Arial" w:hAnsi="Arial"/>
          <w:sz w:val="18"/>
          <w:szCs w:val="18"/>
          <w:color w:val="191919"/>
        </w:rPr>
      </w:pPr>
    </w:p>
    <w:p>
      <w:pPr>
        <w:ind w:left="1680" w:right="200" w:hanging="549"/>
        <w:spacing w:after="0" w:line="252" w:lineRule="auto"/>
        <w:tabs>
          <w:tab w:leader="none" w:pos="1680" w:val="left"/>
        </w:tabs>
        <w:numPr>
          <w:ilvl w:val="0"/>
          <w:numId w:val="51"/>
        </w:numPr>
        <w:rPr>
          <w:rFonts w:ascii="Arial" w:cs="Arial" w:eastAsia="Arial" w:hAnsi="Arial"/>
          <w:sz w:val="18"/>
          <w:szCs w:val="18"/>
          <w:color w:val="191919"/>
        </w:rPr>
      </w:pPr>
      <w:r>
        <w:rPr>
          <w:rFonts w:ascii="Arial" w:cs="Arial" w:eastAsia="Arial" w:hAnsi="Arial"/>
          <w:sz w:val="18"/>
          <w:szCs w:val="18"/>
          <w:color w:val="191919"/>
        </w:rPr>
        <w:t>Represents shares underlying RSU awards granted under the Company’s 2015 Long-Term Incentive Plan. The RSU award vests over four years at a rate of twenty-five percent (25%) per year commencing one year after the date of grant and on each subsequent anniversary of the grant date for the following three years, provided the executive remains employed by the Company through each such vesting date.</w:t>
      </w:r>
    </w:p>
    <w:p>
      <w:pPr>
        <w:spacing w:after="0" w:line="8" w:lineRule="exact"/>
        <w:rPr>
          <w:rFonts w:ascii="Arial" w:cs="Arial" w:eastAsia="Arial" w:hAnsi="Arial"/>
          <w:sz w:val="18"/>
          <w:szCs w:val="18"/>
          <w:color w:val="191919"/>
        </w:rPr>
      </w:pPr>
    </w:p>
    <w:p>
      <w:pPr>
        <w:ind w:left="1680" w:hanging="549"/>
        <w:spacing w:after="0" w:line="282" w:lineRule="auto"/>
        <w:tabs>
          <w:tab w:leader="none" w:pos="1680" w:val="left"/>
        </w:tabs>
        <w:numPr>
          <w:ilvl w:val="0"/>
          <w:numId w:val="51"/>
        </w:numPr>
        <w:rPr>
          <w:rFonts w:ascii="Arial" w:cs="Arial" w:eastAsia="Arial" w:hAnsi="Arial"/>
          <w:sz w:val="16"/>
          <w:szCs w:val="16"/>
          <w:color w:val="191919"/>
        </w:rPr>
      </w:pPr>
      <w:r>
        <w:rPr>
          <w:rFonts w:ascii="Arial" w:cs="Arial" w:eastAsia="Arial" w:hAnsi="Arial"/>
          <w:sz w:val="16"/>
          <w:szCs w:val="16"/>
          <w:color w:val="191919"/>
        </w:rPr>
        <w:t>Reflects the grant date fair value of the FY19 PSAs, computed in accordance with the provisions of ASC 718, using (a) a Monte Carlo simulation (which weights the probability of multiple potential outcomes) to value the portion of the award related to TSR percentile ranking, and (b) a price of $82.64 per share, which was the closing sale price of the Company’s common stock on the Nasdaq Global Select Market on November 6, 2018, to value the portion of the award related to non-GAAP EBITDA growth, assuming performance at the “target” level. For a description of the assumptions used in calculating the fair value of equity awards granted in fiscal year 2019 under ASC 718, see Note 9 of the Company’s financial statements included in the Company’s Annual Report on Form 10-K filed with the SEC on November 14, 2019.</w:t>
      </w:r>
    </w:p>
    <w:p>
      <w:pPr>
        <w:spacing w:after="0" w:line="25" w:lineRule="exact"/>
        <w:rPr>
          <w:rFonts w:ascii="Arial" w:cs="Arial" w:eastAsia="Arial" w:hAnsi="Arial"/>
          <w:sz w:val="16"/>
          <w:szCs w:val="16"/>
          <w:color w:val="191919"/>
        </w:rPr>
      </w:pPr>
    </w:p>
    <w:p>
      <w:pPr>
        <w:ind w:left="1680" w:right="40" w:hanging="549"/>
        <w:spacing w:after="0" w:line="259" w:lineRule="auto"/>
        <w:tabs>
          <w:tab w:leader="none" w:pos="1680" w:val="left"/>
        </w:tabs>
        <w:numPr>
          <w:ilvl w:val="0"/>
          <w:numId w:val="51"/>
        </w:numPr>
        <w:rPr>
          <w:rFonts w:ascii="Arial" w:cs="Arial" w:eastAsia="Arial" w:hAnsi="Arial"/>
          <w:sz w:val="18"/>
          <w:szCs w:val="18"/>
          <w:color w:val="191919"/>
        </w:rPr>
      </w:pPr>
      <w:r>
        <w:rPr>
          <w:rFonts w:ascii="Arial" w:cs="Arial" w:eastAsia="Arial" w:hAnsi="Arial"/>
          <w:sz w:val="18"/>
          <w:szCs w:val="18"/>
          <w:color w:val="191919"/>
        </w:rPr>
        <w:t>Reflects the grant date fair value of the RSUs granted on November 6, 2018, computed in accordance with the provisions of ASC 718 using a price of $82.64 per share, which was the closing price of the Company’s common stock on the Nasdaq Global Select Market on November 6,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54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61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Outstanding Equity Awards at Fiscal Year End Table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191919"/>
        </w:rPr>
        <w:t>The following table summarizes the unvested stock awards and all stock options held by the Named Executive Officers as of the end of fiscal year 2019.</w:t>
      </w:r>
    </w:p>
    <w:p>
      <w:pPr>
        <w:spacing w:after="0" w:line="242" w:lineRule="exact"/>
        <w:rPr>
          <w:sz w:val="20"/>
          <w:szCs w:val="20"/>
          <w:color w:val="auto"/>
        </w:rPr>
      </w:pPr>
    </w:p>
    <w:tbl>
      <w:tblPr>
        <w:tblLayout w:type="fixed"/>
        <w:tblInd w:w="1120" w:type="dxa"/>
        <w:tblCellMar>
          <w:top w:w="0" w:type="dxa"/>
          <w:left w:w="0" w:type="dxa"/>
          <w:bottom w:w="0" w:type="dxa"/>
          <w:right w:w="0" w:type="dxa"/>
        </w:tblCellMar>
      </w:tblPr>
      <w:tr>
        <w:trPr>
          <w:trHeight w:val="228"/>
        </w:trPr>
        <w:tc>
          <w:tcPr>
            <w:tcW w:w="1540" w:type="dxa"/>
            <w:vAlign w:val="bottom"/>
          </w:tcPr>
          <w:p>
            <w:pPr>
              <w:spacing w:after="0"/>
              <w:rPr>
                <w:sz w:val="19"/>
                <w:szCs w:val="19"/>
                <w:color w:val="auto"/>
              </w:rPr>
            </w:pPr>
          </w:p>
        </w:tc>
        <w:tc>
          <w:tcPr>
            <w:tcW w:w="1000" w:type="dxa"/>
            <w:vAlign w:val="bottom"/>
            <w:tcBorders>
              <w:bottom w:val="single" w:sz="8" w:color="02568A"/>
            </w:tcBorders>
          </w:tcPr>
          <w:p>
            <w:pPr>
              <w:spacing w:after="0"/>
              <w:rPr>
                <w:sz w:val="19"/>
                <w:szCs w:val="19"/>
                <w:color w:val="auto"/>
              </w:rPr>
            </w:pPr>
          </w:p>
        </w:tc>
        <w:tc>
          <w:tcPr>
            <w:tcW w:w="2000" w:type="dxa"/>
            <w:vAlign w:val="bottom"/>
            <w:tcBorders>
              <w:bottom w:val="single" w:sz="8" w:color="02568A"/>
            </w:tcBorders>
            <w:gridSpan w:val="2"/>
          </w:tcPr>
          <w:p>
            <w:pPr>
              <w:jc w:val="right"/>
              <w:ind w:right="392"/>
              <w:spacing w:after="0"/>
              <w:rPr>
                <w:sz w:val="20"/>
                <w:szCs w:val="20"/>
                <w:color w:val="auto"/>
              </w:rPr>
            </w:pPr>
            <w:r>
              <w:rPr>
                <w:rFonts w:ascii="Arial" w:cs="Arial" w:eastAsia="Arial" w:hAnsi="Arial"/>
                <w:sz w:val="18"/>
                <w:szCs w:val="18"/>
                <w:b w:val="1"/>
                <w:bCs w:val="1"/>
                <w:color w:val="02568A"/>
              </w:rPr>
              <w:t>Option Awards</w:t>
            </w:r>
          </w:p>
        </w:tc>
        <w:tc>
          <w:tcPr>
            <w:tcW w:w="900" w:type="dxa"/>
            <w:vAlign w:val="bottom"/>
            <w:tcBorders>
              <w:bottom w:val="single" w:sz="8" w:color="02568A"/>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02568A"/>
            </w:tcBorders>
          </w:tcPr>
          <w:p>
            <w:pPr>
              <w:spacing w:after="0"/>
              <w:rPr>
                <w:sz w:val="19"/>
                <w:szCs w:val="19"/>
                <w:color w:val="auto"/>
              </w:rPr>
            </w:pPr>
          </w:p>
        </w:tc>
        <w:tc>
          <w:tcPr>
            <w:tcW w:w="1820" w:type="dxa"/>
            <w:vAlign w:val="bottom"/>
            <w:tcBorders>
              <w:bottom w:val="single" w:sz="8" w:color="02568A"/>
            </w:tcBorders>
            <w:gridSpan w:val="2"/>
          </w:tcPr>
          <w:p>
            <w:pPr>
              <w:jc w:val="right"/>
              <w:ind w:right="332"/>
              <w:spacing w:after="0"/>
              <w:rPr>
                <w:sz w:val="20"/>
                <w:szCs w:val="20"/>
                <w:color w:val="auto"/>
              </w:rPr>
            </w:pPr>
            <w:r>
              <w:rPr>
                <w:rFonts w:ascii="Arial" w:cs="Arial" w:eastAsia="Arial" w:hAnsi="Arial"/>
                <w:sz w:val="18"/>
                <w:szCs w:val="18"/>
                <w:b w:val="1"/>
                <w:bCs w:val="1"/>
                <w:color w:val="02568A"/>
              </w:rPr>
              <w:t>Stock Awards</w:t>
            </w:r>
          </w:p>
        </w:tc>
        <w:tc>
          <w:tcPr>
            <w:tcW w:w="820" w:type="dxa"/>
            <w:vAlign w:val="bottom"/>
            <w:tcBorders>
              <w:bottom w:val="single" w:sz="8" w:color="02568A"/>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jc w:val="center"/>
              <w:spacing w:after="0" w:line="197" w:lineRule="exact"/>
              <w:rPr>
                <w:sz w:val="20"/>
                <w:szCs w:val="20"/>
                <w:color w:val="auto"/>
              </w:rPr>
            </w:pPr>
            <w:r>
              <w:rPr>
                <w:rFonts w:ascii="Arial" w:cs="Arial" w:eastAsia="Arial" w:hAnsi="Arial"/>
                <w:sz w:val="18"/>
                <w:szCs w:val="18"/>
                <w:b w:val="1"/>
                <w:bCs w:val="1"/>
                <w:color w:val="02568A"/>
                <w:w w:val="90"/>
              </w:rPr>
              <w:t>Equity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02568A"/>
                <w:w w:val="89"/>
              </w:rPr>
              <w:t>Incentive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02568A"/>
                <w:w w:val="89"/>
              </w:rPr>
              <w:t>Plan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02568A"/>
                <w:w w:val="94"/>
              </w:rPr>
              <w:t>Equity</w:t>
            </w: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02568A"/>
                <w:w w:val="87"/>
              </w:rPr>
              <w:t>Awards: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02568A"/>
                <w:w w:val="87"/>
              </w:rPr>
              <w:t>Incentive</w:t>
            </w: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02568A"/>
                <w:w w:val="96"/>
              </w:rPr>
              <w:t>Market</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02568A"/>
                <w:w w:val="94"/>
              </w:rPr>
              <w:t>Plan</w:t>
            </w: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02568A"/>
                <w:w w:val="88"/>
              </w:rPr>
              <w:t>or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02568A"/>
                <w:w w:val="90"/>
              </w:rPr>
              <w:t>Awards:</w:t>
            </w: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02568A"/>
                <w:w w:val="86"/>
              </w:rPr>
              <w:t>Payout</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02568A"/>
                <w:w w:val="96"/>
              </w:rPr>
              <w:t>Market</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02568A"/>
                <w:w w:val="94"/>
              </w:rPr>
              <w:t>Number</w:t>
            </w: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02568A"/>
                <w:w w:val="87"/>
              </w:rPr>
              <w:t>Value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02568A"/>
                <w:w w:val="88"/>
              </w:rPr>
              <w:t>Value of</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02568A"/>
                <w:w w:val="93"/>
              </w:rPr>
              <w:t>of</w:t>
            </w: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02568A"/>
                <w:w w:val="82"/>
              </w:rPr>
              <w:t>of</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02568A"/>
                <w:w w:val="91"/>
              </w:rPr>
              <w:t>Number</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02568A"/>
                <w:w w:val="83"/>
              </w:rPr>
              <w:t>Shares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02568A"/>
                <w:w w:val="89"/>
              </w:rPr>
              <w:t>Unearned</w:t>
            </w: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02568A"/>
                <w:w w:val="89"/>
              </w:rPr>
              <w:t>Unearned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02568A"/>
                <w:w w:val="82"/>
              </w:rPr>
              <w:t>of</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02568A"/>
                <w:w w:val="88"/>
              </w:rPr>
              <w:t>or</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02568A"/>
                <w:w w:val="86"/>
              </w:rPr>
              <w:t>Shares,</w:t>
            </w: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02568A"/>
                <w:w w:val="82"/>
              </w:rPr>
              <w:t>Shares,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02568A"/>
                <w:w w:val="91"/>
              </w:rPr>
              <w:t>Number of</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02568A"/>
                <w:w w:val="91"/>
              </w:rPr>
              <w:t>Number of</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02568A"/>
                <w:w w:val="84"/>
              </w:rPr>
              <w:t>Shares or</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02568A"/>
                <w:w w:val="89"/>
              </w:rPr>
              <w:t>Units of</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02568A"/>
                <w:w w:val="88"/>
              </w:rPr>
              <w:t>Units or</w:t>
            </w: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02568A"/>
                <w:w w:val="91"/>
              </w:rPr>
              <w:t>Units or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02568A"/>
                <w:w w:val="83"/>
              </w:rPr>
              <w:t>Securities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02568A"/>
                <w:w w:val="83"/>
              </w:rPr>
              <w:t>Securities</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02568A"/>
                <w:w w:val="86"/>
              </w:rPr>
              <w:t>Units of</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02568A"/>
                <w:w w:val="85"/>
              </w:rPr>
              <w:t>Stock</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02568A"/>
                <w:w w:val="88"/>
              </w:rPr>
              <w:t>other</w:t>
            </w: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02568A"/>
                <w:w w:val="88"/>
              </w:rPr>
              <w:t>other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02568A"/>
                <w:w w:val="89"/>
              </w:rPr>
              <w:t>Underlying</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02568A"/>
                <w:w w:val="89"/>
              </w:rPr>
              <w:t>Underlying</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02568A"/>
                <w:w w:val="85"/>
              </w:rPr>
              <w:t>Stock</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02568A"/>
                <w:w w:val="90"/>
              </w:rPr>
              <w:t>that</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02568A"/>
                <w:w w:val="85"/>
              </w:rPr>
              <w:t>Rights</w:t>
            </w: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02568A"/>
                <w:w w:val="85"/>
              </w:rPr>
              <w:t>Rights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02568A"/>
                <w:w w:val="85"/>
              </w:rPr>
              <w:t>Unexercised</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02568A"/>
                <w:w w:val="85"/>
              </w:rPr>
              <w:t>Unexercised</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02568A"/>
                <w:w w:val="93"/>
              </w:rPr>
              <w:t>Option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02568A"/>
                <w:w w:val="91"/>
              </w:rPr>
              <w:t>that Have</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02568A"/>
                <w:w w:val="92"/>
              </w:rPr>
              <w:t>Have</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02568A"/>
                <w:w w:val="88"/>
              </w:rPr>
              <w:t>that Have</w:t>
            </w: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02568A"/>
                <w:w w:val="91"/>
              </w:rPr>
              <w:t>that Have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02568A"/>
                <w:w w:val="88"/>
              </w:rPr>
              <w:t>Options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02568A"/>
                <w:w w:val="88"/>
              </w:rPr>
              <w:t>Options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02568A"/>
                <w:w w:val="91"/>
              </w:rPr>
              <w:t>Exercise</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2568A"/>
                <w:w w:val="93"/>
              </w:rPr>
              <w:t>Option</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02568A"/>
                <w:w w:val="86"/>
              </w:rPr>
              <w:t>Not</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02568A"/>
                <w:w w:val="93"/>
              </w:rPr>
              <w:t>Not</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02568A"/>
                <w:w w:val="93"/>
              </w:rPr>
              <w:t>Not</w:t>
            </w: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02568A"/>
                <w:w w:val="93"/>
              </w:rPr>
              <w:t>Not</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02568A"/>
                <w:w w:val="90"/>
              </w:rPr>
              <w:t>(#)</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02568A"/>
                <w:w w:val="90"/>
              </w:rPr>
              <w:t>(#)</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02568A"/>
                <w:w w:val="86"/>
              </w:rPr>
              <w:t>Price</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2568A"/>
                <w:w w:val="93"/>
              </w:rPr>
              <w:t>Expiration</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02568A"/>
                <w:w w:val="84"/>
              </w:rPr>
              <w:t>Vested</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02568A"/>
                <w:w w:val="81"/>
              </w:rPr>
              <w:t>Vested</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02568A"/>
                <w:w w:val="81"/>
              </w:rPr>
              <w:t>Vested</w:t>
            </w: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02568A"/>
                <w:w w:val="84"/>
              </w:rPr>
              <w:t>Vested</w:t>
            </w:r>
          </w:p>
        </w:tc>
        <w:tc>
          <w:tcPr>
            <w:tcW w:w="0" w:type="dxa"/>
            <w:vAlign w:val="bottom"/>
          </w:tcPr>
          <w:p>
            <w:pPr>
              <w:spacing w:after="0"/>
              <w:rPr>
                <w:sz w:val="1"/>
                <w:szCs w:val="1"/>
                <w:color w:val="auto"/>
              </w:rPr>
            </w:pPr>
          </w:p>
        </w:tc>
      </w:tr>
      <w:tr>
        <w:trPr>
          <w:trHeight w:val="229"/>
        </w:trPr>
        <w:tc>
          <w:tcPr>
            <w:tcW w:w="1540" w:type="dxa"/>
            <w:vAlign w:val="bottom"/>
            <w:tcBorders>
              <w:bottom w:val="single" w:sz="8" w:color="02568A"/>
            </w:tcBorders>
          </w:tcPr>
          <w:p>
            <w:pPr>
              <w:ind w:left="600"/>
              <w:spacing w:after="0"/>
              <w:rPr>
                <w:sz w:val="20"/>
                <w:szCs w:val="20"/>
                <w:color w:val="auto"/>
              </w:rPr>
            </w:pPr>
            <w:r>
              <w:rPr>
                <w:rFonts w:ascii="Arial" w:cs="Arial" w:eastAsia="Arial" w:hAnsi="Arial"/>
                <w:sz w:val="18"/>
                <w:szCs w:val="18"/>
                <w:b w:val="1"/>
                <w:bCs w:val="1"/>
                <w:color w:val="02568A"/>
              </w:rPr>
              <w:t>Name</w:t>
            </w:r>
          </w:p>
        </w:tc>
        <w:tc>
          <w:tcPr>
            <w:tcW w:w="1000" w:type="dxa"/>
            <w:vAlign w:val="bottom"/>
            <w:tcBorders>
              <w:bottom w:val="single" w:sz="8" w:color="02568A"/>
            </w:tcBorders>
          </w:tcPr>
          <w:p>
            <w:pPr>
              <w:jc w:val="center"/>
              <w:ind w:right="12"/>
              <w:spacing w:after="0"/>
              <w:rPr>
                <w:sz w:val="20"/>
                <w:szCs w:val="20"/>
                <w:color w:val="auto"/>
              </w:rPr>
            </w:pPr>
            <w:r>
              <w:rPr>
                <w:rFonts w:ascii="Arial" w:cs="Arial" w:eastAsia="Arial" w:hAnsi="Arial"/>
                <w:sz w:val="18"/>
                <w:szCs w:val="18"/>
                <w:b w:val="1"/>
                <w:bCs w:val="1"/>
                <w:color w:val="02568A"/>
                <w:w w:val="85"/>
              </w:rPr>
              <w:t>Exercisable</w:t>
            </w:r>
          </w:p>
        </w:tc>
        <w:tc>
          <w:tcPr>
            <w:tcW w:w="122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85"/>
              </w:rPr>
              <w:t>Unexercisable</w:t>
            </w:r>
          </w:p>
        </w:tc>
        <w:tc>
          <w:tcPr>
            <w:tcW w:w="78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99"/>
              </w:rPr>
              <w:t>($)</w:t>
            </w:r>
          </w:p>
        </w:tc>
        <w:tc>
          <w:tcPr>
            <w:tcW w:w="1060" w:type="dxa"/>
            <w:vAlign w:val="bottom"/>
            <w:tcBorders>
              <w:bottom w:val="single" w:sz="8" w:color="02568A"/>
            </w:tcBorders>
            <w:gridSpan w:val="2"/>
          </w:tcPr>
          <w:p>
            <w:pPr>
              <w:jc w:val="center"/>
              <w:ind w:right="80"/>
              <w:spacing w:after="0"/>
              <w:rPr>
                <w:sz w:val="20"/>
                <w:szCs w:val="20"/>
                <w:color w:val="auto"/>
              </w:rPr>
            </w:pPr>
            <w:r>
              <w:rPr>
                <w:rFonts w:ascii="Arial" w:cs="Arial" w:eastAsia="Arial" w:hAnsi="Arial"/>
                <w:sz w:val="18"/>
                <w:szCs w:val="18"/>
                <w:b w:val="1"/>
                <w:bCs w:val="1"/>
                <w:color w:val="02568A"/>
                <w:w w:val="87"/>
              </w:rPr>
              <w:t>Date</w:t>
            </w:r>
          </w:p>
        </w:tc>
        <w:tc>
          <w:tcPr>
            <w:tcW w:w="860" w:type="dxa"/>
            <w:vAlign w:val="bottom"/>
            <w:tcBorders>
              <w:bottom w:val="single" w:sz="8" w:color="02568A"/>
            </w:tcBorders>
          </w:tcPr>
          <w:p>
            <w:pPr>
              <w:jc w:val="right"/>
              <w:ind w:right="272"/>
              <w:spacing w:after="0"/>
              <w:rPr>
                <w:sz w:val="20"/>
                <w:szCs w:val="20"/>
                <w:color w:val="auto"/>
              </w:rPr>
            </w:pPr>
            <w:r>
              <w:rPr>
                <w:rFonts w:ascii="Arial" w:cs="Arial" w:eastAsia="Arial" w:hAnsi="Arial"/>
                <w:sz w:val="18"/>
                <w:szCs w:val="18"/>
                <w:b w:val="1"/>
                <w:bCs w:val="1"/>
                <w:color w:val="02568A"/>
              </w:rPr>
              <w:t>(#)</w:t>
            </w:r>
          </w:p>
        </w:tc>
        <w:tc>
          <w:tcPr>
            <w:tcW w:w="88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90"/>
              </w:rPr>
              <w:t>($)(1)</w:t>
            </w:r>
          </w:p>
        </w:tc>
        <w:tc>
          <w:tcPr>
            <w:tcW w:w="940" w:type="dxa"/>
            <w:vAlign w:val="bottom"/>
            <w:tcBorders>
              <w:bottom w:val="single" w:sz="8" w:color="02568A"/>
            </w:tcBorders>
          </w:tcPr>
          <w:p>
            <w:pPr>
              <w:jc w:val="right"/>
              <w:ind w:right="292"/>
              <w:spacing w:after="0"/>
              <w:rPr>
                <w:sz w:val="20"/>
                <w:szCs w:val="20"/>
                <w:color w:val="auto"/>
              </w:rPr>
            </w:pPr>
            <w:r>
              <w:rPr>
                <w:rFonts w:ascii="Arial" w:cs="Arial" w:eastAsia="Arial" w:hAnsi="Arial"/>
                <w:sz w:val="18"/>
                <w:szCs w:val="18"/>
                <w:b w:val="1"/>
                <w:bCs w:val="1"/>
                <w:color w:val="02568A"/>
              </w:rPr>
              <w:t>(#)</w:t>
            </w:r>
          </w:p>
        </w:tc>
        <w:tc>
          <w:tcPr>
            <w:tcW w:w="82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95"/>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540" w:type="dxa"/>
            <w:vAlign w:val="bottom"/>
            <w:shd w:val="clear" w:color="auto" w:fill="CED8EA"/>
          </w:tcPr>
          <w:p>
            <w:pPr>
              <w:ind w:left="260"/>
              <w:spacing w:after="0" w:line="196" w:lineRule="exact"/>
              <w:rPr>
                <w:sz w:val="20"/>
                <w:szCs w:val="20"/>
                <w:color w:val="auto"/>
              </w:rPr>
            </w:pPr>
            <w:r>
              <w:rPr>
                <w:rFonts w:ascii="Arial" w:cs="Arial" w:eastAsia="Arial" w:hAnsi="Arial"/>
                <w:sz w:val="18"/>
                <w:szCs w:val="18"/>
                <w:b w:val="1"/>
                <w:bCs w:val="1"/>
                <w:color w:val="02568A"/>
              </w:rPr>
              <w:t>Liam K.</w:t>
            </w:r>
          </w:p>
        </w:tc>
        <w:tc>
          <w:tcPr>
            <w:tcW w:w="1000" w:type="dxa"/>
            <w:vAlign w:val="bottom"/>
            <w:vMerge w:val="restart"/>
            <w:shd w:val="clear" w:color="auto" w:fill="CED8EA"/>
          </w:tcPr>
          <w:p>
            <w:pPr>
              <w:jc w:val="right"/>
              <w:spacing w:after="0"/>
              <w:rPr>
                <w:sz w:val="20"/>
                <w:szCs w:val="20"/>
                <w:color w:val="auto"/>
              </w:rPr>
            </w:pPr>
            <w:r>
              <w:rPr>
                <w:rFonts w:ascii="Arial" w:cs="Arial" w:eastAsia="Arial" w:hAnsi="Arial"/>
                <w:sz w:val="18"/>
                <w:szCs w:val="18"/>
                <w:color w:val="02568A"/>
              </w:rPr>
              <w:t>21,500</w:t>
            </w:r>
          </w:p>
        </w:tc>
        <w:tc>
          <w:tcPr>
            <w:tcW w:w="1220" w:type="dxa"/>
            <w:vAlign w:val="bottom"/>
            <w:vMerge w:val="restart"/>
            <w:shd w:val="clear" w:color="auto" w:fill="CED8EA"/>
          </w:tcPr>
          <w:p>
            <w:pPr>
              <w:jc w:val="right"/>
              <w:ind w:right="12"/>
              <w:spacing w:after="0"/>
              <w:rPr>
                <w:sz w:val="20"/>
                <w:szCs w:val="20"/>
                <w:color w:val="auto"/>
              </w:rPr>
            </w:pPr>
            <w:r>
              <w:rPr>
                <w:rFonts w:ascii="Arial" w:cs="Arial" w:eastAsia="Arial" w:hAnsi="Arial"/>
                <w:sz w:val="18"/>
                <w:szCs w:val="18"/>
                <w:color w:val="02568A"/>
              </w:rPr>
              <w:t>10,750(2)</w:t>
            </w:r>
          </w:p>
        </w:tc>
        <w:tc>
          <w:tcPr>
            <w:tcW w:w="780" w:type="dxa"/>
            <w:vAlign w:val="bottom"/>
            <w:vMerge w:val="restart"/>
            <w:shd w:val="clear" w:color="auto" w:fill="CED8EA"/>
          </w:tcPr>
          <w:p>
            <w:pPr>
              <w:jc w:val="right"/>
              <w:spacing w:after="0"/>
              <w:rPr>
                <w:sz w:val="20"/>
                <w:szCs w:val="20"/>
                <w:color w:val="auto"/>
              </w:rPr>
            </w:pPr>
            <w:r>
              <w:rPr>
                <w:rFonts w:ascii="Arial" w:cs="Arial" w:eastAsia="Arial" w:hAnsi="Arial"/>
                <w:sz w:val="18"/>
                <w:szCs w:val="18"/>
                <w:color w:val="02568A"/>
              </w:rPr>
              <w:t>84.89</w:t>
            </w:r>
          </w:p>
        </w:tc>
        <w:tc>
          <w:tcPr>
            <w:tcW w:w="1060" w:type="dxa"/>
            <w:vAlign w:val="bottom"/>
            <w:gridSpan w:val="2"/>
            <w:vMerge w:val="restart"/>
            <w:shd w:val="clear" w:color="auto" w:fill="CED8EA"/>
          </w:tcPr>
          <w:p>
            <w:pPr>
              <w:jc w:val="right"/>
              <w:ind w:right="160"/>
              <w:spacing w:after="0"/>
              <w:rPr>
                <w:sz w:val="20"/>
                <w:szCs w:val="20"/>
                <w:color w:val="auto"/>
              </w:rPr>
            </w:pPr>
            <w:r>
              <w:rPr>
                <w:rFonts w:ascii="Arial" w:cs="Arial" w:eastAsia="Arial" w:hAnsi="Arial"/>
                <w:sz w:val="18"/>
                <w:szCs w:val="18"/>
                <w:color w:val="02568A"/>
              </w:rPr>
              <w:t>11/9/2022</w:t>
            </w:r>
          </w:p>
        </w:tc>
        <w:tc>
          <w:tcPr>
            <w:tcW w:w="860" w:type="dxa"/>
            <w:vAlign w:val="bottom"/>
            <w:vMerge w:val="restart"/>
            <w:shd w:val="clear" w:color="auto" w:fill="CED8EA"/>
          </w:tcPr>
          <w:p>
            <w:pPr>
              <w:jc w:val="right"/>
              <w:spacing w:after="0"/>
              <w:rPr>
                <w:sz w:val="20"/>
                <w:szCs w:val="20"/>
                <w:color w:val="auto"/>
              </w:rPr>
            </w:pPr>
            <w:r>
              <w:rPr>
                <w:rFonts w:ascii="Arial" w:cs="Arial" w:eastAsia="Arial" w:hAnsi="Arial"/>
                <w:sz w:val="18"/>
                <w:szCs w:val="18"/>
                <w:color w:val="02568A"/>
                <w:w w:val="98"/>
              </w:rPr>
              <w:t>46,356(5)</w:t>
            </w:r>
          </w:p>
        </w:tc>
        <w:tc>
          <w:tcPr>
            <w:tcW w:w="880" w:type="dxa"/>
            <w:vAlign w:val="bottom"/>
            <w:vMerge w:val="restart"/>
            <w:shd w:val="clear" w:color="auto" w:fill="CED8EA"/>
          </w:tcPr>
          <w:p>
            <w:pPr>
              <w:jc w:val="right"/>
              <w:ind w:right="12"/>
              <w:spacing w:after="0"/>
              <w:rPr>
                <w:sz w:val="20"/>
                <w:szCs w:val="20"/>
                <w:color w:val="auto"/>
              </w:rPr>
            </w:pPr>
            <w:r>
              <w:rPr>
                <w:rFonts w:ascii="Arial" w:cs="Arial" w:eastAsia="Arial" w:hAnsi="Arial"/>
                <w:sz w:val="18"/>
                <w:szCs w:val="18"/>
                <w:color w:val="02568A"/>
                <w:w w:val="94"/>
              </w:rPr>
              <w:t>3,591,199</w:t>
            </w:r>
          </w:p>
        </w:tc>
        <w:tc>
          <w:tcPr>
            <w:tcW w:w="940" w:type="dxa"/>
            <w:vAlign w:val="bottom"/>
            <w:vMerge w:val="restart"/>
            <w:shd w:val="clear" w:color="auto" w:fill="CED8EA"/>
          </w:tcPr>
          <w:p>
            <w:pPr>
              <w:jc w:val="right"/>
              <w:spacing w:after="0"/>
              <w:rPr>
                <w:sz w:val="20"/>
                <w:szCs w:val="20"/>
                <w:color w:val="auto"/>
              </w:rPr>
            </w:pPr>
            <w:r>
              <w:rPr>
                <w:rFonts w:ascii="Arial" w:cs="Arial" w:eastAsia="Arial" w:hAnsi="Arial"/>
                <w:sz w:val="18"/>
                <w:szCs w:val="18"/>
                <w:color w:val="02568A"/>
              </w:rPr>
              <w:t>9,290(11)</w:t>
            </w:r>
          </w:p>
        </w:tc>
        <w:tc>
          <w:tcPr>
            <w:tcW w:w="820" w:type="dxa"/>
            <w:vAlign w:val="bottom"/>
            <w:vMerge w:val="restart"/>
            <w:shd w:val="clear" w:color="auto" w:fill="CED8EA"/>
          </w:tcPr>
          <w:p>
            <w:pPr>
              <w:jc w:val="right"/>
              <w:spacing w:after="0"/>
              <w:rPr>
                <w:sz w:val="20"/>
                <w:szCs w:val="20"/>
                <w:color w:val="auto"/>
              </w:rPr>
            </w:pPr>
            <w:r>
              <w:rPr>
                <w:rFonts w:ascii="Arial" w:cs="Arial" w:eastAsia="Arial" w:hAnsi="Arial"/>
                <w:sz w:val="18"/>
                <w:szCs w:val="18"/>
                <w:color w:val="02568A"/>
              </w:rPr>
              <w:t>719,696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1540" w:type="dxa"/>
            <w:vAlign w:val="bottom"/>
            <w:vMerge w:val="restart"/>
            <w:shd w:val="clear" w:color="auto" w:fill="CED8EA"/>
          </w:tcPr>
          <w:p>
            <w:pPr>
              <w:ind w:left="420"/>
              <w:spacing w:after="0"/>
              <w:rPr>
                <w:sz w:val="20"/>
                <w:szCs w:val="20"/>
                <w:color w:val="auto"/>
              </w:rPr>
            </w:pPr>
            <w:r>
              <w:rPr>
                <w:rFonts w:ascii="Arial" w:cs="Arial" w:eastAsia="Arial" w:hAnsi="Arial"/>
                <w:sz w:val="18"/>
                <w:szCs w:val="18"/>
                <w:b w:val="1"/>
                <w:bCs w:val="1"/>
                <w:color w:val="02568A"/>
              </w:rPr>
              <w:t>Griffin</w:t>
            </w:r>
          </w:p>
        </w:tc>
        <w:tc>
          <w:tcPr>
            <w:tcW w:w="1000" w:type="dxa"/>
            <w:vAlign w:val="bottom"/>
            <w:vMerge w:val="continue"/>
            <w:shd w:val="clear" w:color="auto" w:fill="CED8EA"/>
          </w:tcPr>
          <w:p>
            <w:pPr>
              <w:spacing w:after="0"/>
              <w:rPr>
                <w:sz w:val="10"/>
                <w:szCs w:val="10"/>
                <w:color w:val="auto"/>
              </w:rPr>
            </w:pPr>
          </w:p>
        </w:tc>
        <w:tc>
          <w:tcPr>
            <w:tcW w:w="1220" w:type="dxa"/>
            <w:vAlign w:val="bottom"/>
            <w:vMerge w:val="continue"/>
            <w:shd w:val="clear" w:color="auto" w:fill="CED8EA"/>
          </w:tcPr>
          <w:p>
            <w:pPr>
              <w:spacing w:after="0"/>
              <w:rPr>
                <w:sz w:val="10"/>
                <w:szCs w:val="10"/>
                <w:color w:val="auto"/>
              </w:rPr>
            </w:pPr>
          </w:p>
        </w:tc>
        <w:tc>
          <w:tcPr>
            <w:tcW w:w="780" w:type="dxa"/>
            <w:vAlign w:val="bottom"/>
            <w:vMerge w:val="continue"/>
            <w:shd w:val="clear" w:color="auto" w:fill="CED8EA"/>
          </w:tcPr>
          <w:p>
            <w:pPr>
              <w:spacing w:after="0"/>
              <w:rPr>
                <w:sz w:val="10"/>
                <w:szCs w:val="10"/>
                <w:color w:val="auto"/>
              </w:rPr>
            </w:pPr>
          </w:p>
        </w:tc>
        <w:tc>
          <w:tcPr>
            <w:tcW w:w="1060" w:type="dxa"/>
            <w:vAlign w:val="bottom"/>
            <w:gridSpan w:val="2"/>
            <w:vMerge w:val="continue"/>
            <w:shd w:val="clear" w:color="auto" w:fill="CED8EA"/>
          </w:tcPr>
          <w:p>
            <w:pPr>
              <w:spacing w:after="0"/>
              <w:rPr>
                <w:sz w:val="10"/>
                <w:szCs w:val="10"/>
                <w:color w:val="auto"/>
              </w:rPr>
            </w:pPr>
          </w:p>
        </w:tc>
        <w:tc>
          <w:tcPr>
            <w:tcW w:w="860" w:type="dxa"/>
            <w:vAlign w:val="bottom"/>
            <w:vMerge w:val="continue"/>
            <w:shd w:val="clear" w:color="auto" w:fill="CED8EA"/>
          </w:tcPr>
          <w:p>
            <w:pPr>
              <w:spacing w:after="0"/>
              <w:rPr>
                <w:sz w:val="10"/>
                <w:szCs w:val="10"/>
                <w:color w:val="auto"/>
              </w:rPr>
            </w:pPr>
          </w:p>
        </w:tc>
        <w:tc>
          <w:tcPr>
            <w:tcW w:w="880" w:type="dxa"/>
            <w:vAlign w:val="bottom"/>
            <w:vMerge w:val="continue"/>
            <w:shd w:val="clear" w:color="auto" w:fill="CED8EA"/>
          </w:tcPr>
          <w:p>
            <w:pPr>
              <w:spacing w:after="0"/>
              <w:rPr>
                <w:sz w:val="10"/>
                <w:szCs w:val="10"/>
                <w:color w:val="auto"/>
              </w:rPr>
            </w:pPr>
          </w:p>
        </w:tc>
        <w:tc>
          <w:tcPr>
            <w:tcW w:w="940" w:type="dxa"/>
            <w:vAlign w:val="bottom"/>
            <w:vMerge w:val="continue"/>
            <w:shd w:val="clear" w:color="auto" w:fill="CED8EA"/>
          </w:tcPr>
          <w:p>
            <w:pPr>
              <w:spacing w:after="0"/>
              <w:rPr>
                <w:sz w:val="10"/>
                <w:szCs w:val="10"/>
                <w:color w:val="auto"/>
              </w:rPr>
            </w:pPr>
          </w:p>
        </w:tc>
        <w:tc>
          <w:tcPr>
            <w:tcW w:w="820" w:type="dxa"/>
            <w:vAlign w:val="bottom"/>
            <w:vMerge w:val="continue"/>
            <w:shd w:val="clear" w:color="auto" w:fill="CED8EA"/>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540" w:type="dxa"/>
            <w:vAlign w:val="bottom"/>
            <w:tcBorders>
              <w:bottom w:val="single" w:sz="8" w:color="D1D2D4"/>
            </w:tcBorders>
            <w:vMerge w:val="continue"/>
            <w:shd w:val="clear" w:color="auto" w:fill="CED8EA"/>
          </w:tcPr>
          <w:p>
            <w:pPr>
              <w:spacing w:after="0"/>
              <w:rPr>
                <w:sz w:val="9"/>
                <w:szCs w:val="9"/>
                <w:color w:val="auto"/>
              </w:rPr>
            </w:pPr>
          </w:p>
        </w:tc>
        <w:tc>
          <w:tcPr>
            <w:tcW w:w="1000" w:type="dxa"/>
            <w:vAlign w:val="bottom"/>
            <w:tcBorders>
              <w:bottom w:val="single" w:sz="8" w:color="D1D2D4"/>
            </w:tcBorders>
            <w:shd w:val="clear" w:color="auto" w:fill="CED8EA"/>
          </w:tcPr>
          <w:p>
            <w:pPr>
              <w:spacing w:after="0"/>
              <w:rPr>
                <w:sz w:val="9"/>
                <w:szCs w:val="9"/>
                <w:color w:val="auto"/>
              </w:rPr>
            </w:pPr>
          </w:p>
        </w:tc>
        <w:tc>
          <w:tcPr>
            <w:tcW w:w="1220" w:type="dxa"/>
            <w:vAlign w:val="bottom"/>
            <w:tcBorders>
              <w:bottom w:val="single" w:sz="8" w:color="D1D2D4"/>
            </w:tcBorders>
            <w:shd w:val="clear" w:color="auto" w:fill="CED8EA"/>
          </w:tcPr>
          <w:p>
            <w:pPr>
              <w:spacing w:after="0"/>
              <w:rPr>
                <w:sz w:val="9"/>
                <w:szCs w:val="9"/>
                <w:color w:val="auto"/>
              </w:rPr>
            </w:pPr>
          </w:p>
        </w:tc>
        <w:tc>
          <w:tcPr>
            <w:tcW w:w="780" w:type="dxa"/>
            <w:vAlign w:val="bottom"/>
            <w:tcBorders>
              <w:bottom w:val="single" w:sz="8" w:color="D1D2D4"/>
            </w:tcBorders>
            <w:shd w:val="clear" w:color="auto" w:fill="CED8EA"/>
          </w:tcPr>
          <w:p>
            <w:pPr>
              <w:spacing w:after="0"/>
              <w:rPr>
                <w:sz w:val="9"/>
                <w:szCs w:val="9"/>
                <w:color w:val="auto"/>
              </w:rPr>
            </w:pPr>
          </w:p>
        </w:tc>
        <w:tc>
          <w:tcPr>
            <w:tcW w:w="900" w:type="dxa"/>
            <w:vAlign w:val="bottom"/>
            <w:tcBorders>
              <w:bottom w:val="single" w:sz="8" w:color="D1D2D4"/>
            </w:tcBorders>
            <w:shd w:val="clear" w:color="auto" w:fill="CED8EA"/>
          </w:tcPr>
          <w:p>
            <w:pPr>
              <w:spacing w:after="0"/>
              <w:rPr>
                <w:sz w:val="9"/>
                <w:szCs w:val="9"/>
                <w:color w:val="auto"/>
              </w:rPr>
            </w:pPr>
          </w:p>
        </w:tc>
        <w:tc>
          <w:tcPr>
            <w:tcW w:w="160" w:type="dxa"/>
            <w:vAlign w:val="bottom"/>
            <w:tcBorders>
              <w:bottom w:val="single" w:sz="8" w:color="D1D2D4"/>
            </w:tcBorders>
            <w:shd w:val="clear" w:color="auto" w:fill="CED8EA"/>
          </w:tcPr>
          <w:p>
            <w:pPr>
              <w:spacing w:after="0"/>
              <w:rPr>
                <w:sz w:val="9"/>
                <w:szCs w:val="9"/>
                <w:color w:val="auto"/>
              </w:rPr>
            </w:pPr>
          </w:p>
        </w:tc>
        <w:tc>
          <w:tcPr>
            <w:tcW w:w="860" w:type="dxa"/>
            <w:vAlign w:val="bottom"/>
            <w:tcBorders>
              <w:bottom w:val="single" w:sz="8" w:color="D1D2D4"/>
            </w:tcBorders>
            <w:shd w:val="clear" w:color="auto" w:fill="CED8EA"/>
          </w:tcPr>
          <w:p>
            <w:pPr>
              <w:spacing w:after="0"/>
              <w:rPr>
                <w:sz w:val="9"/>
                <w:szCs w:val="9"/>
                <w:color w:val="auto"/>
              </w:rPr>
            </w:pPr>
          </w:p>
        </w:tc>
        <w:tc>
          <w:tcPr>
            <w:tcW w:w="880" w:type="dxa"/>
            <w:vAlign w:val="bottom"/>
            <w:tcBorders>
              <w:bottom w:val="single" w:sz="8" w:color="D1D2D4"/>
            </w:tcBorders>
            <w:shd w:val="clear" w:color="auto" w:fill="CED8EA"/>
          </w:tcPr>
          <w:p>
            <w:pPr>
              <w:spacing w:after="0"/>
              <w:rPr>
                <w:sz w:val="9"/>
                <w:szCs w:val="9"/>
                <w:color w:val="auto"/>
              </w:rPr>
            </w:pPr>
          </w:p>
        </w:tc>
        <w:tc>
          <w:tcPr>
            <w:tcW w:w="940" w:type="dxa"/>
            <w:vAlign w:val="bottom"/>
            <w:tcBorders>
              <w:bottom w:val="single" w:sz="8" w:color="D1D2D4"/>
            </w:tcBorders>
            <w:shd w:val="clear" w:color="auto" w:fill="CED8EA"/>
          </w:tcPr>
          <w:p>
            <w:pPr>
              <w:spacing w:after="0"/>
              <w:rPr>
                <w:sz w:val="9"/>
                <w:szCs w:val="9"/>
                <w:color w:val="auto"/>
              </w:rPr>
            </w:pPr>
          </w:p>
        </w:tc>
        <w:tc>
          <w:tcPr>
            <w:tcW w:w="820" w:type="dxa"/>
            <w:vAlign w:val="bottom"/>
            <w:tcBorders>
              <w:bottom w:val="single" w:sz="8" w:color="D1D2D4"/>
            </w:tcBorders>
            <w:shd w:val="clear" w:color="auto" w:fill="CED8EA"/>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540" w:type="dxa"/>
            <w:vAlign w:val="bottom"/>
          </w:tcPr>
          <w:p>
            <w:pPr>
              <w:spacing w:after="0"/>
              <w:rPr>
                <w:sz w:val="18"/>
                <w:szCs w:val="18"/>
                <w:color w:val="auto"/>
              </w:rPr>
            </w:pPr>
          </w:p>
        </w:tc>
        <w:tc>
          <w:tcPr>
            <w:tcW w:w="10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18,250</w:t>
            </w:r>
          </w:p>
        </w:tc>
        <w:tc>
          <w:tcPr>
            <w:tcW w:w="122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18,250(3)</w:t>
            </w:r>
          </w:p>
        </w:tc>
        <w:tc>
          <w:tcPr>
            <w:tcW w:w="7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64.59</w:t>
            </w:r>
          </w:p>
        </w:tc>
        <w:tc>
          <w:tcPr>
            <w:tcW w:w="1060" w:type="dxa"/>
            <w:vAlign w:val="bottom"/>
            <w:tcBorders>
              <w:bottom w:val="single" w:sz="8" w:color="D1D2D4"/>
            </w:tcBorders>
            <w:gridSpan w:val="2"/>
          </w:tcPr>
          <w:p>
            <w:pPr>
              <w:jc w:val="right"/>
              <w:ind w:right="160"/>
              <w:spacing w:after="0"/>
              <w:rPr>
                <w:sz w:val="20"/>
                <w:szCs w:val="20"/>
                <w:color w:val="auto"/>
              </w:rPr>
            </w:pPr>
            <w:r>
              <w:rPr>
                <w:rFonts w:ascii="Arial" w:cs="Arial" w:eastAsia="Arial" w:hAnsi="Arial"/>
                <w:sz w:val="18"/>
                <w:szCs w:val="18"/>
                <w:color w:val="02568A"/>
              </w:rPr>
              <w:t>5/11/2023</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9,271(6)</w:t>
            </w:r>
          </w:p>
        </w:tc>
        <w:tc>
          <w:tcPr>
            <w:tcW w:w="88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718,224</w:t>
            </w: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w w:val="96"/>
              </w:rPr>
              <w:t>18,151(12)</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w w:val="99"/>
              </w:rPr>
              <w:t>1,406,158</w:t>
            </w:r>
          </w:p>
        </w:tc>
        <w:tc>
          <w:tcPr>
            <w:tcW w:w="2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02568A"/>
              </w:rPr>
              <w:t>13,211</w:t>
            </w:r>
          </w:p>
        </w:tc>
        <w:tc>
          <w:tcPr>
            <w:tcW w:w="1220" w:type="dxa"/>
            <w:vAlign w:val="bottom"/>
          </w:tcPr>
          <w:p>
            <w:pPr>
              <w:jc w:val="right"/>
              <w:ind w:right="12"/>
              <w:spacing w:after="0"/>
              <w:rPr>
                <w:sz w:val="20"/>
                <w:szCs w:val="20"/>
                <w:color w:val="auto"/>
              </w:rPr>
            </w:pPr>
            <w:r>
              <w:rPr>
                <w:rFonts w:ascii="Arial" w:cs="Arial" w:eastAsia="Arial" w:hAnsi="Arial"/>
                <w:sz w:val="18"/>
                <w:szCs w:val="18"/>
                <w:color w:val="02568A"/>
              </w:rPr>
              <w:t>26,422(4)</w:t>
            </w:r>
          </w:p>
        </w:tc>
        <w:tc>
          <w:tcPr>
            <w:tcW w:w="780" w:type="dxa"/>
            <w:vAlign w:val="bottom"/>
          </w:tcPr>
          <w:p>
            <w:pPr>
              <w:jc w:val="right"/>
              <w:spacing w:after="0"/>
              <w:rPr>
                <w:sz w:val="20"/>
                <w:szCs w:val="20"/>
                <w:color w:val="auto"/>
              </w:rPr>
            </w:pPr>
            <w:r>
              <w:rPr>
                <w:rFonts w:ascii="Arial" w:cs="Arial" w:eastAsia="Arial" w:hAnsi="Arial"/>
                <w:sz w:val="18"/>
                <w:szCs w:val="18"/>
                <w:color w:val="02568A"/>
              </w:rPr>
              <w:t>77.66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02568A"/>
              </w:rPr>
              <w:t>11/9/2023</w:t>
            </w:r>
          </w:p>
        </w:tc>
        <w:tc>
          <w:tcPr>
            <w:tcW w:w="860" w:type="dxa"/>
            <w:vAlign w:val="bottom"/>
          </w:tcPr>
          <w:p>
            <w:pPr>
              <w:jc w:val="right"/>
              <w:spacing w:after="0"/>
              <w:rPr>
                <w:sz w:val="20"/>
                <w:szCs w:val="20"/>
                <w:color w:val="auto"/>
              </w:rPr>
            </w:pPr>
            <w:r>
              <w:rPr>
                <w:rFonts w:ascii="Arial" w:cs="Arial" w:eastAsia="Arial" w:hAnsi="Arial"/>
                <w:sz w:val="18"/>
                <w:szCs w:val="18"/>
                <w:color w:val="02568A"/>
              </w:rPr>
              <w:t>6,500(7)</w:t>
            </w:r>
          </w:p>
        </w:tc>
        <w:tc>
          <w:tcPr>
            <w:tcW w:w="880" w:type="dxa"/>
            <w:vAlign w:val="bottom"/>
          </w:tcPr>
          <w:p>
            <w:pPr>
              <w:jc w:val="right"/>
              <w:ind w:right="12"/>
              <w:spacing w:after="0"/>
              <w:rPr>
                <w:sz w:val="20"/>
                <w:szCs w:val="20"/>
                <w:color w:val="auto"/>
              </w:rPr>
            </w:pPr>
            <w:r>
              <w:rPr>
                <w:rFonts w:ascii="Arial" w:cs="Arial" w:eastAsia="Arial" w:hAnsi="Arial"/>
                <w:sz w:val="18"/>
                <w:szCs w:val="18"/>
                <w:color w:val="02568A"/>
              </w:rPr>
              <w:t>503,555</w:t>
            </w:r>
          </w:p>
        </w:tc>
        <w:tc>
          <w:tcPr>
            <w:tcW w:w="940" w:type="dxa"/>
            <w:vAlign w:val="bottom"/>
          </w:tcPr>
          <w:p>
            <w:pPr>
              <w:jc w:val="right"/>
              <w:spacing w:after="0"/>
              <w:rPr>
                <w:sz w:val="20"/>
                <w:szCs w:val="20"/>
                <w:color w:val="auto"/>
              </w:rPr>
            </w:pPr>
            <w:r>
              <w:rPr>
                <w:rFonts w:ascii="Arial" w:cs="Arial" w:eastAsia="Arial" w:hAnsi="Arial"/>
                <w:sz w:val="18"/>
                <w:szCs w:val="18"/>
                <w:color w:val="02568A"/>
                <w:w w:val="96"/>
              </w:rPr>
              <w:t>18,151(13)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02568A"/>
                <w:w w:val="99"/>
              </w:rPr>
              <w:t>1,406,158</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000" w:type="dxa"/>
            <w:vAlign w:val="bottom"/>
            <w:tcBorders>
              <w:top w:val="single" w:sz="8" w:color="D1D2D4"/>
              <w:bottom w:val="single" w:sz="8" w:color="D1D2D4"/>
            </w:tcBorders>
          </w:tcPr>
          <w:p>
            <w:pPr>
              <w:spacing w:after="0"/>
              <w:rPr>
                <w:sz w:val="18"/>
                <w:szCs w:val="18"/>
                <w:color w:val="auto"/>
              </w:rPr>
            </w:pPr>
          </w:p>
        </w:tc>
        <w:tc>
          <w:tcPr>
            <w:tcW w:w="1220" w:type="dxa"/>
            <w:vAlign w:val="bottom"/>
            <w:tcBorders>
              <w:top w:val="single" w:sz="8" w:color="D1D2D4"/>
              <w:bottom w:val="single" w:sz="8" w:color="D1D2D4"/>
            </w:tcBorders>
          </w:tcPr>
          <w:p>
            <w:pPr>
              <w:spacing w:after="0"/>
              <w:rPr>
                <w:sz w:val="18"/>
                <w:szCs w:val="18"/>
                <w:color w:val="auto"/>
              </w:rPr>
            </w:pPr>
          </w:p>
        </w:tc>
        <w:tc>
          <w:tcPr>
            <w:tcW w:w="780" w:type="dxa"/>
            <w:vAlign w:val="bottom"/>
            <w:tcBorders>
              <w:top w:val="single" w:sz="8" w:color="D1D2D4"/>
              <w:bottom w:val="single" w:sz="8" w:color="D1D2D4"/>
            </w:tcBorders>
          </w:tcPr>
          <w:p>
            <w:pPr>
              <w:spacing w:after="0"/>
              <w:rPr>
                <w:sz w:val="18"/>
                <w:szCs w:val="18"/>
                <w:color w:val="auto"/>
              </w:rPr>
            </w:pPr>
          </w:p>
        </w:tc>
        <w:tc>
          <w:tcPr>
            <w:tcW w:w="900" w:type="dxa"/>
            <w:vAlign w:val="bottom"/>
            <w:tcBorders>
              <w:top w:val="single" w:sz="8" w:color="D1D2D4"/>
              <w:bottom w:val="single" w:sz="8" w:color="D1D2D4"/>
            </w:tcBorders>
          </w:tcPr>
          <w:p>
            <w:pPr>
              <w:spacing w:after="0"/>
              <w:rPr>
                <w:sz w:val="18"/>
                <w:szCs w:val="18"/>
                <w:color w:val="auto"/>
              </w:rPr>
            </w:pPr>
          </w:p>
        </w:tc>
        <w:tc>
          <w:tcPr>
            <w:tcW w:w="160" w:type="dxa"/>
            <w:vAlign w:val="bottom"/>
            <w:tcBorders>
              <w:top w:val="single" w:sz="8" w:color="D1D2D4"/>
              <w:bottom w:val="single" w:sz="8" w:color="D1D2D4"/>
            </w:tcBorders>
          </w:tcPr>
          <w:p>
            <w:pPr>
              <w:spacing w:after="0"/>
              <w:rPr>
                <w:sz w:val="18"/>
                <w:szCs w:val="18"/>
                <w:color w:val="auto"/>
              </w:rPr>
            </w:pPr>
          </w:p>
        </w:tc>
        <w:tc>
          <w:tcPr>
            <w:tcW w:w="860" w:type="dxa"/>
            <w:vAlign w:val="bottom"/>
            <w:tcBorders>
              <w:top w:val="single" w:sz="8" w:color="D1D2D4"/>
              <w:bottom w:val="single" w:sz="8" w:color="D1D2D4"/>
            </w:tcBorders>
          </w:tcPr>
          <w:p>
            <w:pPr>
              <w:jc w:val="right"/>
              <w:spacing w:after="0"/>
              <w:rPr>
                <w:sz w:val="20"/>
                <w:szCs w:val="20"/>
                <w:color w:val="auto"/>
              </w:rPr>
            </w:pPr>
            <w:r>
              <w:rPr>
                <w:rFonts w:ascii="Arial" w:cs="Arial" w:eastAsia="Arial" w:hAnsi="Arial"/>
                <w:sz w:val="18"/>
                <w:szCs w:val="18"/>
                <w:color w:val="02568A"/>
              </w:rPr>
              <w:t>7,725(8)</w:t>
            </w:r>
          </w:p>
        </w:tc>
        <w:tc>
          <w:tcPr>
            <w:tcW w:w="880" w:type="dxa"/>
            <w:vAlign w:val="bottom"/>
            <w:tcBorders>
              <w:top w:val="single" w:sz="8" w:color="D1D2D4"/>
              <w:bottom w:val="single" w:sz="8" w:color="D1D2D4"/>
            </w:tcBorders>
          </w:tcPr>
          <w:p>
            <w:pPr>
              <w:jc w:val="right"/>
              <w:ind w:right="12"/>
              <w:spacing w:after="0"/>
              <w:rPr>
                <w:sz w:val="20"/>
                <w:szCs w:val="20"/>
                <w:color w:val="auto"/>
              </w:rPr>
            </w:pPr>
            <w:r>
              <w:rPr>
                <w:rFonts w:ascii="Arial" w:cs="Arial" w:eastAsia="Arial" w:hAnsi="Arial"/>
                <w:sz w:val="18"/>
                <w:szCs w:val="18"/>
                <w:color w:val="02568A"/>
              </w:rPr>
              <w:t>598,456</w:t>
            </w:r>
          </w:p>
        </w:tc>
        <w:tc>
          <w:tcPr>
            <w:tcW w:w="940" w:type="dxa"/>
            <w:vAlign w:val="bottom"/>
            <w:tcBorders>
              <w:top w:val="single" w:sz="8" w:color="D1D2D4"/>
              <w:bottom w:val="single" w:sz="8" w:color="D1D2D4"/>
            </w:tcBorders>
          </w:tcPr>
          <w:p>
            <w:pPr>
              <w:spacing w:after="0"/>
              <w:rPr>
                <w:sz w:val="18"/>
                <w:szCs w:val="18"/>
                <w:color w:val="auto"/>
              </w:rPr>
            </w:pPr>
          </w:p>
        </w:tc>
        <w:tc>
          <w:tcPr>
            <w:tcW w:w="820" w:type="dxa"/>
            <w:vAlign w:val="bottom"/>
            <w:tcBorders>
              <w:top w:val="single" w:sz="8" w:color="D1D2D4"/>
              <w:bottom w:val="single" w:sz="8" w:color="D1D2D4"/>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1000" w:type="dxa"/>
            <w:vAlign w:val="bottom"/>
            <w:tcBorders>
              <w:bottom w:val="single" w:sz="8" w:color="D1D2D4"/>
            </w:tcBorders>
          </w:tcPr>
          <w:p>
            <w:pPr>
              <w:spacing w:after="0"/>
              <w:rPr>
                <w:sz w:val="18"/>
                <w:szCs w:val="18"/>
                <w:color w:val="auto"/>
              </w:rPr>
            </w:pPr>
          </w:p>
        </w:tc>
        <w:tc>
          <w:tcPr>
            <w:tcW w:w="122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90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w w:val="98"/>
              </w:rPr>
              <w:t>18,581(9)</w:t>
            </w:r>
          </w:p>
        </w:tc>
        <w:tc>
          <w:tcPr>
            <w:tcW w:w="88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w w:val="94"/>
              </w:rPr>
              <w:t>1,439,470</w:t>
            </w:r>
          </w:p>
        </w:tc>
        <w:tc>
          <w:tcPr>
            <w:tcW w:w="94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Borders>
              <w:bottom w:val="single" w:sz="8" w:color="D1D2D4"/>
            </w:tcBorders>
          </w:tcPr>
          <w:p>
            <w:pPr>
              <w:spacing w:after="0"/>
              <w:rPr>
                <w:sz w:val="18"/>
                <w:szCs w:val="18"/>
                <w:color w:val="auto"/>
              </w:rPr>
            </w:pPr>
          </w:p>
        </w:tc>
        <w:tc>
          <w:tcPr>
            <w:tcW w:w="1000" w:type="dxa"/>
            <w:vAlign w:val="bottom"/>
            <w:tcBorders>
              <w:bottom w:val="single" w:sz="8" w:color="D1D2D4"/>
            </w:tcBorders>
          </w:tcPr>
          <w:p>
            <w:pPr>
              <w:spacing w:after="0"/>
              <w:rPr>
                <w:sz w:val="18"/>
                <w:szCs w:val="18"/>
                <w:color w:val="auto"/>
              </w:rPr>
            </w:pPr>
          </w:p>
        </w:tc>
        <w:tc>
          <w:tcPr>
            <w:tcW w:w="122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90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w w:val="87"/>
              </w:rPr>
              <w:t>48,402(10)</w:t>
            </w:r>
          </w:p>
        </w:tc>
        <w:tc>
          <w:tcPr>
            <w:tcW w:w="88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w w:val="94"/>
              </w:rPr>
              <w:t>3,749,703</w:t>
            </w:r>
          </w:p>
        </w:tc>
        <w:tc>
          <w:tcPr>
            <w:tcW w:w="94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Borders>
              <w:bottom w:val="single" w:sz="8" w:color="D1D2D4"/>
            </w:tcBorders>
            <w:shd w:val="clear" w:color="auto" w:fill="CED8EA"/>
          </w:tcPr>
          <w:p>
            <w:pPr>
              <w:ind w:left="260"/>
              <w:spacing w:after="0"/>
              <w:rPr>
                <w:sz w:val="20"/>
                <w:szCs w:val="20"/>
                <w:color w:val="auto"/>
              </w:rPr>
            </w:pPr>
            <w:r>
              <w:rPr>
                <w:rFonts w:ascii="Arial" w:cs="Arial" w:eastAsia="Arial" w:hAnsi="Arial"/>
                <w:sz w:val="18"/>
                <w:szCs w:val="18"/>
                <w:b w:val="1"/>
                <w:bCs w:val="1"/>
                <w:color w:val="02568A"/>
                <w:w w:val="97"/>
              </w:rPr>
              <w:t>Kris Sennesael</w:t>
            </w:r>
          </w:p>
        </w:tc>
        <w:tc>
          <w:tcPr>
            <w:tcW w:w="100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30,000</w:t>
            </w:r>
          </w:p>
        </w:tc>
        <w:tc>
          <w:tcPr>
            <w:tcW w:w="1220" w:type="dxa"/>
            <w:vAlign w:val="bottom"/>
            <w:tcBorders>
              <w:bottom w:val="single" w:sz="8" w:color="D1D2D4"/>
            </w:tcBorders>
            <w:shd w:val="clear" w:color="auto" w:fill="CED8EA"/>
          </w:tcPr>
          <w:p>
            <w:pPr>
              <w:jc w:val="right"/>
              <w:ind w:right="12"/>
              <w:spacing w:after="0"/>
              <w:rPr>
                <w:sz w:val="20"/>
                <w:szCs w:val="20"/>
                <w:color w:val="auto"/>
              </w:rPr>
            </w:pPr>
            <w:r>
              <w:rPr>
                <w:rFonts w:ascii="Arial" w:cs="Arial" w:eastAsia="Arial" w:hAnsi="Arial"/>
                <w:sz w:val="18"/>
                <w:szCs w:val="18"/>
                <w:color w:val="02568A"/>
              </w:rPr>
              <w:t>10,000(14)</w:t>
            </w:r>
          </w:p>
        </w:tc>
        <w:tc>
          <w:tcPr>
            <w:tcW w:w="78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75.22</w:t>
            </w:r>
          </w:p>
        </w:tc>
        <w:tc>
          <w:tcPr>
            <w:tcW w:w="1060" w:type="dxa"/>
            <w:vAlign w:val="bottom"/>
            <w:tcBorders>
              <w:bottom w:val="single" w:sz="8" w:color="D1D2D4"/>
            </w:tcBorders>
            <w:gridSpan w:val="2"/>
            <w:shd w:val="clear" w:color="auto" w:fill="CED8EA"/>
          </w:tcPr>
          <w:p>
            <w:pPr>
              <w:jc w:val="right"/>
              <w:ind w:right="160"/>
              <w:spacing w:after="0"/>
              <w:rPr>
                <w:sz w:val="20"/>
                <w:szCs w:val="20"/>
                <w:color w:val="auto"/>
              </w:rPr>
            </w:pPr>
            <w:r>
              <w:rPr>
                <w:rFonts w:ascii="Arial" w:cs="Arial" w:eastAsia="Arial" w:hAnsi="Arial"/>
                <w:sz w:val="18"/>
                <w:szCs w:val="18"/>
                <w:color w:val="02568A"/>
              </w:rPr>
              <w:t>8/29/2023</w:t>
            </w:r>
          </w:p>
        </w:tc>
        <w:tc>
          <w:tcPr>
            <w:tcW w:w="86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w w:val="98"/>
              </w:rPr>
              <w:t>11,202(5)</w:t>
            </w:r>
          </w:p>
        </w:tc>
        <w:tc>
          <w:tcPr>
            <w:tcW w:w="880" w:type="dxa"/>
            <w:vAlign w:val="bottom"/>
            <w:tcBorders>
              <w:bottom w:val="single" w:sz="8" w:color="D1D2D4"/>
            </w:tcBorders>
            <w:shd w:val="clear" w:color="auto" w:fill="CED8EA"/>
          </w:tcPr>
          <w:p>
            <w:pPr>
              <w:jc w:val="right"/>
              <w:ind w:right="12"/>
              <w:spacing w:after="0"/>
              <w:rPr>
                <w:sz w:val="20"/>
                <w:szCs w:val="20"/>
                <w:color w:val="auto"/>
              </w:rPr>
            </w:pPr>
            <w:r>
              <w:rPr>
                <w:rFonts w:ascii="Arial" w:cs="Arial" w:eastAsia="Arial" w:hAnsi="Arial"/>
                <w:sz w:val="18"/>
                <w:szCs w:val="18"/>
                <w:color w:val="02568A"/>
              </w:rPr>
              <w:t>867,819</w:t>
            </w:r>
          </w:p>
        </w:tc>
        <w:tc>
          <w:tcPr>
            <w:tcW w:w="94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3,238(11)</w:t>
            </w:r>
          </w:p>
        </w:tc>
        <w:tc>
          <w:tcPr>
            <w:tcW w:w="82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250,848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0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6,386</w:t>
            </w:r>
          </w:p>
        </w:tc>
        <w:tc>
          <w:tcPr>
            <w:tcW w:w="122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6,384(4)</w:t>
            </w:r>
          </w:p>
        </w:tc>
        <w:tc>
          <w:tcPr>
            <w:tcW w:w="7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77.66</w:t>
            </w:r>
          </w:p>
        </w:tc>
        <w:tc>
          <w:tcPr>
            <w:tcW w:w="1060" w:type="dxa"/>
            <w:vAlign w:val="bottom"/>
            <w:tcBorders>
              <w:bottom w:val="single" w:sz="8" w:color="D1D2D4"/>
            </w:tcBorders>
            <w:gridSpan w:val="2"/>
          </w:tcPr>
          <w:p>
            <w:pPr>
              <w:jc w:val="right"/>
              <w:ind w:right="160"/>
              <w:spacing w:after="0"/>
              <w:rPr>
                <w:sz w:val="20"/>
                <w:szCs w:val="20"/>
                <w:color w:val="auto"/>
              </w:rPr>
            </w:pPr>
            <w:r>
              <w:rPr>
                <w:rFonts w:ascii="Arial" w:cs="Arial" w:eastAsia="Arial" w:hAnsi="Arial"/>
                <w:sz w:val="18"/>
                <w:szCs w:val="18"/>
                <w:color w:val="02568A"/>
              </w:rPr>
              <w:t>11/9/2023</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3,231(6)</w:t>
            </w:r>
          </w:p>
        </w:tc>
        <w:tc>
          <w:tcPr>
            <w:tcW w:w="88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250,306</w:t>
            </w: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5,082(12)</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393,703</w:t>
            </w:r>
          </w:p>
        </w:tc>
        <w:tc>
          <w:tcPr>
            <w:tcW w:w="2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2568A"/>
                <w:w w:val="98"/>
              </w:rPr>
              <w:t>6,250(15)</w:t>
            </w:r>
          </w:p>
        </w:tc>
        <w:tc>
          <w:tcPr>
            <w:tcW w:w="880" w:type="dxa"/>
            <w:vAlign w:val="bottom"/>
          </w:tcPr>
          <w:p>
            <w:pPr>
              <w:jc w:val="right"/>
              <w:ind w:right="12"/>
              <w:spacing w:after="0"/>
              <w:rPr>
                <w:sz w:val="20"/>
                <w:szCs w:val="20"/>
                <w:color w:val="auto"/>
              </w:rPr>
            </w:pPr>
            <w:r>
              <w:rPr>
                <w:rFonts w:ascii="Arial" w:cs="Arial" w:eastAsia="Arial" w:hAnsi="Arial"/>
                <w:sz w:val="18"/>
                <w:szCs w:val="18"/>
                <w:color w:val="02568A"/>
              </w:rPr>
              <w:t>484,188</w:t>
            </w:r>
          </w:p>
        </w:tc>
        <w:tc>
          <w:tcPr>
            <w:tcW w:w="940" w:type="dxa"/>
            <w:vAlign w:val="bottom"/>
          </w:tcPr>
          <w:p>
            <w:pPr>
              <w:jc w:val="right"/>
              <w:spacing w:after="0"/>
              <w:rPr>
                <w:sz w:val="20"/>
                <w:szCs w:val="20"/>
                <w:color w:val="auto"/>
              </w:rPr>
            </w:pPr>
            <w:r>
              <w:rPr>
                <w:rFonts w:ascii="Arial" w:cs="Arial" w:eastAsia="Arial" w:hAnsi="Arial"/>
                <w:sz w:val="18"/>
                <w:szCs w:val="18"/>
                <w:color w:val="02568A"/>
              </w:rPr>
              <w:t>5,082(13)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02568A"/>
              </w:rPr>
              <w:t>393,703</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000" w:type="dxa"/>
            <w:vAlign w:val="bottom"/>
            <w:tcBorders>
              <w:top w:val="single" w:sz="8" w:color="D1D2D4"/>
              <w:bottom w:val="single" w:sz="8" w:color="D1D2D4"/>
            </w:tcBorders>
          </w:tcPr>
          <w:p>
            <w:pPr>
              <w:spacing w:after="0"/>
              <w:rPr>
                <w:sz w:val="18"/>
                <w:szCs w:val="18"/>
                <w:color w:val="auto"/>
              </w:rPr>
            </w:pPr>
          </w:p>
        </w:tc>
        <w:tc>
          <w:tcPr>
            <w:tcW w:w="1220" w:type="dxa"/>
            <w:vAlign w:val="bottom"/>
            <w:tcBorders>
              <w:top w:val="single" w:sz="8" w:color="D1D2D4"/>
              <w:bottom w:val="single" w:sz="8" w:color="D1D2D4"/>
            </w:tcBorders>
          </w:tcPr>
          <w:p>
            <w:pPr>
              <w:spacing w:after="0"/>
              <w:rPr>
                <w:sz w:val="18"/>
                <w:szCs w:val="18"/>
                <w:color w:val="auto"/>
              </w:rPr>
            </w:pPr>
          </w:p>
        </w:tc>
        <w:tc>
          <w:tcPr>
            <w:tcW w:w="780" w:type="dxa"/>
            <w:vAlign w:val="bottom"/>
            <w:tcBorders>
              <w:top w:val="single" w:sz="8" w:color="D1D2D4"/>
              <w:bottom w:val="single" w:sz="8" w:color="D1D2D4"/>
            </w:tcBorders>
          </w:tcPr>
          <w:p>
            <w:pPr>
              <w:spacing w:after="0"/>
              <w:rPr>
                <w:sz w:val="18"/>
                <w:szCs w:val="18"/>
                <w:color w:val="auto"/>
              </w:rPr>
            </w:pPr>
          </w:p>
        </w:tc>
        <w:tc>
          <w:tcPr>
            <w:tcW w:w="900" w:type="dxa"/>
            <w:vAlign w:val="bottom"/>
            <w:tcBorders>
              <w:top w:val="single" w:sz="8" w:color="D1D2D4"/>
              <w:bottom w:val="single" w:sz="8" w:color="D1D2D4"/>
            </w:tcBorders>
          </w:tcPr>
          <w:p>
            <w:pPr>
              <w:spacing w:after="0"/>
              <w:rPr>
                <w:sz w:val="18"/>
                <w:szCs w:val="18"/>
                <w:color w:val="auto"/>
              </w:rPr>
            </w:pPr>
          </w:p>
        </w:tc>
        <w:tc>
          <w:tcPr>
            <w:tcW w:w="160" w:type="dxa"/>
            <w:vAlign w:val="bottom"/>
            <w:tcBorders>
              <w:top w:val="single" w:sz="8" w:color="D1D2D4"/>
              <w:bottom w:val="single" w:sz="8" w:color="D1D2D4"/>
            </w:tcBorders>
          </w:tcPr>
          <w:p>
            <w:pPr>
              <w:spacing w:after="0"/>
              <w:rPr>
                <w:sz w:val="18"/>
                <w:szCs w:val="18"/>
                <w:color w:val="auto"/>
              </w:rPr>
            </w:pPr>
          </w:p>
        </w:tc>
        <w:tc>
          <w:tcPr>
            <w:tcW w:w="860" w:type="dxa"/>
            <w:vAlign w:val="bottom"/>
            <w:tcBorders>
              <w:top w:val="single" w:sz="8" w:color="D1D2D4"/>
              <w:bottom w:val="single" w:sz="8" w:color="D1D2D4"/>
            </w:tcBorders>
          </w:tcPr>
          <w:p>
            <w:pPr>
              <w:jc w:val="right"/>
              <w:spacing w:after="0"/>
              <w:rPr>
                <w:sz w:val="20"/>
                <w:szCs w:val="20"/>
                <w:color w:val="auto"/>
              </w:rPr>
            </w:pPr>
            <w:r>
              <w:rPr>
                <w:rFonts w:ascii="Arial" w:cs="Arial" w:eastAsia="Arial" w:hAnsi="Arial"/>
                <w:sz w:val="18"/>
                <w:szCs w:val="18"/>
                <w:color w:val="02568A"/>
              </w:rPr>
              <w:t>1,866(8)</w:t>
            </w:r>
          </w:p>
        </w:tc>
        <w:tc>
          <w:tcPr>
            <w:tcW w:w="880" w:type="dxa"/>
            <w:vAlign w:val="bottom"/>
            <w:tcBorders>
              <w:top w:val="single" w:sz="8" w:color="D1D2D4"/>
              <w:bottom w:val="single" w:sz="8" w:color="D1D2D4"/>
            </w:tcBorders>
          </w:tcPr>
          <w:p>
            <w:pPr>
              <w:jc w:val="right"/>
              <w:ind w:right="12"/>
              <w:spacing w:after="0"/>
              <w:rPr>
                <w:sz w:val="20"/>
                <w:szCs w:val="20"/>
                <w:color w:val="auto"/>
              </w:rPr>
            </w:pPr>
            <w:r>
              <w:rPr>
                <w:rFonts w:ascii="Arial" w:cs="Arial" w:eastAsia="Arial" w:hAnsi="Arial"/>
                <w:sz w:val="18"/>
                <w:szCs w:val="18"/>
                <w:color w:val="02568A"/>
              </w:rPr>
              <w:t>144,559</w:t>
            </w:r>
          </w:p>
        </w:tc>
        <w:tc>
          <w:tcPr>
            <w:tcW w:w="940" w:type="dxa"/>
            <w:vAlign w:val="bottom"/>
            <w:tcBorders>
              <w:top w:val="single" w:sz="8" w:color="D1D2D4"/>
              <w:bottom w:val="single" w:sz="8" w:color="D1D2D4"/>
            </w:tcBorders>
          </w:tcPr>
          <w:p>
            <w:pPr>
              <w:spacing w:after="0"/>
              <w:rPr>
                <w:sz w:val="18"/>
                <w:szCs w:val="18"/>
                <w:color w:val="auto"/>
              </w:rPr>
            </w:pPr>
          </w:p>
        </w:tc>
        <w:tc>
          <w:tcPr>
            <w:tcW w:w="820" w:type="dxa"/>
            <w:vAlign w:val="bottom"/>
            <w:tcBorders>
              <w:top w:val="single" w:sz="8" w:color="D1D2D4"/>
              <w:bottom w:val="single" w:sz="8" w:color="D1D2D4"/>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000" w:type="dxa"/>
            <w:vAlign w:val="bottom"/>
            <w:tcBorders>
              <w:bottom w:val="single" w:sz="8" w:color="D1D2D4"/>
            </w:tcBorders>
          </w:tcPr>
          <w:p>
            <w:pPr>
              <w:spacing w:after="0"/>
              <w:rPr>
                <w:sz w:val="18"/>
                <w:szCs w:val="18"/>
                <w:color w:val="auto"/>
              </w:rPr>
            </w:pPr>
          </w:p>
        </w:tc>
        <w:tc>
          <w:tcPr>
            <w:tcW w:w="122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90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6,475(9)</w:t>
            </w:r>
          </w:p>
        </w:tc>
        <w:tc>
          <w:tcPr>
            <w:tcW w:w="88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501,618</w:t>
            </w:r>
          </w:p>
        </w:tc>
        <w:tc>
          <w:tcPr>
            <w:tcW w:w="94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Borders>
              <w:bottom w:val="single" w:sz="8" w:color="D1D2D4"/>
            </w:tcBorders>
          </w:tcPr>
          <w:p>
            <w:pPr>
              <w:spacing w:after="0"/>
              <w:rPr>
                <w:sz w:val="18"/>
                <w:szCs w:val="18"/>
                <w:color w:val="auto"/>
              </w:rPr>
            </w:pPr>
          </w:p>
        </w:tc>
        <w:tc>
          <w:tcPr>
            <w:tcW w:w="1000" w:type="dxa"/>
            <w:vAlign w:val="bottom"/>
            <w:tcBorders>
              <w:bottom w:val="single" w:sz="8" w:color="D1D2D4"/>
            </w:tcBorders>
          </w:tcPr>
          <w:p>
            <w:pPr>
              <w:spacing w:after="0"/>
              <w:rPr>
                <w:sz w:val="18"/>
                <w:szCs w:val="18"/>
                <w:color w:val="auto"/>
              </w:rPr>
            </w:pPr>
          </w:p>
        </w:tc>
        <w:tc>
          <w:tcPr>
            <w:tcW w:w="122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90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w w:val="87"/>
              </w:rPr>
              <w:t>13,552(10)</w:t>
            </w:r>
          </w:p>
        </w:tc>
        <w:tc>
          <w:tcPr>
            <w:tcW w:w="88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w w:val="94"/>
              </w:rPr>
              <w:t>1,049,873</w:t>
            </w:r>
          </w:p>
        </w:tc>
        <w:tc>
          <w:tcPr>
            <w:tcW w:w="94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40" w:type="dxa"/>
            <w:vAlign w:val="bottom"/>
            <w:tcBorders>
              <w:bottom w:val="single" w:sz="8" w:color="D1D2D4"/>
            </w:tcBorders>
            <w:shd w:val="clear" w:color="auto" w:fill="CED8EA"/>
          </w:tcPr>
          <w:p>
            <w:pPr>
              <w:ind w:left="260"/>
              <w:spacing w:after="0"/>
              <w:rPr>
                <w:sz w:val="20"/>
                <w:szCs w:val="20"/>
                <w:color w:val="auto"/>
              </w:rPr>
            </w:pPr>
            <w:r>
              <w:rPr>
                <w:rFonts w:ascii="Arial" w:cs="Arial" w:eastAsia="Arial" w:hAnsi="Arial"/>
                <w:sz w:val="18"/>
                <w:szCs w:val="18"/>
                <w:b w:val="1"/>
                <w:bCs w:val="1"/>
                <w:color w:val="02568A"/>
              </w:rPr>
              <w:t>Carlos S. Bori</w:t>
            </w:r>
          </w:p>
        </w:tc>
        <w:tc>
          <w:tcPr>
            <w:tcW w:w="100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1,500</w:t>
            </w:r>
          </w:p>
        </w:tc>
        <w:tc>
          <w:tcPr>
            <w:tcW w:w="1220" w:type="dxa"/>
            <w:vAlign w:val="bottom"/>
            <w:tcBorders>
              <w:bottom w:val="single" w:sz="8" w:color="D1D2D4"/>
            </w:tcBorders>
            <w:shd w:val="clear" w:color="auto" w:fill="CED8EA"/>
          </w:tcPr>
          <w:p>
            <w:pPr>
              <w:jc w:val="right"/>
              <w:ind w:right="12"/>
              <w:spacing w:after="0"/>
              <w:rPr>
                <w:sz w:val="20"/>
                <w:szCs w:val="20"/>
                <w:color w:val="auto"/>
              </w:rPr>
            </w:pPr>
            <w:r>
              <w:rPr>
                <w:rFonts w:ascii="Arial" w:cs="Arial" w:eastAsia="Arial" w:hAnsi="Arial"/>
                <w:sz w:val="18"/>
                <w:szCs w:val="18"/>
                <w:color w:val="02568A"/>
              </w:rPr>
              <w:t>—</w:t>
            </w:r>
          </w:p>
        </w:tc>
        <w:tc>
          <w:tcPr>
            <w:tcW w:w="78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60.97</w:t>
            </w:r>
          </w:p>
        </w:tc>
        <w:tc>
          <w:tcPr>
            <w:tcW w:w="1060" w:type="dxa"/>
            <w:vAlign w:val="bottom"/>
            <w:tcBorders>
              <w:bottom w:val="single" w:sz="8" w:color="D1D2D4"/>
            </w:tcBorders>
            <w:gridSpan w:val="2"/>
            <w:shd w:val="clear" w:color="auto" w:fill="CED8EA"/>
          </w:tcPr>
          <w:p>
            <w:pPr>
              <w:jc w:val="right"/>
              <w:ind w:right="160"/>
              <w:spacing w:after="0"/>
              <w:rPr>
                <w:sz w:val="20"/>
                <w:szCs w:val="20"/>
                <w:color w:val="auto"/>
              </w:rPr>
            </w:pPr>
            <w:r>
              <w:rPr>
                <w:rFonts w:ascii="Arial" w:cs="Arial" w:eastAsia="Arial" w:hAnsi="Arial"/>
                <w:sz w:val="18"/>
                <w:szCs w:val="18"/>
                <w:color w:val="02568A"/>
                <w:w w:val="97"/>
              </w:rPr>
              <w:t>11/10/2021</w:t>
            </w:r>
          </w:p>
        </w:tc>
        <w:tc>
          <w:tcPr>
            <w:tcW w:w="86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w w:val="98"/>
              </w:rPr>
              <w:t>10,816(5)</w:t>
            </w:r>
          </w:p>
        </w:tc>
        <w:tc>
          <w:tcPr>
            <w:tcW w:w="880" w:type="dxa"/>
            <w:vAlign w:val="bottom"/>
            <w:tcBorders>
              <w:bottom w:val="single" w:sz="8" w:color="D1D2D4"/>
            </w:tcBorders>
            <w:shd w:val="clear" w:color="auto" w:fill="CED8EA"/>
          </w:tcPr>
          <w:p>
            <w:pPr>
              <w:jc w:val="right"/>
              <w:ind w:right="12"/>
              <w:spacing w:after="0"/>
              <w:rPr>
                <w:sz w:val="20"/>
                <w:szCs w:val="20"/>
                <w:color w:val="auto"/>
              </w:rPr>
            </w:pPr>
            <w:r>
              <w:rPr>
                <w:rFonts w:ascii="Arial" w:cs="Arial" w:eastAsia="Arial" w:hAnsi="Arial"/>
                <w:sz w:val="18"/>
                <w:szCs w:val="18"/>
                <w:color w:val="02568A"/>
              </w:rPr>
              <w:t>837,916</w:t>
            </w:r>
          </w:p>
        </w:tc>
        <w:tc>
          <w:tcPr>
            <w:tcW w:w="94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3,238(11)</w:t>
            </w:r>
          </w:p>
        </w:tc>
        <w:tc>
          <w:tcPr>
            <w:tcW w:w="82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250,848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0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3,894</w:t>
            </w:r>
          </w:p>
        </w:tc>
        <w:tc>
          <w:tcPr>
            <w:tcW w:w="122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1,297(2)</w:t>
            </w:r>
          </w:p>
        </w:tc>
        <w:tc>
          <w:tcPr>
            <w:tcW w:w="7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84.89</w:t>
            </w:r>
          </w:p>
        </w:tc>
        <w:tc>
          <w:tcPr>
            <w:tcW w:w="1060" w:type="dxa"/>
            <w:vAlign w:val="bottom"/>
            <w:tcBorders>
              <w:bottom w:val="single" w:sz="8" w:color="D1D2D4"/>
            </w:tcBorders>
            <w:gridSpan w:val="2"/>
          </w:tcPr>
          <w:p>
            <w:pPr>
              <w:jc w:val="right"/>
              <w:ind w:right="160"/>
              <w:spacing w:after="0"/>
              <w:rPr>
                <w:sz w:val="20"/>
                <w:szCs w:val="20"/>
                <w:color w:val="auto"/>
              </w:rPr>
            </w:pPr>
            <w:r>
              <w:rPr>
                <w:rFonts w:ascii="Arial" w:cs="Arial" w:eastAsia="Arial" w:hAnsi="Arial"/>
                <w:sz w:val="18"/>
                <w:szCs w:val="18"/>
                <w:color w:val="02568A"/>
              </w:rPr>
              <w:t>11/9/2022</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3,231(6)</w:t>
            </w:r>
          </w:p>
        </w:tc>
        <w:tc>
          <w:tcPr>
            <w:tcW w:w="88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250,306</w:t>
            </w: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4,900(12)</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379,603</w:t>
            </w:r>
          </w:p>
        </w:tc>
        <w:tc>
          <w:tcPr>
            <w:tcW w:w="2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02568A"/>
              </w:rPr>
              <w:t>3,083</w:t>
            </w:r>
          </w:p>
        </w:tc>
        <w:tc>
          <w:tcPr>
            <w:tcW w:w="1220" w:type="dxa"/>
            <w:vAlign w:val="bottom"/>
          </w:tcPr>
          <w:p>
            <w:pPr>
              <w:jc w:val="right"/>
              <w:ind w:right="12"/>
              <w:spacing w:after="0"/>
              <w:rPr>
                <w:sz w:val="20"/>
                <w:szCs w:val="20"/>
                <w:color w:val="auto"/>
              </w:rPr>
            </w:pPr>
            <w:r>
              <w:rPr>
                <w:rFonts w:ascii="Arial" w:cs="Arial" w:eastAsia="Arial" w:hAnsi="Arial"/>
                <w:sz w:val="18"/>
                <w:szCs w:val="18"/>
                <w:color w:val="02568A"/>
              </w:rPr>
              <w:t>6,164(4)</w:t>
            </w:r>
          </w:p>
        </w:tc>
        <w:tc>
          <w:tcPr>
            <w:tcW w:w="780" w:type="dxa"/>
            <w:vAlign w:val="bottom"/>
          </w:tcPr>
          <w:p>
            <w:pPr>
              <w:jc w:val="right"/>
              <w:spacing w:after="0"/>
              <w:rPr>
                <w:sz w:val="20"/>
                <w:szCs w:val="20"/>
                <w:color w:val="auto"/>
              </w:rPr>
            </w:pPr>
            <w:r>
              <w:rPr>
                <w:rFonts w:ascii="Arial" w:cs="Arial" w:eastAsia="Arial" w:hAnsi="Arial"/>
                <w:sz w:val="18"/>
                <w:szCs w:val="18"/>
                <w:color w:val="02568A"/>
              </w:rPr>
              <w:t>77.66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02568A"/>
              </w:rPr>
              <w:t>11/9/2023</w:t>
            </w:r>
          </w:p>
        </w:tc>
        <w:tc>
          <w:tcPr>
            <w:tcW w:w="860" w:type="dxa"/>
            <w:vAlign w:val="bottom"/>
          </w:tcPr>
          <w:p>
            <w:pPr>
              <w:jc w:val="right"/>
              <w:spacing w:after="0"/>
              <w:rPr>
                <w:sz w:val="20"/>
                <w:szCs w:val="20"/>
                <w:color w:val="auto"/>
              </w:rPr>
            </w:pPr>
            <w:r>
              <w:rPr>
                <w:rFonts w:ascii="Arial" w:cs="Arial" w:eastAsia="Arial" w:hAnsi="Arial"/>
                <w:sz w:val="18"/>
                <w:szCs w:val="18"/>
                <w:color w:val="02568A"/>
              </w:rPr>
              <w:t>1,802(8)</w:t>
            </w:r>
          </w:p>
        </w:tc>
        <w:tc>
          <w:tcPr>
            <w:tcW w:w="880" w:type="dxa"/>
            <w:vAlign w:val="bottom"/>
          </w:tcPr>
          <w:p>
            <w:pPr>
              <w:jc w:val="right"/>
              <w:ind w:right="12"/>
              <w:spacing w:after="0"/>
              <w:rPr>
                <w:sz w:val="20"/>
                <w:szCs w:val="20"/>
                <w:color w:val="auto"/>
              </w:rPr>
            </w:pPr>
            <w:r>
              <w:rPr>
                <w:rFonts w:ascii="Arial" w:cs="Arial" w:eastAsia="Arial" w:hAnsi="Arial"/>
                <w:sz w:val="18"/>
                <w:szCs w:val="18"/>
                <w:color w:val="02568A"/>
              </w:rPr>
              <w:t>139,601</w:t>
            </w:r>
          </w:p>
        </w:tc>
        <w:tc>
          <w:tcPr>
            <w:tcW w:w="940" w:type="dxa"/>
            <w:vAlign w:val="bottom"/>
          </w:tcPr>
          <w:p>
            <w:pPr>
              <w:jc w:val="right"/>
              <w:spacing w:after="0"/>
              <w:rPr>
                <w:sz w:val="20"/>
                <w:szCs w:val="20"/>
                <w:color w:val="auto"/>
              </w:rPr>
            </w:pPr>
            <w:r>
              <w:rPr>
                <w:rFonts w:ascii="Arial" w:cs="Arial" w:eastAsia="Arial" w:hAnsi="Arial"/>
                <w:sz w:val="18"/>
                <w:szCs w:val="18"/>
                <w:color w:val="02568A"/>
              </w:rPr>
              <w:t>4,900(13)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02568A"/>
              </w:rPr>
              <w:t>379,603</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000" w:type="dxa"/>
            <w:vAlign w:val="bottom"/>
            <w:tcBorders>
              <w:top w:val="single" w:sz="8" w:color="D1D2D4"/>
              <w:bottom w:val="single" w:sz="8" w:color="D1D2D4"/>
            </w:tcBorders>
          </w:tcPr>
          <w:p>
            <w:pPr>
              <w:spacing w:after="0"/>
              <w:rPr>
                <w:sz w:val="18"/>
                <w:szCs w:val="18"/>
                <w:color w:val="auto"/>
              </w:rPr>
            </w:pPr>
          </w:p>
        </w:tc>
        <w:tc>
          <w:tcPr>
            <w:tcW w:w="1220" w:type="dxa"/>
            <w:vAlign w:val="bottom"/>
            <w:tcBorders>
              <w:top w:val="single" w:sz="8" w:color="D1D2D4"/>
              <w:bottom w:val="single" w:sz="8" w:color="D1D2D4"/>
            </w:tcBorders>
          </w:tcPr>
          <w:p>
            <w:pPr>
              <w:spacing w:after="0"/>
              <w:rPr>
                <w:sz w:val="18"/>
                <w:szCs w:val="18"/>
                <w:color w:val="auto"/>
              </w:rPr>
            </w:pPr>
          </w:p>
        </w:tc>
        <w:tc>
          <w:tcPr>
            <w:tcW w:w="780" w:type="dxa"/>
            <w:vAlign w:val="bottom"/>
            <w:tcBorders>
              <w:top w:val="single" w:sz="8" w:color="D1D2D4"/>
              <w:bottom w:val="single" w:sz="8" w:color="D1D2D4"/>
            </w:tcBorders>
          </w:tcPr>
          <w:p>
            <w:pPr>
              <w:spacing w:after="0"/>
              <w:rPr>
                <w:sz w:val="18"/>
                <w:szCs w:val="18"/>
                <w:color w:val="auto"/>
              </w:rPr>
            </w:pPr>
          </w:p>
        </w:tc>
        <w:tc>
          <w:tcPr>
            <w:tcW w:w="900" w:type="dxa"/>
            <w:vAlign w:val="bottom"/>
            <w:tcBorders>
              <w:top w:val="single" w:sz="8" w:color="D1D2D4"/>
              <w:bottom w:val="single" w:sz="8" w:color="D1D2D4"/>
            </w:tcBorders>
          </w:tcPr>
          <w:p>
            <w:pPr>
              <w:spacing w:after="0"/>
              <w:rPr>
                <w:sz w:val="18"/>
                <w:szCs w:val="18"/>
                <w:color w:val="auto"/>
              </w:rPr>
            </w:pPr>
          </w:p>
        </w:tc>
        <w:tc>
          <w:tcPr>
            <w:tcW w:w="160" w:type="dxa"/>
            <w:vAlign w:val="bottom"/>
            <w:tcBorders>
              <w:top w:val="single" w:sz="8" w:color="D1D2D4"/>
              <w:bottom w:val="single" w:sz="8" w:color="D1D2D4"/>
            </w:tcBorders>
          </w:tcPr>
          <w:p>
            <w:pPr>
              <w:spacing w:after="0"/>
              <w:rPr>
                <w:sz w:val="18"/>
                <w:szCs w:val="18"/>
                <w:color w:val="auto"/>
              </w:rPr>
            </w:pPr>
          </w:p>
        </w:tc>
        <w:tc>
          <w:tcPr>
            <w:tcW w:w="860" w:type="dxa"/>
            <w:vAlign w:val="bottom"/>
            <w:tcBorders>
              <w:top w:val="single" w:sz="8" w:color="D1D2D4"/>
              <w:bottom w:val="single" w:sz="8" w:color="D1D2D4"/>
            </w:tcBorders>
          </w:tcPr>
          <w:p>
            <w:pPr>
              <w:jc w:val="right"/>
              <w:spacing w:after="0"/>
              <w:rPr>
                <w:sz w:val="20"/>
                <w:szCs w:val="20"/>
                <w:color w:val="auto"/>
              </w:rPr>
            </w:pPr>
            <w:r>
              <w:rPr>
                <w:rFonts w:ascii="Arial" w:cs="Arial" w:eastAsia="Arial" w:hAnsi="Arial"/>
                <w:sz w:val="18"/>
                <w:szCs w:val="18"/>
                <w:color w:val="02568A"/>
              </w:rPr>
              <w:t>6,475(9)</w:t>
            </w:r>
          </w:p>
        </w:tc>
        <w:tc>
          <w:tcPr>
            <w:tcW w:w="880" w:type="dxa"/>
            <w:vAlign w:val="bottom"/>
            <w:tcBorders>
              <w:top w:val="single" w:sz="8" w:color="D1D2D4"/>
              <w:bottom w:val="single" w:sz="8" w:color="D1D2D4"/>
            </w:tcBorders>
          </w:tcPr>
          <w:p>
            <w:pPr>
              <w:jc w:val="right"/>
              <w:ind w:right="12"/>
              <w:spacing w:after="0"/>
              <w:rPr>
                <w:sz w:val="20"/>
                <w:szCs w:val="20"/>
                <w:color w:val="auto"/>
              </w:rPr>
            </w:pPr>
            <w:r>
              <w:rPr>
                <w:rFonts w:ascii="Arial" w:cs="Arial" w:eastAsia="Arial" w:hAnsi="Arial"/>
                <w:sz w:val="18"/>
                <w:szCs w:val="18"/>
                <w:color w:val="02568A"/>
              </w:rPr>
              <w:t>501,618</w:t>
            </w:r>
          </w:p>
        </w:tc>
        <w:tc>
          <w:tcPr>
            <w:tcW w:w="940" w:type="dxa"/>
            <w:vAlign w:val="bottom"/>
            <w:tcBorders>
              <w:top w:val="single" w:sz="8" w:color="D1D2D4"/>
              <w:bottom w:val="single" w:sz="8" w:color="D1D2D4"/>
            </w:tcBorders>
          </w:tcPr>
          <w:p>
            <w:pPr>
              <w:spacing w:after="0"/>
              <w:rPr>
                <w:sz w:val="18"/>
                <w:szCs w:val="18"/>
                <w:color w:val="auto"/>
              </w:rPr>
            </w:pPr>
          </w:p>
        </w:tc>
        <w:tc>
          <w:tcPr>
            <w:tcW w:w="820" w:type="dxa"/>
            <w:vAlign w:val="bottom"/>
            <w:tcBorders>
              <w:top w:val="single" w:sz="8" w:color="D1D2D4"/>
              <w:bottom w:val="single" w:sz="8" w:color="D1D2D4"/>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40" w:type="dxa"/>
            <w:vAlign w:val="bottom"/>
            <w:tcBorders>
              <w:bottom w:val="single" w:sz="8" w:color="D1D2D4"/>
            </w:tcBorders>
          </w:tcPr>
          <w:p>
            <w:pPr>
              <w:spacing w:after="0"/>
              <w:rPr>
                <w:sz w:val="18"/>
                <w:szCs w:val="18"/>
                <w:color w:val="auto"/>
              </w:rPr>
            </w:pPr>
          </w:p>
        </w:tc>
        <w:tc>
          <w:tcPr>
            <w:tcW w:w="1000" w:type="dxa"/>
            <w:vAlign w:val="bottom"/>
            <w:tcBorders>
              <w:bottom w:val="single" w:sz="8" w:color="D1D2D4"/>
            </w:tcBorders>
          </w:tcPr>
          <w:p>
            <w:pPr>
              <w:spacing w:after="0"/>
              <w:rPr>
                <w:sz w:val="18"/>
                <w:szCs w:val="18"/>
                <w:color w:val="auto"/>
              </w:rPr>
            </w:pPr>
          </w:p>
        </w:tc>
        <w:tc>
          <w:tcPr>
            <w:tcW w:w="122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90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w w:val="87"/>
              </w:rPr>
              <w:t>13,068(10)</w:t>
            </w:r>
          </w:p>
        </w:tc>
        <w:tc>
          <w:tcPr>
            <w:tcW w:w="88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w w:val="94"/>
              </w:rPr>
              <w:t>1,012,378</w:t>
            </w:r>
          </w:p>
        </w:tc>
        <w:tc>
          <w:tcPr>
            <w:tcW w:w="94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40" w:type="dxa"/>
            <w:vAlign w:val="bottom"/>
            <w:shd w:val="clear" w:color="auto" w:fill="CED8EA"/>
          </w:tcPr>
          <w:p>
            <w:pPr>
              <w:ind w:left="260"/>
              <w:spacing w:after="0" w:line="195" w:lineRule="exact"/>
              <w:rPr>
                <w:sz w:val="20"/>
                <w:szCs w:val="20"/>
                <w:color w:val="auto"/>
              </w:rPr>
            </w:pPr>
            <w:r>
              <w:rPr>
                <w:rFonts w:ascii="Arial" w:cs="Arial" w:eastAsia="Arial" w:hAnsi="Arial"/>
                <w:sz w:val="18"/>
                <w:szCs w:val="18"/>
                <w:b w:val="1"/>
                <w:bCs w:val="1"/>
                <w:color w:val="02568A"/>
              </w:rPr>
              <w:t>Robert J.</w:t>
            </w:r>
          </w:p>
        </w:tc>
        <w:tc>
          <w:tcPr>
            <w:tcW w:w="1000" w:type="dxa"/>
            <w:vAlign w:val="bottom"/>
            <w:shd w:val="clear" w:color="auto" w:fill="CED8EA"/>
          </w:tcPr>
          <w:p>
            <w:pPr>
              <w:spacing w:after="0"/>
              <w:rPr>
                <w:sz w:val="16"/>
                <w:szCs w:val="16"/>
                <w:color w:val="auto"/>
              </w:rPr>
            </w:pPr>
          </w:p>
        </w:tc>
        <w:tc>
          <w:tcPr>
            <w:tcW w:w="1220" w:type="dxa"/>
            <w:vAlign w:val="bottom"/>
            <w:shd w:val="clear" w:color="auto" w:fill="CED8EA"/>
          </w:tcPr>
          <w:p>
            <w:pPr>
              <w:spacing w:after="0"/>
              <w:rPr>
                <w:sz w:val="16"/>
                <w:szCs w:val="16"/>
                <w:color w:val="auto"/>
              </w:rPr>
            </w:pPr>
          </w:p>
        </w:tc>
        <w:tc>
          <w:tcPr>
            <w:tcW w:w="780" w:type="dxa"/>
            <w:vAlign w:val="bottom"/>
            <w:shd w:val="clear" w:color="auto" w:fill="CED8EA"/>
          </w:tcPr>
          <w:p>
            <w:pPr>
              <w:spacing w:after="0"/>
              <w:rPr>
                <w:sz w:val="16"/>
                <w:szCs w:val="16"/>
                <w:color w:val="auto"/>
              </w:rPr>
            </w:pPr>
          </w:p>
        </w:tc>
        <w:tc>
          <w:tcPr>
            <w:tcW w:w="900" w:type="dxa"/>
            <w:vAlign w:val="bottom"/>
            <w:shd w:val="clear" w:color="auto" w:fill="CED8EA"/>
          </w:tcPr>
          <w:p>
            <w:pPr>
              <w:spacing w:after="0"/>
              <w:rPr>
                <w:sz w:val="16"/>
                <w:szCs w:val="16"/>
                <w:color w:val="auto"/>
              </w:rPr>
            </w:pPr>
          </w:p>
        </w:tc>
        <w:tc>
          <w:tcPr>
            <w:tcW w:w="160" w:type="dxa"/>
            <w:vAlign w:val="bottom"/>
            <w:shd w:val="clear" w:color="auto" w:fill="CED8EA"/>
          </w:tcPr>
          <w:p>
            <w:pPr>
              <w:spacing w:after="0"/>
              <w:rPr>
                <w:sz w:val="16"/>
                <w:szCs w:val="16"/>
                <w:color w:val="auto"/>
              </w:rPr>
            </w:pPr>
          </w:p>
        </w:tc>
        <w:tc>
          <w:tcPr>
            <w:tcW w:w="860" w:type="dxa"/>
            <w:vAlign w:val="bottom"/>
            <w:shd w:val="clear" w:color="auto" w:fill="CED8EA"/>
          </w:tcPr>
          <w:p>
            <w:pPr>
              <w:spacing w:after="0"/>
              <w:rPr>
                <w:sz w:val="16"/>
                <w:szCs w:val="16"/>
                <w:color w:val="auto"/>
              </w:rPr>
            </w:pPr>
          </w:p>
        </w:tc>
        <w:tc>
          <w:tcPr>
            <w:tcW w:w="880" w:type="dxa"/>
            <w:vAlign w:val="bottom"/>
            <w:shd w:val="clear" w:color="auto" w:fill="CED8EA"/>
          </w:tcPr>
          <w:p>
            <w:pPr>
              <w:spacing w:after="0"/>
              <w:rPr>
                <w:sz w:val="16"/>
                <w:szCs w:val="16"/>
                <w:color w:val="auto"/>
              </w:rPr>
            </w:pPr>
          </w:p>
        </w:tc>
        <w:tc>
          <w:tcPr>
            <w:tcW w:w="940" w:type="dxa"/>
            <w:vAlign w:val="bottom"/>
            <w:shd w:val="clear" w:color="auto" w:fill="CED8EA"/>
          </w:tcPr>
          <w:p>
            <w:pPr>
              <w:spacing w:after="0"/>
              <w:rPr>
                <w:sz w:val="16"/>
                <w:szCs w:val="16"/>
                <w:color w:val="auto"/>
              </w:rPr>
            </w:pPr>
          </w:p>
        </w:tc>
        <w:tc>
          <w:tcPr>
            <w:tcW w:w="820" w:type="dxa"/>
            <w:vAlign w:val="bottom"/>
            <w:shd w:val="clear" w:color="auto" w:fill="CED8EA"/>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540" w:type="dxa"/>
            <w:vAlign w:val="bottom"/>
            <w:tcBorders>
              <w:bottom w:val="single" w:sz="8" w:color="D1D2D4"/>
            </w:tcBorders>
            <w:shd w:val="clear" w:color="auto" w:fill="CED8EA"/>
          </w:tcPr>
          <w:p>
            <w:pPr>
              <w:ind w:left="420"/>
              <w:spacing w:after="0"/>
              <w:rPr>
                <w:sz w:val="20"/>
                <w:szCs w:val="20"/>
                <w:color w:val="auto"/>
              </w:rPr>
            </w:pPr>
            <w:r>
              <w:rPr>
                <w:rFonts w:ascii="Arial" w:cs="Arial" w:eastAsia="Arial" w:hAnsi="Arial"/>
                <w:sz w:val="18"/>
                <w:szCs w:val="18"/>
                <w:b w:val="1"/>
                <w:bCs w:val="1"/>
                <w:color w:val="02568A"/>
              </w:rPr>
              <w:t>Terry</w:t>
            </w:r>
          </w:p>
        </w:tc>
        <w:tc>
          <w:tcPr>
            <w:tcW w:w="100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1,483</w:t>
            </w:r>
          </w:p>
        </w:tc>
        <w:tc>
          <w:tcPr>
            <w:tcW w:w="1220" w:type="dxa"/>
            <w:vAlign w:val="bottom"/>
            <w:tcBorders>
              <w:bottom w:val="single" w:sz="8" w:color="D1D2D4"/>
            </w:tcBorders>
            <w:shd w:val="clear" w:color="auto" w:fill="CED8EA"/>
          </w:tcPr>
          <w:p>
            <w:pPr>
              <w:jc w:val="right"/>
              <w:ind w:right="12"/>
              <w:spacing w:after="0"/>
              <w:rPr>
                <w:sz w:val="20"/>
                <w:szCs w:val="20"/>
                <w:color w:val="auto"/>
              </w:rPr>
            </w:pPr>
            <w:r>
              <w:rPr>
                <w:rFonts w:ascii="Arial" w:cs="Arial" w:eastAsia="Arial" w:hAnsi="Arial"/>
                <w:sz w:val="18"/>
                <w:szCs w:val="18"/>
                <w:color w:val="02568A"/>
              </w:rPr>
              <w:t>1,483(2)</w:t>
            </w:r>
          </w:p>
        </w:tc>
        <w:tc>
          <w:tcPr>
            <w:tcW w:w="78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84.89</w:t>
            </w:r>
          </w:p>
        </w:tc>
        <w:tc>
          <w:tcPr>
            <w:tcW w:w="1060" w:type="dxa"/>
            <w:vAlign w:val="bottom"/>
            <w:tcBorders>
              <w:bottom w:val="single" w:sz="8" w:color="D1D2D4"/>
            </w:tcBorders>
            <w:gridSpan w:val="2"/>
            <w:shd w:val="clear" w:color="auto" w:fill="CED8EA"/>
          </w:tcPr>
          <w:p>
            <w:pPr>
              <w:jc w:val="right"/>
              <w:ind w:right="160"/>
              <w:spacing w:after="0"/>
              <w:rPr>
                <w:sz w:val="20"/>
                <w:szCs w:val="20"/>
                <w:color w:val="auto"/>
              </w:rPr>
            </w:pPr>
            <w:r>
              <w:rPr>
                <w:rFonts w:ascii="Arial" w:cs="Arial" w:eastAsia="Arial" w:hAnsi="Arial"/>
                <w:sz w:val="18"/>
                <w:szCs w:val="18"/>
                <w:color w:val="02568A"/>
              </w:rPr>
              <w:t>11/9/2022</w:t>
            </w:r>
          </w:p>
        </w:tc>
        <w:tc>
          <w:tcPr>
            <w:tcW w:w="86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7,904(5)</w:t>
            </w:r>
          </w:p>
        </w:tc>
        <w:tc>
          <w:tcPr>
            <w:tcW w:w="880" w:type="dxa"/>
            <w:vAlign w:val="bottom"/>
            <w:tcBorders>
              <w:bottom w:val="single" w:sz="8" w:color="D1D2D4"/>
            </w:tcBorders>
            <w:shd w:val="clear" w:color="auto" w:fill="CED8EA"/>
          </w:tcPr>
          <w:p>
            <w:pPr>
              <w:jc w:val="right"/>
              <w:ind w:right="12"/>
              <w:spacing w:after="0"/>
              <w:rPr>
                <w:sz w:val="20"/>
                <w:szCs w:val="20"/>
                <w:color w:val="auto"/>
              </w:rPr>
            </w:pPr>
            <w:r>
              <w:rPr>
                <w:rFonts w:ascii="Arial" w:cs="Arial" w:eastAsia="Arial" w:hAnsi="Arial"/>
                <w:sz w:val="18"/>
                <w:szCs w:val="18"/>
                <w:color w:val="02568A"/>
              </w:rPr>
              <w:t>612,323</w:t>
            </w:r>
          </w:p>
        </w:tc>
        <w:tc>
          <w:tcPr>
            <w:tcW w:w="94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2,023(11)</w:t>
            </w:r>
          </w:p>
        </w:tc>
        <w:tc>
          <w:tcPr>
            <w:tcW w:w="82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156,722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0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2,253</w:t>
            </w:r>
          </w:p>
        </w:tc>
        <w:tc>
          <w:tcPr>
            <w:tcW w:w="122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4,504(16)</w:t>
            </w:r>
          </w:p>
        </w:tc>
        <w:tc>
          <w:tcPr>
            <w:tcW w:w="7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75.91</w:t>
            </w:r>
          </w:p>
        </w:tc>
        <w:tc>
          <w:tcPr>
            <w:tcW w:w="1060" w:type="dxa"/>
            <w:vAlign w:val="bottom"/>
            <w:tcBorders>
              <w:bottom w:val="single" w:sz="8" w:color="D1D2D4"/>
            </w:tcBorders>
            <w:gridSpan w:val="2"/>
          </w:tcPr>
          <w:p>
            <w:pPr>
              <w:jc w:val="right"/>
              <w:ind w:right="160"/>
              <w:spacing w:after="0"/>
              <w:rPr>
                <w:sz w:val="20"/>
                <w:szCs w:val="20"/>
                <w:color w:val="auto"/>
              </w:rPr>
            </w:pPr>
            <w:r>
              <w:rPr>
                <w:rFonts w:ascii="Arial" w:cs="Arial" w:eastAsia="Arial" w:hAnsi="Arial"/>
                <w:sz w:val="18"/>
                <w:szCs w:val="18"/>
                <w:color w:val="02568A"/>
                <w:w w:val="97"/>
              </w:rPr>
              <w:t>11/10/2023</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2,019(6)</w:t>
            </w:r>
          </w:p>
        </w:tc>
        <w:tc>
          <w:tcPr>
            <w:tcW w:w="88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156,412</w:t>
            </w: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3,085(12)</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238,995</w:t>
            </w:r>
          </w:p>
        </w:tc>
        <w:tc>
          <w:tcPr>
            <w:tcW w:w="2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2568A"/>
                <w:w w:val="98"/>
              </w:rPr>
              <w:t>1,316(17)</w:t>
            </w:r>
          </w:p>
        </w:tc>
        <w:tc>
          <w:tcPr>
            <w:tcW w:w="880" w:type="dxa"/>
            <w:vAlign w:val="bottom"/>
          </w:tcPr>
          <w:p>
            <w:pPr>
              <w:jc w:val="right"/>
              <w:ind w:right="12"/>
              <w:spacing w:after="0"/>
              <w:rPr>
                <w:sz w:val="20"/>
                <w:szCs w:val="20"/>
                <w:color w:val="auto"/>
              </w:rPr>
            </w:pPr>
            <w:r>
              <w:rPr>
                <w:rFonts w:ascii="Arial" w:cs="Arial" w:eastAsia="Arial" w:hAnsi="Arial"/>
                <w:sz w:val="18"/>
                <w:szCs w:val="18"/>
                <w:color w:val="02568A"/>
              </w:rPr>
              <w:t>101,951</w:t>
            </w:r>
          </w:p>
        </w:tc>
        <w:tc>
          <w:tcPr>
            <w:tcW w:w="940" w:type="dxa"/>
            <w:vAlign w:val="bottom"/>
          </w:tcPr>
          <w:p>
            <w:pPr>
              <w:jc w:val="right"/>
              <w:spacing w:after="0"/>
              <w:rPr>
                <w:sz w:val="20"/>
                <w:szCs w:val="20"/>
                <w:color w:val="auto"/>
              </w:rPr>
            </w:pPr>
            <w:r>
              <w:rPr>
                <w:rFonts w:ascii="Arial" w:cs="Arial" w:eastAsia="Arial" w:hAnsi="Arial"/>
                <w:sz w:val="18"/>
                <w:szCs w:val="18"/>
                <w:color w:val="02568A"/>
              </w:rPr>
              <w:t>3,085(13)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02568A"/>
              </w:rPr>
              <w:t>238,995</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000" w:type="dxa"/>
            <w:vAlign w:val="bottom"/>
            <w:tcBorders>
              <w:top w:val="single" w:sz="8" w:color="D1D2D4"/>
              <w:bottom w:val="single" w:sz="8" w:color="D1D2D4"/>
            </w:tcBorders>
          </w:tcPr>
          <w:p>
            <w:pPr>
              <w:spacing w:after="0"/>
              <w:rPr>
                <w:sz w:val="18"/>
                <w:szCs w:val="18"/>
                <w:color w:val="auto"/>
              </w:rPr>
            </w:pPr>
          </w:p>
        </w:tc>
        <w:tc>
          <w:tcPr>
            <w:tcW w:w="1220" w:type="dxa"/>
            <w:vAlign w:val="bottom"/>
            <w:tcBorders>
              <w:top w:val="single" w:sz="8" w:color="D1D2D4"/>
              <w:bottom w:val="single" w:sz="8" w:color="D1D2D4"/>
            </w:tcBorders>
          </w:tcPr>
          <w:p>
            <w:pPr>
              <w:spacing w:after="0"/>
              <w:rPr>
                <w:sz w:val="18"/>
                <w:szCs w:val="18"/>
                <w:color w:val="auto"/>
              </w:rPr>
            </w:pPr>
          </w:p>
        </w:tc>
        <w:tc>
          <w:tcPr>
            <w:tcW w:w="780" w:type="dxa"/>
            <w:vAlign w:val="bottom"/>
            <w:tcBorders>
              <w:top w:val="single" w:sz="8" w:color="D1D2D4"/>
              <w:bottom w:val="single" w:sz="8" w:color="D1D2D4"/>
            </w:tcBorders>
          </w:tcPr>
          <w:p>
            <w:pPr>
              <w:spacing w:after="0"/>
              <w:rPr>
                <w:sz w:val="18"/>
                <w:szCs w:val="18"/>
                <w:color w:val="auto"/>
              </w:rPr>
            </w:pPr>
          </w:p>
        </w:tc>
        <w:tc>
          <w:tcPr>
            <w:tcW w:w="900" w:type="dxa"/>
            <w:vAlign w:val="bottom"/>
            <w:tcBorders>
              <w:top w:val="single" w:sz="8" w:color="D1D2D4"/>
              <w:bottom w:val="single" w:sz="8" w:color="D1D2D4"/>
            </w:tcBorders>
          </w:tcPr>
          <w:p>
            <w:pPr>
              <w:spacing w:after="0"/>
              <w:rPr>
                <w:sz w:val="18"/>
                <w:szCs w:val="18"/>
                <w:color w:val="auto"/>
              </w:rPr>
            </w:pPr>
          </w:p>
        </w:tc>
        <w:tc>
          <w:tcPr>
            <w:tcW w:w="160" w:type="dxa"/>
            <w:vAlign w:val="bottom"/>
            <w:tcBorders>
              <w:top w:val="single" w:sz="8" w:color="D1D2D4"/>
              <w:bottom w:val="single" w:sz="8" w:color="D1D2D4"/>
            </w:tcBorders>
          </w:tcPr>
          <w:p>
            <w:pPr>
              <w:spacing w:after="0"/>
              <w:rPr>
                <w:sz w:val="18"/>
                <w:szCs w:val="18"/>
                <w:color w:val="auto"/>
              </w:rPr>
            </w:pPr>
          </w:p>
        </w:tc>
        <w:tc>
          <w:tcPr>
            <w:tcW w:w="860" w:type="dxa"/>
            <w:vAlign w:val="bottom"/>
            <w:tcBorders>
              <w:top w:val="single" w:sz="8" w:color="D1D2D4"/>
              <w:bottom w:val="single" w:sz="8" w:color="D1D2D4"/>
            </w:tcBorders>
          </w:tcPr>
          <w:p>
            <w:pPr>
              <w:jc w:val="right"/>
              <w:spacing w:after="0"/>
              <w:rPr>
                <w:sz w:val="20"/>
                <w:szCs w:val="20"/>
                <w:color w:val="auto"/>
              </w:rPr>
            </w:pPr>
            <w:r>
              <w:rPr>
                <w:rFonts w:ascii="Arial" w:cs="Arial" w:eastAsia="Arial" w:hAnsi="Arial"/>
                <w:sz w:val="18"/>
                <w:szCs w:val="18"/>
                <w:color w:val="02568A"/>
              </w:rPr>
              <w:t>4,047(9)</w:t>
            </w:r>
          </w:p>
        </w:tc>
        <w:tc>
          <w:tcPr>
            <w:tcW w:w="880" w:type="dxa"/>
            <w:vAlign w:val="bottom"/>
            <w:tcBorders>
              <w:top w:val="single" w:sz="8" w:color="D1D2D4"/>
              <w:bottom w:val="single" w:sz="8" w:color="D1D2D4"/>
            </w:tcBorders>
          </w:tcPr>
          <w:p>
            <w:pPr>
              <w:jc w:val="right"/>
              <w:ind w:right="12"/>
              <w:spacing w:after="0"/>
              <w:rPr>
                <w:sz w:val="20"/>
                <w:szCs w:val="20"/>
                <w:color w:val="auto"/>
              </w:rPr>
            </w:pPr>
            <w:r>
              <w:rPr>
                <w:rFonts w:ascii="Arial" w:cs="Arial" w:eastAsia="Arial" w:hAnsi="Arial"/>
                <w:sz w:val="18"/>
                <w:szCs w:val="18"/>
                <w:color w:val="02568A"/>
              </w:rPr>
              <w:t>313,521</w:t>
            </w:r>
          </w:p>
        </w:tc>
        <w:tc>
          <w:tcPr>
            <w:tcW w:w="940" w:type="dxa"/>
            <w:vAlign w:val="bottom"/>
            <w:tcBorders>
              <w:top w:val="single" w:sz="8" w:color="D1D2D4"/>
              <w:bottom w:val="single" w:sz="8" w:color="D1D2D4"/>
            </w:tcBorders>
          </w:tcPr>
          <w:p>
            <w:pPr>
              <w:spacing w:after="0"/>
              <w:rPr>
                <w:sz w:val="18"/>
                <w:szCs w:val="18"/>
                <w:color w:val="auto"/>
              </w:rPr>
            </w:pPr>
          </w:p>
        </w:tc>
        <w:tc>
          <w:tcPr>
            <w:tcW w:w="820" w:type="dxa"/>
            <w:vAlign w:val="bottom"/>
            <w:tcBorders>
              <w:top w:val="single" w:sz="8" w:color="D1D2D4"/>
              <w:bottom w:val="single" w:sz="8" w:color="D1D2D4"/>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Borders>
              <w:bottom w:val="single" w:sz="8" w:color="D1D2D4"/>
            </w:tcBorders>
          </w:tcPr>
          <w:p>
            <w:pPr>
              <w:spacing w:after="0"/>
              <w:rPr>
                <w:sz w:val="18"/>
                <w:szCs w:val="18"/>
                <w:color w:val="auto"/>
              </w:rPr>
            </w:pPr>
          </w:p>
        </w:tc>
        <w:tc>
          <w:tcPr>
            <w:tcW w:w="1000" w:type="dxa"/>
            <w:vAlign w:val="bottom"/>
            <w:tcBorders>
              <w:bottom w:val="single" w:sz="8" w:color="D1D2D4"/>
            </w:tcBorders>
          </w:tcPr>
          <w:p>
            <w:pPr>
              <w:spacing w:after="0"/>
              <w:rPr>
                <w:sz w:val="18"/>
                <w:szCs w:val="18"/>
                <w:color w:val="auto"/>
              </w:rPr>
            </w:pPr>
          </w:p>
        </w:tc>
        <w:tc>
          <w:tcPr>
            <w:tcW w:w="122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90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w w:val="98"/>
              </w:rPr>
              <w:t>8,228(10)</w:t>
            </w:r>
          </w:p>
        </w:tc>
        <w:tc>
          <w:tcPr>
            <w:tcW w:w="88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637,423</w:t>
            </w:r>
          </w:p>
        </w:tc>
        <w:tc>
          <w:tcPr>
            <w:tcW w:w="94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40" w:type="dxa"/>
            <w:vAlign w:val="bottom"/>
            <w:shd w:val="clear" w:color="auto" w:fill="CED8EA"/>
          </w:tcPr>
          <w:p>
            <w:pPr>
              <w:ind w:left="260"/>
              <w:spacing w:after="0" w:line="195" w:lineRule="exact"/>
              <w:rPr>
                <w:sz w:val="20"/>
                <w:szCs w:val="20"/>
                <w:color w:val="auto"/>
              </w:rPr>
            </w:pPr>
            <w:r>
              <w:rPr>
                <w:rFonts w:ascii="Arial" w:cs="Arial" w:eastAsia="Arial" w:hAnsi="Arial"/>
                <w:sz w:val="18"/>
                <w:szCs w:val="18"/>
                <w:b w:val="1"/>
                <w:bCs w:val="1"/>
                <w:color w:val="02568A"/>
              </w:rPr>
              <w:t>Peter L.</w:t>
            </w:r>
          </w:p>
        </w:tc>
        <w:tc>
          <w:tcPr>
            <w:tcW w:w="1000" w:type="dxa"/>
            <w:vAlign w:val="bottom"/>
            <w:shd w:val="clear" w:color="auto" w:fill="CED8EA"/>
          </w:tcPr>
          <w:p>
            <w:pPr>
              <w:spacing w:after="0"/>
              <w:rPr>
                <w:sz w:val="16"/>
                <w:szCs w:val="16"/>
                <w:color w:val="auto"/>
              </w:rPr>
            </w:pPr>
          </w:p>
        </w:tc>
        <w:tc>
          <w:tcPr>
            <w:tcW w:w="1220" w:type="dxa"/>
            <w:vAlign w:val="bottom"/>
            <w:shd w:val="clear" w:color="auto" w:fill="CED8EA"/>
          </w:tcPr>
          <w:p>
            <w:pPr>
              <w:spacing w:after="0"/>
              <w:rPr>
                <w:sz w:val="16"/>
                <w:szCs w:val="16"/>
                <w:color w:val="auto"/>
              </w:rPr>
            </w:pPr>
          </w:p>
        </w:tc>
        <w:tc>
          <w:tcPr>
            <w:tcW w:w="780" w:type="dxa"/>
            <w:vAlign w:val="bottom"/>
            <w:shd w:val="clear" w:color="auto" w:fill="CED8EA"/>
          </w:tcPr>
          <w:p>
            <w:pPr>
              <w:spacing w:after="0"/>
              <w:rPr>
                <w:sz w:val="16"/>
                <w:szCs w:val="16"/>
                <w:color w:val="auto"/>
              </w:rPr>
            </w:pPr>
          </w:p>
        </w:tc>
        <w:tc>
          <w:tcPr>
            <w:tcW w:w="900" w:type="dxa"/>
            <w:vAlign w:val="bottom"/>
            <w:shd w:val="clear" w:color="auto" w:fill="CED8EA"/>
          </w:tcPr>
          <w:p>
            <w:pPr>
              <w:spacing w:after="0"/>
              <w:rPr>
                <w:sz w:val="16"/>
                <w:szCs w:val="16"/>
                <w:color w:val="auto"/>
              </w:rPr>
            </w:pPr>
          </w:p>
        </w:tc>
        <w:tc>
          <w:tcPr>
            <w:tcW w:w="160" w:type="dxa"/>
            <w:vAlign w:val="bottom"/>
            <w:shd w:val="clear" w:color="auto" w:fill="CED8EA"/>
          </w:tcPr>
          <w:p>
            <w:pPr>
              <w:spacing w:after="0"/>
              <w:rPr>
                <w:sz w:val="16"/>
                <w:szCs w:val="16"/>
                <w:color w:val="auto"/>
              </w:rPr>
            </w:pPr>
          </w:p>
        </w:tc>
        <w:tc>
          <w:tcPr>
            <w:tcW w:w="860" w:type="dxa"/>
            <w:vAlign w:val="bottom"/>
            <w:shd w:val="clear" w:color="auto" w:fill="CED8EA"/>
          </w:tcPr>
          <w:p>
            <w:pPr>
              <w:spacing w:after="0"/>
              <w:rPr>
                <w:sz w:val="16"/>
                <w:szCs w:val="16"/>
                <w:color w:val="auto"/>
              </w:rPr>
            </w:pPr>
          </w:p>
        </w:tc>
        <w:tc>
          <w:tcPr>
            <w:tcW w:w="880" w:type="dxa"/>
            <w:vAlign w:val="bottom"/>
            <w:shd w:val="clear" w:color="auto" w:fill="CED8EA"/>
          </w:tcPr>
          <w:p>
            <w:pPr>
              <w:spacing w:after="0"/>
              <w:rPr>
                <w:sz w:val="16"/>
                <w:szCs w:val="16"/>
                <w:color w:val="auto"/>
              </w:rPr>
            </w:pPr>
          </w:p>
        </w:tc>
        <w:tc>
          <w:tcPr>
            <w:tcW w:w="940" w:type="dxa"/>
            <w:vAlign w:val="bottom"/>
            <w:shd w:val="clear" w:color="auto" w:fill="CED8EA"/>
          </w:tcPr>
          <w:p>
            <w:pPr>
              <w:spacing w:after="0"/>
              <w:rPr>
                <w:sz w:val="16"/>
                <w:szCs w:val="16"/>
                <w:color w:val="auto"/>
              </w:rPr>
            </w:pPr>
          </w:p>
        </w:tc>
        <w:tc>
          <w:tcPr>
            <w:tcW w:w="820" w:type="dxa"/>
            <w:vAlign w:val="bottom"/>
            <w:shd w:val="clear" w:color="auto" w:fill="CED8EA"/>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540" w:type="dxa"/>
            <w:vAlign w:val="bottom"/>
            <w:tcBorders>
              <w:bottom w:val="single" w:sz="8" w:color="D1D2D4"/>
            </w:tcBorders>
            <w:shd w:val="clear" w:color="auto" w:fill="CED8EA"/>
          </w:tcPr>
          <w:p>
            <w:pPr>
              <w:ind w:left="420"/>
              <w:spacing w:after="0"/>
              <w:rPr>
                <w:sz w:val="20"/>
                <w:szCs w:val="20"/>
                <w:color w:val="auto"/>
              </w:rPr>
            </w:pPr>
            <w:r>
              <w:rPr>
                <w:rFonts w:ascii="Arial" w:cs="Arial" w:eastAsia="Arial" w:hAnsi="Arial"/>
                <w:sz w:val="18"/>
                <w:szCs w:val="18"/>
                <w:b w:val="1"/>
                <w:bCs w:val="1"/>
                <w:color w:val="02568A"/>
              </w:rPr>
              <w:t>Gammel</w:t>
            </w:r>
          </w:p>
        </w:tc>
        <w:tc>
          <w:tcPr>
            <w:tcW w:w="100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15,000</w:t>
            </w:r>
          </w:p>
        </w:tc>
        <w:tc>
          <w:tcPr>
            <w:tcW w:w="1220" w:type="dxa"/>
            <w:vAlign w:val="bottom"/>
            <w:tcBorders>
              <w:bottom w:val="single" w:sz="8" w:color="D1D2D4"/>
            </w:tcBorders>
            <w:shd w:val="clear" w:color="auto" w:fill="CED8EA"/>
          </w:tcPr>
          <w:p>
            <w:pPr>
              <w:jc w:val="right"/>
              <w:ind w:right="12"/>
              <w:spacing w:after="0"/>
              <w:rPr>
                <w:sz w:val="20"/>
                <w:szCs w:val="20"/>
                <w:color w:val="auto"/>
              </w:rPr>
            </w:pPr>
            <w:r>
              <w:rPr>
                <w:rFonts w:ascii="Arial" w:cs="Arial" w:eastAsia="Arial" w:hAnsi="Arial"/>
                <w:sz w:val="18"/>
                <w:szCs w:val="18"/>
                <w:color w:val="02568A"/>
              </w:rPr>
              <w:t>5,000(2)</w:t>
            </w:r>
          </w:p>
        </w:tc>
        <w:tc>
          <w:tcPr>
            <w:tcW w:w="78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84.89</w:t>
            </w:r>
          </w:p>
        </w:tc>
        <w:tc>
          <w:tcPr>
            <w:tcW w:w="1060" w:type="dxa"/>
            <w:vAlign w:val="bottom"/>
            <w:tcBorders>
              <w:bottom w:val="single" w:sz="8" w:color="D1D2D4"/>
            </w:tcBorders>
            <w:gridSpan w:val="2"/>
            <w:shd w:val="clear" w:color="auto" w:fill="CED8EA"/>
          </w:tcPr>
          <w:p>
            <w:pPr>
              <w:jc w:val="right"/>
              <w:ind w:right="160"/>
              <w:spacing w:after="0"/>
              <w:rPr>
                <w:sz w:val="20"/>
                <w:szCs w:val="20"/>
                <w:color w:val="auto"/>
              </w:rPr>
            </w:pPr>
            <w:r>
              <w:rPr>
                <w:rFonts w:ascii="Arial" w:cs="Arial" w:eastAsia="Arial" w:hAnsi="Arial"/>
                <w:sz w:val="18"/>
                <w:szCs w:val="18"/>
                <w:color w:val="02568A"/>
              </w:rPr>
              <w:t>11/9/2022</w:t>
            </w:r>
          </w:p>
        </w:tc>
        <w:tc>
          <w:tcPr>
            <w:tcW w:w="86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8,498(5)</w:t>
            </w:r>
          </w:p>
        </w:tc>
        <w:tc>
          <w:tcPr>
            <w:tcW w:w="880" w:type="dxa"/>
            <w:vAlign w:val="bottom"/>
            <w:tcBorders>
              <w:bottom w:val="single" w:sz="8" w:color="D1D2D4"/>
            </w:tcBorders>
            <w:shd w:val="clear" w:color="auto" w:fill="CED8EA"/>
          </w:tcPr>
          <w:p>
            <w:pPr>
              <w:jc w:val="right"/>
              <w:ind w:right="12"/>
              <w:spacing w:after="0"/>
              <w:rPr>
                <w:sz w:val="20"/>
                <w:szCs w:val="20"/>
                <w:color w:val="auto"/>
              </w:rPr>
            </w:pPr>
            <w:r>
              <w:rPr>
                <w:rFonts w:ascii="Arial" w:cs="Arial" w:eastAsia="Arial" w:hAnsi="Arial"/>
                <w:sz w:val="18"/>
                <w:szCs w:val="18"/>
                <w:color w:val="02568A"/>
              </w:rPr>
              <w:t>658,340</w:t>
            </w:r>
          </w:p>
        </w:tc>
        <w:tc>
          <w:tcPr>
            <w:tcW w:w="94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1,619(11)</w:t>
            </w:r>
          </w:p>
        </w:tc>
        <w:tc>
          <w:tcPr>
            <w:tcW w:w="82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125,424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0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4,844</w:t>
            </w:r>
          </w:p>
        </w:tc>
        <w:tc>
          <w:tcPr>
            <w:tcW w:w="122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4,844(4)</w:t>
            </w:r>
          </w:p>
        </w:tc>
        <w:tc>
          <w:tcPr>
            <w:tcW w:w="7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77.66</w:t>
            </w:r>
          </w:p>
        </w:tc>
        <w:tc>
          <w:tcPr>
            <w:tcW w:w="1060" w:type="dxa"/>
            <w:vAlign w:val="bottom"/>
            <w:tcBorders>
              <w:bottom w:val="single" w:sz="8" w:color="D1D2D4"/>
            </w:tcBorders>
            <w:gridSpan w:val="2"/>
          </w:tcPr>
          <w:p>
            <w:pPr>
              <w:jc w:val="right"/>
              <w:ind w:right="160"/>
              <w:spacing w:after="0"/>
              <w:rPr>
                <w:sz w:val="20"/>
                <w:szCs w:val="20"/>
                <w:color w:val="auto"/>
              </w:rPr>
            </w:pPr>
            <w:r>
              <w:rPr>
                <w:rFonts w:ascii="Arial" w:cs="Arial" w:eastAsia="Arial" w:hAnsi="Arial"/>
                <w:sz w:val="18"/>
                <w:szCs w:val="18"/>
                <w:color w:val="02568A"/>
              </w:rPr>
              <w:t>11/9/2023</w:t>
            </w: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1,615(6)</w:t>
            </w:r>
          </w:p>
        </w:tc>
        <w:tc>
          <w:tcPr>
            <w:tcW w:w="88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125,114</w:t>
            </w:r>
          </w:p>
        </w:tc>
        <w:tc>
          <w:tcPr>
            <w:tcW w:w="9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1,815(12)</w:t>
            </w:r>
          </w:p>
        </w:tc>
        <w:tc>
          <w:tcPr>
            <w:tcW w:w="8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140,608</w:t>
            </w:r>
          </w:p>
        </w:tc>
        <w:tc>
          <w:tcPr>
            <w:tcW w:w="20" w:type="dxa"/>
            <w:vAlign w:val="bottom"/>
            <w:tcBorders>
              <w:bottom w:val="single" w:sz="8" w:color="D1D2D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2568A"/>
              </w:rPr>
              <w:t>1,416(8)</w:t>
            </w:r>
          </w:p>
        </w:tc>
        <w:tc>
          <w:tcPr>
            <w:tcW w:w="880" w:type="dxa"/>
            <w:vAlign w:val="bottom"/>
          </w:tcPr>
          <w:p>
            <w:pPr>
              <w:jc w:val="right"/>
              <w:ind w:right="12"/>
              <w:spacing w:after="0"/>
              <w:rPr>
                <w:sz w:val="20"/>
                <w:szCs w:val="20"/>
                <w:color w:val="auto"/>
              </w:rPr>
            </w:pPr>
            <w:r>
              <w:rPr>
                <w:rFonts w:ascii="Arial" w:cs="Arial" w:eastAsia="Arial" w:hAnsi="Arial"/>
                <w:sz w:val="18"/>
                <w:szCs w:val="18"/>
                <w:color w:val="02568A"/>
              </w:rPr>
              <w:t>109,698</w:t>
            </w:r>
          </w:p>
        </w:tc>
        <w:tc>
          <w:tcPr>
            <w:tcW w:w="940" w:type="dxa"/>
            <w:vAlign w:val="bottom"/>
          </w:tcPr>
          <w:p>
            <w:pPr>
              <w:jc w:val="right"/>
              <w:spacing w:after="0"/>
              <w:rPr>
                <w:sz w:val="20"/>
                <w:szCs w:val="20"/>
                <w:color w:val="auto"/>
              </w:rPr>
            </w:pPr>
            <w:r>
              <w:rPr>
                <w:rFonts w:ascii="Arial" w:cs="Arial" w:eastAsia="Arial" w:hAnsi="Arial"/>
                <w:sz w:val="18"/>
                <w:szCs w:val="18"/>
                <w:color w:val="02568A"/>
              </w:rPr>
              <w:t>1,815(13)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02568A"/>
              </w:rPr>
              <w:t>140,608</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000" w:type="dxa"/>
            <w:vAlign w:val="bottom"/>
            <w:tcBorders>
              <w:top w:val="single" w:sz="8" w:color="D1D2D4"/>
              <w:bottom w:val="single" w:sz="8" w:color="D1D2D4"/>
            </w:tcBorders>
          </w:tcPr>
          <w:p>
            <w:pPr>
              <w:spacing w:after="0"/>
              <w:rPr>
                <w:sz w:val="18"/>
                <w:szCs w:val="18"/>
                <w:color w:val="auto"/>
              </w:rPr>
            </w:pPr>
          </w:p>
        </w:tc>
        <w:tc>
          <w:tcPr>
            <w:tcW w:w="1220" w:type="dxa"/>
            <w:vAlign w:val="bottom"/>
            <w:tcBorders>
              <w:top w:val="single" w:sz="8" w:color="D1D2D4"/>
              <w:bottom w:val="single" w:sz="8" w:color="D1D2D4"/>
            </w:tcBorders>
          </w:tcPr>
          <w:p>
            <w:pPr>
              <w:spacing w:after="0"/>
              <w:rPr>
                <w:sz w:val="18"/>
                <w:szCs w:val="18"/>
                <w:color w:val="auto"/>
              </w:rPr>
            </w:pPr>
          </w:p>
        </w:tc>
        <w:tc>
          <w:tcPr>
            <w:tcW w:w="780" w:type="dxa"/>
            <w:vAlign w:val="bottom"/>
            <w:tcBorders>
              <w:top w:val="single" w:sz="8" w:color="D1D2D4"/>
              <w:bottom w:val="single" w:sz="8" w:color="D1D2D4"/>
            </w:tcBorders>
          </w:tcPr>
          <w:p>
            <w:pPr>
              <w:spacing w:after="0"/>
              <w:rPr>
                <w:sz w:val="18"/>
                <w:szCs w:val="18"/>
                <w:color w:val="auto"/>
              </w:rPr>
            </w:pPr>
          </w:p>
        </w:tc>
        <w:tc>
          <w:tcPr>
            <w:tcW w:w="900" w:type="dxa"/>
            <w:vAlign w:val="bottom"/>
            <w:tcBorders>
              <w:top w:val="single" w:sz="8" w:color="D1D2D4"/>
              <w:bottom w:val="single" w:sz="8" w:color="D1D2D4"/>
            </w:tcBorders>
          </w:tcPr>
          <w:p>
            <w:pPr>
              <w:spacing w:after="0"/>
              <w:rPr>
                <w:sz w:val="18"/>
                <w:szCs w:val="18"/>
                <w:color w:val="auto"/>
              </w:rPr>
            </w:pPr>
          </w:p>
        </w:tc>
        <w:tc>
          <w:tcPr>
            <w:tcW w:w="160" w:type="dxa"/>
            <w:vAlign w:val="bottom"/>
            <w:tcBorders>
              <w:top w:val="single" w:sz="8" w:color="D1D2D4"/>
              <w:bottom w:val="single" w:sz="8" w:color="D1D2D4"/>
            </w:tcBorders>
          </w:tcPr>
          <w:p>
            <w:pPr>
              <w:spacing w:after="0"/>
              <w:rPr>
                <w:sz w:val="18"/>
                <w:szCs w:val="18"/>
                <w:color w:val="auto"/>
              </w:rPr>
            </w:pPr>
          </w:p>
        </w:tc>
        <w:tc>
          <w:tcPr>
            <w:tcW w:w="860" w:type="dxa"/>
            <w:vAlign w:val="bottom"/>
            <w:tcBorders>
              <w:top w:val="single" w:sz="8" w:color="D1D2D4"/>
              <w:bottom w:val="single" w:sz="8" w:color="D1D2D4"/>
            </w:tcBorders>
          </w:tcPr>
          <w:p>
            <w:pPr>
              <w:jc w:val="right"/>
              <w:spacing w:after="0"/>
              <w:rPr>
                <w:sz w:val="20"/>
                <w:szCs w:val="20"/>
                <w:color w:val="auto"/>
              </w:rPr>
            </w:pPr>
            <w:r>
              <w:rPr>
                <w:rFonts w:ascii="Arial" w:cs="Arial" w:eastAsia="Arial" w:hAnsi="Arial"/>
                <w:sz w:val="18"/>
                <w:szCs w:val="18"/>
                <w:color w:val="02568A"/>
              </w:rPr>
              <w:t>3,237(9)</w:t>
            </w:r>
          </w:p>
        </w:tc>
        <w:tc>
          <w:tcPr>
            <w:tcW w:w="880" w:type="dxa"/>
            <w:vAlign w:val="bottom"/>
            <w:tcBorders>
              <w:top w:val="single" w:sz="8" w:color="D1D2D4"/>
              <w:bottom w:val="single" w:sz="8" w:color="D1D2D4"/>
            </w:tcBorders>
          </w:tcPr>
          <w:p>
            <w:pPr>
              <w:jc w:val="right"/>
              <w:ind w:right="12"/>
              <w:spacing w:after="0"/>
              <w:rPr>
                <w:sz w:val="20"/>
                <w:szCs w:val="20"/>
                <w:color w:val="auto"/>
              </w:rPr>
            </w:pPr>
            <w:r>
              <w:rPr>
                <w:rFonts w:ascii="Arial" w:cs="Arial" w:eastAsia="Arial" w:hAnsi="Arial"/>
                <w:sz w:val="18"/>
                <w:szCs w:val="18"/>
                <w:color w:val="02568A"/>
              </w:rPr>
              <w:t>250,770</w:t>
            </w:r>
          </w:p>
        </w:tc>
        <w:tc>
          <w:tcPr>
            <w:tcW w:w="940" w:type="dxa"/>
            <w:vAlign w:val="bottom"/>
            <w:tcBorders>
              <w:top w:val="single" w:sz="8" w:color="D1D2D4"/>
              <w:bottom w:val="single" w:sz="8" w:color="D1D2D4"/>
            </w:tcBorders>
          </w:tcPr>
          <w:p>
            <w:pPr>
              <w:spacing w:after="0"/>
              <w:rPr>
                <w:sz w:val="18"/>
                <w:szCs w:val="18"/>
                <w:color w:val="auto"/>
              </w:rPr>
            </w:pPr>
          </w:p>
        </w:tc>
        <w:tc>
          <w:tcPr>
            <w:tcW w:w="820" w:type="dxa"/>
            <w:vAlign w:val="bottom"/>
            <w:tcBorders>
              <w:top w:val="single" w:sz="8" w:color="D1D2D4"/>
              <w:bottom w:val="single" w:sz="8" w:color="D1D2D4"/>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40" w:type="dxa"/>
            <w:vAlign w:val="bottom"/>
            <w:tcBorders>
              <w:bottom w:val="single" w:sz="8" w:color="D1D2D4"/>
            </w:tcBorders>
          </w:tcPr>
          <w:p>
            <w:pPr>
              <w:spacing w:after="0"/>
              <w:rPr>
                <w:sz w:val="18"/>
                <w:szCs w:val="18"/>
                <w:color w:val="auto"/>
              </w:rPr>
            </w:pPr>
          </w:p>
        </w:tc>
        <w:tc>
          <w:tcPr>
            <w:tcW w:w="1000" w:type="dxa"/>
            <w:vAlign w:val="bottom"/>
            <w:tcBorders>
              <w:bottom w:val="single" w:sz="8" w:color="D1D2D4"/>
            </w:tcBorders>
          </w:tcPr>
          <w:p>
            <w:pPr>
              <w:spacing w:after="0"/>
              <w:rPr>
                <w:sz w:val="18"/>
                <w:szCs w:val="18"/>
                <w:color w:val="auto"/>
              </w:rPr>
            </w:pPr>
          </w:p>
        </w:tc>
        <w:tc>
          <w:tcPr>
            <w:tcW w:w="1220" w:type="dxa"/>
            <w:vAlign w:val="bottom"/>
            <w:tcBorders>
              <w:bottom w:val="single" w:sz="8" w:color="D1D2D4"/>
            </w:tcBorders>
          </w:tcPr>
          <w:p>
            <w:pPr>
              <w:spacing w:after="0"/>
              <w:rPr>
                <w:sz w:val="18"/>
                <w:szCs w:val="18"/>
                <w:color w:val="auto"/>
              </w:rPr>
            </w:pPr>
          </w:p>
        </w:tc>
        <w:tc>
          <w:tcPr>
            <w:tcW w:w="780" w:type="dxa"/>
            <w:vAlign w:val="bottom"/>
            <w:tcBorders>
              <w:bottom w:val="single" w:sz="8" w:color="D1D2D4"/>
            </w:tcBorders>
          </w:tcPr>
          <w:p>
            <w:pPr>
              <w:spacing w:after="0"/>
              <w:rPr>
                <w:sz w:val="18"/>
                <w:szCs w:val="18"/>
                <w:color w:val="auto"/>
              </w:rPr>
            </w:pPr>
          </w:p>
        </w:tc>
        <w:tc>
          <w:tcPr>
            <w:tcW w:w="900" w:type="dxa"/>
            <w:vAlign w:val="bottom"/>
            <w:tcBorders>
              <w:bottom w:val="single" w:sz="8" w:color="D1D2D4"/>
            </w:tcBorders>
          </w:tcPr>
          <w:p>
            <w:pPr>
              <w:spacing w:after="0"/>
              <w:rPr>
                <w:sz w:val="18"/>
                <w:szCs w:val="18"/>
                <w:color w:val="auto"/>
              </w:rPr>
            </w:pPr>
          </w:p>
        </w:tc>
        <w:tc>
          <w:tcPr>
            <w:tcW w:w="160" w:type="dxa"/>
            <w:vAlign w:val="bottom"/>
            <w:tcBorders>
              <w:bottom w:val="single" w:sz="8" w:color="D1D2D4"/>
            </w:tcBorders>
          </w:tcPr>
          <w:p>
            <w:pPr>
              <w:spacing w:after="0"/>
              <w:rPr>
                <w:sz w:val="18"/>
                <w:szCs w:val="18"/>
                <w:color w:val="auto"/>
              </w:rPr>
            </w:pPr>
          </w:p>
        </w:tc>
        <w:tc>
          <w:tcPr>
            <w:tcW w:w="86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w w:val="98"/>
              </w:rPr>
              <w:t>4,840(10)</w:t>
            </w:r>
          </w:p>
        </w:tc>
        <w:tc>
          <w:tcPr>
            <w:tcW w:w="88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374,955</w:t>
            </w:r>
          </w:p>
        </w:tc>
        <w:tc>
          <w:tcPr>
            <w:tcW w:w="940" w:type="dxa"/>
            <w:vAlign w:val="bottom"/>
            <w:tcBorders>
              <w:bottom w:val="single" w:sz="8" w:color="D1D2D4"/>
            </w:tcBorders>
          </w:tcPr>
          <w:p>
            <w:pPr>
              <w:spacing w:after="0"/>
              <w:rPr>
                <w:sz w:val="18"/>
                <w:szCs w:val="18"/>
                <w:color w:val="auto"/>
              </w:rPr>
            </w:pPr>
          </w:p>
        </w:tc>
        <w:tc>
          <w:tcPr>
            <w:tcW w:w="820" w:type="dxa"/>
            <w:vAlign w:val="bottom"/>
            <w:tcBorders>
              <w:bottom w:val="single" w:sz="8" w:color="D1D2D4"/>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320" w:hanging="549"/>
        <w:spacing w:after="0" w:line="268" w:lineRule="auto"/>
        <w:tabs>
          <w:tab w:leader="none" w:pos="1680" w:val="left"/>
        </w:tabs>
        <w:numPr>
          <w:ilvl w:val="0"/>
          <w:numId w:val="52"/>
        </w:numPr>
        <w:rPr>
          <w:rFonts w:ascii="Arial" w:cs="Arial" w:eastAsia="Arial" w:hAnsi="Arial"/>
          <w:sz w:val="18"/>
          <w:szCs w:val="18"/>
          <w:color w:val="191919"/>
        </w:rPr>
      </w:pPr>
      <w:r>
        <w:rPr>
          <w:rFonts w:ascii="Arial" w:cs="Arial" w:eastAsia="Arial" w:hAnsi="Arial"/>
          <w:sz w:val="18"/>
          <w:szCs w:val="18"/>
          <w:color w:val="191919"/>
        </w:rPr>
        <w:t>Reflects a price of $77.47 per share, which was the closing sale price of the Company’s common stock on the Nasdaq Global Select Market on September 27, 2019.</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40" w:hanging="549"/>
        <w:spacing w:after="0" w:line="254" w:lineRule="auto"/>
        <w:tabs>
          <w:tab w:leader="none" w:pos="1680" w:val="left"/>
        </w:tabs>
        <w:numPr>
          <w:ilvl w:val="0"/>
          <w:numId w:val="53"/>
        </w:numPr>
        <w:rPr>
          <w:rFonts w:ascii="Arial" w:cs="Arial" w:eastAsia="Arial" w:hAnsi="Arial"/>
          <w:sz w:val="18"/>
          <w:szCs w:val="18"/>
          <w:color w:val="191919"/>
        </w:rPr>
      </w:pPr>
      <w:r>
        <w:rPr>
          <w:rFonts w:ascii="Arial" w:cs="Arial" w:eastAsia="Arial" w:hAnsi="Arial"/>
          <w:sz w:val="18"/>
          <w:szCs w:val="18"/>
          <w:color w:val="191919"/>
        </w:rPr>
        <w:t>These options were granted on November 9, 2015, and vested at a rate of twenty-five percent (25%) per year on each anniversary of the grant date until they became fully vested on November 9, 2019.</w:t>
      </w:r>
    </w:p>
    <w:p>
      <w:pPr>
        <w:spacing w:after="0" w:line="20" w:lineRule="exact"/>
        <w:rPr>
          <w:rFonts w:ascii="Arial" w:cs="Arial" w:eastAsia="Arial" w:hAnsi="Arial"/>
          <w:sz w:val="18"/>
          <w:szCs w:val="18"/>
          <w:color w:val="191919"/>
        </w:rPr>
      </w:pPr>
    </w:p>
    <w:p>
      <w:pPr>
        <w:ind w:left="1680" w:right="140" w:hanging="549"/>
        <w:spacing w:after="0" w:line="254" w:lineRule="auto"/>
        <w:tabs>
          <w:tab w:leader="none" w:pos="1680" w:val="left"/>
        </w:tabs>
        <w:numPr>
          <w:ilvl w:val="0"/>
          <w:numId w:val="53"/>
        </w:numPr>
        <w:rPr>
          <w:rFonts w:ascii="Arial" w:cs="Arial" w:eastAsia="Arial" w:hAnsi="Arial"/>
          <w:sz w:val="18"/>
          <w:szCs w:val="18"/>
          <w:color w:val="191919"/>
        </w:rPr>
      </w:pPr>
      <w:r>
        <w:rPr>
          <w:rFonts w:ascii="Arial" w:cs="Arial" w:eastAsia="Arial" w:hAnsi="Arial"/>
          <w:sz w:val="18"/>
          <w:szCs w:val="18"/>
          <w:color w:val="191919"/>
        </w:rPr>
        <w:t>These options were granted on May 11, 2016, and vest at a rate of twenty-five percent (25%) per year on each anniversary of the grant date through May 11, 2020.</w:t>
      </w:r>
    </w:p>
    <w:p>
      <w:pPr>
        <w:spacing w:after="0" w:line="7" w:lineRule="exact"/>
        <w:rPr>
          <w:rFonts w:ascii="Arial" w:cs="Arial" w:eastAsia="Arial" w:hAnsi="Arial"/>
          <w:sz w:val="18"/>
          <w:szCs w:val="18"/>
          <w:color w:val="191919"/>
        </w:rPr>
      </w:pPr>
    </w:p>
    <w:p>
      <w:pPr>
        <w:ind w:left="1680" w:right="200" w:hanging="549"/>
        <w:spacing w:after="0" w:line="254" w:lineRule="auto"/>
        <w:tabs>
          <w:tab w:leader="none" w:pos="1680" w:val="left"/>
        </w:tabs>
        <w:numPr>
          <w:ilvl w:val="0"/>
          <w:numId w:val="53"/>
        </w:numPr>
        <w:rPr>
          <w:rFonts w:ascii="Arial" w:cs="Arial" w:eastAsia="Arial" w:hAnsi="Arial"/>
          <w:sz w:val="18"/>
          <w:szCs w:val="18"/>
          <w:color w:val="191919"/>
        </w:rPr>
      </w:pPr>
      <w:r>
        <w:rPr>
          <w:rFonts w:ascii="Arial" w:cs="Arial" w:eastAsia="Arial" w:hAnsi="Arial"/>
          <w:sz w:val="18"/>
          <w:szCs w:val="18"/>
          <w:color w:val="191919"/>
        </w:rPr>
        <w:t>These options were granted on November 9, 2016, and vest at a rate of twenty-five percent (25%) per year on each anniversary of the grant date through November 9, 2020.</w:t>
      </w:r>
    </w:p>
    <w:p>
      <w:pPr>
        <w:spacing w:after="0" w:line="7" w:lineRule="exact"/>
        <w:rPr>
          <w:rFonts w:ascii="Arial" w:cs="Arial" w:eastAsia="Arial" w:hAnsi="Arial"/>
          <w:sz w:val="18"/>
          <w:szCs w:val="18"/>
          <w:color w:val="191919"/>
        </w:rPr>
      </w:pPr>
    </w:p>
    <w:p>
      <w:pPr>
        <w:ind w:left="1680" w:right="40" w:hanging="549"/>
        <w:spacing w:after="0" w:line="252" w:lineRule="auto"/>
        <w:tabs>
          <w:tab w:leader="none" w:pos="1680" w:val="left"/>
        </w:tabs>
        <w:numPr>
          <w:ilvl w:val="0"/>
          <w:numId w:val="53"/>
        </w:numPr>
        <w:rPr>
          <w:rFonts w:ascii="Arial" w:cs="Arial" w:eastAsia="Arial" w:hAnsi="Arial"/>
          <w:sz w:val="18"/>
          <w:szCs w:val="18"/>
          <w:color w:val="191919"/>
        </w:rPr>
      </w:pPr>
      <w:r>
        <w:rPr>
          <w:rFonts w:ascii="Arial" w:cs="Arial" w:eastAsia="Arial" w:hAnsi="Arial"/>
          <w:sz w:val="18"/>
          <w:szCs w:val="18"/>
          <w:color w:val="191919"/>
        </w:rPr>
        <w:t>Represents shares issuable under the PSAs granted on November 9, 2016 (on November 10, 2016, for Mr. Terry), under the Company’s 2015 Long-Term Incentive Plan (the “FY17 PSAs”). Twenty-five percent (25%) of the shares earned under the FY17 PSAs were issued on each of November 9, 2017, and November 9, 2018, and the remaining fifty percent (50%) of the shares earned were issued on November 9, 2019.</w:t>
      </w:r>
    </w:p>
    <w:p>
      <w:pPr>
        <w:spacing w:after="0" w:line="21" w:lineRule="exact"/>
        <w:rPr>
          <w:rFonts w:ascii="Arial" w:cs="Arial" w:eastAsia="Arial" w:hAnsi="Arial"/>
          <w:sz w:val="18"/>
          <w:szCs w:val="18"/>
          <w:color w:val="191919"/>
        </w:rPr>
      </w:pPr>
    </w:p>
    <w:p>
      <w:pPr>
        <w:ind w:left="1680" w:right="240" w:hanging="549"/>
        <w:spacing w:after="0" w:line="283" w:lineRule="auto"/>
        <w:tabs>
          <w:tab w:leader="none" w:pos="1680" w:val="left"/>
        </w:tabs>
        <w:numPr>
          <w:ilvl w:val="0"/>
          <w:numId w:val="53"/>
        </w:numPr>
        <w:rPr>
          <w:rFonts w:ascii="Arial" w:cs="Arial" w:eastAsia="Arial" w:hAnsi="Arial"/>
          <w:sz w:val="16"/>
          <w:szCs w:val="16"/>
          <w:color w:val="191919"/>
        </w:rPr>
      </w:pPr>
      <w:r>
        <w:rPr>
          <w:rFonts w:ascii="Arial" w:cs="Arial" w:eastAsia="Arial" w:hAnsi="Arial"/>
          <w:sz w:val="16"/>
          <w:szCs w:val="16"/>
          <w:color w:val="191919"/>
        </w:rPr>
        <w:t>Represents shares issuable under the PSAs granted on November 7, 2017, under the Company’s 2015 Long-Term Incentive Plan (the “FY18 PSAs”) with respect to an EBITDA growth performance metric, which was measured over a one-year performance period consisting of the Company’s fiscal year 2018. Fifty percent (50%) of the shares earned under the FY18 PSAs with respect to the EBITDA growth performance metric were issued on November 7, 2018, and the remaining fifty percent (50%) of the shares earned with respect to such metric were issued on November 7, 2019.</w:t>
      </w:r>
    </w:p>
    <w:p>
      <w:pPr>
        <w:spacing w:after="0" w:line="8" w:lineRule="exact"/>
        <w:rPr>
          <w:rFonts w:ascii="Arial" w:cs="Arial" w:eastAsia="Arial" w:hAnsi="Arial"/>
          <w:sz w:val="16"/>
          <w:szCs w:val="16"/>
          <w:color w:val="191919"/>
        </w:rPr>
      </w:pPr>
    </w:p>
    <w:p>
      <w:pPr>
        <w:ind w:left="1680" w:right="160" w:hanging="549"/>
        <w:spacing w:after="0" w:line="285" w:lineRule="auto"/>
        <w:tabs>
          <w:tab w:leader="none" w:pos="1680" w:val="left"/>
        </w:tabs>
        <w:numPr>
          <w:ilvl w:val="0"/>
          <w:numId w:val="53"/>
        </w:numPr>
        <w:rPr>
          <w:rFonts w:ascii="Arial" w:cs="Arial" w:eastAsia="Arial" w:hAnsi="Arial"/>
          <w:sz w:val="16"/>
          <w:szCs w:val="16"/>
          <w:color w:val="191919"/>
        </w:rPr>
      </w:pPr>
      <w:r>
        <w:rPr>
          <w:rFonts w:ascii="Arial" w:cs="Arial" w:eastAsia="Arial" w:hAnsi="Arial"/>
          <w:sz w:val="16"/>
          <w:szCs w:val="16"/>
          <w:color w:val="191919"/>
        </w:rPr>
        <w:t>Represents shares issuable under an RSU award granted on May 11, 2016, under the Company’s 2015 Long-Term Incentive Plan. The RSU award vests at a rate of twenty-five percent (25%) per year on each anniversary of the grant date through May 11, 2020.</w:t>
      </w:r>
    </w:p>
    <w:p>
      <w:pPr>
        <w:spacing w:after="0" w:line="8" w:lineRule="exact"/>
        <w:rPr>
          <w:rFonts w:ascii="Arial" w:cs="Arial" w:eastAsia="Arial" w:hAnsi="Arial"/>
          <w:sz w:val="16"/>
          <w:szCs w:val="16"/>
          <w:color w:val="191919"/>
        </w:rPr>
      </w:pPr>
    </w:p>
    <w:p>
      <w:pPr>
        <w:jc w:val="both"/>
        <w:ind w:left="1680" w:right="120" w:hanging="549"/>
        <w:spacing w:after="0" w:line="304" w:lineRule="auto"/>
        <w:tabs>
          <w:tab w:leader="none" w:pos="1680" w:val="left"/>
        </w:tabs>
        <w:numPr>
          <w:ilvl w:val="0"/>
          <w:numId w:val="53"/>
        </w:numPr>
        <w:rPr>
          <w:rFonts w:ascii="Arial" w:cs="Arial" w:eastAsia="Arial" w:hAnsi="Arial"/>
          <w:sz w:val="15"/>
          <w:szCs w:val="15"/>
          <w:color w:val="191919"/>
        </w:rPr>
      </w:pPr>
      <w:r>
        <w:rPr>
          <w:rFonts w:ascii="Arial" w:cs="Arial" w:eastAsia="Arial" w:hAnsi="Arial"/>
          <w:sz w:val="15"/>
          <w:szCs w:val="15"/>
          <w:color w:val="191919"/>
        </w:rPr>
        <w:t>Represents shares issuable under an RSU award granted on November 9, 2016, under the Company’s 2015 Long-Term Incentive Plan. The RSU award vests at a rate of twenty-five percent (25%) per year on each anniversary of the grant date through November 9, 2020.</w:t>
      </w:r>
    </w:p>
    <w:p>
      <w:pPr>
        <w:spacing w:after="0" w:line="22" w:lineRule="exact"/>
        <w:rPr>
          <w:rFonts w:ascii="Arial" w:cs="Arial" w:eastAsia="Arial" w:hAnsi="Arial"/>
          <w:sz w:val="15"/>
          <w:szCs w:val="15"/>
          <w:color w:val="191919"/>
        </w:rPr>
      </w:pPr>
    </w:p>
    <w:p>
      <w:pPr>
        <w:jc w:val="both"/>
        <w:ind w:left="1680" w:right="120" w:hanging="549"/>
        <w:spacing w:after="0" w:line="304" w:lineRule="auto"/>
        <w:tabs>
          <w:tab w:leader="none" w:pos="1680" w:val="left"/>
        </w:tabs>
        <w:numPr>
          <w:ilvl w:val="0"/>
          <w:numId w:val="53"/>
        </w:numPr>
        <w:rPr>
          <w:rFonts w:ascii="Arial" w:cs="Arial" w:eastAsia="Arial" w:hAnsi="Arial"/>
          <w:sz w:val="15"/>
          <w:szCs w:val="15"/>
          <w:color w:val="191919"/>
        </w:rPr>
      </w:pPr>
      <w:r>
        <w:rPr>
          <w:rFonts w:ascii="Arial" w:cs="Arial" w:eastAsia="Arial" w:hAnsi="Arial"/>
          <w:sz w:val="15"/>
          <w:szCs w:val="15"/>
          <w:color w:val="191919"/>
        </w:rPr>
        <w:t>Represents shares issuable under an RSU award granted on November 7, 2017, under the Company’s 2015 Long-Term Incentive Plan. The RSU award vests at a rate of twenty-five percent (25%) per year on each anniversary of the grant date through November 7, 2021.</w:t>
      </w:r>
    </w:p>
    <w:p>
      <w:pPr>
        <w:spacing w:after="0" w:line="8" w:lineRule="exact"/>
        <w:rPr>
          <w:rFonts w:ascii="Arial" w:cs="Arial" w:eastAsia="Arial" w:hAnsi="Arial"/>
          <w:sz w:val="15"/>
          <w:szCs w:val="15"/>
          <w:color w:val="191919"/>
        </w:rPr>
      </w:pPr>
    </w:p>
    <w:p>
      <w:pPr>
        <w:jc w:val="both"/>
        <w:ind w:left="1680" w:right="120" w:hanging="549"/>
        <w:spacing w:after="0" w:line="304" w:lineRule="auto"/>
        <w:tabs>
          <w:tab w:leader="none" w:pos="1680" w:val="left"/>
        </w:tabs>
        <w:numPr>
          <w:ilvl w:val="0"/>
          <w:numId w:val="53"/>
        </w:numPr>
        <w:rPr>
          <w:rFonts w:ascii="Arial" w:cs="Arial" w:eastAsia="Arial" w:hAnsi="Arial"/>
          <w:sz w:val="15"/>
          <w:szCs w:val="15"/>
          <w:color w:val="191919"/>
        </w:rPr>
      </w:pPr>
      <w:r>
        <w:rPr>
          <w:rFonts w:ascii="Arial" w:cs="Arial" w:eastAsia="Arial" w:hAnsi="Arial"/>
          <w:sz w:val="15"/>
          <w:szCs w:val="15"/>
          <w:color w:val="191919"/>
        </w:rPr>
        <w:t>Represents shares issuable under an RSU award granted on November 6, 2018, under the Company’s 2015 Long-Term Incentive Plan. The RSU award vests at a rate of twenty-five percent (25%) per year on each anniversary of the grant date through November 6, 2022.</w:t>
      </w:r>
    </w:p>
    <w:p>
      <w:pPr>
        <w:spacing w:after="0" w:line="8" w:lineRule="exact"/>
        <w:rPr>
          <w:rFonts w:ascii="Arial" w:cs="Arial" w:eastAsia="Arial" w:hAnsi="Arial"/>
          <w:sz w:val="15"/>
          <w:szCs w:val="15"/>
          <w:color w:val="191919"/>
        </w:rPr>
      </w:pPr>
    </w:p>
    <w:p>
      <w:pPr>
        <w:ind w:left="1680" w:right="140" w:hanging="549"/>
        <w:spacing w:after="0" w:line="303" w:lineRule="auto"/>
        <w:tabs>
          <w:tab w:leader="none" w:pos="1680" w:val="left"/>
        </w:tabs>
        <w:numPr>
          <w:ilvl w:val="0"/>
          <w:numId w:val="53"/>
        </w:numPr>
        <w:rPr>
          <w:rFonts w:ascii="Arial" w:cs="Arial" w:eastAsia="Arial" w:hAnsi="Arial"/>
          <w:sz w:val="15"/>
          <w:szCs w:val="15"/>
          <w:color w:val="191919"/>
        </w:rPr>
      </w:pPr>
      <w:r>
        <w:rPr>
          <w:rFonts w:ascii="Arial" w:cs="Arial" w:eastAsia="Arial" w:hAnsi="Arial"/>
          <w:sz w:val="15"/>
          <w:szCs w:val="15"/>
          <w:color w:val="191919"/>
        </w:rPr>
        <w:t>Represents shares issuable under the FY18 PSAs with respect to a TSR percentile ranking performance metric, assuming achievement at the “threshold” level of performance. This portion of the FY18 PSAs, which is subject to a three-year performance period, will be issued on November 7, 2020, to the extent earned and provided that the executive meets the continued employment condition.</w:t>
      </w:r>
    </w:p>
    <w:p>
      <w:pPr>
        <w:spacing w:after="0" w:line="21" w:lineRule="exact"/>
        <w:rPr>
          <w:rFonts w:ascii="Arial" w:cs="Arial" w:eastAsia="Arial" w:hAnsi="Arial"/>
          <w:sz w:val="15"/>
          <w:szCs w:val="15"/>
          <w:color w:val="191919"/>
        </w:rPr>
      </w:pPr>
    </w:p>
    <w:p>
      <w:pPr>
        <w:ind w:left="1680" w:right="60" w:hanging="549"/>
        <w:spacing w:after="0" w:line="283" w:lineRule="auto"/>
        <w:tabs>
          <w:tab w:leader="none" w:pos="1680" w:val="left"/>
        </w:tabs>
        <w:numPr>
          <w:ilvl w:val="0"/>
          <w:numId w:val="53"/>
        </w:numPr>
        <w:rPr>
          <w:rFonts w:ascii="Arial" w:cs="Arial" w:eastAsia="Arial" w:hAnsi="Arial"/>
          <w:sz w:val="16"/>
          <w:szCs w:val="16"/>
          <w:color w:val="191919"/>
        </w:rPr>
      </w:pPr>
      <w:r>
        <w:rPr>
          <w:rFonts w:ascii="Arial" w:cs="Arial" w:eastAsia="Arial" w:hAnsi="Arial"/>
          <w:sz w:val="16"/>
          <w:szCs w:val="16"/>
          <w:color w:val="191919"/>
        </w:rPr>
        <w:t>Represents shares issuable under the FY19 PSAs (awarded on November 6, 2018, as described above under “</w:t>
      </w:r>
      <w:r>
        <w:rPr>
          <w:rFonts w:ascii="Arial" w:cs="Arial" w:eastAsia="Arial" w:hAnsi="Arial"/>
          <w:sz w:val="16"/>
          <w:szCs w:val="16"/>
          <w:i w:val="1"/>
          <w:iCs w:val="1"/>
          <w:color w:val="191919"/>
        </w:rPr>
        <w:t>Components of</w:t>
      </w:r>
      <w:r>
        <w:rPr>
          <w:rFonts w:ascii="Arial" w:cs="Arial" w:eastAsia="Arial" w:hAnsi="Arial"/>
          <w:sz w:val="16"/>
          <w:szCs w:val="16"/>
          <w:color w:val="191919"/>
        </w:rPr>
        <w:t xml:space="preserve"> </w:t>
      </w:r>
      <w:r>
        <w:rPr>
          <w:rFonts w:ascii="Arial" w:cs="Arial" w:eastAsia="Arial" w:hAnsi="Arial"/>
          <w:sz w:val="16"/>
          <w:szCs w:val="16"/>
          <w:i w:val="1"/>
          <w:iCs w:val="1"/>
          <w:color w:val="191919"/>
        </w:rPr>
        <w:t>Compensation—Long-Term Stock-Based Compensation</w:t>
      </w:r>
      <w:r>
        <w:rPr>
          <w:rFonts w:ascii="Arial" w:cs="Arial" w:eastAsia="Arial" w:hAnsi="Arial"/>
          <w:sz w:val="16"/>
          <w:szCs w:val="16"/>
          <w:color w:val="191919"/>
        </w:rPr>
        <w:t>”) with respect to the non-GAAP EBITDA growth performance metric,</w:t>
      </w:r>
      <w:r>
        <w:rPr>
          <w:rFonts w:ascii="Arial" w:cs="Arial" w:eastAsia="Arial" w:hAnsi="Arial"/>
          <w:sz w:val="16"/>
          <w:szCs w:val="16"/>
          <w:i w:val="1"/>
          <w:iCs w:val="1"/>
          <w:color w:val="191919"/>
        </w:rPr>
        <w:t xml:space="preserve"> </w:t>
      </w:r>
      <w:r>
        <w:rPr>
          <w:rFonts w:ascii="Arial" w:cs="Arial" w:eastAsia="Arial" w:hAnsi="Arial"/>
          <w:sz w:val="16"/>
          <w:szCs w:val="16"/>
          <w:color w:val="191919"/>
        </w:rPr>
        <w:t>assuming achievement at the “threshold” level of performance. This portion of the FY19 PSAs, which originally was scheduled to vest in two equal tranches on November 6, 2019, and November 6, 2020, was cancelled upon the Compensation Committee’s determination on November 5, 2019, that the performance condition had not been satisfied.</w:t>
      </w:r>
    </w:p>
    <w:p>
      <w:pPr>
        <w:spacing w:after="0" w:line="8" w:lineRule="exact"/>
        <w:rPr>
          <w:rFonts w:ascii="Arial" w:cs="Arial" w:eastAsia="Arial" w:hAnsi="Arial"/>
          <w:sz w:val="16"/>
          <w:szCs w:val="16"/>
          <w:color w:val="191919"/>
        </w:rPr>
      </w:pPr>
    </w:p>
    <w:p>
      <w:pPr>
        <w:ind w:left="1680" w:hanging="549"/>
        <w:spacing w:after="0" w:line="252" w:lineRule="auto"/>
        <w:tabs>
          <w:tab w:leader="none" w:pos="1680" w:val="left"/>
        </w:tabs>
        <w:numPr>
          <w:ilvl w:val="0"/>
          <w:numId w:val="53"/>
        </w:numPr>
        <w:rPr>
          <w:rFonts w:ascii="Arial" w:cs="Arial" w:eastAsia="Arial" w:hAnsi="Arial"/>
          <w:sz w:val="18"/>
          <w:szCs w:val="18"/>
          <w:color w:val="191919"/>
        </w:rPr>
      </w:pPr>
      <w:r>
        <w:rPr>
          <w:rFonts w:ascii="Arial" w:cs="Arial" w:eastAsia="Arial" w:hAnsi="Arial"/>
          <w:sz w:val="18"/>
          <w:szCs w:val="18"/>
          <w:color w:val="191919"/>
        </w:rPr>
        <w:t>Represents shares issuable under the FY19 PSAs with respect to the TSR percentile ranking performance metric, assuming achievement at the “threshold” level of performance. This portion of the FY19 PSAs, which is subject to a three-year performance period as described above, will be issued on November 6, 2021, to the extent earned and provided that the executive meets the continued employment condition.</w:t>
      </w:r>
    </w:p>
    <w:p>
      <w:pPr>
        <w:spacing w:after="0" w:line="8" w:lineRule="exact"/>
        <w:rPr>
          <w:rFonts w:ascii="Arial" w:cs="Arial" w:eastAsia="Arial" w:hAnsi="Arial"/>
          <w:sz w:val="18"/>
          <w:szCs w:val="18"/>
          <w:color w:val="191919"/>
        </w:rPr>
      </w:pPr>
    </w:p>
    <w:p>
      <w:pPr>
        <w:ind w:left="1680" w:right="340" w:hanging="549"/>
        <w:spacing w:after="0" w:line="254" w:lineRule="auto"/>
        <w:tabs>
          <w:tab w:leader="none" w:pos="1680" w:val="left"/>
        </w:tabs>
        <w:numPr>
          <w:ilvl w:val="0"/>
          <w:numId w:val="53"/>
        </w:numPr>
        <w:rPr>
          <w:rFonts w:ascii="Arial" w:cs="Arial" w:eastAsia="Arial" w:hAnsi="Arial"/>
          <w:sz w:val="18"/>
          <w:szCs w:val="18"/>
          <w:color w:val="191919"/>
        </w:rPr>
      </w:pPr>
      <w:r>
        <w:rPr>
          <w:rFonts w:ascii="Arial" w:cs="Arial" w:eastAsia="Arial" w:hAnsi="Arial"/>
          <w:sz w:val="18"/>
          <w:szCs w:val="18"/>
          <w:color w:val="191919"/>
        </w:rPr>
        <w:t>These options were granted on August 29, 2016, and vest at a rate of twenty-five percent (25%) per year on each anniversary of the grant date through August 29, 2020.</w:t>
      </w:r>
    </w:p>
    <w:p>
      <w:pPr>
        <w:spacing w:after="0" w:line="20" w:lineRule="exact"/>
        <w:rPr>
          <w:rFonts w:ascii="Arial" w:cs="Arial" w:eastAsia="Arial" w:hAnsi="Arial"/>
          <w:sz w:val="18"/>
          <w:szCs w:val="18"/>
          <w:color w:val="191919"/>
        </w:rPr>
      </w:pPr>
    </w:p>
    <w:p>
      <w:pPr>
        <w:jc w:val="both"/>
        <w:ind w:left="1680" w:right="260" w:hanging="549"/>
        <w:spacing w:after="0" w:line="304" w:lineRule="auto"/>
        <w:tabs>
          <w:tab w:leader="none" w:pos="1680" w:val="left"/>
        </w:tabs>
        <w:numPr>
          <w:ilvl w:val="0"/>
          <w:numId w:val="53"/>
        </w:numPr>
        <w:rPr>
          <w:rFonts w:ascii="Arial" w:cs="Arial" w:eastAsia="Arial" w:hAnsi="Arial"/>
          <w:sz w:val="15"/>
          <w:szCs w:val="15"/>
          <w:color w:val="191919"/>
        </w:rPr>
      </w:pPr>
      <w:r>
        <w:rPr>
          <w:rFonts w:ascii="Arial" w:cs="Arial" w:eastAsia="Arial" w:hAnsi="Arial"/>
          <w:sz w:val="15"/>
          <w:szCs w:val="15"/>
          <w:color w:val="191919"/>
        </w:rPr>
        <w:t>Represents shares issuable under an RSU award granted on August 29, 2016, under the Company’s 2015 Long-Term Incentive Plan. The RSU award vests at a rate of twenty-five percent (25%) per year on each anniversary of the grant date through August 29, 2020.</w:t>
      </w:r>
    </w:p>
    <w:p>
      <w:pPr>
        <w:spacing w:after="0" w:line="8" w:lineRule="exact"/>
        <w:rPr>
          <w:rFonts w:ascii="Arial" w:cs="Arial" w:eastAsia="Arial" w:hAnsi="Arial"/>
          <w:sz w:val="15"/>
          <w:szCs w:val="15"/>
          <w:color w:val="191919"/>
        </w:rPr>
      </w:pPr>
    </w:p>
    <w:p>
      <w:pPr>
        <w:ind w:left="1680" w:right="100" w:hanging="549"/>
        <w:spacing w:after="0" w:line="254" w:lineRule="auto"/>
        <w:tabs>
          <w:tab w:leader="none" w:pos="1680" w:val="left"/>
        </w:tabs>
        <w:numPr>
          <w:ilvl w:val="0"/>
          <w:numId w:val="53"/>
        </w:numPr>
        <w:rPr>
          <w:rFonts w:ascii="Arial" w:cs="Arial" w:eastAsia="Arial" w:hAnsi="Arial"/>
          <w:sz w:val="18"/>
          <w:szCs w:val="18"/>
          <w:color w:val="191919"/>
        </w:rPr>
      </w:pPr>
      <w:r>
        <w:rPr>
          <w:rFonts w:ascii="Arial" w:cs="Arial" w:eastAsia="Arial" w:hAnsi="Arial"/>
          <w:sz w:val="18"/>
          <w:szCs w:val="18"/>
          <w:color w:val="191919"/>
        </w:rPr>
        <w:t>These options were granted on November 10, 2016, and vest at a rate of twenty-five percent (25%) per year on each anniversary of the grant date through November 10, 2020.</w:t>
      </w:r>
    </w:p>
    <w:p>
      <w:pPr>
        <w:spacing w:after="0" w:line="20" w:lineRule="exact"/>
        <w:rPr>
          <w:rFonts w:ascii="Arial" w:cs="Arial" w:eastAsia="Arial" w:hAnsi="Arial"/>
          <w:sz w:val="18"/>
          <w:szCs w:val="18"/>
          <w:color w:val="191919"/>
        </w:rPr>
      </w:pPr>
    </w:p>
    <w:p>
      <w:pPr>
        <w:jc w:val="both"/>
        <w:ind w:left="1680" w:right="40" w:hanging="549"/>
        <w:spacing w:after="0" w:line="369" w:lineRule="auto"/>
        <w:tabs>
          <w:tab w:leader="none" w:pos="1680" w:val="left"/>
        </w:tabs>
        <w:numPr>
          <w:ilvl w:val="0"/>
          <w:numId w:val="53"/>
        </w:numPr>
        <w:rPr>
          <w:rFonts w:ascii="Arial" w:cs="Arial" w:eastAsia="Arial" w:hAnsi="Arial"/>
          <w:sz w:val="15"/>
          <w:szCs w:val="15"/>
          <w:color w:val="191919"/>
        </w:rPr>
      </w:pPr>
      <w:r>
        <w:rPr>
          <w:rFonts w:ascii="Arial" w:cs="Arial" w:eastAsia="Arial" w:hAnsi="Arial"/>
          <w:sz w:val="15"/>
          <w:szCs w:val="15"/>
          <w:color w:val="191919"/>
        </w:rPr>
        <w:t>Represents shares issuable under an RSU award granted on November 10, 2016, under the Company’s 2015 Long-Term Incentive Plan. The RSU award vests at a rate of twenty-five percent (25%) per year on each anniversary of the grant date through November 10, 2020.</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Option Exercises and Stock Vested Table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191919"/>
        </w:rPr>
        <w:t>The following table summarizes the Named Executive Officers’ option exercises and stock award vesting during fiscal year 2019.</w:t>
      </w:r>
    </w:p>
    <w:p>
      <w:pPr>
        <w:spacing w:after="0" w:line="219" w:lineRule="exact"/>
        <w:rPr>
          <w:sz w:val="20"/>
          <w:szCs w:val="20"/>
          <w:color w:val="auto"/>
        </w:rPr>
      </w:pPr>
    </w:p>
    <w:tbl>
      <w:tblPr>
        <w:tblLayout w:type="fixed"/>
        <w:tblInd w:w="1120" w:type="dxa"/>
        <w:tblCellMar>
          <w:top w:w="0" w:type="dxa"/>
          <w:left w:w="0" w:type="dxa"/>
          <w:bottom w:w="0" w:type="dxa"/>
          <w:right w:w="0" w:type="dxa"/>
        </w:tblCellMar>
      </w:tblPr>
      <w:tr>
        <w:trPr>
          <w:trHeight w:val="228"/>
        </w:trPr>
        <w:tc>
          <w:tcPr>
            <w:tcW w:w="2040" w:type="dxa"/>
            <w:vAlign w:val="bottom"/>
          </w:tcPr>
          <w:p>
            <w:pPr>
              <w:spacing w:after="0"/>
              <w:rPr>
                <w:sz w:val="19"/>
                <w:szCs w:val="19"/>
                <w:color w:val="auto"/>
              </w:rPr>
            </w:pPr>
          </w:p>
        </w:tc>
        <w:tc>
          <w:tcPr>
            <w:tcW w:w="3700" w:type="dxa"/>
            <w:vAlign w:val="bottom"/>
            <w:gridSpan w:val="3"/>
          </w:tcPr>
          <w:p>
            <w:pPr>
              <w:ind w:left="1160"/>
              <w:spacing w:after="0"/>
              <w:rPr>
                <w:sz w:val="20"/>
                <w:szCs w:val="20"/>
                <w:color w:val="auto"/>
              </w:rPr>
            </w:pPr>
            <w:r>
              <w:rPr>
                <w:rFonts w:ascii="Arial" w:cs="Arial" w:eastAsia="Arial" w:hAnsi="Arial"/>
                <w:sz w:val="18"/>
                <w:szCs w:val="18"/>
                <w:b w:val="1"/>
                <w:bCs w:val="1"/>
                <w:color w:val="02568A"/>
              </w:rPr>
              <w:t>Option Awards</w:t>
            </w:r>
          </w:p>
        </w:tc>
        <w:tc>
          <w:tcPr>
            <w:tcW w:w="3380" w:type="dxa"/>
            <w:vAlign w:val="bottom"/>
            <w:gridSpan w:val="3"/>
          </w:tcPr>
          <w:p>
            <w:pPr>
              <w:ind w:left="1160"/>
              <w:spacing w:after="0"/>
              <w:rPr>
                <w:sz w:val="20"/>
                <w:szCs w:val="20"/>
                <w:color w:val="auto"/>
              </w:rPr>
            </w:pPr>
            <w:r>
              <w:rPr>
                <w:rFonts w:ascii="Arial" w:cs="Arial" w:eastAsia="Arial" w:hAnsi="Arial"/>
                <w:sz w:val="18"/>
                <w:szCs w:val="18"/>
                <w:b w:val="1"/>
                <w:bCs w:val="1"/>
                <w:color w:val="02568A"/>
              </w:rPr>
              <w:t>Stock Awards</w:t>
            </w:r>
          </w:p>
        </w:tc>
      </w:tr>
      <w:tr>
        <w:trPr>
          <w:trHeight w:val="197"/>
        </w:trPr>
        <w:tc>
          <w:tcPr>
            <w:tcW w:w="2040" w:type="dxa"/>
            <w:vAlign w:val="bottom"/>
          </w:tcPr>
          <w:p>
            <w:pPr>
              <w:spacing w:after="0"/>
              <w:rPr>
                <w:sz w:val="17"/>
                <w:szCs w:val="17"/>
                <w:color w:val="auto"/>
              </w:rPr>
            </w:pPr>
          </w:p>
        </w:tc>
        <w:tc>
          <w:tcPr>
            <w:tcW w:w="2060" w:type="dxa"/>
            <w:vAlign w:val="bottom"/>
            <w:tcBorders>
              <w:top w:val="single" w:sz="8" w:color="02568A"/>
            </w:tcBorders>
          </w:tcPr>
          <w:p>
            <w:pPr>
              <w:jc w:val="center"/>
              <w:ind w:right="92"/>
              <w:spacing w:after="0" w:line="197" w:lineRule="exact"/>
              <w:rPr>
                <w:sz w:val="20"/>
                <w:szCs w:val="20"/>
                <w:color w:val="auto"/>
              </w:rPr>
            </w:pPr>
            <w:r>
              <w:rPr>
                <w:rFonts w:ascii="Arial" w:cs="Arial" w:eastAsia="Arial" w:hAnsi="Arial"/>
                <w:sz w:val="18"/>
                <w:szCs w:val="18"/>
                <w:b w:val="1"/>
                <w:bCs w:val="1"/>
                <w:color w:val="02568A"/>
                <w:w w:val="87"/>
              </w:rPr>
              <w:t>Number of Shares</w:t>
            </w:r>
          </w:p>
        </w:tc>
        <w:tc>
          <w:tcPr>
            <w:tcW w:w="1380" w:type="dxa"/>
            <w:vAlign w:val="bottom"/>
            <w:tcBorders>
              <w:top w:val="single" w:sz="8" w:color="02568A"/>
            </w:tcBorders>
          </w:tcPr>
          <w:p>
            <w:pPr>
              <w:jc w:val="center"/>
              <w:spacing w:after="0" w:line="197" w:lineRule="exact"/>
              <w:rPr>
                <w:sz w:val="20"/>
                <w:szCs w:val="20"/>
                <w:color w:val="auto"/>
              </w:rPr>
            </w:pPr>
            <w:r>
              <w:rPr>
                <w:rFonts w:ascii="Arial" w:cs="Arial" w:eastAsia="Arial" w:hAnsi="Arial"/>
                <w:sz w:val="18"/>
                <w:szCs w:val="18"/>
                <w:b w:val="1"/>
                <w:bCs w:val="1"/>
                <w:color w:val="02568A"/>
                <w:w w:val="87"/>
              </w:rPr>
              <w:t>Value Realized</w:t>
            </w:r>
          </w:p>
        </w:tc>
        <w:tc>
          <w:tcPr>
            <w:tcW w:w="260" w:type="dxa"/>
            <w:vAlign w:val="bottom"/>
          </w:tcPr>
          <w:p>
            <w:pPr>
              <w:spacing w:after="0"/>
              <w:rPr>
                <w:sz w:val="17"/>
                <w:szCs w:val="17"/>
                <w:color w:val="auto"/>
              </w:rPr>
            </w:pPr>
          </w:p>
        </w:tc>
        <w:tc>
          <w:tcPr>
            <w:tcW w:w="1960" w:type="dxa"/>
            <w:vAlign w:val="bottom"/>
            <w:tcBorders>
              <w:top w:val="single" w:sz="8" w:color="02568A"/>
            </w:tcBorders>
          </w:tcPr>
          <w:p>
            <w:pPr>
              <w:jc w:val="center"/>
              <w:ind w:right="72"/>
              <w:spacing w:after="0" w:line="197" w:lineRule="exact"/>
              <w:rPr>
                <w:sz w:val="20"/>
                <w:szCs w:val="20"/>
                <w:color w:val="auto"/>
              </w:rPr>
            </w:pPr>
            <w:r>
              <w:rPr>
                <w:rFonts w:ascii="Arial" w:cs="Arial" w:eastAsia="Arial" w:hAnsi="Arial"/>
                <w:sz w:val="18"/>
                <w:szCs w:val="18"/>
                <w:b w:val="1"/>
                <w:bCs w:val="1"/>
                <w:color w:val="02568A"/>
                <w:w w:val="87"/>
              </w:rPr>
              <w:t>Number of Shares</w:t>
            </w:r>
          </w:p>
        </w:tc>
        <w:tc>
          <w:tcPr>
            <w:tcW w:w="1400" w:type="dxa"/>
            <w:vAlign w:val="bottom"/>
            <w:tcBorders>
              <w:top w:val="single" w:sz="8" w:color="02568A"/>
            </w:tcBorders>
          </w:tcPr>
          <w:p>
            <w:pPr>
              <w:jc w:val="center"/>
              <w:spacing w:after="0" w:line="197" w:lineRule="exact"/>
              <w:rPr>
                <w:sz w:val="20"/>
                <w:szCs w:val="20"/>
                <w:color w:val="auto"/>
              </w:rPr>
            </w:pPr>
            <w:r>
              <w:rPr>
                <w:rFonts w:ascii="Arial" w:cs="Arial" w:eastAsia="Arial" w:hAnsi="Arial"/>
                <w:sz w:val="18"/>
                <w:szCs w:val="18"/>
                <w:b w:val="1"/>
                <w:bCs w:val="1"/>
                <w:color w:val="02568A"/>
                <w:w w:val="88"/>
              </w:rPr>
              <w:t>Value Realized</w:t>
            </w:r>
          </w:p>
        </w:tc>
        <w:tc>
          <w:tcPr>
            <w:tcW w:w="20" w:type="dxa"/>
            <w:vAlign w:val="bottom"/>
          </w:tcPr>
          <w:p>
            <w:pPr>
              <w:spacing w:after="0"/>
              <w:rPr>
                <w:sz w:val="17"/>
                <w:szCs w:val="17"/>
                <w:color w:val="auto"/>
              </w:rPr>
            </w:pPr>
          </w:p>
        </w:tc>
      </w:tr>
      <w:tr>
        <w:trPr>
          <w:trHeight w:val="216"/>
        </w:trPr>
        <w:tc>
          <w:tcPr>
            <w:tcW w:w="2040" w:type="dxa"/>
            <w:vAlign w:val="bottom"/>
          </w:tcPr>
          <w:p>
            <w:pPr>
              <w:spacing w:after="0"/>
              <w:rPr>
                <w:sz w:val="18"/>
                <w:szCs w:val="18"/>
                <w:color w:val="auto"/>
              </w:rPr>
            </w:pPr>
          </w:p>
        </w:tc>
        <w:tc>
          <w:tcPr>
            <w:tcW w:w="2060" w:type="dxa"/>
            <w:vAlign w:val="bottom"/>
          </w:tcPr>
          <w:p>
            <w:pPr>
              <w:jc w:val="center"/>
              <w:ind w:right="92"/>
              <w:spacing w:after="0"/>
              <w:rPr>
                <w:sz w:val="20"/>
                <w:szCs w:val="20"/>
                <w:color w:val="auto"/>
              </w:rPr>
            </w:pPr>
            <w:r>
              <w:rPr>
                <w:rFonts w:ascii="Arial" w:cs="Arial" w:eastAsia="Arial" w:hAnsi="Arial"/>
                <w:sz w:val="18"/>
                <w:szCs w:val="18"/>
                <w:b w:val="1"/>
                <w:bCs w:val="1"/>
                <w:color w:val="02568A"/>
                <w:w w:val="86"/>
              </w:rPr>
              <w:t>Acquired on Exercise</w:t>
            </w: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02568A"/>
                <w:w w:val="85"/>
              </w:rPr>
              <w:t>on Exercise</w:t>
            </w:r>
          </w:p>
        </w:tc>
        <w:tc>
          <w:tcPr>
            <w:tcW w:w="1960" w:type="dxa"/>
            <w:vAlign w:val="bottom"/>
          </w:tcPr>
          <w:p>
            <w:pPr>
              <w:jc w:val="center"/>
              <w:ind w:right="72"/>
              <w:spacing w:after="0"/>
              <w:rPr>
                <w:sz w:val="20"/>
                <w:szCs w:val="20"/>
                <w:color w:val="auto"/>
              </w:rPr>
            </w:pPr>
            <w:r>
              <w:rPr>
                <w:rFonts w:ascii="Arial" w:cs="Arial" w:eastAsia="Arial" w:hAnsi="Arial"/>
                <w:sz w:val="18"/>
                <w:szCs w:val="18"/>
                <w:b w:val="1"/>
                <w:bCs w:val="1"/>
                <w:color w:val="02568A"/>
                <w:w w:val="86"/>
              </w:rPr>
              <w:t>Acquired on Vesting</w:t>
            </w: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02568A"/>
                <w:w w:val="84"/>
              </w:rPr>
              <w:t>on Vesting</w:t>
            </w:r>
          </w:p>
        </w:tc>
      </w:tr>
      <w:tr>
        <w:trPr>
          <w:trHeight w:val="229"/>
        </w:trPr>
        <w:tc>
          <w:tcPr>
            <w:tcW w:w="2040" w:type="dxa"/>
            <w:vAlign w:val="bottom"/>
            <w:tcBorders>
              <w:bottom w:val="single" w:sz="8" w:color="02568A"/>
            </w:tcBorders>
          </w:tcPr>
          <w:p>
            <w:pPr>
              <w:ind w:left="820"/>
              <w:spacing w:after="0"/>
              <w:rPr>
                <w:sz w:val="20"/>
                <w:szCs w:val="20"/>
                <w:color w:val="auto"/>
              </w:rPr>
            </w:pPr>
            <w:r>
              <w:rPr>
                <w:rFonts w:ascii="Arial" w:cs="Arial" w:eastAsia="Arial" w:hAnsi="Arial"/>
                <w:sz w:val="18"/>
                <w:szCs w:val="18"/>
                <w:b w:val="1"/>
                <w:bCs w:val="1"/>
                <w:color w:val="02568A"/>
              </w:rPr>
              <w:t>Name</w:t>
            </w:r>
          </w:p>
        </w:tc>
        <w:tc>
          <w:tcPr>
            <w:tcW w:w="2060" w:type="dxa"/>
            <w:vAlign w:val="bottom"/>
            <w:tcBorders>
              <w:bottom w:val="single" w:sz="8" w:color="02568A"/>
            </w:tcBorders>
          </w:tcPr>
          <w:p>
            <w:pPr>
              <w:jc w:val="center"/>
              <w:ind w:right="92"/>
              <w:spacing w:after="0"/>
              <w:rPr>
                <w:sz w:val="20"/>
                <w:szCs w:val="20"/>
                <w:color w:val="auto"/>
              </w:rPr>
            </w:pPr>
            <w:r>
              <w:rPr>
                <w:rFonts w:ascii="Arial" w:cs="Arial" w:eastAsia="Arial" w:hAnsi="Arial"/>
                <w:sz w:val="18"/>
                <w:szCs w:val="18"/>
                <w:b w:val="1"/>
                <w:bCs w:val="1"/>
                <w:color w:val="02568A"/>
                <w:w w:val="90"/>
              </w:rPr>
              <w:t>(#)</w:t>
            </w:r>
          </w:p>
        </w:tc>
        <w:tc>
          <w:tcPr>
            <w:tcW w:w="138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95"/>
              </w:rPr>
              <w:t>($)(1)</w:t>
            </w:r>
          </w:p>
        </w:tc>
        <w:tc>
          <w:tcPr>
            <w:tcW w:w="260" w:type="dxa"/>
            <w:vAlign w:val="bottom"/>
            <w:tcBorders>
              <w:bottom w:val="single" w:sz="8" w:color="02568A"/>
            </w:tcBorders>
          </w:tcPr>
          <w:p>
            <w:pPr>
              <w:spacing w:after="0"/>
              <w:rPr>
                <w:sz w:val="19"/>
                <w:szCs w:val="19"/>
                <w:color w:val="auto"/>
              </w:rPr>
            </w:pPr>
          </w:p>
        </w:tc>
        <w:tc>
          <w:tcPr>
            <w:tcW w:w="1960" w:type="dxa"/>
            <w:vAlign w:val="bottom"/>
            <w:tcBorders>
              <w:bottom w:val="single" w:sz="8" w:color="02568A"/>
            </w:tcBorders>
          </w:tcPr>
          <w:p>
            <w:pPr>
              <w:jc w:val="center"/>
              <w:ind w:right="72"/>
              <w:spacing w:after="0"/>
              <w:rPr>
                <w:sz w:val="20"/>
                <w:szCs w:val="20"/>
                <w:color w:val="auto"/>
              </w:rPr>
            </w:pPr>
            <w:r>
              <w:rPr>
                <w:rFonts w:ascii="Arial" w:cs="Arial" w:eastAsia="Arial" w:hAnsi="Arial"/>
                <w:sz w:val="18"/>
                <w:szCs w:val="18"/>
                <w:b w:val="1"/>
                <w:bCs w:val="1"/>
                <w:color w:val="02568A"/>
                <w:w w:val="90"/>
              </w:rPr>
              <w:t>(#)</w:t>
            </w:r>
          </w:p>
        </w:tc>
        <w:tc>
          <w:tcPr>
            <w:tcW w:w="140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90"/>
              </w:rPr>
              <w:t>($)(2)</w:t>
            </w:r>
          </w:p>
        </w:tc>
        <w:tc>
          <w:tcPr>
            <w:tcW w:w="20" w:type="dxa"/>
            <w:vAlign w:val="bottom"/>
          </w:tcPr>
          <w:p>
            <w:pPr>
              <w:spacing w:after="0"/>
              <w:rPr>
                <w:sz w:val="19"/>
                <w:szCs w:val="19"/>
                <w:color w:val="auto"/>
              </w:rPr>
            </w:pPr>
          </w:p>
        </w:tc>
      </w:tr>
      <w:tr>
        <w:trPr>
          <w:trHeight w:val="210"/>
        </w:trPr>
        <w:tc>
          <w:tcPr>
            <w:tcW w:w="204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Liam K. Griffin</w:t>
            </w:r>
          </w:p>
        </w:tc>
        <w:tc>
          <w:tcPr>
            <w:tcW w:w="2060" w:type="dxa"/>
            <w:vAlign w:val="bottom"/>
            <w:tcBorders>
              <w:bottom w:val="single" w:sz="8" w:color="D1D2D4"/>
            </w:tcBorders>
            <w:shd w:val="clear" w:color="auto" w:fill="CED8EA"/>
          </w:tcPr>
          <w:p>
            <w:pPr>
              <w:jc w:val="right"/>
              <w:ind w:right="92"/>
              <w:spacing w:after="0"/>
              <w:rPr>
                <w:sz w:val="20"/>
                <w:szCs w:val="20"/>
                <w:color w:val="auto"/>
              </w:rPr>
            </w:pPr>
            <w:r>
              <w:rPr>
                <w:rFonts w:ascii="Arial" w:cs="Arial" w:eastAsia="Arial" w:hAnsi="Arial"/>
                <w:sz w:val="18"/>
                <w:szCs w:val="18"/>
                <w:color w:val="02568A"/>
              </w:rPr>
              <w:t>28,750</w:t>
            </w:r>
          </w:p>
        </w:tc>
        <w:tc>
          <w:tcPr>
            <w:tcW w:w="1640" w:type="dxa"/>
            <w:vAlign w:val="bottom"/>
            <w:tcBorders>
              <w:bottom w:val="single" w:sz="8" w:color="D1D2D4"/>
            </w:tcBorders>
            <w:gridSpan w:val="2"/>
            <w:shd w:val="clear" w:color="auto" w:fill="CED8EA"/>
          </w:tcPr>
          <w:p>
            <w:pPr>
              <w:jc w:val="right"/>
              <w:ind w:right="260"/>
              <w:spacing w:after="0"/>
              <w:rPr>
                <w:sz w:val="20"/>
                <w:szCs w:val="20"/>
                <w:color w:val="auto"/>
              </w:rPr>
            </w:pPr>
            <w:r>
              <w:rPr>
                <w:rFonts w:ascii="Arial" w:cs="Arial" w:eastAsia="Arial" w:hAnsi="Arial"/>
                <w:sz w:val="18"/>
                <w:szCs w:val="18"/>
                <w:color w:val="02568A"/>
              </w:rPr>
              <w:t>805,931</w:t>
            </w:r>
          </w:p>
        </w:tc>
        <w:tc>
          <w:tcPr>
            <w:tcW w:w="1960" w:type="dxa"/>
            <w:vAlign w:val="bottom"/>
            <w:tcBorders>
              <w:bottom w:val="single" w:sz="8" w:color="D1D2D4"/>
            </w:tcBorders>
            <w:shd w:val="clear" w:color="auto" w:fill="CED8EA"/>
          </w:tcPr>
          <w:p>
            <w:pPr>
              <w:jc w:val="right"/>
              <w:ind w:right="92"/>
              <w:spacing w:after="0"/>
              <w:rPr>
                <w:sz w:val="20"/>
                <w:szCs w:val="20"/>
                <w:color w:val="auto"/>
              </w:rPr>
            </w:pPr>
            <w:r>
              <w:rPr>
                <w:rFonts w:ascii="Arial" w:cs="Arial" w:eastAsia="Arial" w:hAnsi="Arial"/>
                <w:sz w:val="18"/>
                <w:szCs w:val="18"/>
                <w:color w:val="02568A"/>
              </w:rPr>
              <w:t>53,433</w:t>
            </w:r>
          </w:p>
        </w:tc>
        <w:tc>
          <w:tcPr>
            <w:tcW w:w="140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4,188,614</w:t>
            </w:r>
          </w:p>
        </w:tc>
        <w:tc>
          <w:tcPr>
            <w:tcW w:w="20" w:type="dxa"/>
            <w:vAlign w:val="bottom"/>
          </w:tcPr>
          <w:p>
            <w:pPr>
              <w:spacing w:after="0"/>
              <w:rPr>
                <w:sz w:val="18"/>
                <w:szCs w:val="18"/>
                <w:color w:val="auto"/>
              </w:rPr>
            </w:pPr>
          </w:p>
        </w:tc>
      </w:tr>
      <w:tr>
        <w:trPr>
          <w:trHeight w:val="210"/>
        </w:trPr>
        <w:tc>
          <w:tcPr>
            <w:tcW w:w="2040" w:type="dxa"/>
            <w:vAlign w:val="bottom"/>
            <w:tcBorders>
              <w:bottom w:val="single" w:sz="8" w:color="D1D2D4"/>
            </w:tcBorders>
          </w:tcPr>
          <w:p>
            <w:pPr>
              <w:ind w:left="280"/>
              <w:spacing w:after="0"/>
              <w:rPr>
                <w:sz w:val="20"/>
                <w:szCs w:val="20"/>
                <w:color w:val="auto"/>
              </w:rPr>
            </w:pPr>
            <w:r>
              <w:rPr>
                <w:rFonts w:ascii="Arial" w:cs="Arial" w:eastAsia="Arial" w:hAnsi="Arial"/>
                <w:sz w:val="18"/>
                <w:szCs w:val="18"/>
                <w:b w:val="1"/>
                <w:bCs w:val="1"/>
                <w:color w:val="02568A"/>
              </w:rPr>
              <w:t>Kris Sennesael</w:t>
            </w:r>
          </w:p>
        </w:tc>
        <w:tc>
          <w:tcPr>
            <w:tcW w:w="2060" w:type="dxa"/>
            <w:vAlign w:val="bottom"/>
            <w:tcBorders>
              <w:bottom w:val="single" w:sz="8" w:color="D1D2D4"/>
            </w:tcBorders>
          </w:tcPr>
          <w:p>
            <w:pPr>
              <w:jc w:val="right"/>
              <w:ind w:right="92"/>
              <w:spacing w:after="0"/>
              <w:rPr>
                <w:sz w:val="20"/>
                <w:szCs w:val="20"/>
                <w:color w:val="auto"/>
              </w:rPr>
            </w:pPr>
            <w:r>
              <w:rPr>
                <w:rFonts w:ascii="Arial" w:cs="Arial" w:eastAsia="Arial" w:hAnsi="Arial"/>
                <w:sz w:val="18"/>
                <w:szCs w:val="18"/>
                <w:color w:val="02568A"/>
              </w:rPr>
              <w:t>—</w:t>
            </w:r>
          </w:p>
        </w:tc>
        <w:tc>
          <w:tcPr>
            <w:tcW w:w="1640" w:type="dxa"/>
            <w:vAlign w:val="bottom"/>
            <w:tcBorders>
              <w:bottom w:val="single" w:sz="8" w:color="D1D2D4"/>
            </w:tcBorders>
            <w:gridSpan w:val="2"/>
          </w:tcPr>
          <w:p>
            <w:pPr>
              <w:jc w:val="right"/>
              <w:ind w:right="260"/>
              <w:spacing w:after="0"/>
              <w:rPr>
                <w:sz w:val="20"/>
                <w:szCs w:val="20"/>
                <w:color w:val="auto"/>
              </w:rPr>
            </w:pPr>
            <w:r>
              <w:rPr>
                <w:rFonts w:ascii="Arial" w:cs="Arial" w:eastAsia="Arial" w:hAnsi="Arial"/>
                <w:sz w:val="18"/>
                <w:szCs w:val="18"/>
                <w:color w:val="02568A"/>
              </w:rPr>
              <w:t>—</w:t>
            </w:r>
          </w:p>
        </w:tc>
        <w:tc>
          <w:tcPr>
            <w:tcW w:w="1960" w:type="dxa"/>
            <w:vAlign w:val="bottom"/>
            <w:tcBorders>
              <w:bottom w:val="single" w:sz="8" w:color="D1D2D4"/>
            </w:tcBorders>
          </w:tcPr>
          <w:p>
            <w:pPr>
              <w:jc w:val="right"/>
              <w:ind w:right="92"/>
              <w:spacing w:after="0"/>
              <w:rPr>
                <w:sz w:val="20"/>
                <w:szCs w:val="20"/>
                <w:color w:val="auto"/>
              </w:rPr>
            </w:pPr>
            <w:r>
              <w:rPr>
                <w:rFonts w:ascii="Arial" w:cs="Arial" w:eastAsia="Arial" w:hAnsi="Arial"/>
                <w:sz w:val="18"/>
                <w:szCs w:val="18"/>
                <w:color w:val="02568A"/>
              </w:rPr>
              <w:t>18,175</w:t>
            </w:r>
          </w:p>
        </w:tc>
        <w:tc>
          <w:tcPr>
            <w:tcW w:w="14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1,414,894</w:t>
            </w:r>
          </w:p>
        </w:tc>
        <w:tc>
          <w:tcPr>
            <w:tcW w:w="20" w:type="dxa"/>
            <w:vAlign w:val="bottom"/>
            <w:tcBorders>
              <w:bottom w:val="single" w:sz="8" w:color="D1D2D4"/>
            </w:tcBorders>
          </w:tcPr>
          <w:p>
            <w:pPr>
              <w:spacing w:after="0"/>
              <w:rPr>
                <w:sz w:val="18"/>
                <w:szCs w:val="18"/>
                <w:color w:val="auto"/>
              </w:rPr>
            </w:pPr>
          </w:p>
        </w:tc>
      </w:tr>
      <w:tr>
        <w:trPr>
          <w:trHeight w:val="209"/>
        </w:trPr>
        <w:tc>
          <w:tcPr>
            <w:tcW w:w="204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Carlos S. Bori</w:t>
            </w:r>
          </w:p>
        </w:tc>
        <w:tc>
          <w:tcPr>
            <w:tcW w:w="2060" w:type="dxa"/>
            <w:vAlign w:val="bottom"/>
            <w:tcBorders>
              <w:bottom w:val="single" w:sz="8" w:color="D1D2D4"/>
            </w:tcBorders>
            <w:shd w:val="clear" w:color="auto" w:fill="CED8EA"/>
          </w:tcPr>
          <w:p>
            <w:pPr>
              <w:jc w:val="right"/>
              <w:ind w:right="92"/>
              <w:spacing w:after="0"/>
              <w:rPr>
                <w:sz w:val="20"/>
                <w:szCs w:val="20"/>
                <w:color w:val="auto"/>
              </w:rPr>
            </w:pPr>
            <w:r>
              <w:rPr>
                <w:rFonts w:ascii="Arial" w:cs="Arial" w:eastAsia="Arial" w:hAnsi="Arial"/>
                <w:sz w:val="18"/>
                <w:szCs w:val="18"/>
                <w:color w:val="02568A"/>
              </w:rPr>
              <w:t>—</w:t>
            </w:r>
          </w:p>
        </w:tc>
        <w:tc>
          <w:tcPr>
            <w:tcW w:w="1640" w:type="dxa"/>
            <w:vAlign w:val="bottom"/>
            <w:tcBorders>
              <w:bottom w:val="single" w:sz="8" w:color="D1D2D4"/>
            </w:tcBorders>
            <w:gridSpan w:val="2"/>
            <w:shd w:val="clear" w:color="auto" w:fill="CED8EA"/>
          </w:tcPr>
          <w:p>
            <w:pPr>
              <w:jc w:val="right"/>
              <w:ind w:right="260"/>
              <w:spacing w:after="0"/>
              <w:rPr>
                <w:sz w:val="20"/>
                <w:szCs w:val="20"/>
                <w:color w:val="auto"/>
              </w:rPr>
            </w:pPr>
            <w:r>
              <w:rPr>
                <w:rFonts w:ascii="Arial" w:cs="Arial" w:eastAsia="Arial" w:hAnsi="Arial"/>
                <w:sz w:val="18"/>
                <w:szCs w:val="18"/>
                <w:color w:val="02568A"/>
              </w:rPr>
              <w:t>—</w:t>
            </w:r>
          </w:p>
        </w:tc>
        <w:tc>
          <w:tcPr>
            <w:tcW w:w="1960" w:type="dxa"/>
            <w:vAlign w:val="bottom"/>
            <w:tcBorders>
              <w:bottom w:val="single" w:sz="8" w:color="D1D2D4"/>
            </w:tcBorders>
            <w:shd w:val="clear" w:color="auto" w:fill="CED8EA"/>
          </w:tcPr>
          <w:p>
            <w:pPr>
              <w:jc w:val="right"/>
              <w:ind w:right="92"/>
              <w:spacing w:after="0"/>
              <w:rPr>
                <w:sz w:val="20"/>
                <w:szCs w:val="20"/>
                <w:color w:val="auto"/>
              </w:rPr>
            </w:pPr>
            <w:r>
              <w:rPr>
                <w:rFonts w:ascii="Arial" w:cs="Arial" w:eastAsia="Arial" w:hAnsi="Arial"/>
                <w:sz w:val="18"/>
                <w:szCs w:val="18"/>
                <w:color w:val="02568A"/>
              </w:rPr>
              <w:t>12,155</w:t>
            </w:r>
          </w:p>
        </w:tc>
        <w:tc>
          <w:tcPr>
            <w:tcW w:w="140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964,088</w:t>
            </w:r>
          </w:p>
        </w:tc>
        <w:tc>
          <w:tcPr>
            <w:tcW w:w="20" w:type="dxa"/>
            <w:vAlign w:val="bottom"/>
          </w:tcPr>
          <w:p>
            <w:pPr>
              <w:spacing w:after="0"/>
              <w:rPr>
                <w:sz w:val="18"/>
                <w:szCs w:val="18"/>
                <w:color w:val="auto"/>
              </w:rPr>
            </w:pPr>
          </w:p>
        </w:tc>
      </w:tr>
      <w:tr>
        <w:trPr>
          <w:trHeight w:val="210"/>
        </w:trPr>
        <w:tc>
          <w:tcPr>
            <w:tcW w:w="2040" w:type="dxa"/>
            <w:vAlign w:val="bottom"/>
            <w:tcBorders>
              <w:bottom w:val="single" w:sz="8" w:color="D1D2D4"/>
            </w:tcBorders>
          </w:tcPr>
          <w:p>
            <w:pPr>
              <w:ind w:left="280"/>
              <w:spacing w:after="0"/>
              <w:rPr>
                <w:sz w:val="20"/>
                <w:szCs w:val="20"/>
                <w:color w:val="auto"/>
              </w:rPr>
            </w:pPr>
            <w:r>
              <w:rPr>
                <w:rFonts w:ascii="Arial" w:cs="Arial" w:eastAsia="Arial" w:hAnsi="Arial"/>
                <w:sz w:val="18"/>
                <w:szCs w:val="18"/>
                <w:b w:val="1"/>
                <w:bCs w:val="1"/>
                <w:color w:val="02568A"/>
              </w:rPr>
              <w:t>Robert J. Terry</w:t>
            </w:r>
          </w:p>
        </w:tc>
        <w:tc>
          <w:tcPr>
            <w:tcW w:w="2060" w:type="dxa"/>
            <w:vAlign w:val="bottom"/>
            <w:tcBorders>
              <w:bottom w:val="single" w:sz="8" w:color="D1D2D4"/>
            </w:tcBorders>
          </w:tcPr>
          <w:p>
            <w:pPr>
              <w:jc w:val="right"/>
              <w:ind w:right="92"/>
              <w:spacing w:after="0"/>
              <w:rPr>
                <w:sz w:val="20"/>
                <w:szCs w:val="20"/>
                <w:color w:val="auto"/>
              </w:rPr>
            </w:pPr>
            <w:r>
              <w:rPr>
                <w:rFonts w:ascii="Arial" w:cs="Arial" w:eastAsia="Arial" w:hAnsi="Arial"/>
                <w:sz w:val="18"/>
                <w:szCs w:val="18"/>
                <w:color w:val="02568A"/>
              </w:rPr>
              <w:t>1,750</w:t>
            </w:r>
          </w:p>
        </w:tc>
        <w:tc>
          <w:tcPr>
            <w:tcW w:w="1640" w:type="dxa"/>
            <w:vAlign w:val="bottom"/>
            <w:tcBorders>
              <w:bottom w:val="single" w:sz="8" w:color="D1D2D4"/>
            </w:tcBorders>
            <w:gridSpan w:val="2"/>
          </w:tcPr>
          <w:p>
            <w:pPr>
              <w:jc w:val="right"/>
              <w:ind w:right="260"/>
              <w:spacing w:after="0"/>
              <w:rPr>
                <w:sz w:val="20"/>
                <w:szCs w:val="20"/>
                <w:color w:val="auto"/>
              </w:rPr>
            </w:pPr>
            <w:r>
              <w:rPr>
                <w:rFonts w:ascii="Arial" w:cs="Arial" w:eastAsia="Arial" w:hAnsi="Arial"/>
                <w:sz w:val="18"/>
                <w:szCs w:val="18"/>
                <w:color w:val="02568A"/>
              </w:rPr>
              <w:t>32,743</w:t>
            </w:r>
          </w:p>
        </w:tc>
        <w:tc>
          <w:tcPr>
            <w:tcW w:w="1960" w:type="dxa"/>
            <w:vAlign w:val="bottom"/>
            <w:tcBorders>
              <w:bottom w:val="single" w:sz="8" w:color="D1D2D4"/>
            </w:tcBorders>
          </w:tcPr>
          <w:p>
            <w:pPr>
              <w:jc w:val="right"/>
              <w:ind w:right="92"/>
              <w:spacing w:after="0"/>
              <w:rPr>
                <w:sz w:val="20"/>
                <w:szCs w:val="20"/>
                <w:color w:val="auto"/>
              </w:rPr>
            </w:pPr>
            <w:r>
              <w:rPr>
                <w:rFonts w:ascii="Arial" w:cs="Arial" w:eastAsia="Arial" w:hAnsi="Arial"/>
                <w:sz w:val="18"/>
                <w:szCs w:val="18"/>
                <w:color w:val="02568A"/>
              </w:rPr>
              <w:t>8,500</w:t>
            </w:r>
          </w:p>
        </w:tc>
        <w:tc>
          <w:tcPr>
            <w:tcW w:w="14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669,267</w:t>
            </w:r>
          </w:p>
        </w:tc>
        <w:tc>
          <w:tcPr>
            <w:tcW w:w="20" w:type="dxa"/>
            <w:vAlign w:val="bottom"/>
            <w:tcBorders>
              <w:bottom w:val="single" w:sz="8" w:color="D1D2D4"/>
            </w:tcBorders>
          </w:tcPr>
          <w:p>
            <w:pPr>
              <w:spacing w:after="0"/>
              <w:rPr>
                <w:sz w:val="18"/>
                <w:szCs w:val="18"/>
                <w:color w:val="auto"/>
              </w:rPr>
            </w:pPr>
          </w:p>
        </w:tc>
      </w:tr>
      <w:tr>
        <w:trPr>
          <w:trHeight w:val="210"/>
        </w:trPr>
        <w:tc>
          <w:tcPr>
            <w:tcW w:w="204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Peter L. Gammel</w:t>
            </w:r>
          </w:p>
        </w:tc>
        <w:tc>
          <w:tcPr>
            <w:tcW w:w="2060" w:type="dxa"/>
            <w:vAlign w:val="bottom"/>
            <w:tcBorders>
              <w:bottom w:val="single" w:sz="8" w:color="D1D2D4"/>
            </w:tcBorders>
            <w:shd w:val="clear" w:color="auto" w:fill="CED8EA"/>
          </w:tcPr>
          <w:p>
            <w:pPr>
              <w:jc w:val="right"/>
              <w:ind w:right="92"/>
              <w:spacing w:after="0"/>
              <w:rPr>
                <w:sz w:val="20"/>
                <w:szCs w:val="20"/>
                <w:color w:val="auto"/>
              </w:rPr>
            </w:pPr>
            <w:r>
              <w:rPr>
                <w:rFonts w:ascii="Arial" w:cs="Arial" w:eastAsia="Arial" w:hAnsi="Arial"/>
                <w:sz w:val="18"/>
                <w:szCs w:val="18"/>
                <w:color w:val="02568A"/>
              </w:rPr>
              <w:t>4,500</w:t>
            </w:r>
          </w:p>
        </w:tc>
        <w:tc>
          <w:tcPr>
            <w:tcW w:w="1640" w:type="dxa"/>
            <w:vAlign w:val="bottom"/>
            <w:tcBorders>
              <w:bottom w:val="single" w:sz="8" w:color="D1D2D4"/>
            </w:tcBorders>
            <w:gridSpan w:val="2"/>
            <w:shd w:val="clear" w:color="auto" w:fill="CED8EA"/>
          </w:tcPr>
          <w:p>
            <w:pPr>
              <w:jc w:val="right"/>
              <w:ind w:right="260"/>
              <w:spacing w:after="0"/>
              <w:rPr>
                <w:sz w:val="20"/>
                <w:szCs w:val="20"/>
                <w:color w:val="auto"/>
              </w:rPr>
            </w:pPr>
            <w:r>
              <w:rPr>
                <w:rFonts w:ascii="Arial" w:cs="Arial" w:eastAsia="Arial" w:hAnsi="Arial"/>
                <w:sz w:val="18"/>
                <w:szCs w:val="18"/>
                <w:color w:val="02568A"/>
              </w:rPr>
              <w:t>64,913</w:t>
            </w:r>
          </w:p>
        </w:tc>
        <w:tc>
          <w:tcPr>
            <w:tcW w:w="1960" w:type="dxa"/>
            <w:vAlign w:val="bottom"/>
            <w:tcBorders>
              <w:bottom w:val="single" w:sz="8" w:color="D1D2D4"/>
            </w:tcBorders>
            <w:shd w:val="clear" w:color="auto" w:fill="CED8EA"/>
          </w:tcPr>
          <w:p>
            <w:pPr>
              <w:jc w:val="right"/>
              <w:ind w:right="92"/>
              <w:spacing w:after="0"/>
              <w:rPr>
                <w:sz w:val="20"/>
                <w:szCs w:val="20"/>
                <w:color w:val="auto"/>
              </w:rPr>
            </w:pPr>
            <w:r>
              <w:rPr>
                <w:rFonts w:ascii="Arial" w:cs="Arial" w:eastAsia="Arial" w:hAnsi="Arial"/>
                <w:sz w:val="18"/>
                <w:szCs w:val="18"/>
                <w:color w:val="02568A"/>
              </w:rPr>
              <w:t>9,681</w:t>
            </w:r>
          </w:p>
        </w:tc>
        <w:tc>
          <w:tcPr>
            <w:tcW w:w="140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758,289</w:t>
            </w:r>
          </w:p>
        </w:tc>
        <w:tc>
          <w:tcPr>
            <w:tcW w:w="20" w:type="dxa"/>
            <w:vAlign w:val="bottom"/>
          </w:tcPr>
          <w:p>
            <w:pPr>
              <w:spacing w:after="0"/>
              <w:rPr>
                <w:sz w:val="18"/>
                <w:szCs w:val="18"/>
                <w:color w:val="auto"/>
              </w:rPr>
            </w:pPr>
          </w:p>
        </w:tc>
      </w:tr>
    </w:tbl>
    <w:p>
      <w:pPr>
        <w:spacing w:after="0" w:line="221" w:lineRule="exact"/>
        <w:rPr>
          <w:sz w:val="20"/>
          <w:szCs w:val="20"/>
          <w:color w:val="auto"/>
        </w:rPr>
      </w:pPr>
    </w:p>
    <w:p>
      <w:pPr>
        <w:ind w:left="1680" w:right="340" w:hanging="549"/>
        <w:spacing w:after="0" w:line="254" w:lineRule="auto"/>
        <w:tabs>
          <w:tab w:leader="none" w:pos="1680" w:val="left"/>
        </w:tabs>
        <w:numPr>
          <w:ilvl w:val="0"/>
          <w:numId w:val="54"/>
        </w:numPr>
        <w:rPr>
          <w:rFonts w:ascii="Arial" w:cs="Arial" w:eastAsia="Arial" w:hAnsi="Arial"/>
          <w:sz w:val="18"/>
          <w:szCs w:val="18"/>
          <w:color w:val="191919"/>
        </w:rPr>
      </w:pPr>
      <w:r>
        <w:rPr>
          <w:rFonts w:ascii="Arial" w:cs="Arial" w:eastAsia="Arial" w:hAnsi="Arial"/>
          <w:sz w:val="18"/>
          <w:szCs w:val="18"/>
          <w:color w:val="191919"/>
        </w:rPr>
        <w:t>The value realized on exercise is based on the amount by which the market price of a share of the Company’s common stock on the dates of exercise exceeded the applicable exercise price per share of the exercised option.</w:t>
      </w:r>
    </w:p>
    <w:p>
      <w:pPr>
        <w:spacing w:after="0" w:line="7" w:lineRule="exact"/>
        <w:rPr>
          <w:rFonts w:ascii="Arial" w:cs="Arial" w:eastAsia="Arial" w:hAnsi="Arial"/>
          <w:sz w:val="18"/>
          <w:szCs w:val="18"/>
          <w:color w:val="191919"/>
        </w:rPr>
      </w:pPr>
    </w:p>
    <w:p>
      <w:pPr>
        <w:ind w:left="1680" w:hanging="549"/>
        <w:spacing w:after="0"/>
        <w:tabs>
          <w:tab w:leader="none" w:pos="1680" w:val="left"/>
        </w:tabs>
        <w:numPr>
          <w:ilvl w:val="0"/>
          <w:numId w:val="54"/>
        </w:numPr>
        <w:rPr>
          <w:rFonts w:ascii="Arial" w:cs="Arial" w:eastAsia="Arial" w:hAnsi="Arial"/>
          <w:sz w:val="16"/>
          <w:szCs w:val="16"/>
          <w:color w:val="191919"/>
        </w:rPr>
      </w:pPr>
      <w:r>
        <w:rPr>
          <w:rFonts w:ascii="Arial" w:cs="Arial" w:eastAsia="Arial" w:hAnsi="Arial"/>
          <w:sz w:val="16"/>
          <w:szCs w:val="16"/>
          <w:color w:val="191919"/>
        </w:rPr>
        <w:t>The value realized upon vesting is determined by multiplying (a) the number of shares underlying the stock awards that vested, by</w:t>
      </w:r>
    </w:p>
    <w:p>
      <w:pPr>
        <w:spacing w:after="0" w:line="38" w:lineRule="exact"/>
        <w:rPr>
          <w:rFonts w:ascii="Arial" w:cs="Arial" w:eastAsia="Arial" w:hAnsi="Arial"/>
          <w:sz w:val="16"/>
          <w:szCs w:val="16"/>
          <w:color w:val="191919"/>
        </w:rPr>
      </w:pPr>
    </w:p>
    <w:p>
      <w:pPr>
        <w:ind w:left="1680"/>
        <w:spacing w:after="0"/>
        <w:rPr>
          <w:rFonts w:ascii="Arial" w:cs="Arial" w:eastAsia="Arial" w:hAnsi="Arial"/>
          <w:sz w:val="16"/>
          <w:szCs w:val="16"/>
          <w:color w:val="191919"/>
        </w:rPr>
      </w:pPr>
      <w:r>
        <w:rPr>
          <w:rFonts w:ascii="Arial" w:cs="Arial" w:eastAsia="Arial" w:hAnsi="Arial"/>
          <w:sz w:val="16"/>
          <w:szCs w:val="16"/>
          <w:color w:val="191919"/>
        </w:rPr>
        <w:t>(b) the closing price of the Company’s common stock on the Nasdaq Global Select Market on the applicable vesting date.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56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620"/>
        <w:spacing w:after="0" w:line="250" w:lineRule="auto"/>
        <w:rPr>
          <w:sz w:val="20"/>
          <w:szCs w:val="20"/>
          <w:color w:val="auto"/>
        </w:rPr>
      </w:pPr>
      <w:r>
        <w:rPr>
          <w:rFonts w:ascii="Arial" w:cs="Arial" w:eastAsia="Arial" w:hAnsi="Arial"/>
          <w:sz w:val="22"/>
          <w:szCs w:val="22"/>
          <w:b w:val="1"/>
          <w:bCs w:val="1"/>
          <w:i w:val="1"/>
          <w:iCs w:val="1"/>
          <w:color w:val="000001"/>
        </w:rPr>
        <w:t>Potential Payments Upon Termination or Change in Control</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02568A"/>
        </w:rPr>
        <w:t>Mr. Griffin</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191919"/>
        </w:rPr>
        <w:t>On May 11, 2016, in connection with the appointment of Mr. Griffin as Chief Executive Officer, the Company entered into an amended and restated Change in Control / Severance Agreement with Mr. Griffin (the “Griffin Agreement”). The Griffin Agreement sets out severance benefits that become payable if, while employed by the Company, other than following a change in control, Mr. Griffin either (i) is terminated without cause, or (ii) terminates his employment for good reason. The severance benefits provided to Mr. Griffin under either of these circumstances would consist of: (i) a lump-sum payment equal to two (2) times the sum of</w:t>
      </w:r>
    </w:p>
    <w:p>
      <w:pPr>
        <w:spacing w:after="0" w:line="5" w:lineRule="exact"/>
        <w:rPr>
          <w:sz w:val="20"/>
          <w:szCs w:val="20"/>
          <w:color w:val="auto"/>
        </w:rPr>
      </w:pPr>
    </w:p>
    <w:p>
      <w:pPr>
        <w:ind w:firstLine="8"/>
        <w:spacing w:after="0" w:line="284" w:lineRule="auto"/>
        <w:tabs>
          <w:tab w:leader="none" w:pos="287" w:val="left"/>
        </w:tabs>
        <w:numPr>
          <w:ilvl w:val="0"/>
          <w:numId w:val="55"/>
        </w:numPr>
        <w:rPr>
          <w:rFonts w:ascii="Arial" w:cs="Arial" w:eastAsia="Arial" w:hAnsi="Arial"/>
          <w:sz w:val="16"/>
          <w:szCs w:val="16"/>
          <w:color w:val="191919"/>
        </w:rPr>
      </w:pPr>
      <w:r>
        <w:rPr>
          <w:rFonts w:ascii="Arial" w:cs="Arial" w:eastAsia="Arial" w:hAnsi="Arial"/>
          <w:sz w:val="16"/>
          <w:szCs w:val="16"/>
          <w:color w:val="191919"/>
        </w:rPr>
        <w:t>his then-current annual base salary immediately prior to such termination and (B) the Bonus Amount (as defined below); (ii) full acceleration of the vesting of all of Mr. Griffin’s outstanding stock options, which stock options would become exercisable for a period of two (2) years after the termination date (but not beyond the expiration of their respective maximum terms), full acceleration of the vesting of all outstanding restricted stock awards, and the right to receive the number of performance shares under outstanding PSAs that are earned but unissued and that he would have earned had he remained employed through the end of the applicable performance period; and (iii) provided he is eligible for and timely elects to continue receiving group medical coverage, certain COBRA continuation for him and his eligible dependents (“COBRA continuation”) for up to fifteen (15) months after the termination date. The Bonus Amount is an amount equal to the greater of (x) the average of the short-term cash incentive awards received for the three (3) years prior to the year in which the termination occurs, and (y) the target annual short-term cash incentive award for the year in which the termination occurs.</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191919"/>
        </w:rPr>
        <w:t>The Griffin Agreement also sets out severance benefits that become payable if, within the period of time commencing three (3) months prior to and ending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191919"/>
        </w:rPr>
        <w:t>two (2) years following a change in control, Mr. Griffin’s employment is either (i) terminated by the Company without cause, or (ii) terminated by him for good reason (a “Qualifying Termination”). The severance benefits provided to Mr. Griffin in such circumstances would consist of the following: (i) a lump-sum payment equal to two and one-half (2</w:t>
      </w:r>
      <w:r>
        <w:rPr>
          <w:rFonts w:ascii="Arial" w:cs="Arial" w:eastAsia="Arial" w:hAnsi="Arial"/>
          <w:sz w:val="26"/>
          <w:szCs w:val="26"/>
          <w:color w:val="191919"/>
          <w:vertAlign w:val="superscript"/>
        </w:rPr>
        <w:t>1</w:t>
      </w:r>
      <w:r>
        <w:rPr>
          <w:rFonts w:ascii="Arial" w:cs="Arial" w:eastAsia="Arial" w:hAnsi="Arial"/>
          <w:sz w:val="16"/>
          <w:szCs w:val="16"/>
          <w:color w:val="191919"/>
        </w:rPr>
        <w:t>/</w:t>
      </w:r>
      <w:r>
        <w:rPr>
          <w:rFonts w:ascii="Arial" w:cs="Arial" w:eastAsia="Arial" w:hAnsi="Arial"/>
          <w:sz w:val="13"/>
          <w:szCs w:val="13"/>
          <w:color w:val="191919"/>
        </w:rPr>
        <w:t>2</w:t>
      </w:r>
      <w:r>
        <w:rPr>
          <w:rFonts w:ascii="Arial" w:cs="Arial" w:eastAsia="Arial" w:hAnsi="Arial"/>
          <w:sz w:val="16"/>
          <w:szCs w:val="16"/>
          <w:color w:val="191919"/>
        </w:rPr>
        <w:t>) times</w:t>
      </w:r>
    </w:p>
    <w:p>
      <w:pPr>
        <w:spacing w:after="0"/>
        <w:rPr>
          <w:sz w:val="20"/>
          <w:szCs w:val="20"/>
          <w:color w:val="auto"/>
        </w:rPr>
      </w:pPr>
      <w:r>
        <w:rPr>
          <w:rFonts w:ascii="Arial" w:cs="Arial" w:eastAsia="Arial" w:hAnsi="Arial"/>
          <w:sz w:val="16"/>
          <w:szCs w:val="16"/>
          <w:color w:val="191919"/>
        </w:rPr>
        <w:t>the sum of (A) his annual base salary immediately prior to the change in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191919"/>
        </w:rPr>
        <w:t>control, and (B) the CIC Bonus Amount (as defined below); (ii) all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Mr. Griffin’s then-outstanding stock options would become exercisable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a period of thirty (30) months after the termination date (but not beyond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the expiration of their respective maximum terms); and (iii) COBRA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continuation for up to eighteen (18) months after the termination date.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CIC Bonus Amount is an amount equal to the greater of (x) the average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the annual short-term cash incentive awards received for the three (3)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years prior to the year in which the change of control occurs and (y)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target annual short-term cash incentive award for the year in which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191919"/>
        </w:rPr>
        <w:t>change of control occurs.</w:t>
      </w:r>
    </w:p>
    <w:p>
      <w:pPr>
        <w:spacing w:after="0" w:line="21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191919"/>
        </w:rPr>
        <w:t>The Griffin Agreement also provides that in the event of a Qualifying Termination, Mr. Griffin is entitled to full acceleration of the vesting of all of his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the number of shares that would have been earned pursuant to the terms of such awards based upon performance up through and including the day prior to the date of the change in control. In the event that the successor or surviving company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149860</wp:posOffset>
            </wp:positionV>
            <wp:extent cx="713613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80" w:space="680"/>
            <w:col w:w="5280"/>
          </w:cols>
          <w:pgMar w:left="320" w:top="131"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191919"/>
        </w:rPr>
        <w:t>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6"/>
          <w:szCs w:val="16"/>
          <w:color w:val="191919"/>
        </w:rPr>
        <w:t>In the event of Mr. Griffin’s death or permanent disability (within the meaning of Section 22(e)(3) of the IRC), the Griffin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The Griffin Agreement also provides that if Mr. Griffin’s death or permanent disability occurs prior to the end of the performance period of a performance-based equity award, each such award would be deemed earned as to the greater of (i) the target level of shares for such award, or</w:t>
      </w:r>
    </w:p>
    <w:p>
      <w:pPr>
        <w:spacing w:after="0" w:line="5" w:lineRule="exact"/>
        <w:rPr>
          <w:sz w:val="20"/>
          <w:szCs w:val="20"/>
          <w:color w:val="auto"/>
        </w:rPr>
      </w:pPr>
    </w:p>
    <w:p>
      <w:pPr>
        <w:ind w:right="60" w:firstLine="8"/>
        <w:spacing w:after="0" w:line="288" w:lineRule="auto"/>
        <w:tabs>
          <w:tab w:leader="none" w:pos="258" w:val="left"/>
        </w:tabs>
        <w:numPr>
          <w:ilvl w:val="0"/>
          <w:numId w:val="56"/>
        </w:numPr>
        <w:rPr>
          <w:rFonts w:ascii="Arial" w:cs="Arial" w:eastAsia="Arial" w:hAnsi="Arial"/>
          <w:sz w:val="16"/>
          <w:szCs w:val="16"/>
          <w:color w:val="191919"/>
        </w:rPr>
      </w:pPr>
      <w:r>
        <w:rPr>
          <w:rFonts w:ascii="Arial" w:cs="Arial" w:eastAsia="Arial" w:hAnsi="Arial"/>
          <w:sz w:val="16"/>
          <w:szCs w:val="16"/>
          <w:color w:val="191919"/>
        </w:rPr>
        <w:t>the number of shares that would have been earned pursuant to the terms of such award had he remained employed through the end of the performance period, and such earned shares would become vested and issuable to him after the performance period ends. In addition, all outstanding stock options would be exercisable for a period of twelve (12) months following the termination of employment (but not beyond the expiration of their respective maximum terms).</w:t>
      </w:r>
    </w:p>
    <w:p>
      <w:pPr>
        <w:spacing w:after="0" w:line="17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191919"/>
        </w:rPr>
        <w:t>The Griffin Agreement is intended to be exempt from or compliant with Section 409A of the IRC and has an initial two (2) year term from May 11, 2016, and thereafter renews automatically on an annual basis for up to five (5) additional years unless either the Company or Mr. Griffin timely provides a notice of non-renewal to the other prior to the end of the then-current term. The payments due to Mr. Griffin under the Griffin Agreement are subject to potential reduction in the event that such payments would otherwise become subject to excise tax incurred under Section 4999 of the IRC, if such reduction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58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191919"/>
        </w:rPr>
        <w:t>result in his retaining a larger amount, on an after-tax basis, than if he had received all of the payments due.</w:t>
      </w:r>
    </w:p>
    <w:p>
      <w:pPr>
        <w:spacing w:after="0" w:line="18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191919"/>
        </w:rPr>
        <w:t>Additionally, the Griffin Agreement requires that Mr. Griffin sign a release of claims in favor of the Company before he is eligible to receive any benefits under the Griffin Agreement and contains a non-solicitation provision applicable to Mr. Griffin while he is employed by the Company and for twelve (12) months following the termination of his employment.</w:t>
      </w:r>
    </w:p>
    <w:p>
      <w:pPr>
        <w:spacing w:after="0" w:line="169"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191919"/>
        </w:rPr>
        <w:t>The terms “change in control,” “cause,” and “good reason” are each defined in the Griffin Agreement. Change in control means, in summary:</w:t>
      </w:r>
    </w:p>
    <w:p>
      <w:pPr>
        <w:spacing w:after="0" w:line="1" w:lineRule="exact"/>
        <w:rPr>
          <w:sz w:val="20"/>
          <w:szCs w:val="20"/>
          <w:color w:val="auto"/>
        </w:rPr>
      </w:pPr>
    </w:p>
    <w:p>
      <w:pPr>
        <w:ind w:firstLine="1"/>
        <w:spacing w:after="0" w:line="281" w:lineRule="auto"/>
        <w:tabs>
          <w:tab w:leader="none" w:pos="210" w:val="left"/>
        </w:tabs>
        <w:numPr>
          <w:ilvl w:val="0"/>
          <w:numId w:val="57"/>
        </w:numPr>
        <w:rPr>
          <w:rFonts w:ascii="Arial" w:cs="Arial" w:eastAsia="Arial" w:hAnsi="Arial"/>
          <w:sz w:val="16"/>
          <w:szCs w:val="16"/>
          <w:color w:val="191919"/>
        </w:rPr>
      </w:pPr>
      <w:r>
        <w:rPr>
          <w:rFonts w:ascii="Arial" w:cs="Arial" w:eastAsia="Arial" w:hAnsi="Arial"/>
          <w:sz w:val="16"/>
          <w:szCs w:val="16"/>
          <w:color w:val="191919"/>
        </w:rPr>
        <w:t>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his base compensation, authority, duties, responsibilities, or budget over which he retains authority; (ii) a requirement that Mr. Griffin report to a corporate officer or employee instead of reporting directly to the Board of Directors;</w:t>
      </w:r>
    </w:p>
    <w:p>
      <w:pPr>
        <w:spacing w:after="0" w:line="8" w:lineRule="exact"/>
        <w:rPr>
          <w:rFonts w:ascii="Arial" w:cs="Arial" w:eastAsia="Arial" w:hAnsi="Arial"/>
          <w:sz w:val="16"/>
          <w:szCs w:val="16"/>
          <w:color w:val="191919"/>
        </w:rPr>
      </w:pPr>
    </w:p>
    <w:p>
      <w:pPr>
        <w:ind w:right="140" w:firstLine="1"/>
        <w:spacing w:after="0" w:line="255" w:lineRule="auto"/>
        <w:tabs>
          <w:tab w:leader="none" w:pos="307" w:val="left"/>
        </w:tabs>
        <w:numPr>
          <w:ilvl w:val="0"/>
          <w:numId w:val="58"/>
        </w:numPr>
        <w:rPr>
          <w:rFonts w:ascii="Arial" w:cs="Arial" w:eastAsia="Arial" w:hAnsi="Arial"/>
          <w:sz w:val="18"/>
          <w:szCs w:val="18"/>
          <w:color w:val="191919"/>
        </w:rPr>
      </w:pPr>
      <w:r>
        <w:rPr>
          <w:rFonts w:ascii="Arial" w:cs="Arial" w:eastAsia="Arial" w:hAnsi="Arial"/>
          <w:sz w:val="18"/>
          <w:szCs w:val="18"/>
          <w:color w:val="191919"/>
        </w:rPr>
        <w:t>a material change in his office location; or (iv) any action or inaction constituting a material breach by the Company of the terms of the agreement.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02568A"/>
        </w:rPr>
        <w:t>Messrs. Sennesael, Bori, Gammel, and Terry</w:t>
      </w:r>
    </w:p>
    <w:p>
      <w:pPr>
        <w:spacing w:after="0" w:line="225"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191919"/>
        </w:rPr>
        <w:t>The Company entered into Change in Control / Severance Agreements with each of Messrs. Gammel, Sennesael, Bori, and Terry on December 16, 2014, August 29, 2016, November 9, 2016, and November 10, 2016, respectively. Each such Change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520065</wp:posOffset>
            </wp:positionV>
            <wp:extent cx="71361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2">
            <w:col w:w="5280" w:space="680"/>
            <w:col w:w="5280"/>
          </w:cols>
          <w:pgMar w:left="320" w:top="131"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191919"/>
        </w:rPr>
        <w:t>Control / Severance Agreement is referred to herein as a “CIC Agreement.”</w:t>
      </w:r>
    </w:p>
    <w:p>
      <w:pPr>
        <w:spacing w:after="0" w:line="186" w:lineRule="exact"/>
        <w:rPr>
          <w:sz w:val="20"/>
          <w:szCs w:val="20"/>
          <w:color w:val="auto"/>
        </w:rPr>
      </w:pPr>
    </w:p>
    <w:p>
      <w:pPr>
        <w:spacing w:after="0" w:line="282" w:lineRule="auto"/>
        <w:rPr>
          <w:sz w:val="20"/>
          <w:szCs w:val="20"/>
          <w:color w:val="auto"/>
        </w:rPr>
      </w:pPr>
      <w:r>
        <w:rPr>
          <w:rFonts w:ascii="Arial" w:cs="Arial" w:eastAsia="Arial" w:hAnsi="Arial"/>
          <w:sz w:val="16"/>
          <w:szCs w:val="16"/>
          <w:color w:val="191919"/>
        </w:rPr>
        <w:t>Each CIC Agreement sets out severance benefits that become payable if, within the period of time commencing three (3) months prior to and ending twelve (12) months following a change in control, the executive officer’s employment is either (i) terminated by the Company without cause, or (ii) terminated by the executive for good reason (for each such executive, a “Qualifying Termination”). The severance benefits provided to the executive in such circumstances would consist of the following: (i) a</w:t>
      </w:r>
    </w:p>
    <w:p>
      <w:pPr>
        <w:spacing w:after="0" w:line="5"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191919"/>
        </w:rPr>
        <w:t>lump sum payment equal to one and one-half (1</w:t>
      </w:r>
      <w:r>
        <w:rPr>
          <w:rFonts w:ascii="Arial" w:cs="Arial" w:eastAsia="Arial" w:hAnsi="Arial"/>
          <w:sz w:val="28"/>
          <w:szCs w:val="28"/>
          <w:color w:val="191919"/>
          <w:vertAlign w:val="superscript"/>
        </w:rPr>
        <w:t>1</w:t>
      </w:r>
      <w:r>
        <w:rPr>
          <w:rFonts w:ascii="Arial" w:cs="Arial" w:eastAsia="Arial" w:hAnsi="Arial"/>
          <w:sz w:val="17"/>
          <w:szCs w:val="17"/>
          <w:color w:val="191919"/>
        </w:rPr>
        <w:t>/</w:t>
      </w:r>
      <w:r>
        <w:rPr>
          <w:rFonts w:ascii="Arial" w:cs="Arial" w:eastAsia="Arial" w:hAnsi="Arial"/>
          <w:sz w:val="14"/>
          <w:szCs w:val="14"/>
          <w:color w:val="191919"/>
        </w:rPr>
        <w:t>2</w:t>
      </w:r>
      <w:r>
        <w:rPr>
          <w:rFonts w:ascii="Arial" w:cs="Arial" w:eastAsia="Arial" w:hAnsi="Arial"/>
          <w:sz w:val="17"/>
          <w:szCs w:val="17"/>
          <w:color w:val="191919"/>
        </w:rPr>
        <w:t>) times (two (2) times, in the case of Mr. Gammel) the sum of (A) his annual base salary immediately prior to the change in control, and (B) the CIC Bonus Amount; (ii) all of the executive’s then-outstanding stock options would remain exercisable for a period of eighteen (18) months after the termination date (but not beyond the expiration of their respective maximum terms); and (iii) COBRA continuation for up to eighteen (18) months after the termination date.</w:t>
      </w:r>
    </w:p>
    <w:p>
      <w:pPr>
        <w:spacing w:after="0" w:line="203" w:lineRule="exact"/>
        <w:rPr>
          <w:sz w:val="20"/>
          <w:szCs w:val="20"/>
          <w:color w:val="auto"/>
        </w:rPr>
      </w:pPr>
    </w:p>
    <w:p>
      <w:pPr>
        <w:spacing w:after="0" w:line="285" w:lineRule="auto"/>
        <w:rPr>
          <w:sz w:val="20"/>
          <w:szCs w:val="20"/>
          <w:color w:val="auto"/>
        </w:rPr>
      </w:pPr>
      <w:r>
        <w:rPr>
          <w:rFonts w:ascii="Arial" w:cs="Arial" w:eastAsia="Arial" w:hAnsi="Arial"/>
          <w:sz w:val="16"/>
          <w:szCs w:val="16"/>
          <w:color w:val="191919"/>
        </w:rPr>
        <w:t>Each CIC Agreement also provides that in the event of a Qualifying Termination, the executive is entitled to full acceleration of the vesting of all of his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the number of shares that would have been earned pursuant to the terms of such awards based upon performance up through and including the day prior to the date of the change in control. In the event that the successor or surviving company does not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191919"/>
        </w:rPr>
        <w:t>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p>
    <w:p>
      <w:pPr>
        <w:spacing w:after="0" w:line="166" w:lineRule="exact"/>
        <w:rPr>
          <w:sz w:val="20"/>
          <w:szCs w:val="20"/>
          <w:color w:val="auto"/>
        </w:rPr>
      </w:pPr>
    </w:p>
    <w:p>
      <w:pPr>
        <w:ind w:right="140"/>
        <w:spacing w:after="0" w:line="301" w:lineRule="auto"/>
        <w:rPr>
          <w:sz w:val="20"/>
          <w:szCs w:val="20"/>
          <w:color w:val="auto"/>
        </w:rPr>
      </w:pPr>
      <w:r>
        <w:rPr>
          <w:rFonts w:ascii="Arial" w:cs="Arial" w:eastAsia="Arial" w:hAnsi="Arial"/>
          <w:sz w:val="15"/>
          <w:szCs w:val="15"/>
          <w:color w:val="191919"/>
        </w:rPr>
        <w:t>Each CIC Agreement also sets out severance benefits outside a change in control that become payable if the executive’s employment is terminated by the Company without cause. The severance benefits provided to the executive under such circumstance would consist of the following: (i) in the case of Mr. Gammel, a lump sum payment equal to the sum of (x) his annual base salary, and (y) any short-term cash incentive award then due, and in the case of Messrs. Sennesael, Bori, and Terry, biweekly compensation continuation payments for a period of twelve (12) months, with each such compensation continuation payment being equal to the aggregate payment amount divided by twenty-six (26), where the aggregate payment is equal to the sum of (x) his annual base salary, and</w:t>
      </w:r>
    </w:p>
    <w:p>
      <w:pPr>
        <w:spacing w:after="0" w:line="3" w:lineRule="exact"/>
        <w:rPr>
          <w:sz w:val="20"/>
          <w:szCs w:val="20"/>
          <w:color w:val="auto"/>
        </w:rPr>
      </w:pPr>
    </w:p>
    <w:p>
      <w:pPr>
        <w:ind w:right="200" w:firstLine="1"/>
        <w:spacing w:after="0" w:line="252" w:lineRule="auto"/>
        <w:tabs>
          <w:tab w:leader="none" w:pos="249" w:val="left"/>
        </w:tabs>
        <w:numPr>
          <w:ilvl w:val="0"/>
          <w:numId w:val="59"/>
        </w:numPr>
        <w:rPr>
          <w:rFonts w:ascii="Arial" w:cs="Arial" w:eastAsia="Arial" w:hAnsi="Arial"/>
          <w:sz w:val="18"/>
          <w:szCs w:val="18"/>
          <w:color w:val="191919"/>
        </w:rPr>
      </w:pPr>
      <w:r>
        <w:rPr>
          <w:rFonts w:ascii="Arial" w:cs="Arial" w:eastAsia="Arial" w:hAnsi="Arial"/>
          <w:sz w:val="18"/>
          <w:szCs w:val="18"/>
          <w:color w:val="191919"/>
        </w:rPr>
        <w:t>any short-term cash incentive award then due; (ii) all then-vested outstanding stock options would remain exercisable for a period of twelve (12) months after the termination date (but not beyond the expiration of their respective maximum terms); and (iii) COBRA continuation coverage for up to twelve (12) months after the termination date.</w:t>
      </w:r>
    </w:p>
    <w:p>
      <w:pPr>
        <w:spacing w:after="0" w:line="20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191919"/>
        </w:rPr>
        <w:t>In the event of the executive’s death or permanent disability (within the meaning of Section 22(e)(3) of the IRC), each CIC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Each CIC Agreement also provides that for a performance-based equity award where the executive’s death or permanent disability occurs prior to the end of the performance period, such award would be deemed earned as to the greater of (i) the target level of shares for such award, or (ii) the number of shares that would have been earned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149860</wp:posOffset>
            </wp:positionV>
            <wp:extent cx="7136130"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80" w:space="680"/>
            <w:col w:w="5280"/>
          </w:cols>
          <w:pgMar w:left="320" w:top="131"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191919"/>
        </w:rPr>
        <w:t>pursuant to the terms of such award had the executive remained employed through the end of the performance period, and such earned shares would become vested and issuable to the executive after the performance period ends. In addition, all outstanding stock options would remain exercisable for a period of twelve (12) months following the termination of employment (but not beyond the expiration of their respective maximum terms).</w:t>
      </w:r>
    </w:p>
    <w:p>
      <w:pPr>
        <w:spacing w:after="0" w:line="17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191919"/>
        </w:rPr>
        <w:t>Each CIC Agreement is intended to be exempt from or compliant with Section 409A of the IRC and has an initial two (2) year term, and thereafter renews automatically on an annual basis for up to five (5) additional years unless either the Company or the executive timely provides a notice of non-renewal to the other prior to the end of the then-current term. The payments due to each executive under his CIC Agreement are subject to potential reduction in the event that such payments would otherwise become subject to excise tax incurred under Section 4999 of the IRC, if such reduction would result in the executive retaining a larger amount, on an after-tax basis, than if he had received all of the payments due.</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6"/>
          <w:szCs w:val="16"/>
          <w:color w:val="191919"/>
        </w:rPr>
        <w:t>Additionally, each CIC Agreement requires that the executive sign a release of claims in favor of the Company before he is eligible to receive any benefits under the agreement. The CIC Agreement for Mr. Gammel contains non-compete and non-solicitation provisions applicable to the executive while he is employed by the Company and for a period of twenty-four (24) months following the termination of his employment. The CIC Agreement for each of Messrs. Sennesael, Bori, and Terry contains non-solicitation provisions applicable to the executive while he is employed by the Company and for a period of twelve (12) months following the termination of his employment.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60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191919"/>
        </w:rPr>
        <w:t>The terms “change in control,” “cause,” and “good reason” are each defined in the CIC Agreements.</w:t>
      </w:r>
    </w:p>
    <w:p>
      <w:pPr>
        <w:spacing w:after="0" w:line="186"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191919"/>
        </w:rPr>
        <w:t>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w:t>
      </w:r>
    </w:p>
    <w:p>
      <w:pPr>
        <w:spacing w:after="0" w:line="2" w:lineRule="exact"/>
        <w:rPr>
          <w:sz w:val="20"/>
          <w:szCs w:val="20"/>
          <w:color w:val="auto"/>
        </w:rPr>
      </w:pPr>
    </w:p>
    <w:p>
      <w:pPr>
        <w:ind w:right="100" w:firstLine="1"/>
        <w:spacing w:after="0" w:line="281" w:lineRule="auto"/>
        <w:tabs>
          <w:tab w:leader="none" w:pos="297" w:val="left"/>
        </w:tabs>
        <w:numPr>
          <w:ilvl w:val="0"/>
          <w:numId w:val="60"/>
        </w:numPr>
        <w:rPr>
          <w:rFonts w:ascii="Arial" w:cs="Arial" w:eastAsia="Arial" w:hAnsi="Arial"/>
          <w:sz w:val="16"/>
          <w:szCs w:val="16"/>
          <w:color w:val="191919"/>
        </w:rPr>
      </w:pPr>
      <w:r>
        <w:rPr>
          <w:rFonts w:ascii="Arial" w:cs="Arial" w:eastAsia="Arial" w:hAnsi="Arial"/>
          <w:sz w:val="16"/>
          <w:szCs w:val="16"/>
          <w:color w:val="191919"/>
        </w:rPr>
        <w:t>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w:t>
      </w:r>
    </w:p>
    <w:p>
      <w:pPr>
        <w:spacing w:after="0" w:line="2" w:lineRule="exact"/>
        <w:rPr>
          <w:rFonts w:ascii="Arial" w:cs="Arial" w:eastAsia="Arial" w:hAnsi="Arial"/>
          <w:sz w:val="16"/>
          <w:szCs w:val="16"/>
          <w:color w:val="191919"/>
        </w:rPr>
      </w:pPr>
    </w:p>
    <w:p>
      <w:pPr>
        <w:ind w:firstLine="1"/>
        <w:spacing w:after="0" w:line="288" w:lineRule="auto"/>
        <w:tabs>
          <w:tab w:leader="none" w:pos="297" w:val="left"/>
        </w:tabs>
        <w:numPr>
          <w:ilvl w:val="0"/>
          <w:numId w:val="61"/>
        </w:numPr>
        <w:rPr>
          <w:rFonts w:ascii="Arial" w:cs="Arial" w:eastAsia="Arial" w:hAnsi="Arial"/>
          <w:sz w:val="16"/>
          <w:szCs w:val="16"/>
          <w:color w:val="191919"/>
        </w:rPr>
      </w:pPr>
      <w:r>
        <w:rPr>
          <w:rFonts w:ascii="Arial" w:cs="Arial" w:eastAsia="Arial" w:hAnsi="Arial"/>
          <w:sz w:val="16"/>
          <w:szCs w:val="16"/>
          <w:color w:val="191919"/>
        </w:rPr>
        <w:t>incompetent performance or substantial or continuing inattention to or neglect of duties. Good reason means, in summary: (i) a material diminution in the executive’s base compensation, authority, duties, or responsibilities; (ii) a material diminution in the authority, duties, or responsibilities of the executive’s supervisor; (iii) a material change in the executive’s office location; or (iv) any action or inaction constituting a material breach by the Company of the terms of the agreement.</w:t>
      </w:r>
    </w:p>
    <w:p>
      <w:pPr>
        <w:spacing w:after="0" w:line="17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191919"/>
        </w:rPr>
        <w:t>The following table summarizes the payments and benefits that would be made to the Named Executive Officers as of September 27, 2019, in the following circumstances as of such date:</w:t>
      </w:r>
    </w:p>
    <w:p>
      <w:pPr>
        <w:spacing w:after="0" w:line="174" w:lineRule="exact"/>
        <w:rPr>
          <w:sz w:val="20"/>
          <w:szCs w:val="20"/>
          <w:color w:val="auto"/>
        </w:rPr>
      </w:pPr>
    </w:p>
    <w:p>
      <w:pPr>
        <w:ind w:left="540" w:hanging="539"/>
        <w:spacing w:after="0"/>
        <w:tabs>
          <w:tab w:leader="none" w:pos="540" w:val="left"/>
        </w:tabs>
        <w:numPr>
          <w:ilvl w:val="0"/>
          <w:numId w:val="62"/>
        </w:numPr>
        <w:rPr>
          <w:rFonts w:ascii="Arial" w:cs="Arial" w:eastAsia="Arial" w:hAnsi="Arial"/>
          <w:sz w:val="18"/>
          <w:szCs w:val="18"/>
          <w:color w:val="191919"/>
        </w:rPr>
      </w:pPr>
      <w:r>
        <w:rPr>
          <w:rFonts w:ascii="Arial" w:cs="Arial" w:eastAsia="Arial" w:hAnsi="Arial"/>
          <w:sz w:val="18"/>
          <w:szCs w:val="18"/>
          <w:color w:val="191919"/>
        </w:rPr>
        <w:t>termination without cause outside of a change in control;</w:t>
      </w:r>
    </w:p>
    <w:p>
      <w:pPr>
        <w:spacing w:after="0" w:line="36" w:lineRule="exact"/>
        <w:rPr>
          <w:rFonts w:ascii="Arial" w:cs="Arial" w:eastAsia="Arial" w:hAnsi="Arial"/>
          <w:sz w:val="18"/>
          <w:szCs w:val="18"/>
          <w:color w:val="191919"/>
        </w:rPr>
      </w:pPr>
    </w:p>
    <w:p>
      <w:pPr>
        <w:ind w:left="540" w:right="60" w:hanging="539"/>
        <w:spacing w:after="0" w:line="254" w:lineRule="auto"/>
        <w:tabs>
          <w:tab w:leader="none" w:pos="540" w:val="left"/>
        </w:tabs>
        <w:numPr>
          <w:ilvl w:val="0"/>
          <w:numId w:val="62"/>
        </w:numPr>
        <w:rPr>
          <w:rFonts w:ascii="Arial" w:cs="Arial" w:eastAsia="Arial" w:hAnsi="Arial"/>
          <w:sz w:val="18"/>
          <w:szCs w:val="18"/>
          <w:color w:val="191919"/>
        </w:rPr>
      </w:pPr>
      <w:r>
        <w:rPr>
          <w:rFonts w:ascii="Arial" w:cs="Arial" w:eastAsia="Arial" w:hAnsi="Arial"/>
          <w:sz w:val="18"/>
          <w:szCs w:val="18"/>
          <w:color w:val="191919"/>
        </w:rPr>
        <w:t>termination without cause or for good reason in connection with a change in control; and</w:t>
      </w:r>
    </w:p>
    <w:p>
      <w:pPr>
        <w:spacing w:after="0" w:line="7" w:lineRule="exact"/>
        <w:rPr>
          <w:rFonts w:ascii="Arial" w:cs="Arial" w:eastAsia="Arial" w:hAnsi="Arial"/>
          <w:sz w:val="18"/>
          <w:szCs w:val="18"/>
          <w:color w:val="191919"/>
        </w:rPr>
      </w:pPr>
    </w:p>
    <w:p>
      <w:pPr>
        <w:ind w:left="540" w:right="200" w:hanging="539"/>
        <w:spacing w:after="0" w:line="268" w:lineRule="auto"/>
        <w:tabs>
          <w:tab w:leader="none" w:pos="540" w:val="left"/>
        </w:tabs>
        <w:numPr>
          <w:ilvl w:val="0"/>
          <w:numId w:val="62"/>
        </w:numPr>
        <w:rPr>
          <w:rFonts w:ascii="Arial" w:cs="Arial" w:eastAsia="Arial" w:hAnsi="Arial"/>
          <w:sz w:val="18"/>
          <w:szCs w:val="18"/>
          <w:color w:val="191919"/>
        </w:rPr>
      </w:pPr>
      <w:r>
        <w:rPr>
          <w:rFonts w:ascii="Arial" w:cs="Arial" w:eastAsia="Arial" w:hAnsi="Arial"/>
          <w:sz w:val="18"/>
          <w:szCs w:val="18"/>
          <w:color w:val="191919"/>
        </w:rPr>
        <w:t>in the event of a termination of employment because of 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635635</wp:posOffset>
            </wp:positionV>
            <wp:extent cx="713613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40" w:space="720"/>
            <w:col w:w="5240"/>
          </w:cols>
          <w:pgMar w:left="320" w:top="131" w:right="3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191919"/>
        </w:rPr>
        <w:t>The accelerated equity values in the table reflect a price of $77.47 per share, which was the closing sale price of the Company’s common stock on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60"/>
        <w:spacing w:after="0" w:line="331" w:lineRule="auto"/>
        <w:rPr>
          <w:sz w:val="20"/>
          <w:szCs w:val="20"/>
          <w:color w:val="auto"/>
        </w:rPr>
      </w:pPr>
      <w:r>
        <w:rPr>
          <w:rFonts w:ascii="Arial" w:cs="Arial" w:eastAsia="Arial" w:hAnsi="Arial"/>
          <w:sz w:val="16"/>
          <w:szCs w:val="16"/>
          <w:color w:val="191919"/>
        </w:rPr>
        <w:t>Nasdaq Global Select Market on September 27, 2019. The table does not reflect any equity awards made after September 27, 2019.</w:t>
      </w:r>
    </w:p>
    <w:p>
      <w:pPr>
        <w:spacing w:after="0" w:line="344" w:lineRule="exact"/>
        <w:rPr>
          <w:sz w:val="20"/>
          <w:szCs w:val="20"/>
          <w:color w:val="auto"/>
        </w:rPr>
      </w:pPr>
    </w:p>
    <w:p>
      <w:pPr>
        <w:sectPr>
          <w:pgSz w:w="11900" w:h="16838" w:orient="portrait"/>
          <w:cols w:equalWidth="0" w:num="2">
            <w:col w:w="5240" w:space="720"/>
            <w:col w:w="5280"/>
          </w:cols>
          <w:pgMar w:left="320" w:top="131" w:right="339" w:bottom="673" w:gutter="0" w:footer="0" w:header="0"/>
        </w:sectPr>
      </w:pPr>
    </w:p>
    <w:tbl>
      <w:tblPr>
        <w:tblLayout w:type="fixed"/>
        <w:tblInd w:w="1120" w:type="dxa"/>
        <w:tblCellMar>
          <w:top w:w="0" w:type="dxa"/>
          <w:left w:w="0" w:type="dxa"/>
          <w:bottom w:w="0" w:type="dxa"/>
          <w:right w:w="0" w:type="dxa"/>
        </w:tblCellMar>
      </w:tblPr>
      <w:tr>
        <w:trPr>
          <w:trHeight w:val="215"/>
        </w:trPr>
        <w:tc>
          <w:tcPr>
            <w:tcW w:w="280" w:type="dxa"/>
            <w:vAlign w:val="bottom"/>
            <w:tcBorders>
              <w:top w:val="single" w:sz="8" w:color="02568A"/>
            </w:tcBorders>
          </w:tcPr>
          <w:p>
            <w:pPr>
              <w:spacing w:after="0"/>
              <w:rPr>
                <w:sz w:val="18"/>
                <w:szCs w:val="18"/>
                <w:color w:val="auto"/>
              </w:rPr>
            </w:pPr>
          </w:p>
        </w:tc>
        <w:tc>
          <w:tcPr>
            <w:tcW w:w="1220" w:type="dxa"/>
            <w:vAlign w:val="bottom"/>
            <w:tcBorders>
              <w:top w:val="single" w:sz="8" w:color="02568A"/>
            </w:tcBorders>
          </w:tcPr>
          <w:p>
            <w:pPr>
              <w:spacing w:after="0"/>
              <w:rPr>
                <w:sz w:val="18"/>
                <w:szCs w:val="18"/>
                <w:color w:val="auto"/>
              </w:rPr>
            </w:pPr>
          </w:p>
        </w:tc>
        <w:tc>
          <w:tcPr>
            <w:tcW w:w="160" w:type="dxa"/>
            <w:vAlign w:val="bottom"/>
            <w:tcBorders>
              <w:top w:val="single" w:sz="8" w:color="02568A"/>
            </w:tcBorders>
          </w:tcPr>
          <w:p>
            <w:pPr>
              <w:spacing w:after="0"/>
              <w:rPr>
                <w:sz w:val="18"/>
                <w:szCs w:val="18"/>
                <w:color w:val="auto"/>
              </w:rPr>
            </w:pPr>
          </w:p>
        </w:tc>
        <w:tc>
          <w:tcPr>
            <w:tcW w:w="2380" w:type="dxa"/>
            <w:vAlign w:val="bottom"/>
            <w:tcBorders>
              <w:top w:val="single" w:sz="8" w:color="02568A"/>
            </w:tcBorders>
          </w:tcPr>
          <w:p>
            <w:pPr>
              <w:spacing w:after="0"/>
              <w:rPr>
                <w:sz w:val="18"/>
                <w:szCs w:val="18"/>
                <w:color w:val="auto"/>
              </w:rPr>
            </w:pPr>
          </w:p>
        </w:tc>
        <w:tc>
          <w:tcPr>
            <w:tcW w:w="1660" w:type="dxa"/>
            <w:vAlign w:val="bottom"/>
            <w:tcBorders>
              <w:top w:val="single" w:sz="8" w:color="02568A"/>
            </w:tcBorders>
          </w:tcPr>
          <w:p>
            <w:pPr>
              <w:spacing w:after="0"/>
              <w:rPr>
                <w:sz w:val="18"/>
                <w:szCs w:val="18"/>
                <w:color w:val="auto"/>
              </w:rPr>
            </w:pPr>
          </w:p>
        </w:tc>
        <w:tc>
          <w:tcPr>
            <w:tcW w:w="1760" w:type="dxa"/>
            <w:vAlign w:val="bottom"/>
            <w:tcBorders>
              <w:top w:val="single" w:sz="8" w:color="02568A"/>
            </w:tcBorders>
          </w:tcPr>
          <w:p>
            <w:pPr>
              <w:jc w:val="center"/>
              <w:spacing w:after="0"/>
              <w:rPr>
                <w:sz w:val="20"/>
                <w:szCs w:val="20"/>
                <w:color w:val="auto"/>
              </w:rPr>
            </w:pPr>
            <w:r>
              <w:rPr>
                <w:rFonts w:ascii="Arial" w:cs="Arial" w:eastAsia="Arial" w:hAnsi="Arial"/>
                <w:sz w:val="18"/>
                <w:szCs w:val="18"/>
                <w:b w:val="1"/>
                <w:bCs w:val="1"/>
                <w:color w:val="02568A"/>
                <w:w w:val="89"/>
              </w:rPr>
              <w:t>Termination w/o</w:t>
            </w:r>
          </w:p>
        </w:tc>
        <w:tc>
          <w:tcPr>
            <w:tcW w:w="1640" w:type="dxa"/>
            <w:vAlign w:val="bottom"/>
            <w:tcBorders>
              <w:top w:val="single" w:sz="8" w:color="02568A"/>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02568A"/>
                <w:w w:val="89"/>
              </w:rPr>
              <w:t>Termination w/o</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02568A"/>
                <w:w w:val="85"/>
              </w:rPr>
              <w:t>Cause</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02568A"/>
                <w:w w:val="85"/>
              </w:rPr>
              <w:t>Cause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02568A"/>
                <w:w w:val="87"/>
              </w:rPr>
              <w:t>or for Good Reason,</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02568A"/>
                <w:w w:val="88"/>
              </w:rPr>
              <w:t>Outside Change in</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02568A"/>
                <w:w w:val="95"/>
              </w:rPr>
              <w:t>After</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02568A"/>
                <w:w w:val="90"/>
              </w:rPr>
              <w:t>Control</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02568A"/>
                <w:w w:val="89"/>
              </w:rPr>
              <w:t>Change in Control</w:t>
            </w:r>
          </w:p>
        </w:tc>
        <w:tc>
          <w:tcPr>
            <w:tcW w:w="1640" w:type="dxa"/>
            <w:vAlign w:val="bottom"/>
          </w:tcPr>
          <w:p>
            <w:pPr>
              <w:jc w:val="right"/>
              <w:ind w:right="232"/>
              <w:spacing w:after="0"/>
              <w:rPr>
                <w:sz w:val="20"/>
                <w:szCs w:val="20"/>
                <w:color w:val="auto"/>
              </w:rPr>
            </w:pPr>
            <w:r>
              <w:rPr>
                <w:rFonts w:ascii="Arial" w:cs="Arial" w:eastAsia="Arial" w:hAnsi="Arial"/>
                <w:sz w:val="18"/>
                <w:szCs w:val="18"/>
                <w:b w:val="1"/>
                <w:bCs w:val="1"/>
                <w:color w:val="02568A"/>
                <w:w w:val="96"/>
              </w:rPr>
              <w:t>Death/Disability</w:t>
            </w:r>
          </w:p>
        </w:tc>
        <w:tc>
          <w:tcPr>
            <w:tcW w:w="0" w:type="dxa"/>
            <w:vAlign w:val="bottom"/>
          </w:tcPr>
          <w:p>
            <w:pPr>
              <w:spacing w:after="0"/>
              <w:rPr>
                <w:sz w:val="1"/>
                <w:szCs w:val="1"/>
                <w:color w:val="auto"/>
              </w:rPr>
            </w:pPr>
          </w:p>
        </w:tc>
      </w:tr>
      <w:tr>
        <w:trPr>
          <w:trHeight w:val="229"/>
        </w:trPr>
        <w:tc>
          <w:tcPr>
            <w:tcW w:w="280" w:type="dxa"/>
            <w:vAlign w:val="bottom"/>
            <w:tcBorders>
              <w:bottom w:val="single" w:sz="8" w:color="02568A"/>
            </w:tcBorders>
          </w:tcPr>
          <w:p>
            <w:pPr>
              <w:spacing w:after="0"/>
              <w:rPr>
                <w:sz w:val="19"/>
                <w:szCs w:val="19"/>
                <w:color w:val="auto"/>
              </w:rPr>
            </w:pPr>
          </w:p>
        </w:tc>
        <w:tc>
          <w:tcPr>
            <w:tcW w:w="1220" w:type="dxa"/>
            <w:vAlign w:val="bottom"/>
            <w:tcBorders>
              <w:bottom w:val="single" w:sz="8" w:color="02568A"/>
            </w:tcBorders>
          </w:tcPr>
          <w:p>
            <w:pPr>
              <w:ind w:left="380"/>
              <w:spacing w:after="0"/>
              <w:rPr>
                <w:sz w:val="20"/>
                <w:szCs w:val="20"/>
                <w:color w:val="auto"/>
              </w:rPr>
            </w:pPr>
            <w:r>
              <w:rPr>
                <w:rFonts w:ascii="Arial" w:cs="Arial" w:eastAsia="Arial" w:hAnsi="Arial"/>
                <w:sz w:val="18"/>
                <w:szCs w:val="18"/>
                <w:b w:val="1"/>
                <w:bCs w:val="1"/>
                <w:color w:val="02568A"/>
              </w:rPr>
              <w:t>Name</w:t>
            </w:r>
          </w:p>
        </w:tc>
        <w:tc>
          <w:tcPr>
            <w:tcW w:w="160" w:type="dxa"/>
            <w:vAlign w:val="bottom"/>
            <w:tcBorders>
              <w:bottom w:val="single" w:sz="8" w:color="02568A"/>
            </w:tcBorders>
          </w:tcPr>
          <w:p>
            <w:pPr>
              <w:spacing w:after="0"/>
              <w:rPr>
                <w:sz w:val="19"/>
                <w:szCs w:val="19"/>
                <w:color w:val="auto"/>
              </w:rPr>
            </w:pPr>
          </w:p>
        </w:tc>
        <w:tc>
          <w:tcPr>
            <w:tcW w:w="2380" w:type="dxa"/>
            <w:vAlign w:val="bottom"/>
            <w:tcBorders>
              <w:bottom w:val="single" w:sz="8" w:color="02568A"/>
            </w:tcBorders>
          </w:tcPr>
          <w:p>
            <w:pPr>
              <w:ind w:left="920"/>
              <w:spacing w:after="0"/>
              <w:rPr>
                <w:sz w:val="20"/>
                <w:szCs w:val="20"/>
                <w:color w:val="auto"/>
              </w:rPr>
            </w:pPr>
            <w:r>
              <w:rPr>
                <w:rFonts w:ascii="Arial" w:cs="Arial" w:eastAsia="Arial" w:hAnsi="Arial"/>
                <w:sz w:val="18"/>
                <w:szCs w:val="18"/>
                <w:b w:val="1"/>
                <w:bCs w:val="1"/>
                <w:color w:val="02568A"/>
              </w:rPr>
              <w:t>Benefit</w:t>
            </w:r>
          </w:p>
        </w:tc>
        <w:tc>
          <w:tcPr>
            <w:tcW w:w="166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90"/>
              </w:rPr>
              <w:t>($)(1)</w:t>
            </w:r>
          </w:p>
        </w:tc>
        <w:tc>
          <w:tcPr>
            <w:tcW w:w="176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90"/>
              </w:rPr>
              <w:t>($)</w:t>
            </w:r>
          </w:p>
        </w:tc>
        <w:tc>
          <w:tcPr>
            <w:tcW w:w="1640" w:type="dxa"/>
            <w:vAlign w:val="bottom"/>
            <w:tcBorders>
              <w:bottom w:val="single" w:sz="8" w:color="02568A"/>
            </w:tcBorders>
          </w:tcPr>
          <w:p>
            <w:pPr>
              <w:jc w:val="right"/>
              <w:ind w:right="732"/>
              <w:spacing w:after="0"/>
              <w:rPr>
                <w:sz w:val="20"/>
                <w:szCs w:val="20"/>
                <w:color w:val="auto"/>
              </w:rPr>
            </w:pPr>
            <w:r>
              <w:rPr>
                <w:rFonts w:ascii="Arial" w:cs="Arial" w:eastAsia="Arial" w:hAnsi="Arial"/>
                <w:sz w:val="18"/>
                <w:szCs w:val="18"/>
                <w:b w:val="1"/>
                <w:bCs w:val="1"/>
                <w:color w:val="02568A"/>
              </w:rPr>
              <w:t>($)</w:t>
            </w:r>
          </w:p>
        </w:tc>
        <w:tc>
          <w:tcPr>
            <w:tcW w:w="0" w:type="dxa"/>
            <w:vAlign w:val="bottom"/>
          </w:tcPr>
          <w:p>
            <w:pPr>
              <w:spacing w:after="0"/>
              <w:rPr>
                <w:sz w:val="1"/>
                <w:szCs w:val="1"/>
                <w:color w:val="auto"/>
              </w:rPr>
            </w:pPr>
          </w:p>
        </w:tc>
      </w:tr>
      <w:tr>
        <w:trPr>
          <w:trHeight w:val="196"/>
        </w:trPr>
        <w:tc>
          <w:tcPr>
            <w:tcW w:w="280" w:type="dxa"/>
            <w:vAlign w:val="bottom"/>
            <w:shd w:val="clear" w:color="auto" w:fill="CED8EA"/>
          </w:tcPr>
          <w:p>
            <w:pPr>
              <w:spacing w:after="0"/>
              <w:rPr>
                <w:sz w:val="17"/>
                <w:szCs w:val="17"/>
                <w:color w:val="auto"/>
              </w:rPr>
            </w:pPr>
          </w:p>
        </w:tc>
        <w:tc>
          <w:tcPr>
            <w:tcW w:w="1220" w:type="dxa"/>
            <w:vAlign w:val="bottom"/>
            <w:shd w:val="clear" w:color="auto" w:fill="CED8EA"/>
          </w:tcPr>
          <w:p>
            <w:pPr>
              <w:spacing w:after="0" w:line="196" w:lineRule="exact"/>
              <w:rPr>
                <w:sz w:val="20"/>
                <w:szCs w:val="20"/>
                <w:color w:val="auto"/>
              </w:rPr>
            </w:pPr>
            <w:r>
              <w:rPr>
                <w:rFonts w:ascii="Arial" w:cs="Arial" w:eastAsia="Arial" w:hAnsi="Arial"/>
                <w:sz w:val="18"/>
                <w:szCs w:val="18"/>
                <w:b w:val="1"/>
                <w:bCs w:val="1"/>
                <w:color w:val="02568A"/>
              </w:rPr>
              <w:t>Liam K.</w:t>
            </w:r>
          </w:p>
        </w:tc>
        <w:tc>
          <w:tcPr>
            <w:tcW w:w="160" w:type="dxa"/>
            <w:vAlign w:val="bottom"/>
            <w:shd w:val="clear" w:color="auto" w:fill="CED8EA"/>
          </w:tcPr>
          <w:p>
            <w:pPr>
              <w:spacing w:after="0"/>
              <w:rPr>
                <w:sz w:val="17"/>
                <w:szCs w:val="17"/>
                <w:color w:val="auto"/>
              </w:rPr>
            </w:pPr>
          </w:p>
        </w:tc>
        <w:tc>
          <w:tcPr>
            <w:tcW w:w="2380" w:type="dxa"/>
            <w:vAlign w:val="bottom"/>
            <w:vMerge w:val="restart"/>
            <w:shd w:val="clear" w:color="auto" w:fill="CED8EA"/>
          </w:tcPr>
          <w:p>
            <w:pPr>
              <w:spacing w:after="0"/>
              <w:rPr>
                <w:sz w:val="20"/>
                <w:szCs w:val="20"/>
                <w:color w:val="auto"/>
              </w:rPr>
            </w:pPr>
            <w:r>
              <w:rPr>
                <w:rFonts w:ascii="Arial" w:cs="Arial" w:eastAsia="Arial" w:hAnsi="Arial"/>
                <w:sz w:val="18"/>
                <w:szCs w:val="18"/>
                <w:color w:val="02568A"/>
                <w:w w:val="91"/>
              </w:rPr>
              <w:t>Salary and Short-Term Incentive</w:t>
            </w:r>
          </w:p>
        </w:tc>
        <w:tc>
          <w:tcPr>
            <w:tcW w:w="1660" w:type="dxa"/>
            <w:vAlign w:val="bottom"/>
            <w:vMerge w:val="restart"/>
            <w:shd w:val="clear" w:color="auto" w:fill="CED8EA"/>
          </w:tcPr>
          <w:p>
            <w:pPr>
              <w:jc w:val="right"/>
              <w:ind w:right="12"/>
              <w:spacing w:after="0"/>
              <w:rPr>
                <w:sz w:val="20"/>
                <w:szCs w:val="20"/>
                <w:color w:val="auto"/>
              </w:rPr>
            </w:pPr>
            <w:r>
              <w:rPr>
                <w:rFonts w:ascii="Arial" w:cs="Arial" w:eastAsia="Arial" w:hAnsi="Arial"/>
                <w:sz w:val="18"/>
                <w:szCs w:val="18"/>
                <w:color w:val="02568A"/>
              </w:rPr>
              <w:t>5,096,000(3)</w:t>
            </w:r>
          </w:p>
        </w:tc>
        <w:tc>
          <w:tcPr>
            <w:tcW w:w="1760" w:type="dxa"/>
            <w:vAlign w:val="bottom"/>
            <w:vMerge w:val="restart"/>
            <w:shd w:val="clear" w:color="auto" w:fill="CED8EA"/>
          </w:tcPr>
          <w:p>
            <w:pPr>
              <w:jc w:val="right"/>
              <w:ind w:right="12"/>
              <w:spacing w:after="0"/>
              <w:rPr>
                <w:sz w:val="20"/>
                <w:szCs w:val="20"/>
                <w:color w:val="auto"/>
              </w:rPr>
            </w:pPr>
            <w:r>
              <w:rPr>
                <w:rFonts w:ascii="Arial" w:cs="Arial" w:eastAsia="Arial" w:hAnsi="Arial"/>
                <w:sz w:val="18"/>
                <w:szCs w:val="18"/>
                <w:color w:val="02568A"/>
              </w:rPr>
              <w:t>6,370,000(4)</w:t>
            </w:r>
          </w:p>
        </w:tc>
        <w:tc>
          <w:tcPr>
            <w:tcW w:w="1640" w:type="dxa"/>
            <w:vAlign w:val="bottom"/>
            <w:vMerge w:val="restart"/>
            <w:shd w:val="clear" w:color="auto" w:fill="CED8EA"/>
          </w:tcPr>
          <w:p>
            <w:pPr>
              <w:jc w:val="right"/>
              <w:ind w:right="192"/>
              <w:spacing w:after="0"/>
              <w:rPr>
                <w:sz w:val="20"/>
                <w:szCs w:val="20"/>
                <w:color w:val="auto"/>
              </w:rPr>
            </w:pPr>
            <w:r>
              <w:rPr>
                <w:rFonts w:ascii="Arial" w:cs="Arial" w:eastAsia="Arial" w:hAnsi="Arial"/>
                <w:sz w:val="18"/>
                <w:szCs w:val="18"/>
                <w:color w:val="02568A"/>
              </w:rPr>
              <w:t>—</w:t>
            </w:r>
          </w:p>
        </w:tc>
        <w:tc>
          <w:tcPr>
            <w:tcW w:w="0" w:type="dxa"/>
            <w:vAlign w:val="bottom"/>
          </w:tcPr>
          <w:p>
            <w:pPr>
              <w:spacing w:after="0"/>
              <w:rPr>
                <w:sz w:val="1"/>
                <w:szCs w:val="1"/>
                <w:color w:val="auto"/>
              </w:rPr>
            </w:pPr>
          </w:p>
        </w:tc>
      </w:tr>
      <w:tr>
        <w:trPr>
          <w:trHeight w:val="120"/>
        </w:trPr>
        <w:tc>
          <w:tcPr>
            <w:tcW w:w="280" w:type="dxa"/>
            <w:vAlign w:val="bottom"/>
            <w:shd w:val="clear" w:color="auto" w:fill="CED8EA"/>
          </w:tcPr>
          <w:p>
            <w:pPr>
              <w:spacing w:after="0"/>
              <w:rPr>
                <w:sz w:val="10"/>
                <w:szCs w:val="10"/>
                <w:color w:val="auto"/>
              </w:rPr>
            </w:pPr>
          </w:p>
        </w:tc>
        <w:tc>
          <w:tcPr>
            <w:tcW w:w="1220" w:type="dxa"/>
            <w:vAlign w:val="bottom"/>
            <w:vMerge w:val="restart"/>
            <w:shd w:val="clear" w:color="auto" w:fill="CED8EA"/>
          </w:tcPr>
          <w:p>
            <w:pPr>
              <w:spacing w:after="0"/>
              <w:rPr>
                <w:sz w:val="20"/>
                <w:szCs w:val="20"/>
                <w:color w:val="auto"/>
              </w:rPr>
            </w:pPr>
            <w:r>
              <w:rPr>
                <w:rFonts w:ascii="Arial" w:cs="Arial" w:eastAsia="Arial" w:hAnsi="Arial"/>
                <w:sz w:val="18"/>
                <w:szCs w:val="18"/>
                <w:b w:val="1"/>
                <w:bCs w:val="1"/>
                <w:color w:val="02568A"/>
              </w:rPr>
              <w:t>Griffin(2)</w:t>
            </w:r>
          </w:p>
        </w:tc>
        <w:tc>
          <w:tcPr>
            <w:tcW w:w="160" w:type="dxa"/>
            <w:vAlign w:val="bottom"/>
            <w:shd w:val="clear" w:color="auto" w:fill="CED8EA"/>
          </w:tcPr>
          <w:p>
            <w:pPr>
              <w:spacing w:after="0"/>
              <w:rPr>
                <w:sz w:val="10"/>
                <w:szCs w:val="10"/>
                <w:color w:val="auto"/>
              </w:rPr>
            </w:pPr>
          </w:p>
        </w:tc>
        <w:tc>
          <w:tcPr>
            <w:tcW w:w="2380" w:type="dxa"/>
            <w:vAlign w:val="bottom"/>
            <w:vMerge w:val="continue"/>
            <w:shd w:val="clear" w:color="auto" w:fill="CED8EA"/>
          </w:tcPr>
          <w:p>
            <w:pPr>
              <w:spacing w:after="0"/>
              <w:rPr>
                <w:sz w:val="10"/>
                <w:szCs w:val="10"/>
                <w:color w:val="auto"/>
              </w:rPr>
            </w:pPr>
          </w:p>
        </w:tc>
        <w:tc>
          <w:tcPr>
            <w:tcW w:w="1660" w:type="dxa"/>
            <w:vAlign w:val="bottom"/>
            <w:vMerge w:val="continue"/>
            <w:shd w:val="clear" w:color="auto" w:fill="CED8EA"/>
          </w:tcPr>
          <w:p>
            <w:pPr>
              <w:spacing w:after="0"/>
              <w:rPr>
                <w:sz w:val="10"/>
                <w:szCs w:val="10"/>
                <w:color w:val="auto"/>
              </w:rPr>
            </w:pPr>
          </w:p>
        </w:tc>
        <w:tc>
          <w:tcPr>
            <w:tcW w:w="1760" w:type="dxa"/>
            <w:vAlign w:val="bottom"/>
            <w:vMerge w:val="continue"/>
            <w:shd w:val="clear" w:color="auto" w:fill="CED8EA"/>
          </w:tcPr>
          <w:p>
            <w:pPr>
              <w:spacing w:after="0"/>
              <w:rPr>
                <w:sz w:val="10"/>
                <w:szCs w:val="10"/>
                <w:color w:val="auto"/>
              </w:rPr>
            </w:pPr>
          </w:p>
        </w:tc>
        <w:tc>
          <w:tcPr>
            <w:tcW w:w="1640" w:type="dxa"/>
            <w:vAlign w:val="bottom"/>
            <w:vMerge w:val="continue"/>
            <w:shd w:val="clear" w:color="auto" w:fill="CED8EA"/>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shd w:val="clear" w:color="auto" w:fill="CED8EA"/>
          </w:tcPr>
          <w:p>
            <w:pPr>
              <w:spacing w:after="0"/>
              <w:rPr>
                <w:sz w:val="9"/>
                <w:szCs w:val="9"/>
                <w:color w:val="auto"/>
              </w:rPr>
            </w:pPr>
          </w:p>
        </w:tc>
        <w:tc>
          <w:tcPr>
            <w:tcW w:w="1220" w:type="dxa"/>
            <w:vAlign w:val="bottom"/>
            <w:vMerge w:val="continue"/>
            <w:shd w:val="clear" w:color="auto" w:fill="CED8EA"/>
          </w:tcPr>
          <w:p>
            <w:pPr>
              <w:spacing w:after="0"/>
              <w:rPr>
                <w:sz w:val="9"/>
                <w:szCs w:val="9"/>
                <w:color w:val="auto"/>
              </w:rPr>
            </w:pPr>
          </w:p>
        </w:tc>
        <w:tc>
          <w:tcPr>
            <w:tcW w:w="160" w:type="dxa"/>
            <w:vAlign w:val="bottom"/>
            <w:shd w:val="clear" w:color="auto" w:fill="CED8EA"/>
          </w:tcPr>
          <w:p>
            <w:pPr>
              <w:spacing w:after="0"/>
              <w:rPr>
                <w:sz w:val="9"/>
                <w:szCs w:val="9"/>
                <w:color w:val="auto"/>
              </w:rPr>
            </w:pPr>
          </w:p>
        </w:tc>
        <w:tc>
          <w:tcPr>
            <w:tcW w:w="2380" w:type="dxa"/>
            <w:vAlign w:val="bottom"/>
            <w:vMerge w:val="restart"/>
            <w:shd w:val="clear" w:color="auto" w:fill="CED8EA"/>
          </w:tcPr>
          <w:p>
            <w:pPr>
              <w:spacing w:after="0"/>
              <w:rPr>
                <w:sz w:val="20"/>
                <w:szCs w:val="20"/>
                <w:color w:val="auto"/>
              </w:rPr>
            </w:pPr>
            <w:r>
              <w:rPr>
                <w:rFonts w:ascii="Arial" w:cs="Arial" w:eastAsia="Arial" w:hAnsi="Arial"/>
                <w:sz w:val="18"/>
                <w:szCs w:val="18"/>
                <w:color w:val="02568A"/>
              </w:rPr>
              <w:t>Accelerated Options</w:t>
            </w:r>
          </w:p>
        </w:tc>
        <w:tc>
          <w:tcPr>
            <w:tcW w:w="1660" w:type="dxa"/>
            <w:vAlign w:val="bottom"/>
            <w:vMerge w:val="restart"/>
            <w:shd w:val="clear" w:color="auto" w:fill="CED8EA"/>
          </w:tcPr>
          <w:p>
            <w:pPr>
              <w:jc w:val="right"/>
              <w:ind w:right="12"/>
              <w:spacing w:after="0"/>
              <w:rPr>
                <w:sz w:val="20"/>
                <w:szCs w:val="20"/>
                <w:color w:val="auto"/>
              </w:rPr>
            </w:pPr>
            <w:r>
              <w:rPr>
                <w:rFonts w:ascii="Arial" w:cs="Arial" w:eastAsia="Arial" w:hAnsi="Arial"/>
                <w:sz w:val="18"/>
                <w:szCs w:val="18"/>
                <w:color w:val="02568A"/>
              </w:rPr>
              <w:t>235,060</w:t>
            </w:r>
          </w:p>
        </w:tc>
        <w:tc>
          <w:tcPr>
            <w:tcW w:w="1760" w:type="dxa"/>
            <w:vAlign w:val="bottom"/>
            <w:vMerge w:val="restart"/>
            <w:shd w:val="clear" w:color="auto" w:fill="CED8EA"/>
          </w:tcPr>
          <w:p>
            <w:pPr>
              <w:jc w:val="right"/>
              <w:ind w:right="12"/>
              <w:spacing w:after="0"/>
              <w:rPr>
                <w:sz w:val="20"/>
                <w:szCs w:val="20"/>
                <w:color w:val="auto"/>
              </w:rPr>
            </w:pPr>
            <w:r>
              <w:rPr>
                <w:rFonts w:ascii="Arial" w:cs="Arial" w:eastAsia="Arial" w:hAnsi="Arial"/>
                <w:sz w:val="18"/>
                <w:szCs w:val="18"/>
                <w:color w:val="02568A"/>
              </w:rPr>
              <w:t>235,060</w:t>
            </w:r>
          </w:p>
        </w:tc>
        <w:tc>
          <w:tcPr>
            <w:tcW w:w="1640" w:type="dxa"/>
            <w:vAlign w:val="bottom"/>
            <w:vMerge w:val="restart"/>
            <w:shd w:val="clear" w:color="auto" w:fill="CED8EA"/>
          </w:tcPr>
          <w:p>
            <w:pPr>
              <w:jc w:val="right"/>
              <w:ind w:right="192"/>
              <w:spacing w:after="0"/>
              <w:rPr>
                <w:sz w:val="20"/>
                <w:szCs w:val="20"/>
                <w:color w:val="auto"/>
              </w:rPr>
            </w:pPr>
            <w:r>
              <w:rPr>
                <w:rFonts w:ascii="Arial" w:cs="Arial" w:eastAsia="Arial" w:hAnsi="Arial"/>
                <w:sz w:val="18"/>
                <w:szCs w:val="18"/>
                <w:color w:val="02568A"/>
              </w:rPr>
              <w:t>235,060</w:t>
            </w:r>
          </w:p>
        </w:tc>
        <w:tc>
          <w:tcPr>
            <w:tcW w:w="0" w:type="dxa"/>
            <w:vAlign w:val="bottom"/>
          </w:tcPr>
          <w:p>
            <w:pPr>
              <w:spacing w:after="0"/>
              <w:rPr>
                <w:sz w:val="1"/>
                <w:szCs w:val="1"/>
                <w:color w:val="auto"/>
              </w:rPr>
            </w:pPr>
          </w:p>
        </w:tc>
      </w:tr>
      <w:tr>
        <w:trPr>
          <w:trHeight w:val="216"/>
        </w:trPr>
        <w:tc>
          <w:tcPr>
            <w:tcW w:w="280" w:type="dxa"/>
            <w:vAlign w:val="bottom"/>
            <w:shd w:val="clear" w:color="auto" w:fill="CED8EA"/>
          </w:tcPr>
          <w:p>
            <w:pPr>
              <w:spacing w:after="0"/>
              <w:rPr>
                <w:sz w:val="18"/>
                <w:szCs w:val="18"/>
                <w:color w:val="auto"/>
              </w:rPr>
            </w:pPr>
          </w:p>
        </w:tc>
        <w:tc>
          <w:tcPr>
            <w:tcW w:w="122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2380" w:type="dxa"/>
            <w:vAlign w:val="bottom"/>
            <w:vMerge w:val="continue"/>
            <w:shd w:val="clear" w:color="auto" w:fill="CED8EA"/>
          </w:tcPr>
          <w:p>
            <w:pPr>
              <w:spacing w:after="0"/>
              <w:rPr>
                <w:sz w:val="18"/>
                <w:szCs w:val="18"/>
                <w:color w:val="auto"/>
              </w:rPr>
            </w:pPr>
          </w:p>
        </w:tc>
        <w:tc>
          <w:tcPr>
            <w:tcW w:w="1660" w:type="dxa"/>
            <w:vAlign w:val="bottom"/>
            <w:vMerge w:val="continue"/>
            <w:shd w:val="clear" w:color="auto" w:fill="CED8EA"/>
          </w:tcPr>
          <w:p>
            <w:pPr>
              <w:spacing w:after="0"/>
              <w:rPr>
                <w:sz w:val="18"/>
                <w:szCs w:val="18"/>
                <w:color w:val="auto"/>
              </w:rPr>
            </w:pPr>
          </w:p>
        </w:tc>
        <w:tc>
          <w:tcPr>
            <w:tcW w:w="1760" w:type="dxa"/>
            <w:vAlign w:val="bottom"/>
            <w:vMerge w:val="continue"/>
            <w:shd w:val="clear" w:color="auto" w:fill="CED8EA"/>
          </w:tcPr>
          <w:p>
            <w:pPr>
              <w:spacing w:after="0"/>
              <w:rPr>
                <w:sz w:val="18"/>
                <w:szCs w:val="18"/>
                <w:color w:val="auto"/>
              </w:rPr>
            </w:pPr>
          </w:p>
        </w:tc>
        <w:tc>
          <w:tcPr>
            <w:tcW w:w="1640" w:type="dxa"/>
            <w:vAlign w:val="bottom"/>
            <w:vMerge w:val="continue"/>
            <w:shd w:val="clear" w:color="auto" w:fill="CED8EA"/>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0" w:type="dxa"/>
            <w:vAlign w:val="bottom"/>
            <w:shd w:val="clear" w:color="auto" w:fill="CED8EA"/>
          </w:tcPr>
          <w:p>
            <w:pPr>
              <w:spacing w:after="0"/>
              <w:rPr>
                <w:sz w:val="18"/>
                <w:szCs w:val="18"/>
                <w:color w:val="auto"/>
              </w:rPr>
            </w:pPr>
          </w:p>
        </w:tc>
        <w:tc>
          <w:tcPr>
            <w:tcW w:w="122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2380" w:type="dxa"/>
            <w:vAlign w:val="bottom"/>
            <w:shd w:val="clear" w:color="auto" w:fill="CED8EA"/>
          </w:tcPr>
          <w:p>
            <w:pPr>
              <w:spacing w:after="0"/>
              <w:rPr>
                <w:sz w:val="20"/>
                <w:szCs w:val="20"/>
                <w:color w:val="auto"/>
              </w:rPr>
            </w:pPr>
            <w:r>
              <w:rPr>
                <w:rFonts w:ascii="Arial" w:cs="Arial" w:eastAsia="Arial" w:hAnsi="Arial"/>
                <w:sz w:val="18"/>
                <w:szCs w:val="18"/>
                <w:color w:val="02568A"/>
              </w:rPr>
              <w:t>Accelerated RSUs</w:t>
            </w:r>
          </w:p>
        </w:tc>
        <w:tc>
          <w:tcPr>
            <w:tcW w:w="1660" w:type="dxa"/>
            <w:vAlign w:val="bottom"/>
            <w:shd w:val="clear" w:color="auto" w:fill="CED8EA"/>
          </w:tcPr>
          <w:p>
            <w:pPr>
              <w:jc w:val="right"/>
              <w:ind w:right="12"/>
              <w:spacing w:after="0"/>
              <w:rPr>
                <w:sz w:val="20"/>
                <w:szCs w:val="20"/>
                <w:color w:val="auto"/>
              </w:rPr>
            </w:pPr>
            <w:r>
              <w:rPr>
                <w:rFonts w:ascii="Arial" w:cs="Arial" w:eastAsia="Arial" w:hAnsi="Arial"/>
                <w:sz w:val="18"/>
                <w:szCs w:val="18"/>
                <w:color w:val="02568A"/>
              </w:rPr>
              <w:t>6,291,184</w:t>
            </w:r>
          </w:p>
        </w:tc>
        <w:tc>
          <w:tcPr>
            <w:tcW w:w="1760" w:type="dxa"/>
            <w:vAlign w:val="bottom"/>
            <w:shd w:val="clear" w:color="auto" w:fill="CED8EA"/>
          </w:tcPr>
          <w:p>
            <w:pPr>
              <w:jc w:val="right"/>
              <w:ind w:right="12"/>
              <w:spacing w:after="0"/>
              <w:rPr>
                <w:sz w:val="20"/>
                <w:szCs w:val="20"/>
                <w:color w:val="auto"/>
              </w:rPr>
            </w:pPr>
            <w:r>
              <w:rPr>
                <w:rFonts w:ascii="Arial" w:cs="Arial" w:eastAsia="Arial" w:hAnsi="Arial"/>
                <w:sz w:val="18"/>
                <w:szCs w:val="18"/>
                <w:color w:val="02568A"/>
              </w:rPr>
              <w:t>6,291,184</w:t>
            </w:r>
          </w:p>
        </w:tc>
        <w:tc>
          <w:tcPr>
            <w:tcW w:w="1640" w:type="dxa"/>
            <w:vAlign w:val="bottom"/>
            <w:shd w:val="clear" w:color="auto" w:fill="CED8EA"/>
          </w:tcPr>
          <w:p>
            <w:pPr>
              <w:jc w:val="right"/>
              <w:ind w:right="192"/>
              <w:spacing w:after="0"/>
              <w:rPr>
                <w:sz w:val="20"/>
                <w:szCs w:val="20"/>
                <w:color w:val="auto"/>
              </w:rPr>
            </w:pPr>
            <w:r>
              <w:rPr>
                <w:rFonts w:ascii="Arial" w:cs="Arial" w:eastAsia="Arial" w:hAnsi="Arial"/>
                <w:sz w:val="18"/>
                <w:szCs w:val="18"/>
                <w:color w:val="02568A"/>
              </w:rPr>
              <w:t>6,291,184</w:t>
            </w:r>
          </w:p>
        </w:tc>
        <w:tc>
          <w:tcPr>
            <w:tcW w:w="0" w:type="dxa"/>
            <w:vAlign w:val="bottom"/>
          </w:tcPr>
          <w:p>
            <w:pPr>
              <w:spacing w:after="0"/>
              <w:rPr>
                <w:sz w:val="1"/>
                <w:szCs w:val="1"/>
                <w:color w:val="auto"/>
              </w:rPr>
            </w:pPr>
          </w:p>
        </w:tc>
      </w:tr>
      <w:tr>
        <w:trPr>
          <w:trHeight w:val="216"/>
        </w:trPr>
        <w:tc>
          <w:tcPr>
            <w:tcW w:w="280" w:type="dxa"/>
            <w:vAlign w:val="bottom"/>
            <w:shd w:val="clear" w:color="auto" w:fill="CED8EA"/>
          </w:tcPr>
          <w:p>
            <w:pPr>
              <w:spacing w:after="0"/>
              <w:rPr>
                <w:sz w:val="18"/>
                <w:szCs w:val="18"/>
                <w:color w:val="auto"/>
              </w:rPr>
            </w:pPr>
          </w:p>
        </w:tc>
        <w:tc>
          <w:tcPr>
            <w:tcW w:w="122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2380" w:type="dxa"/>
            <w:vAlign w:val="bottom"/>
            <w:shd w:val="clear" w:color="auto" w:fill="CED8EA"/>
          </w:tcPr>
          <w:p>
            <w:pPr>
              <w:spacing w:after="0"/>
              <w:rPr>
                <w:sz w:val="20"/>
                <w:szCs w:val="20"/>
                <w:color w:val="auto"/>
              </w:rPr>
            </w:pPr>
            <w:r>
              <w:rPr>
                <w:rFonts w:ascii="Arial" w:cs="Arial" w:eastAsia="Arial" w:hAnsi="Arial"/>
                <w:sz w:val="18"/>
                <w:szCs w:val="18"/>
                <w:color w:val="02568A"/>
              </w:rPr>
              <w:t>Accelerated PSAs</w:t>
            </w:r>
          </w:p>
        </w:tc>
        <w:tc>
          <w:tcPr>
            <w:tcW w:w="1660" w:type="dxa"/>
            <w:vAlign w:val="bottom"/>
            <w:shd w:val="clear" w:color="auto" w:fill="CED8EA"/>
          </w:tcPr>
          <w:p>
            <w:pPr>
              <w:jc w:val="right"/>
              <w:ind w:right="12"/>
              <w:spacing w:after="0"/>
              <w:rPr>
                <w:sz w:val="20"/>
                <w:szCs w:val="20"/>
                <w:color w:val="auto"/>
              </w:rPr>
            </w:pPr>
            <w:r>
              <w:rPr>
                <w:rFonts w:ascii="Arial" w:cs="Arial" w:eastAsia="Arial" w:hAnsi="Arial"/>
                <w:sz w:val="18"/>
                <w:szCs w:val="18"/>
                <w:color w:val="02568A"/>
              </w:rPr>
              <w:t>11,373,526</w:t>
            </w:r>
          </w:p>
        </w:tc>
        <w:tc>
          <w:tcPr>
            <w:tcW w:w="1760" w:type="dxa"/>
            <w:vAlign w:val="bottom"/>
            <w:shd w:val="clear" w:color="auto" w:fill="CED8EA"/>
          </w:tcPr>
          <w:p>
            <w:pPr>
              <w:jc w:val="right"/>
              <w:ind w:right="12"/>
              <w:spacing w:after="0"/>
              <w:rPr>
                <w:sz w:val="20"/>
                <w:szCs w:val="20"/>
                <w:color w:val="auto"/>
              </w:rPr>
            </w:pPr>
            <w:r>
              <w:rPr>
                <w:rFonts w:ascii="Arial" w:cs="Arial" w:eastAsia="Arial" w:hAnsi="Arial"/>
                <w:sz w:val="18"/>
                <w:szCs w:val="18"/>
                <w:color w:val="02568A"/>
              </w:rPr>
              <w:t>11,373,526</w:t>
            </w:r>
          </w:p>
        </w:tc>
        <w:tc>
          <w:tcPr>
            <w:tcW w:w="1640" w:type="dxa"/>
            <w:vAlign w:val="bottom"/>
            <w:shd w:val="clear" w:color="auto" w:fill="CED8EA"/>
          </w:tcPr>
          <w:p>
            <w:pPr>
              <w:jc w:val="right"/>
              <w:ind w:right="192"/>
              <w:spacing w:after="0"/>
              <w:rPr>
                <w:sz w:val="20"/>
                <w:szCs w:val="20"/>
                <w:color w:val="auto"/>
              </w:rPr>
            </w:pPr>
            <w:r>
              <w:rPr>
                <w:rFonts w:ascii="Arial" w:cs="Arial" w:eastAsia="Arial" w:hAnsi="Arial"/>
                <w:sz w:val="18"/>
                <w:szCs w:val="18"/>
                <w:color w:val="02568A"/>
              </w:rPr>
              <w:t>11,373,526</w:t>
            </w:r>
          </w:p>
        </w:tc>
        <w:tc>
          <w:tcPr>
            <w:tcW w:w="0" w:type="dxa"/>
            <w:vAlign w:val="bottom"/>
          </w:tcPr>
          <w:p>
            <w:pPr>
              <w:spacing w:after="0"/>
              <w:rPr>
                <w:sz w:val="1"/>
                <w:szCs w:val="1"/>
                <w:color w:val="auto"/>
              </w:rPr>
            </w:pPr>
          </w:p>
        </w:tc>
      </w:tr>
      <w:tr>
        <w:trPr>
          <w:trHeight w:val="216"/>
        </w:trPr>
        <w:tc>
          <w:tcPr>
            <w:tcW w:w="280" w:type="dxa"/>
            <w:vAlign w:val="bottom"/>
            <w:tcBorders>
              <w:bottom w:val="single" w:sz="8" w:color="CED8EA"/>
            </w:tcBorders>
            <w:shd w:val="clear" w:color="auto" w:fill="CED8EA"/>
          </w:tcPr>
          <w:p>
            <w:pPr>
              <w:spacing w:after="0"/>
              <w:rPr>
                <w:sz w:val="18"/>
                <w:szCs w:val="18"/>
                <w:color w:val="auto"/>
              </w:rPr>
            </w:pPr>
          </w:p>
        </w:tc>
        <w:tc>
          <w:tcPr>
            <w:tcW w:w="1220" w:type="dxa"/>
            <w:vAlign w:val="bottom"/>
            <w:tcBorders>
              <w:bottom w:val="single" w:sz="8" w:color="CED8EA"/>
            </w:tcBorders>
            <w:shd w:val="clear" w:color="auto" w:fill="CED8EA"/>
          </w:tcPr>
          <w:p>
            <w:pPr>
              <w:spacing w:after="0"/>
              <w:rPr>
                <w:sz w:val="18"/>
                <w:szCs w:val="18"/>
                <w:color w:val="auto"/>
              </w:rPr>
            </w:pPr>
          </w:p>
        </w:tc>
        <w:tc>
          <w:tcPr>
            <w:tcW w:w="160" w:type="dxa"/>
            <w:vAlign w:val="bottom"/>
            <w:tcBorders>
              <w:bottom w:val="single" w:sz="8" w:color="CED8EA"/>
            </w:tcBorders>
            <w:shd w:val="clear" w:color="auto" w:fill="CED8EA"/>
          </w:tcPr>
          <w:p>
            <w:pPr>
              <w:spacing w:after="0"/>
              <w:rPr>
                <w:sz w:val="18"/>
                <w:szCs w:val="18"/>
                <w:color w:val="auto"/>
              </w:rPr>
            </w:pPr>
          </w:p>
        </w:tc>
        <w:tc>
          <w:tcPr>
            <w:tcW w:w="2380" w:type="dxa"/>
            <w:vAlign w:val="bottom"/>
            <w:tcBorders>
              <w:bottom w:val="single" w:sz="8" w:color="02568A"/>
            </w:tcBorders>
            <w:shd w:val="clear" w:color="auto" w:fill="CED8EA"/>
          </w:tcPr>
          <w:p>
            <w:pPr>
              <w:spacing w:after="0"/>
              <w:rPr>
                <w:sz w:val="20"/>
                <w:szCs w:val="20"/>
                <w:color w:val="auto"/>
              </w:rPr>
            </w:pPr>
            <w:r>
              <w:rPr>
                <w:rFonts w:ascii="Arial" w:cs="Arial" w:eastAsia="Arial" w:hAnsi="Arial"/>
                <w:sz w:val="18"/>
                <w:szCs w:val="18"/>
                <w:color w:val="02568A"/>
              </w:rPr>
              <w:t>Medical</w:t>
            </w:r>
          </w:p>
        </w:tc>
        <w:tc>
          <w:tcPr>
            <w:tcW w:w="1660" w:type="dxa"/>
            <w:vAlign w:val="bottom"/>
            <w:tcBorders>
              <w:bottom w:val="single" w:sz="8" w:color="02568A"/>
            </w:tcBorders>
            <w:shd w:val="clear" w:color="auto" w:fill="CED8EA"/>
          </w:tcPr>
          <w:p>
            <w:pPr>
              <w:jc w:val="right"/>
              <w:ind w:right="12"/>
              <w:spacing w:after="0"/>
              <w:rPr>
                <w:sz w:val="20"/>
                <w:szCs w:val="20"/>
                <w:color w:val="auto"/>
              </w:rPr>
            </w:pPr>
            <w:r>
              <w:rPr>
                <w:rFonts w:ascii="Arial" w:cs="Arial" w:eastAsia="Arial" w:hAnsi="Arial"/>
                <w:sz w:val="18"/>
                <w:szCs w:val="18"/>
                <w:color w:val="02568A"/>
              </w:rPr>
              <w:t>21,612</w:t>
            </w:r>
          </w:p>
        </w:tc>
        <w:tc>
          <w:tcPr>
            <w:tcW w:w="1760" w:type="dxa"/>
            <w:vAlign w:val="bottom"/>
            <w:tcBorders>
              <w:bottom w:val="single" w:sz="8" w:color="02568A"/>
            </w:tcBorders>
            <w:shd w:val="clear" w:color="auto" w:fill="CED8EA"/>
          </w:tcPr>
          <w:p>
            <w:pPr>
              <w:jc w:val="right"/>
              <w:ind w:right="12"/>
              <w:spacing w:after="0"/>
              <w:rPr>
                <w:sz w:val="20"/>
                <w:szCs w:val="20"/>
                <w:color w:val="auto"/>
              </w:rPr>
            </w:pPr>
            <w:r>
              <w:rPr>
                <w:rFonts w:ascii="Arial" w:cs="Arial" w:eastAsia="Arial" w:hAnsi="Arial"/>
                <w:sz w:val="18"/>
                <w:szCs w:val="18"/>
                <w:color w:val="02568A"/>
              </w:rPr>
              <w:t>25,934</w:t>
            </w:r>
          </w:p>
        </w:tc>
        <w:tc>
          <w:tcPr>
            <w:tcW w:w="1640" w:type="dxa"/>
            <w:vAlign w:val="bottom"/>
            <w:tcBorders>
              <w:bottom w:val="single" w:sz="8" w:color="02568A"/>
            </w:tcBorders>
            <w:shd w:val="clear" w:color="auto" w:fill="CED8EA"/>
          </w:tcPr>
          <w:p>
            <w:pPr>
              <w:jc w:val="right"/>
              <w:ind w:right="192"/>
              <w:spacing w:after="0"/>
              <w:rPr>
                <w:sz w:val="20"/>
                <w:szCs w:val="20"/>
                <w:color w:val="auto"/>
              </w:rPr>
            </w:pPr>
            <w:r>
              <w:rPr>
                <w:rFonts w:ascii="Arial" w:cs="Arial" w:eastAsia="Arial" w:hAnsi="Arial"/>
                <w:sz w:val="18"/>
                <w:szCs w:val="18"/>
                <w:color w:val="02568A"/>
              </w:rPr>
              <w:t>—</w:t>
            </w:r>
          </w:p>
        </w:tc>
        <w:tc>
          <w:tcPr>
            <w:tcW w:w="0" w:type="dxa"/>
            <w:vAlign w:val="bottom"/>
          </w:tcPr>
          <w:p>
            <w:pPr>
              <w:spacing w:after="0"/>
              <w:rPr>
                <w:sz w:val="1"/>
                <w:szCs w:val="1"/>
                <w:color w:val="auto"/>
              </w:rPr>
            </w:pPr>
          </w:p>
        </w:tc>
      </w:tr>
      <w:tr>
        <w:trPr>
          <w:trHeight w:val="209"/>
        </w:trPr>
        <w:tc>
          <w:tcPr>
            <w:tcW w:w="280" w:type="dxa"/>
            <w:vAlign w:val="bottom"/>
            <w:tcBorders>
              <w:bottom w:val="single" w:sz="8" w:color="02568A"/>
            </w:tcBorders>
            <w:shd w:val="clear" w:color="auto" w:fill="CED8EA"/>
          </w:tcPr>
          <w:p>
            <w:pPr>
              <w:spacing w:after="0"/>
              <w:rPr>
                <w:sz w:val="18"/>
                <w:szCs w:val="18"/>
                <w:color w:val="auto"/>
              </w:rPr>
            </w:pPr>
          </w:p>
        </w:tc>
        <w:tc>
          <w:tcPr>
            <w:tcW w:w="1220" w:type="dxa"/>
            <w:vAlign w:val="bottom"/>
            <w:tcBorders>
              <w:bottom w:val="single" w:sz="8" w:color="02568A"/>
            </w:tcBorders>
            <w:shd w:val="clear" w:color="auto" w:fill="CED8EA"/>
          </w:tcPr>
          <w:p>
            <w:pPr>
              <w:spacing w:after="0"/>
              <w:rPr>
                <w:sz w:val="18"/>
                <w:szCs w:val="18"/>
                <w:color w:val="auto"/>
              </w:rPr>
            </w:pPr>
          </w:p>
        </w:tc>
        <w:tc>
          <w:tcPr>
            <w:tcW w:w="160" w:type="dxa"/>
            <w:vAlign w:val="bottom"/>
            <w:tcBorders>
              <w:bottom w:val="single" w:sz="8" w:color="02568A"/>
            </w:tcBorders>
            <w:shd w:val="clear" w:color="auto" w:fill="CED8EA"/>
          </w:tcPr>
          <w:p>
            <w:pPr>
              <w:spacing w:after="0"/>
              <w:rPr>
                <w:sz w:val="18"/>
                <w:szCs w:val="18"/>
                <w:color w:val="auto"/>
              </w:rPr>
            </w:pPr>
          </w:p>
        </w:tc>
        <w:tc>
          <w:tcPr>
            <w:tcW w:w="2380" w:type="dxa"/>
            <w:vAlign w:val="bottom"/>
            <w:tcBorders>
              <w:bottom w:val="single" w:sz="8" w:color="02568A"/>
            </w:tcBorders>
            <w:shd w:val="clear" w:color="auto" w:fill="CED8EA"/>
          </w:tcPr>
          <w:p>
            <w:pPr>
              <w:spacing w:after="0"/>
              <w:rPr>
                <w:sz w:val="20"/>
                <w:szCs w:val="20"/>
                <w:color w:val="auto"/>
              </w:rPr>
            </w:pPr>
            <w:r>
              <w:rPr>
                <w:rFonts w:ascii="Arial" w:cs="Arial" w:eastAsia="Arial" w:hAnsi="Arial"/>
                <w:sz w:val="18"/>
                <w:szCs w:val="18"/>
                <w:b w:val="1"/>
                <w:bCs w:val="1"/>
                <w:color w:val="02568A"/>
              </w:rPr>
              <w:t>TOTAL</w:t>
            </w:r>
          </w:p>
        </w:tc>
        <w:tc>
          <w:tcPr>
            <w:tcW w:w="1660" w:type="dxa"/>
            <w:vAlign w:val="bottom"/>
            <w:tcBorders>
              <w:bottom w:val="single" w:sz="8" w:color="02568A"/>
            </w:tcBorders>
            <w:shd w:val="clear" w:color="auto" w:fill="CED8EA"/>
          </w:tcPr>
          <w:p>
            <w:pPr>
              <w:jc w:val="right"/>
              <w:ind w:right="12"/>
              <w:spacing w:after="0"/>
              <w:rPr>
                <w:sz w:val="20"/>
                <w:szCs w:val="20"/>
                <w:color w:val="auto"/>
              </w:rPr>
            </w:pPr>
            <w:r>
              <w:rPr>
                <w:rFonts w:ascii="Arial" w:cs="Arial" w:eastAsia="Arial" w:hAnsi="Arial"/>
                <w:sz w:val="18"/>
                <w:szCs w:val="18"/>
                <w:b w:val="1"/>
                <w:bCs w:val="1"/>
                <w:color w:val="02568A"/>
              </w:rPr>
              <w:t>23,017,382</w:t>
            </w:r>
          </w:p>
        </w:tc>
        <w:tc>
          <w:tcPr>
            <w:tcW w:w="1760" w:type="dxa"/>
            <w:vAlign w:val="bottom"/>
            <w:tcBorders>
              <w:bottom w:val="single" w:sz="8" w:color="02568A"/>
            </w:tcBorders>
            <w:shd w:val="clear" w:color="auto" w:fill="CED8EA"/>
          </w:tcPr>
          <w:p>
            <w:pPr>
              <w:jc w:val="right"/>
              <w:ind w:right="12"/>
              <w:spacing w:after="0"/>
              <w:rPr>
                <w:sz w:val="20"/>
                <w:szCs w:val="20"/>
                <w:color w:val="auto"/>
              </w:rPr>
            </w:pPr>
            <w:r>
              <w:rPr>
                <w:rFonts w:ascii="Arial" w:cs="Arial" w:eastAsia="Arial" w:hAnsi="Arial"/>
                <w:sz w:val="18"/>
                <w:szCs w:val="18"/>
                <w:b w:val="1"/>
                <w:bCs w:val="1"/>
                <w:color w:val="02568A"/>
              </w:rPr>
              <w:t>24,295,704</w:t>
            </w:r>
          </w:p>
        </w:tc>
        <w:tc>
          <w:tcPr>
            <w:tcW w:w="1640" w:type="dxa"/>
            <w:vAlign w:val="bottom"/>
            <w:tcBorders>
              <w:bottom w:val="single" w:sz="8" w:color="02568A"/>
            </w:tcBorders>
            <w:shd w:val="clear" w:color="auto" w:fill="CED8EA"/>
          </w:tcPr>
          <w:p>
            <w:pPr>
              <w:jc w:val="right"/>
              <w:ind w:right="192"/>
              <w:spacing w:after="0"/>
              <w:rPr>
                <w:sz w:val="20"/>
                <w:szCs w:val="20"/>
                <w:color w:val="auto"/>
              </w:rPr>
            </w:pPr>
            <w:r>
              <w:rPr>
                <w:rFonts w:ascii="Arial" w:cs="Arial" w:eastAsia="Arial" w:hAnsi="Arial"/>
                <w:sz w:val="18"/>
                <w:szCs w:val="18"/>
                <w:b w:val="1"/>
                <w:bCs w:val="1"/>
                <w:color w:val="02568A"/>
              </w:rPr>
              <w:t>17,899,770</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1220" w:type="dxa"/>
            <w:vAlign w:val="bottom"/>
          </w:tcPr>
          <w:p>
            <w:pPr>
              <w:spacing w:after="0" w:line="195" w:lineRule="exact"/>
              <w:rPr>
                <w:sz w:val="20"/>
                <w:szCs w:val="20"/>
                <w:color w:val="auto"/>
              </w:rPr>
            </w:pPr>
            <w:r>
              <w:rPr>
                <w:rFonts w:ascii="Arial" w:cs="Arial" w:eastAsia="Arial" w:hAnsi="Arial"/>
                <w:sz w:val="18"/>
                <w:szCs w:val="18"/>
                <w:b w:val="1"/>
                <w:bCs w:val="1"/>
                <w:color w:val="02568A"/>
              </w:rPr>
              <w:t>Kris</w:t>
            </w:r>
          </w:p>
        </w:tc>
        <w:tc>
          <w:tcPr>
            <w:tcW w:w="160" w:type="dxa"/>
            <w:vAlign w:val="bottom"/>
          </w:tcPr>
          <w:p>
            <w:pPr>
              <w:spacing w:after="0"/>
              <w:rPr>
                <w:sz w:val="16"/>
                <w:szCs w:val="16"/>
                <w:color w:val="auto"/>
              </w:rPr>
            </w:pPr>
          </w:p>
        </w:tc>
        <w:tc>
          <w:tcPr>
            <w:tcW w:w="2380" w:type="dxa"/>
            <w:vAlign w:val="bottom"/>
            <w:vMerge w:val="restart"/>
          </w:tcPr>
          <w:p>
            <w:pPr>
              <w:spacing w:after="0"/>
              <w:rPr>
                <w:sz w:val="20"/>
                <w:szCs w:val="20"/>
                <w:color w:val="auto"/>
              </w:rPr>
            </w:pPr>
            <w:r>
              <w:rPr>
                <w:rFonts w:ascii="Arial" w:cs="Arial" w:eastAsia="Arial" w:hAnsi="Arial"/>
                <w:sz w:val="18"/>
                <w:szCs w:val="18"/>
                <w:color w:val="02568A"/>
                <w:w w:val="91"/>
              </w:rPr>
              <w:t>Salary and Short-Term Incentive</w:t>
            </w:r>
          </w:p>
        </w:tc>
        <w:tc>
          <w:tcPr>
            <w:tcW w:w="1660" w:type="dxa"/>
            <w:vAlign w:val="bottom"/>
            <w:vMerge w:val="restart"/>
          </w:tcPr>
          <w:p>
            <w:pPr>
              <w:jc w:val="right"/>
              <w:ind w:right="12"/>
              <w:spacing w:after="0"/>
              <w:rPr>
                <w:sz w:val="20"/>
                <w:szCs w:val="20"/>
                <w:color w:val="auto"/>
              </w:rPr>
            </w:pPr>
            <w:r>
              <w:rPr>
                <w:rFonts w:ascii="Arial" w:cs="Arial" w:eastAsia="Arial" w:hAnsi="Arial"/>
                <w:sz w:val="18"/>
                <w:szCs w:val="18"/>
                <w:color w:val="02568A"/>
              </w:rPr>
              <w:t>500,000(5)</w:t>
            </w:r>
          </w:p>
        </w:tc>
        <w:tc>
          <w:tcPr>
            <w:tcW w:w="1760" w:type="dxa"/>
            <w:vAlign w:val="bottom"/>
            <w:vMerge w:val="restart"/>
          </w:tcPr>
          <w:p>
            <w:pPr>
              <w:jc w:val="right"/>
              <w:ind w:right="12"/>
              <w:spacing w:after="0"/>
              <w:rPr>
                <w:sz w:val="20"/>
                <w:szCs w:val="20"/>
                <w:color w:val="auto"/>
              </w:rPr>
            </w:pPr>
            <w:r>
              <w:rPr>
                <w:rFonts w:ascii="Arial" w:cs="Arial" w:eastAsia="Arial" w:hAnsi="Arial"/>
                <w:sz w:val="18"/>
                <w:szCs w:val="18"/>
                <w:color w:val="02568A"/>
              </w:rPr>
              <w:t>1,500,000(6)</w:t>
            </w:r>
          </w:p>
        </w:tc>
        <w:tc>
          <w:tcPr>
            <w:tcW w:w="1640" w:type="dxa"/>
            <w:vAlign w:val="bottom"/>
            <w:vMerge w:val="restart"/>
          </w:tcPr>
          <w:p>
            <w:pPr>
              <w:jc w:val="right"/>
              <w:ind w:right="192"/>
              <w:spacing w:after="0"/>
              <w:rPr>
                <w:sz w:val="20"/>
                <w:szCs w:val="20"/>
                <w:color w:val="auto"/>
              </w:rPr>
            </w:pPr>
            <w:r>
              <w:rPr>
                <w:rFonts w:ascii="Arial" w:cs="Arial" w:eastAsia="Arial" w:hAnsi="Arial"/>
                <w:sz w:val="18"/>
                <w:szCs w:val="18"/>
                <w:color w:val="02568A"/>
              </w:rPr>
              <w:t>—</w:t>
            </w: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220" w:type="dxa"/>
            <w:vAlign w:val="bottom"/>
            <w:vMerge w:val="restart"/>
          </w:tcPr>
          <w:p>
            <w:pPr>
              <w:spacing w:after="0"/>
              <w:rPr>
                <w:sz w:val="20"/>
                <w:szCs w:val="20"/>
                <w:color w:val="auto"/>
              </w:rPr>
            </w:pPr>
            <w:r>
              <w:rPr>
                <w:rFonts w:ascii="Arial" w:cs="Arial" w:eastAsia="Arial" w:hAnsi="Arial"/>
                <w:sz w:val="18"/>
                <w:szCs w:val="18"/>
                <w:b w:val="1"/>
                <w:bCs w:val="1"/>
                <w:color w:val="02568A"/>
              </w:rPr>
              <w:t>Sennesael(2)</w:t>
            </w:r>
          </w:p>
        </w:tc>
        <w:tc>
          <w:tcPr>
            <w:tcW w:w="16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380" w:type="dxa"/>
            <w:vAlign w:val="bottom"/>
            <w:vMerge w:val="restart"/>
          </w:tcPr>
          <w:p>
            <w:pPr>
              <w:spacing w:after="0"/>
              <w:rPr>
                <w:sz w:val="20"/>
                <w:szCs w:val="20"/>
                <w:color w:val="auto"/>
              </w:rPr>
            </w:pPr>
            <w:r>
              <w:rPr>
                <w:rFonts w:ascii="Arial" w:cs="Arial" w:eastAsia="Arial" w:hAnsi="Arial"/>
                <w:sz w:val="18"/>
                <w:szCs w:val="18"/>
                <w:color w:val="02568A"/>
              </w:rPr>
              <w:t>Accelerated Options</w:t>
            </w:r>
          </w:p>
        </w:tc>
        <w:tc>
          <w:tcPr>
            <w:tcW w:w="1660" w:type="dxa"/>
            <w:vAlign w:val="bottom"/>
            <w:vMerge w:val="restart"/>
          </w:tcPr>
          <w:p>
            <w:pPr>
              <w:jc w:val="right"/>
              <w:ind w:right="12"/>
              <w:spacing w:after="0"/>
              <w:rPr>
                <w:sz w:val="20"/>
                <w:szCs w:val="20"/>
                <w:color w:val="auto"/>
              </w:rPr>
            </w:pPr>
            <w:r>
              <w:rPr>
                <w:rFonts w:ascii="Arial" w:cs="Arial" w:eastAsia="Arial" w:hAnsi="Arial"/>
                <w:sz w:val="18"/>
                <w:szCs w:val="18"/>
                <w:color w:val="02568A"/>
              </w:rPr>
              <w:t>—</w:t>
            </w:r>
          </w:p>
        </w:tc>
        <w:tc>
          <w:tcPr>
            <w:tcW w:w="1760" w:type="dxa"/>
            <w:vAlign w:val="bottom"/>
            <w:vMerge w:val="restart"/>
          </w:tcPr>
          <w:p>
            <w:pPr>
              <w:jc w:val="right"/>
              <w:ind w:right="12"/>
              <w:spacing w:after="0"/>
              <w:rPr>
                <w:sz w:val="20"/>
                <w:szCs w:val="20"/>
                <w:color w:val="auto"/>
              </w:rPr>
            </w:pPr>
            <w:r>
              <w:rPr>
                <w:rFonts w:ascii="Arial" w:cs="Arial" w:eastAsia="Arial" w:hAnsi="Arial"/>
                <w:sz w:val="18"/>
                <w:szCs w:val="18"/>
                <w:color w:val="02568A"/>
              </w:rPr>
              <w:t>22,500</w:t>
            </w:r>
          </w:p>
        </w:tc>
        <w:tc>
          <w:tcPr>
            <w:tcW w:w="1640" w:type="dxa"/>
            <w:vAlign w:val="bottom"/>
            <w:vMerge w:val="restart"/>
          </w:tcPr>
          <w:p>
            <w:pPr>
              <w:jc w:val="right"/>
              <w:ind w:right="192"/>
              <w:spacing w:after="0"/>
              <w:rPr>
                <w:sz w:val="20"/>
                <w:szCs w:val="20"/>
                <w:color w:val="auto"/>
              </w:rPr>
            </w:pPr>
            <w:r>
              <w:rPr>
                <w:rFonts w:ascii="Arial" w:cs="Arial" w:eastAsia="Arial" w:hAnsi="Arial"/>
                <w:sz w:val="18"/>
                <w:szCs w:val="18"/>
                <w:color w:val="02568A"/>
              </w:rPr>
              <w:t>22,500</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02568A"/>
              </w:rPr>
              <w:t>Accelerated RSUs</w:t>
            </w:r>
          </w:p>
        </w:tc>
        <w:tc>
          <w:tcPr>
            <w:tcW w:w="1660" w:type="dxa"/>
            <w:vAlign w:val="bottom"/>
          </w:tcPr>
          <w:p>
            <w:pPr>
              <w:jc w:val="right"/>
              <w:ind w:right="12"/>
              <w:spacing w:after="0"/>
              <w:rPr>
                <w:sz w:val="20"/>
                <w:szCs w:val="20"/>
                <w:color w:val="auto"/>
              </w:rPr>
            </w:pPr>
            <w:r>
              <w:rPr>
                <w:rFonts w:ascii="Arial" w:cs="Arial" w:eastAsia="Arial" w:hAnsi="Arial"/>
                <w:sz w:val="18"/>
                <w:szCs w:val="18"/>
                <w:color w:val="02568A"/>
              </w:rPr>
              <w:t>—</w:t>
            </w:r>
          </w:p>
        </w:tc>
        <w:tc>
          <w:tcPr>
            <w:tcW w:w="1760" w:type="dxa"/>
            <w:vAlign w:val="bottom"/>
          </w:tcPr>
          <w:p>
            <w:pPr>
              <w:jc w:val="right"/>
              <w:ind w:right="12"/>
              <w:spacing w:after="0"/>
              <w:rPr>
                <w:sz w:val="20"/>
                <w:szCs w:val="20"/>
                <w:color w:val="auto"/>
              </w:rPr>
            </w:pPr>
            <w:r>
              <w:rPr>
                <w:rFonts w:ascii="Arial" w:cs="Arial" w:eastAsia="Arial" w:hAnsi="Arial"/>
                <w:sz w:val="18"/>
                <w:szCs w:val="18"/>
                <w:color w:val="02568A"/>
              </w:rPr>
              <w:t>2,180,238</w:t>
            </w:r>
          </w:p>
        </w:tc>
        <w:tc>
          <w:tcPr>
            <w:tcW w:w="1640" w:type="dxa"/>
            <w:vAlign w:val="bottom"/>
          </w:tcPr>
          <w:p>
            <w:pPr>
              <w:jc w:val="right"/>
              <w:ind w:right="192"/>
              <w:spacing w:after="0"/>
              <w:rPr>
                <w:sz w:val="20"/>
                <w:szCs w:val="20"/>
                <w:color w:val="auto"/>
              </w:rPr>
            </w:pPr>
            <w:r>
              <w:rPr>
                <w:rFonts w:ascii="Arial" w:cs="Arial" w:eastAsia="Arial" w:hAnsi="Arial"/>
                <w:sz w:val="18"/>
                <w:szCs w:val="18"/>
                <w:color w:val="02568A"/>
              </w:rPr>
              <w:t>2,180,238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02568A"/>
              </w:rPr>
              <w:t>Accelerated PSAs</w:t>
            </w:r>
          </w:p>
        </w:tc>
        <w:tc>
          <w:tcPr>
            <w:tcW w:w="1660" w:type="dxa"/>
            <w:vAlign w:val="bottom"/>
          </w:tcPr>
          <w:p>
            <w:pPr>
              <w:jc w:val="right"/>
              <w:ind w:right="12"/>
              <w:spacing w:after="0"/>
              <w:rPr>
                <w:sz w:val="20"/>
                <w:szCs w:val="20"/>
                <w:color w:val="auto"/>
              </w:rPr>
            </w:pPr>
            <w:r>
              <w:rPr>
                <w:rFonts w:ascii="Arial" w:cs="Arial" w:eastAsia="Arial" w:hAnsi="Arial"/>
                <w:sz w:val="18"/>
                <w:szCs w:val="18"/>
                <w:color w:val="02568A"/>
              </w:rPr>
              <w:t>—</w:t>
            </w:r>
          </w:p>
        </w:tc>
        <w:tc>
          <w:tcPr>
            <w:tcW w:w="1760" w:type="dxa"/>
            <w:vAlign w:val="bottom"/>
          </w:tcPr>
          <w:p>
            <w:pPr>
              <w:jc w:val="right"/>
              <w:ind w:right="12"/>
              <w:spacing w:after="0"/>
              <w:rPr>
                <w:sz w:val="20"/>
                <w:szCs w:val="20"/>
                <w:color w:val="auto"/>
              </w:rPr>
            </w:pPr>
            <w:r>
              <w:rPr>
                <w:rFonts w:ascii="Arial" w:cs="Arial" w:eastAsia="Arial" w:hAnsi="Arial"/>
                <w:sz w:val="18"/>
                <w:szCs w:val="18"/>
                <w:color w:val="02568A"/>
              </w:rPr>
              <w:t>3,194,708</w:t>
            </w:r>
          </w:p>
        </w:tc>
        <w:tc>
          <w:tcPr>
            <w:tcW w:w="1640" w:type="dxa"/>
            <w:vAlign w:val="bottom"/>
          </w:tcPr>
          <w:p>
            <w:pPr>
              <w:jc w:val="right"/>
              <w:ind w:right="192"/>
              <w:spacing w:after="0"/>
              <w:rPr>
                <w:sz w:val="20"/>
                <w:szCs w:val="20"/>
                <w:color w:val="auto"/>
              </w:rPr>
            </w:pPr>
            <w:r>
              <w:rPr>
                <w:rFonts w:ascii="Arial" w:cs="Arial" w:eastAsia="Arial" w:hAnsi="Arial"/>
                <w:sz w:val="18"/>
                <w:szCs w:val="18"/>
                <w:color w:val="02568A"/>
              </w:rPr>
              <w:t>3,194,708</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tcBorders>
              <w:bottom w:val="single" w:sz="8" w:color="02568A"/>
            </w:tcBorders>
          </w:tcPr>
          <w:p>
            <w:pPr>
              <w:spacing w:after="0"/>
              <w:rPr>
                <w:sz w:val="20"/>
                <w:szCs w:val="20"/>
                <w:color w:val="auto"/>
              </w:rPr>
            </w:pPr>
            <w:r>
              <w:rPr>
                <w:rFonts w:ascii="Arial" w:cs="Arial" w:eastAsia="Arial" w:hAnsi="Arial"/>
                <w:sz w:val="18"/>
                <w:szCs w:val="18"/>
                <w:color w:val="02568A"/>
              </w:rPr>
              <w:t>Medical</w:t>
            </w:r>
          </w:p>
        </w:tc>
        <w:tc>
          <w:tcPr>
            <w:tcW w:w="1660" w:type="dxa"/>
            <w:vAlign w:val="bottom"/>
            <w:tcBorders>
              <w:bottom w:val="single" w:sz="8" w:color="02568A"/>
            </w:tcBorders>
          </w:tcPr>
          <w:p>
            <w:pPr>
              <w:jc w:val="right"/>
              <w:ind w:right="12"/>
              <w:spacing w:after="0"/>
              <w:rPr>
                <w:sz w:val="20"/>
                <w:szCs w:val="20"/>
                <w:color w:val="auto"/>
              </w:rPr>
            </w:pPr>
            <w:r>
              <w:rPr>
                <w:rFonts w:ascii="Arial" w:cs="Arial" w:eastAsia="Arial" w:hAnsi="Arial"/>
                <w:sz w:val="18"/>
                <w:szCs w:val="18"/>
                <w:color w:val="02568A"/>
              </w:rPr>
              <w:t>18,853</w:t>
            </w:r>
          </w:p>
        </w:tc>
        <w:tc>
          <w:tcPr>
            <w:tcW w:w="1760" w:type="dxa"/>
            <w:vAlign w:val="bottom"/>
            <w:tcBorders>
              <w:bottom w:val="single" w:sz="8" w:color="02568A"/>
            </w:tcBorders>
          </w:tcPr>
          <w:p>
            <w:pPr>
              <w:jc w:val="right"/>
              <w:ind w:right="12"/>
              <w:spacing w:after="0"/>
              <w:rPr>
                <w:sz w:val="20"/>
                <w:szCs w:val="20"/>
                <w:color w:val="auto"/>
              </w:rPr>
            </w:pPr>
            <w:r>
              <w:rPr>
                <w:rFonts w:ascii="Arial" w:cs="Arial" w:eastAsia="Arial" w:hAnsi="Arial"/>
                <w:sz w:val="18"/>
                <w:szCs w:val="18"/>
                <w:color w:val="02568A"/>
              </w:rPr>
              <w:t>28,280</w:t>
            </w:r>
          </w:p>
        </w:tc>
        <w:tc>
          <w:tcPr>
            <w:tcW w:w="1640" w:type="dxa"/>
            <w:vAlign w:val="bottom"/>
            <w:tcBorders>
              <w:bottom w:val="single" w:sz="8" w:color="02568A"/>
            </w:tcBorders>
          </w:tcPr>
          <w:p>
            <w:pPr>
              <w:jc w:val="right"/>
              <w:ind w:right="192"/>
              <w:spacing w:after="0"/>
              <w:rPr>
                <w:sz w:val="20"/>
                <w:szCs w:val="20"/>
                <w:color w:val="auto"/>
              </w:rPr>
            </w:pPr>
            <w:r>
              <w:rPr>
                <w:rFonts w:ascii="Arial" w:cs="Arial" w:eastAsia="Arial" w:hAnsi="Arial"/>
                <w:sz w:val="18"/>
                <w:szCs w:val="18"/>
                <w:color w:val="02568A"/>
              </w:rPr>
              <w:t>—</w:t>
            </w:r>
          </w:p>
        </w:tc>
        <w:tc>
          <w:tcPr>
            <w:tcW w:w="0" w:type="dxa"/>
            <w:vAlign w:val="bottom"/>
          </w:tcPr>
          <w:p>
            <w:pPr>
              <w:spacing w:after="0"/>
              <w:rPr>
                <w:sz w:val="1"/>
                <w:szCs w:val="1"/>
                <w:color w:val="auto"/>
              </w:rPr>
            </w:pPr>
          </w:p>
        </w:tc>
      </w:tr>
      <w:tr>
        <w:trPr>
          <w:trHeight w:val="211"/>
        </w:trPr>
        <w:tc>
          <w:tcPr>
            <w:tcW w:w="280" w:type="dxa"/>
            <w:vAlign w:val="bottom"/>
            <w:tcBorders>
              <w:bottom w:val="single" w:sz="8" w:color="02568A"/>
            </w:tcBorders>
          </w:tcPr>
          <w:p>
            <w:pPr>
              <w:spacing w:after="0"/>
              <w:rPr>
                <w:sz w:val="18"/>
                <w:szCs w:val="18"/>
                <w:color w:val="auto"/>
              </w:rPr>
            </w:pPr>
          </w:p>
        </w:tc>
        <w:tc>
          <w:tcPr>
            <w:tcW w:w="1220" w:type="dxa"/>
            <w:vAlign w:val="bottom"/>
            <w:tcBorders>
              <w:bottom w:val="single" w:sz="8" w:color="02568A"/>
            </w:tcBorders>
          </w:tcPr>
          <w:p>
            <w:pPr>
              <w:spacing w:after="0"/>
              <w:rPr>
                <w:sz w:val="18"/>
                <w:szCs w:val="18"/>
                <w:color w:val="auto"/>
              </w:rPr>
            </w:pPr>
          </w:p>
        </w:tc>
        <w:tc>
          <w:tcPr>
            <w:tcW w:w="160" w:type="dxa"/>
            <w:vAlign w:val="bottom"/>
            <w:tcBorders>
              <w:bottom w:val="single" w:sz="8" w:color="02568A"/>
            </w:tcBorders>
          </w:tcPr>
          <w:p>
            <w:pPr>
              <w:spacing w:after="0"/>
              <w:rPr>
                <w:sz w:val="18"/>
                <w:szCs w:val="18"/>
                <w:color w:val="auto"/>
              </w:rPr>
            </w:pPr>
          </w:p>
        </w:tc>
        <w:tc>
          <w:tcPr>
            <w:tcW w:w="2380" w:type="dxa"/>
            <w:vAlign w:val="bottom"/>
            <w:tcBorders>
              <w:bottom w:val="single" w:sz="8" w:color="02568A"/>
            </w:tcBorders>
          </w:tcPr>
          <w:p>
            <w:pPr>
              <w:spacing w:after="0"/>
              <w:rPr>
                <w:sz w:val="20"/>
                <w:szCs w:val="20"/>
                <w:color w:val="auto"/>
              </w:rPr>
            </w:pPr>
            <w:r>
              <w:rPr>
                <w:rFonts w:ascii="Arial" w:cs="Arial" w:eastAsia="Arial" w:hAnsi="Arial"/>
                <w:sz w:val="18"/>
                <w:szCs w:val="18"/>
                <w:b w:val="1"/>
                <w:bCs w:val="1"/>
                <w:color w:val="02568A"/>
              </w:rPr>
              <w:t>TOTAL</w:t>
            </w:r>
          </w:p>
        </w:tc>
        <w:tc>
          <w:tcPr>
            <w:tcW w:w="1660" w:type="dxa"/>
            <w:vAlign w:val="bottom"/>
            <w:tcBorders>
              <w:bottom w:val="single" w:sz="8" w:color="02568A"/>
            </w:tcBorders>
          </w:tcPr>
          <w:p>
            <w:pPr>
              <w:jc w:val="right"/>
              <w:ind w:right="12"/>
              <w:spacing w:after="0"/>
              <w:rPr>
                <w:sz w:val="20"/>
                <w:szCs w:val="20"/>
                <w:color w:val="auto"/>
              </w:rPr>
            </w:pPr>
            <w:r>
              <w:rPr>
                <w:rFonts w:ascii="Arial" w:cs="Arial" w:eastAsia="Arial" w:hAnsi="Arial"/>
                <w:sz w:val="18"/>
                <w:szCs w:val="18"/>
                <w:b w:val="1"/>
                <w:bCs w:val="1"/>
                <w:color w:val="02568A"/>
              </w:rPr>
              <w:t>518,853</w:t>
            </w:r>
          </w:p>
        </w:tc>
        <w:tc>
          <w:tcPr>
            <w:tcW w:w="1760" w:type="dxa"/>
            <w:vAlign w:val="bottom"/>
            <w:tcBorders>
              <w:bottom w:val="single" w:sz="8" w:color="02568A"/>
            </w:tcBorders>
          </w:tcPr>
          <w:p>
            <w:pPr>
              <w:jc w:val="right"/>
              <w:ind w:right="12"/>
              <w:spacing w:after="0"/>
              <w:rPr>
                <w:sz w:val="20"/>
                <w:szCs w:val="20"/>
                <w:color w:val="auto"/>
              </w:rPr>
            </w:pPr>
            <w:r>
              <w:rPr>
                <w:rFonts w:ascii="Arial" w:cs="Arial" w:eastAsia="Arial" w:hAnsi="Arial"/>
                <w:sz w:val="18"/>
                <w:szCs w:val="18"/>
                <w:b w:val="1"/>
                <w:bCs w:val="1"/>
                <w:color w:val="02568A"/>
              </w:rPr>
              <w:t>6,925,726</w:t>
            </w:r>
          </w:p>
        </w:tc>
        <w:tc>
          <w:tcPr>
            <w:tcW w:w="1640" w:type="dxa"/>
            <w:vAlign w:val="bottom"/>
            <w:tcBorders>
              <w:bottom w:val="single" w:sz="8" w:color="02568A"/>
            </w:tcBorders>
          </w:tcPr>
          <w:p>
            <w:pPr>
              <w:jc w:val="right"/>
              <w:ind w:right="192"/>
              <w:spacing w:after="0"/>
              <w:rPr>
                <w:sz w:val="20"/>
                <w:szCs w:val="20"/>
                <w:color w:val="auto"/>
              </w:rPr>
            </w:pPr>
            <w:r>
              <w:rPr>
                <w:rFonts w:ascii="Arial" w:cs="Arial" w:eastAsia="Arial" w:hAnsi="Arial"/>
                <w:sz w:val="18"/>
                <w:szCs w:val="18"/>
                <w:b w:val="1"/>
                <w:bCs w:val="1"/>
                <w:color w:val="02568A"/>
              </w:rPr>
              <w:t>5,397,446</w:t>
            </w:r>
          </w:p>
        </w:tc>
        <w:tc>
          <w:tcPr>
            <w:tcW w:w="0" w:type="dxa"/>
            <w:vAlign w:val="bottom"/>
          </w:tcPr>
          <w:p>
            <w:pPr>
              <w:spacing w:after="0"/>
              <w:rPr>
                <w:sz w:val="1"/>
                <w:szCs w:val="1"/>
                <w:color w:val="auto"/>
              </w:rPr>
            </w:pPr>
          </w:p>
        </w:tc>
      </w:tr>
      <w:tr>
        <w:trPr>
          <w:trHeight w:val="195"/>
        </w:trPr>
        <w:tc>
          <w:tcPr>
            <w:tcW w:w="280" w:type="dxa"/>
            <w:vAlign w:val="bottom"/>
            <w:shd w:val="clear" w:color="auto" w:fill="CED8EA"/>
          </w:tcPr>
          <w:p>
            <w:pPr>
              <w:spacing w:after="0"/>
              <w:rPr>
                <w:sz w:val="16"/>
                <w:szCs w:val="16"/>
                <w:color w:val="auto"/>
              </w:rPr>
            </w:pPr>
          </w:p>
        </w:tc>
        <w:tc>
          <w:tcPr>
            <w:tcW w:w="1220" w:type="dxa"/>
            <w:vAlign w:val="bottom"/>
            <w:shd w:val="clear" w:color="auto" w:fill="CED8EA"/>
          </w:tcPr>
          <w:p>
            <w:pPr>
              <w:spacing w:after="0" w:line="195" w:lineRule="exact"/>
              <w:rPr>
                <w:sz w:val="20"/>
                <w:szCs w:val="20"/>
                <w:color w:val="auto"/>
              </w:rPr>
            </w:pPr>
            <w:r>
              <w:rPr>
                <w:rFonts w:ascii="Arial" w:cs="Arial" w:eastAsia="Arial" w:hAnsi="Arial"/>
                <w:sz w:val="18"/>
                <w:szCs w:val="18"/>
                <w:b w:val="1"/>
                <w:bCs w:val="1"/>
                <w:color w:val="02568A"/>
              </w:rPr>
              <w:t>Carlos S.</w:t>
            </w:r>
          </w:p>
        </w:tc>
        <w:tc>
          <w:tcPr>
            <w:tcW w:w="160" w:type="dxa"/>
            <w:vAlign w:val="bottom"/>
            <w:shd w:val="clear" w:color="auto" w:fill="CED8EA"/>
          </w:tcPr>
          <w:p>
            <w:pPr>
              <w:spacing w:after="0"/>
              <w:rPr>
                <w:sz w:val="16"/>
                <w:szCs w:val="16"/>
                <w:color w:val="auto"/>
              </w:rPr>
            </w:pPr>
          </w:p>
        </w:tc>
        <w:tc>
          <w:tcPr>
            <w:tcW w:w="2380" w:type="dxa"/>
            <w:vAlign w:val="bottom"/>
            <w:vMerge w:val="restart"/>
            <w:shd w:val="clear" w:color="auto" w:fill="CED8EA"/>
          </w:tcPr>
          <w:p>
            <w:pPr>
              <w:spacing w:after="0"/>
              <w:rPr>
                <w:sz w:val="20"/>
                <w:szCs w:val="20"/>
                <w:color w:val="auto"/>
              </w:rPr>
            </w:pPr>
            <w:r>
              <w:rPr>
                <w:rFonts w:ascii="Arial" w:cs="Arial" w:eastAsia="Arial" w:hAnsi="Arial"/>
                <w:sz w:val="18"/>
                <w:szCs w:val="18"/>
                <w:color w:val="02568A"/>
                <w:w w:val="91"/>
              </w:rPr>
              <w:t>Salary and Short-Term Incentive</w:t>
            </w:r>
          </w:p>
        </w:tc>
        <w:tc>
          <w:tcPr>
            <w:tcW w:w="1660" w:type="dxa"/>
            <w:vAlign w:val="bottom"/>
            <w:vMerge w:val="restart"/>
            <w:shd w:val="clear" w:color="auto" w:fill="CED8EA"/>
          </w:tcPr>
          <w:p>
            <w:pPr>
              <w:jc w:val="right"/>
              <w:ind w:right="12"/>
              <w:spacing w:after="0"/>
              <w:rPr>
                <w:sz w:val="20"/>
                <w:szCs w:val="20"/>
                <w:color w:val="auto"/>
              </w:rPr>
            </w:pPr>
            <w:r>
              <w:rPr>
                <w:rFonts w:ascii="Arial" w:cs="Arial" w:eastAsia="Arial" w:hAnsi="Arial"/>
                <w:sz w:val="18"/>
                <w:szCs w:val="18"/>
                <w:color w:val="02568A"/>
              </w:rPr>
              <w:t>431,000(5)</w:t>
            </w:r>
          </w:p>
        </w:tc>
        <w:tc>
          <w:tcPr>
            <w:tcW w:w="1760" w:type="dxa"/>
            <w:vAlign w:val="bottom"/>
            <w:vMerge w:val="restart"/>
            <w:shd w:val="clear" w:color="auto" w:fill="CED8EA"/>
          </w:tcPr>
          <w:p>
            <w:pPr>
              <w:jc w:val="right"/>
              <w:ind w:right="12"/>
              <w:spacing w:after="0"/>
              <w:rPr>
                <w:sz w:val="20"/>
                <w:szCs w:val="20"/>
                <w:color w:val="auto"/>
              </w:rPr>
            </w:pPr>
            <w:r>
              <w:rPr>
                <w:rFonts w:ascii="Arial" w:cs="Arial" w:eastAsia="Arial" w:hAnsi="Arial"/>
                <w:sz w:val="18"/>
                <w:szCs w:val="18"/>
                <w:color w:val="02568A"/>
              </w:rPr>
              <w:t>1,163,700(6)</w:t>
            </w:r>
          </w:p>
        </w:tc>
        <w:tc>
          <w:tcPr>
            <w:tcW w:w="1640" w:type="dxa"/>
            <w:vAlign w:val="bottom"/>
            <w:vMerge w:val="restart"/>
            <w:shd w:val="clear" w:color="auto" w:fill="CED8EA"/>
          </w:tcPr>
          <w:p>
            <w:pPr>
              <w:jc w:val="right"/>
              <w:ind w:right="192"/>
              <w:spacing w:after="0"/>
              <w:rPr>
                <w:sz w:val="20"/>
                <w:szCs w:val="20"/>
                <w:color w:val="auto"/>
              </w:rPr>
            </w:pPr>
            <w:r>
              <w:rPr>
                <w:rFonts w:ascii="Arial" w:cs="Arial" w:eastAsia="Arial" w:hAnsi="Arial"/>
                <w:sz w:val="18"/>
                <w:szCs w:val="18"/>
                <w:color w:val="02568A"/>
              </w:rPr>
              <w:t>—</w:t>
            </w:r>
          </w:p>
        </w:tc>
        <w:tc>
          <w:tcPr>
            <w:tcW w:w="0" w:type="dxa"/>
            <w:vAlign w:val="bottom"/>
          </w:tcPr>
          <w:p>
            <w:pPr>
              <w:spacing w:after="0"/>
              <w:rPr>
                <w:sz w:val="1"/>
                <w:szCs w:val="1"/>
                <w:color w:val="auto"/>
              </w:rPr>
            </w:pPr>
          </w:p>
        </w:tc>
      </w:tr>
      <w:tr>
        <w:trPr>
          <w:trHeight w:val="120"/>
        </w:trPr>
        <w:tc>
          <w:tcPr>
            <w:tcW w:w="280" w:type="dxa"/>
            <w:vAlign w:val="bottom"/>
            <w:shd w:val="clear" w:color="auto" w:fill="CED8EA"/>
          </w:tcPr>
          <w:p>
            <w:pPr>
              <w:spacing w:after="0"/>
              <w:rPr>
                <w:sz w:val="10"/>
                <w:szCs w:val="10"/>
                <w:color w:val="auto"/>
              </w:rPr>
            </w:pPr>
          </w:p>
        </w:tc>
        <w:tc>
          <w:tcPr>
            <w:tcW w:w="1220" w:type="dxa"/>
            <w:vAlign w:val="bottom"/>
            <w:vMerge w:val="restart"/>
            <w:shd w:val="clear" w:color="auto" w:fill="CED8EA"/>
          </w:tcPr>
          <w:p>
            <w:pPr>
              <w:spacing w:after="0"/>
              <w:rPr>
                <w:sz w:val="20"/>
                <w:szCs w:val="20"/>
                <w:color w:val="auto"/>
              </w:rPr>
            </w:pPr>
            <w:r>
              <w:rPr>
                <w:rFonts w:ascii="Arial" w:cs="Arial" w:eastAsia="Arial" w:hAnsi="Arial"/>
                <w:sz w:val="18"/>
                <w:szCs w:val="18"/>
                <w:b w:val="1"/>
                <w:bCs w:val="1"/>
                <w:color w:val="02568A"/>
              </w:rPr>
              <w:t>Bori(2)</w:t>
            </w:r>
          </w:p>
        </w:tc>
        <w:tc>
          <w:tcPr>
            <w:tcW w:w="160" w:type="dxa"/>
            <w:vAlign w:val="bottom"/>
            <w:shd w:val="clear" w:color="auto" w:fill="CED8EA"/>
          </w:tcPr>
          <w:p>
            <w:pPr>
              <w:spacing w:after="0"/>
              <w:rPr>
                <w:sz w:val="10"/>
                <w:szCs w:val="10"/>
                <w:color w:val="auto"/>
              </w:rPr>
            </w:pPr>
          </w:p>
        </w:tc>
        <w:tc>
          <w:tcPr>
            <w:tcW w:w="2380" w:type="dxa"/>
            <w:vAlign w:val="bottom"/>
            <w:vMerge w:val="continue"/>
            <w:shd w:val="clear" w:color="auto" w:fill="CED8EA"/>
          </w:tcPr>
          <w:p>
            <w:pPr>
              <w:spacing w:after="0"/>
              <w:rPr>
                <w:sz w:val="10"/>
                <w:szCs w:val="10"/>
                <w:color w:val="auto"/>
              </w:rPr>
            </w:pPr>
          </w:p>
        </w:tc>
        <w:tc>
          <w:tcPr>
            <w:tcW w:w="1660" w:type="dxa"/>
            <w:vAlign w:val="bottom"/>
            <w:vMerge w:val="continue"/>
            <w:shd w:val="clear" w:color="auto" w:fill="CED8EA"/>
          </w:tcPr>
          <w:p>
            <w:pPr>
              <w:spacing w:after="0"/>
              <w:rPr>
                <w:sz w:val="10"/>
                <w:szCs w:val="10"/>
                <w:color w:val="auto"/>
              </w:rPr>
            </w:pPr>
          </w:p>
        </w:tc>
        <w:tc>
          <w:tcPr>
            <w:tcW w:w="1760" w:type="dxa"/>
            <w:vAlign w:val="bottom"/>
            <w:vMerge w:val="continue"/>
            <w:shd w:val="clear" w:color="auto" w:fill="CED8EA"/>
          </w:tcPr>
          <w:p>
            <w:pPr>
              <w:spacing w:after="0"/>
              <w:rPr>
                <w:sz w:val="10"/>
                <w:szCs w:val="10"/>
                <w:color w:val="auto"/>
              </w:rPr>
            </w:pPr>
          </w:p>
        </w:tc>
        <w:tc>
          <w:tcPr>
            <w:tcW w:w="1640" w:type="dxa"/>
            <w:vAlign w:val="bottom"/>
            <w:vMerge w:val="continue"/>
            <w:shd w:val="clear" w:color="auto" w:fill="CED8EA"/>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shd w:val="clear" w:color="auto" w:fill="CED8EA"/>
          </w:tcPr>
          <w:p>
            <w:pPr>
              <w:spacing w:after="0"/>
              <w:rPr>
                <w:sz w:val="9"/>
                <w:szCs w:val="9"/>
                <w:color w:val="auto"/>
              </w:rPr>
            </w:pPr>
          </w:p>
        </w:tc>
        <w:tc>
          <w:tcPr>
            <w:tcW w:w="1220" w:type="dxa"/>
            <w:vAlign w:val="bottom"/>
            <w:vMerge w:val="continue"/>
            <w:shd w:val="clear" w:color="auto" w:fill="CED8EA"/>
          </w:tcPr>
          <w:p>
            <w:pPr>
              <w:spacing w:after="0"/>
              <w:rPr>
                <w:sz w:val="9"/>
                <w:szCs w:val="9"/>
                <w:color w:val="auto"/>
              </w:rPr>
            </w:pPr>
          </w:p>
        </w:tc>
        <w:tc>
          <w:tcPr>
            <w:tcW w:w="160" w:type="dxa"/>
            <w:vAlign w:val="bottom"/>
            <w:shd w:val="clear" w:color="auto" w:fill="CED8EA"/>
          </w:tcPr>
          <w:p>
            <w:pPr>
              <w:spacing w:after="0"/>
              <w:rPr>
                <w:sz w:val="9"/>
                <w:szCs w:val="9"/>
                <w:color w:val="auto"/>
              </w:rPr>
            </w:pPr>
          </w:p>
        </w:tc>
        <w:tc>
          <w:tcPr>
            <w:tcW w:w="2380" w:type="dxa"/>
            <w:vAlign w:val="bottom"/>
            <w:vMerge w:val="restart"/>
            <w:shd w:val="clear" w:color="auto" w:fill="CED8EA"/>
          </w:tcPr>
          <w:p>
            <w:pPr>
              <w:spacing w:after="0"/>
              <w:rPr>
                <w:sz w:val="20"/>
                <w:szCs w:val="20"/>
                <w:color w:val="auto"/>
              </w:rPr>
            </w:pPr>
            <w:r>
              <w:rPr>
                <w:rFonts w:ascii="Arial" w:cs="Arial" w:eastAsia="Arial" w:hAnsi="Arial"/>
                <w:sz w:val="18"/>
                <w:szCs w:val="18"/>
                <w:color w:val="02568A"/>
              </w:rPr>
              <w:t>Accelerated Options</w:t>
            </w:r>
          </w:p>
        </w:tc>
        <w:tc>
          <w:tcPr>
            <w:tcW w:w="1660" w:type="dxa"/>
            <w:vAlign w:val="bottom"/>
            <w:vMerge w:val="restart"/>
            <w:shd w:val="clear" w:color="auto" w:fill="CED8EA"/>
          </w:tcPr>
          <w:p>
            <w:pPr>
              <w:jc w:val="right"/>
              <w:ind w:right="12"/>
              <w:spacing w:after="0"/>
              <w:rPr>
                <w:sz w:val="20"/>
                <w:szCs w:val="20"/>
                <w:color w:val="auto"/>
              </w:rPr>
            </w:pPr>
            <w:r>
              <w:rPr>
                <w:rFonts w:ascii="Arial" w:cs="Arial" w:eastAsia="Arial" w:hAnsi="Arial"/>
                <w:sz w:val="18"/>
                <w:szCs w:val="18"/>
                <w:color w:val="02568A"/>
              </w:rPr>
              <w:t>—</w:t>
            </w:r>
          </w:p>
        </w:tc>
        <w:tc>
          <w:tcPr>
            <w:tcW w:w="1760" w:type="dxa"/>
            <w:vAlign w:val="bottom"/>
            <w:vMerge w:val="restart"/>
            <w:shd w:val="clear" w:color="auto" w:fill="CED8EA"/>
          </w:tcPr>
          <w:p>
            <w:pPr>
              <w:jc w:val="right"/>
              <w:ind w:right="12"/>
              <w:spacing w:after="0"/>
              <w:rPr>
                <w:sz w:val="20"/>
                <w:szCs w:val="20"/>
                <w:color w:val="auto"/>
              </w:rPr>
            </w:pPr>
            <w:r>
              <w:rPr>
                <w:rFonts w:ascii="Arial" w:cs="Arial" w:eastAsia="Arial" w:hAnsi="Arial"/>
                <w:sz w:val="18"/>
                <w:szCs w:val="18"/>
                <w:color w:val="02568A"/>
              </w:rPr>
              <w:t>—</w:t>
            </w:r>
          </w:p>
        </w:tc>
        <w:tc>
          <w:tcPr>
            <w:tcW w:w="1640" w:type="dxa"/>
            <w:vAlign w:val="bottom"/>
            <w:vMerge w:val="restart"/>
            <w:shd w:val="clear" w:color="auto" w:fill="CED8EA"/>
          </w:tcPr>
          <w:p>
            <w:pPr>
              <w:jc w:val="right"/>
              <w:ind w:right="192"/>
              <w:spacing w:after="0"/>
              <w:rPr>
                <w:sz w:val="20"/>
                <w:szCs w:val="20"/>
                <w:color w:val="auto"/>
              </w:rPr>
            </w:pPr>
            <w:r>
              <w:rPr>
                <w:rFonts w:ascii="Arial" w:cs="Arial" w:eastAsia="Arial" w:hAnsi="Arial"/>
                <w:sz w:val="18"/>
                <w:szCs w:val="18"/>
                <w:color w:val="02568A"/>
              </w:rPr>
              <w:t>—</w:t>
            </w:r>
          </w:p>
        </w:tc>
        <w:tc>
          <w:tcPr>
            <w:tcW w:w="0" w:type="dxa"/>
            <w:vAlign w:val="bottom"/>
          </w:tcPr>
          <w:p>
            <w:pPr>
              <w:spacing w:after="0"/>
              <w:rPr>
                <w:sz w:val="1"/>
                <w:szCs w:val="1"/>
                <w:color w:val="auto"/>
              </w:rPr>
            </w:pPr>
          </w:p>
        </w:tc>
      </w:tr>
      <w:tr>
        <w:trPr>
          <w:trHeight w:val="216"/>
        </w:trPr>
        <w:tc>
          <w:tcPr>
            <w:tcW w:w="280" w:type="dxa"/>
            <w:vAlign w:val="bottom"/>
            <w:shd w:val="clear" w:color="auto" w:fill="CED8EA"/>
          </w:tcPr>
          <w:p>
            <w:pPr>
              <w:spacing w:after="0"/>
              <w:rPr>
                <w:sz w:val="18"/>
                <w:szCs w:val="18"/>
                <w:color w:val="auto"/>
              </w:rPr>
            </w:pPr>
          </w:p>
        </w:tc>
        <w:tc>
          <w:tcPr>
            <w:tcW w:w="122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2380" w:type="dxa"/>
            <w:vAlign w:val="bottom"/>
            <w:vMerge w:val="continue"/>
            <w:shd w:val="clear" w:color="auto" w:fill="CED8EA"/>
          </w:tcPr>
          <w:p>
            <w:pPr>
              <w:spacing w:after="0"/>
              <w:rPr>
                <w:sz w:val="18"/>
                <w:szCs w:val="18"/>
                <w:color w:val="auto"/>
              </w:rPr>
            </w:pPr>
          </w:p>
        </w:tc>
        <w:tc>
          <w:tcPr>
            <w:tcW w:w="1660" w:type="dxa"/>
            <w:vAlign w:val="bottom"/>
            <w:vMerge w:val="continue"/>
            <w:shd w:val="clear" w:color="auto" w:fill="CED8EA"/>
          </w:tcPr>
          <w:p>
            <w:pPr>
              <w:spacing w:after="0"/>
              <w:rPr>
                <w:sz w:val="18"/>
                <w:szCs w:val="18"/>
                <w:color w:val="auto"/>
              </w:rPr>
            </w:pPr>
          </w:p>
        </w:tc>
        <w:tc>
          <w:tcPr>
            <w:tcW w:w="1760" w:type="dxa"/>
            <w:vAlign w:val="bottom"/>
            <w:vMerge w:val="continue"/>
            <w:shd w:val="clear" w:color="auto" w:fill="CED8EA"/>
          </w:tcPr>
          <w:p>
            <w:pPr>
              <w:spacing w:after="0"/>
              <w:rPr>
                <w:sz w:val="18"/>
                <w:szCs w:val="18"/>
                <w:color w:val="auto"/>
              </w:rPr>
            </w:pPr>
          </w:p>
        </w:tc>
        <w:tc>
          <w:tcPr>
            <w:tcW w:w="1640" w:type="dxa"/>
            <w:vAlign w:val="bottom"/>
            <w:vMerge w:val="continue"/>
            <w:shd w:val="clear" w:color="auto" w:fill="CED8EA"/>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0" w:type="dxa"/>
            <w:vAlign w:val="bottom"/>
            <w:shd w:val="clear" w:color="auto" w:fill="CED8EA"/>
          </w:tcPr>
          <w:p>
            <w:pPr>
              <w:spacing w:after="0"/>
              <w:rPr>
                <w:sz w:val="18"/>
                <w:szCs w:val="18"/>
                <w:color w:val="auto"/>
              </w:rPr>
            </w:pPr>
          </w:p>
        </w:tc>
        <w:tc>
          <w:tcPr>
            <w:tcW w:w="122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2380" w:type="dxa"/>
            <w:vAlign w:val="bottom"/>
            <w:shd w:val="clear" w:color="auto" w:fill="CED8EA"/>
          </w:tcPr>
          <w:p>
            <w:pPr>
              <w:spacing w:after="0"/>
              <w:rPr>
                <w:sz w:val="20"/>
                <w:szCs w:val="20"/>
                <w:color w:val="auto"/>
              </w:rPr>
            </w:pPr>
            <w:r>
              <w:rPr>
                <w:rFonts w:ascii="Arial" w:cs="Arial" w:eastAsia="Arial" w:hAnsi="Arial"/>
                <w:sz w:val="18"/>
                <w:szCs w:val="18"/>
                <w:color w:val="02568A"/>
              </w:rPr>
              <w:t>Accelerated RSUs</w:t>
            </w:r>
          </w:p>
        </w:tc>
        <w:tc>
          <w:tcPr>
            <w:tcW w:w="1660" w:type="dxa"/>
            <w:vAlign w:val="bottom"/>
            <w:shd w:val="clear" w:color="auto" w:fill="CED8EA"/>
          </w:tcPr>
          <w:p>
            <w:pPr>
              <w:jc w:val="right"/>
              <w:ind w:right="12"/>
              <w:spacing w:after="0"/>
              <w:rPr>
                <w:sz w:val="20"/>
                <w:szCs w:val="20"/>
                <w:color w:val="auto"/>
              </w:rPr>
            </w:pPr>
            <w:r>
              <w:rPr>
                <w:rFonts w:ascii="Arial" w:cs="Arial" w:eastAsia="Arial" w:hAnsi="Arial"/>
                <w:sz w:val="18"/>
                <w:szCs w:val="18"/>
                <w:color w:val="02568A"/>
              </w:rPr>
              <w:t>—</w:t>
            </w:r>
          </w:p>
        </w:tc>
        <w:tc>
          <w:tcPr>
            <w:tcW w:w="1760" w:type="dxa"/>
            <w:vAlign w:val="bottom"/>
            <w:shd w:val="clear" w:color="auto" w:fill="CED8EA"/>
          </w:tcPr>
          <w:p>
            <w:pPr>
              <w:jc w:val="right"/>
              <w:ind w:right="12"/>
              <w:spacing w:after="0"/>
              <w:rPr>
                <w:sz w:val="20"/>
                <w:szCs w:val="20"/>
                <w:color w:val="auto"/>
              </w:rPr>
            </w:pPr>
            <w:r>
              <w:rPr>
                <w:rFonts w:ascii="Arial" w:cs="Arial" w:eastAsia="Arial" w:hAnsi="Arial"/>
                <w:sz w:val="18"/>
                <w:szCs w:val="18"/>
                <w:color w:val="02568A"/>
              </w:rPr>
              <w:t>1,653,597</w:t>
            </w:r>
          </w:p>
        </w:tc>
        <w:tc>
          <w:tcPr>
            <w:tcW w:w="1640" w:type="dxa"/>
            <w:vAlign w:val="bottom"/>
            <w:shd w:val="clear" w:color="auto" w:fill="CED8EA"/>
          </w:tcPr>
          <w:p>
            <w:pPr>
              <w:jc w:val="right"/>
              <w:ind w:right="192"/>
              <w:spacing w:after="0"/>
              <w:rPr>
                <w:sz w:val="20"/>
                <w:szCs w:val="20"/>
                <w:color w:val="auto"/>
              </w:rPr>
            </w:pPr>
            <w:r>
              <w:rPr>
                <w:rFonts w:ascii="Arial" w:cs="Arial" w:eastAsia="Arial" w:hAnsi="Arial"/>
                <w:sz w:val="18"/>
                <w:szCs w:val="18"/>
                <w:color w:val="02568A"/>
              </w:rPr>
              <w:t>1,653,597</w:t>
            </w:r>
          </w:p>
        </w:tc>
        <w:tc>
          <w:tcPr>
            <w:tcW w:w="0" w:type="dxa"/>
            <w:vAlign w:val="bottom"/>
          </w:tcPr>
          <w:p>
            <w:pPr>
              <w:spacing w:after="0"/>
              <w:rPr>
                <w:sz w:val="1"/>
                <w:szCs w:val="1"/>
                <w:color w:val="auto"/>
              </w:rPr>
            </w:pPr>
          </w:p>
        </w:tc>
      </w:tr>
      <w:tr>
        <w:trPr>
          <w:trHeight w:val="216"/>
        </w:trPr>
        <w:tc>
          <w:tcPr>
            <w:tcW w:w="280" w:type="dxa"/>
            <w:vAlign w:val="bottom"/>
            <w:shd w:val="clear" w:color="auto" w:fill="CED8EA"/>
          </w:tcPr>
          <w:p>
            <w:pPr>
              <w:spacing w:after="0"/>
              <w:rPr>
                <w:sz w:val="18"/>
                <w:szCs w:val="18"/>
                <w:color w:val="auto"/>
              </w:rPr>
            </w:pPr>
          </w:p>
        </w:tc>
        <w:tc>
          <w:tcPr>
            <w:tcW w:w="122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2380" w:type="dxa"/>
            <w:vAlign w:val="bottom"/>
            <w:shd w:val="clear" w:color="auto" w:fill="CED8EA"/>
          </w:tcPr>
          <w:p>
            <w:pPr>
              <w:spacing w:after="0"/>
              <w:rPr>
                <w:sz w:val="20"/>
                <w:szCs w:val="20"/>
                <w:color w:val="auto"/>
              </w:rPr>
            </w:pPr>
            <w:r>
              <w:rPr>
                <w:rFonts w:ascii="Arial" w:cs="Arial" w:eastAsia="Arial" w:hAnsi="Arial"/>
                <w:sz w:val="18"/>
                <w:szCs w:val="18"/>
                <w:color w:val="02568A"/>
              </w:rPr>
              <w:t>Accelerated PSAs</w:t>
            </w:r>
          </w:p>
        </w:tc>
        <w:tc>
          <w:tcPr>
            <w:tcW w:w="1660" w:type="dxa"/>
            <w:vAlign w:val="bottom"/>
            <w:shd w:val="clear" w:color="auto" w:fill="CED8EA"/>
          </w:tcPr>
          <w:p>
            <w:pPr>
              <w:jc w:val="right"/>
              <w:ind w:right="12"/>
              <w:spacing w:after="0"/>
              <w:rPr>
                <w:sz w:val="20"/>
                <w:szCs w:val="20"/>
                <w:color w:val="auto"/>
              </w:rPr>
            </w:pPr>
            <w:r>
              <w:rPr>
                <w:rFonts w:ascii="Arial" w:cs="Arial" w:eastAsia="Arial" w:hAnsi="Arial"/>
                <w:sz w:val="18"/>
                <w:szCs w:val="18"/>
                <w:color w:val="02568A"/>
              </w:rPr>
              <w:t>—</w:t>
            </w:r>
          </w:p>
        </w:tc>
        <w:tc>
          <w:tcPr>
            <w:tcW w:w="1760" w:type="dxa"/>
            <w:vAlign w:val="bottom"/>
            <w:shd w:val="clear" w:color="auto" w:fill="CED8EA"/>
          </w:tcPr>
          <w:p>
            <w:pPr>
              <w:jc w:val="right"/>
              <w:ind w:right="12"/>
              <w:spacing w:after="0"/>
              <w:rPr>
                <w:sz w:val="20"/>
                <w:szCs w:val="20"/>
                <w:color w:val="auto"/>
              </w:rPr>
            </w:pPr>
            <w:r>
              <w:rPr>
                <w:rFonts w:ascii="Arial" w:cs="Arial" w:eastAsia="Arial" w:hAnsi="Arial"/>
                <w:sz w:val="18"/>
                <w:szCs w:val="18"/>
                <w:color w:val="02568A"/>
              </w:rPr>
              <w:t>3,108,561</w:t>
            </w:r>
          </w:p>
        </w:tc>
        <w:tc>
          <w:tcPr>
            <w:tcW w:w="1640" w:type="dxa"/>
            <w:vAlign w:val="bottom"/>
            <w:shd w:val="clear" w:color="auto" w:fill="CED8EA"/>
          </w:tcPr>
          <w:p>
            <w:pPr>
              <w:jc w:val="right"/>
              <w:ind w:right="192"/>
              <w:spacing w:after="0"/>
              <w:rPr>
                <w:sz w:val="20"/>
                <w:szCs w:val="20"/>
                <w:color w:val="auto"/>
              </w:rPr>
            </w:pPr>
            <w:r>
              <w:rPr>
                <w:rFonts w:ascii="Arial" w:cs="Arial" w:eastAsia="Arial" w:hAnsi="Arial"/>
                <w:sz w:val="18"/>
                <w:szCs w:val="18"/>
                <w:color w:val="02568A"/>
              </w:rPr>
              <w:t>3,108,561</w:t>
            </w:r>
          </w:p>
        </w:tc>
        <w:tc>
          <w:tcPr>
            <w:tcW w:w="0" w:type="dxa"/>
            <w:vAlign w:val="bottom"/>
          </w:tcPr>
          <w:p>
            <w:pPr>
              <w:spacing w:after="0"/>
              <w:rPr>
                <w:sz w:val="1"/>
                <w:szCs w:val="1"/>
                <w:color w:val="auto"/>
              </w:rPr>
            </w:pPr>
          </w:p>
        </w:tc>
      </w:tr>
      <w:tr>
        <w:trPr>
          <w:trHeight w:val="216"/>
        </w:trPr>
        <w:tc>
          <w:tcPr>
            <w:tcW w:w="280" w:type="dxa"/>
            <w:vAlign w:val="bottom"/>
            <w:tcBorders>
              <w:bottom w:val="single" w:sz="8" w:color="CED8EA"/>
            </w:tcBorders>
            <w:shd w:val="clear" w:color="auto" w:fill="CED8EA"/>
          </w:tcPr>
          <w:p>
            <w:pPr>
              <w:spacing w:after="0"/>
              <w:rPr>
                <w:sz w:val="18"/>
                <w:szCs w:val="18"/>
                <w:color w:val="auto"/>
              </w:rPr>
            </w:pPr>
          </w:p>
        </w:tc>
        <w:tc>
          <w:tcPr>
            <w:tcW w:w="1220" w:type="dxa"/>
            <w:vAlign w:val="bottom"/>
            <w:tcBorders>
              <w:bottom w:val="single" w:sz="8" w:color="CED8EA"/>
            </w:tcBorders>
            <w:shd w:val="clear" w:color="auto" w:fill="CED8EA"/>
          </w:tcPr>
          <w:p>
            <w:pPr>
              <w:spacing w:after="0"/>
              <w:rPr>
                <w:sz w:val="18"/>
                <w:szCs w:val="18"/>
                <w:color w:val="auto"/>
              </w:rPr>
            </w:pPr>
          </w:p>
        </w:tc>
        <w:tc>
          <w:tcPr>
            <w:tcW w:w="160" w:type="dxa"/>
            <w:vAlign w:val="bottom"/>
            <w:tcBorders>
              <w:bottom w:val="single" w:sz="8" w:color="CED8EA"/>
            </w:tcBorders>
            <w:shd w:val="clear" w:color="auto" w:fill="CED8EA"/>
          </w:tcPr>
          <w:p>
            <w:pPr>
              <w:spacing w:after="0"/>
              <w:rPr>
                <w:sz w:val="18"/>
                <w:szCs w:val="18"/>
                <w:color w:val="auto"/>
              </w:rPr>
            </w:pPr>
          </w:p>
        </w:tc>
        <w:tc>
          <w:tcPr>
            <w:tcW w:w="2380" w:type="dxa"/>
            <w:vAlign w:val="bottom"/>
            <w:tcBorders>
              <w:bottom w:val="single" w:sz="8" w:color="02568A"/>
            </w:tcBorders>
            <w:shd w:val="clear" w:color="auto" w:fill="CED8EA"/>
          </w:tcPr>
          <w:p>
            <w:pPr>
              <w:spacing w:after="0"/>
              <w:rPr>
                <w:sz w:val="20"/>
                <w:szCs w:val="20"/>
                <w:color w:val="auto"/>
              </w:rPr>
            </w:pPr>
            <w:r>
              <w:rPr>
                <w:rFonts w:ascii="Arial" w:cs="Arial" w:eastAsia="Arial" w:hAnsi="Arial"/>
                <w:sz w:val="18"/>
                <w:szCs w:val="18"/>
                <w:color w:val="02568A"/>
              </w:rPr>
              <w:t>Medical</w:t>
            </w:r>
          </w:p>
        </w:tc>
        <w:tc>
          <w:tcPr>
            <w:tcW w:w="1660" w:type="dxa"/>
            <w:vAlign w:val="bottom"/>
            <w:tcBorders>
              <w:bottom w:val="single" w:sz="8" w:color="02568A"/>
            </w:tcBorders>
            <w:shd w:val="clear" w:color="auto" w:fill="CED8EA"/>
          </w:tcPr>
          <w:p>
            <w:pPr>
              <w:jc w:val="right"/>
              <w:ind w:right="12"/>
              <w:spacing w:after="0"/>
              <w:rPr>
                <w:sz w:val="20"/>
                <w:szCs w:val="20"/>
                <w:color w:val="auto"/>
              </w:rPr>
            </w:pPr>
            <w:r>
              <w:rPr>
                <w:rFonts w:ascii="Arial" w:cs="Arial" w:eastAsia="Arial" w:hAnsi="Arial"/>
                <w:sz w:val="18"/>
                <w:szCs w:val="18"/>
                <w:color w:val="02568A"/>
              </w:rPr>
              <w:t>18,853</w:t>
            </w:r>
          </w:p>
        </w:tc>
        <w:tc>
          <w:tcPr>
            <w:tcW w:w="1760" w:type="dxa"/>
            <w:vAlign w:val="bottom"/>
            <w:tcBorders>
              <w:bottom w:val="single" w:sz="8" w:color="02568A"/>
            </w:tcBorders>
            <w:shd w:val="clear" w:color="auto" w:fill="CED8EA"/>
          </w:tcPr>
          <w:p>
            <w:pPr>
              <w:jc w:val="right"/>
              <w:ind w:right="12"/>
              <w:spacing w:after="0"/>
              <w:rPr>
                <w:sz w:val="20"/>
                <w:szCs w:val="20"/>
                <w:color w:val="auto"/>
              </w:rPr>
            </w:pPr>
            <w:r>
              <w:rPr>
                <w:rFonts w:ascii="Arial" w:cs="Arial" w:eastAsia="Arial" w:hAnsi="Arial"/>
                <w:sz w:val="18"/>
                <w:szCs w:val="18"/>
                <w:color w:val="02568A"/>
              </w:rPr>
              <w:t>28,280</w:t>
            </w:r>
          </w:p>
        </w:tc>
        <w:tc>
          <w:tcPr>
            <w:tcW w:w="1640" w:type="dxa"/>
            <w:vAlign w:val="bottom"/>
            <w:tcBorders>
              <w:bottom w:val="single" w:sz="8" w:color="02568A"/>
            </w:tcBorders>
            <w:shd w:val="clear" w:color="auto" w:fill="CED8EA"/>
          </w:tcPr>
          <w:p>
            <w:pPr>
              <w:jc w:val="right"/>
              <w:ind w:right="192"/>
              <w:spacing w:after="0"/>
              <w:rPr>
                <w:sz w:val="20"/>
                <w:szCs w:val="20"/>
                <w:color w:val="auto"/>
              </w:rPr>
            </w:pPr>
            <w:r>
              <w:rPr>
                <w:rFonts w:ascii="Arial" w:cs="Arial" w:eastAsia="Arial" w:hAnsi="Arial"/>
                <w:sz w:val="18"/>
                <w:szCs w:val="18"/>
                <w:color w:val="02568A"/>
              </w:rPr>
              <w:t>—</w:t>
            </w:r>
          </w:p>
        </w:tc>
        <w:tc>
          <w:tcPr>
            <w:tcW w:w="0" w:type="dxa"/>
            <w:vAlign w:val="bottom"/>
          </w:tcPr>
          <w:p>
            <w:pPr>
              <w:spacing w:after="0"/>
              <w:rPr>
                <w:sz w:val="1"/>
                <w:szCs w:val="1"/>
                <w:color w:val="auto"/>
              </w:rPr>
            </w:pPr>
          </w:p>
        </w:tc>
      </w:tr>
      <w:tr>
        <w:trPr>
          <w:trHeight w:val="209"/>
        </w:trPr>
        <w:tc>
          <w:tcPr>
            <w:tcW w:w="280" w:type="dxa"/>
            <w:vAlign w:val="bottom"/>
            <w:tcBorders>
              <w:bottom w:val="single" w:sz="8" w:color="02568A"/>
            </w:tcBorders>
            <w:shd w:val="clear" w:color="auto" w:fill="CED8EA"/>
          </w:tcPr>
          <w:p>
            <w:pPr>
              <w:spacing w:after="0"/>
              <w:rPr>
                <w:sz w:val="18"/>
                <w:szCs w:val="18"/>
                <w:color w:val="auto"/>
              </w:rPr>
            </w:pPr>
          </w:p>
        </w:tc>
        <w:tc>
          <w:tcPr>
            <w:tcW w:w="1220" w:type="dxa"/>
            <w:vAlign w:val="bottom"/>
            <w:tcBorders>
              <w:bottom w:val="single" w:sz="8" w:color="02568A"/>
            </w:tcBorders>
            <w:shd w:val="clear" w:color="auto" w:fill="CED8EA"/>
          </w:tcPr>
          <w:p>
            <w:pPr>
              <w:spacing w:after="0"/>
              <w:rPr>
                <w:sz w:val="18"/>
                <w:szCs w:val="18"/>
                <w:color w:val="auto"/>
              </w:rPr>
            </w:pPr>
          </w:p>
        </w:tc>
        <w:tc>
          <w:tcPr>
            <w:tcW w:w="160" w:type="dxa"/>
            <w:vAlign w:val="bottom"/>
            <w:tcBorders>
              <w:bottom w:val="single" w:sz="8" w:color="02568A"/>
            </w:tcBorders>
            <w:shd w:val="clear" w:color="auto" w:fill="CED8EA"/>
          </w:tcPr>
          <w:p>
            <w:pPr>
              <w:spacing w:after="0"/>
              <w:rPr>
                <w:sz w:val="18"/>
                <w:szCs w:val="18"/>
                <w:color w:val="auto"/>
              </w:rPr>
            </w:pPr>
          </w:p>
        </w:tc>
        <w:tc>
          <w:tcPr>
            <w:tcW w:w="2380" w:type="dxa"/>
            <w:vAlign w:val="bottom"/>
            <w:tcBorders>
              <w:bottom w:val="single" w:sz="8" w:color="02568A"/>
            </w:tcBorders>
            <w:shd w:val="clear" w:color="auto" w:fill="CED8EA"/>
          </w:tcPr>
          <w:p>
            <w:pPr>
              <w:spacing w:after="0"/>
              <w:rPr>
                <w:sz w:val="20"/>
                <w:szCs w:val="20"/>
                <w:color w:val="auto"/>
              </w:rPr>
            </w:pPr>
            <w:r>
              <w:rPr>
                <w:rFonts w:ascii="Arial" w:cs="Arial" w:eastAsia="Arial" w:hAnsi="Arial"/>
                <w:sz w:val="18"/>
                <w:szCs w:val="18"/>
                <w:b w:val="1"/>
                <w:bCs w:val="1"/>
                <w:color w:val="02568A"/>
              </w:rPr>
              <w:t>TOTAL</w:t>
            </w:r>
          </w:p>
        </w:tc>
        <w:tc>
          <w:tcPr>
            <w:tcW w:w="1660" w:type="dxa"/>
            <w:vAlign w:val="bottom"/>
            <w:tcBorders>
              <w:bottom w:val="single" w:sz="8" w:color="02568A"/>
            </w:tcBorders>
            <w:shd w:val="clear" w:color="auto" w:fill="CED8EA"/>
          </w:tcPr>
          <w:p>
            <w:pPr>
              <w:jc w:val="right"/>
              <w:ind w:right="12"/>
              <w:spacing w:after="0"/>
              <w:rPr>
                <w:sz w:val="20"/>
                <w:szCs w:val="20"/>
                <w:color w:val="auto"/>
              </w:rPr>
            </w:pPr>
            <w:r>
              <w:rPr>
                <w:rFonts w:ascii="Arial" w:cs="Arial" w:eastAsia="Arial" w:hAnsi="Arial"/>
                <w:sz w:val="18"/>
                <w:szCs w:val="18"/>
                <w:b w:val="1"/>
                <w:bCs w:val="1"/>
                <w:color w:val="02568A"/>
              </w:rPr>
              <w:t>449,853</w:t>
            </w:r>
          </w:p>
        </w:tc>
        <w:tc>
          <w:tcPr>
            <w:tcW w:w="1760" w:type="dxa"/>
            <w:vAlign w:val="bottom"/>
            <w:tcBorders>
              <w:bottom w:val="single" w:sz="8" w:color="02568A"/>
            </w:tcBorders>
            <w:shd w:val="clear" w:color="auto" w:fill="CED8EA"/>
          </w:tcPr>
          <w:p>
            <w:pPr>
              <w:jc w:val="right"/>
              <w:ind w:right="12"/>
              <w:spacing w:after="0"/>
              <w:rPr>
                <w:sz w:val="20"/>
                <w:szCs w:val="20"/>
                <w:color w:val="auto"/>
              </w:rPr>
            </w:pPr>
            <w:r>
              <w:rPr>
                <w:rFonts w:ascii="Arial" w:cs="Arial" w:eastAsia="Arial" w:hAnsi="Arial"/>
                <w:sz w:val="18"/>
                <w:szCs w:val="18"/>
                <w:b w:val="1"/>
                <w:bCs w:val="1"/>
                <w:color w:val="02568A"/>
              </w:rPr>
              <w:t>5,954,138</w:t>
            </w:r>
          </w:p>
        </w:tc>
        <w:tc>
          <w:tcPr>
            <w:tcW w:w="1640" w:type="dxa"/>
            <w:vAlign w:val="bottom"/>
            <w:tcBorders>
              <w:bottom w:val="single" w:sz="8" w:color="02568A"/>
            </w:tcBorders>
            <w:shd w:val="clear" w:color="auto" w:fill="CED8EA"/>
          </w:tcPr>
          <w:p>
            <w:pPr>
              <w:jc w:val="right"/>
              <w:ind w:right="192"/>
              <w:spacing w:after="0"/>
              <w:rPr>
                <w:sz w:val="20"/>
                <w:szCs w:val="20"/>
                <w:color w:val="auto"/>
              </w:rPr>
            </w:pPr>
            <w:r>
              <w:rPr>
                <w:rFonts w:ascii="Arial" w:cs="Arial" w:eastAsia="Arial" w:hAnsi="Arial"/>
                <w:sz w:val="18"/>
                <w:szCs w:val="18"/>
                <w:b w:val="1"/>
                <w:bCs w:val="1"/>
                <w:color w:val="02568A"/>
              </w:rPr>
              <w:t>4,762,158</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1220" w:type="dxa"/>
            <w:vAlign w:val="bottom"/>
          </w:tcPr>
          <w:p>
            <w:pPr>
              <w:spacing w:after="0" w:line="195" w:lineRule="exact"/>
              <w:rPr>
                <w:sz w:val="20"/>
                <w:szCs w:val="20"/>
                <w:color w:val="auto"/>
              </w:rPr>
            </w:pPr>
            <w:r>
              <w:rPr>
                <w:rFonts w:ascii="Arial" w:cs="Arial" w:eastAsia="Arial" w:hAnsi="Arial"/>
                <w:sz w:val="18"/>
                <w:szCs w:val="18"/>
                <w:b w:val="1"/>
                <w:bCs w:val="1"/>
                <w:color w:val="02568A"/>
              </w:rPr>
              <w:t>Robert J.</w:t>
            </w:r>
          </w:p>
        </w:tc>
        <w:tc>
          <w:tcPr>
            <w:tcW w:w="160" w:type="dxa"/>
            <w:vAlign w:val="bottom"/>
          </w:tcPr>
          <w:p>
            <w:pPr>
              <w:spacing w:after="0"/>
              <w:rPr>
                <w:sz w:val="16"/>
                <w:szCs w:val="16"/>
                <w:color w:val="auto"/>
              </w:rPr>
            </w:pPr>
          </w:p>
        </w:tc>
        <w:tc>
          <w:tcPr>
            <w:tcW w:w="2380" w:type="dxa"/>
            <w:vAlign w:val="bottom"/>
            <w:vMerge w:val="restart"/>
          </w:tcPr>
          <w:p>
            <w:pPr>
              <w:spacing w:after="0"/>
              <w:rPr>
                <w:sz w:val="20"/>
                <w:szCs w:val="20"/>
                <w:color w:val="auto"/>
              </w:rPr>
            </w:pPr>
            <w:r>
              <w:rPr>
                <w:rFonts w:ascii="Arial" w:cs="Arial" w:eastAsia="Arial" w:hAnsi="Arial"/>
                <w:sz w:val="18"/>
                <w:szCs w:val="18"/>
                <w:color w:val="02568A"/>
                <w:w w:val="91"/>
              </w:rPr>
              <w:t>Salary and Short-Term Incentive</w:t>
            </w:r>
          </w:p>
        </w:tc>
        <w:tc>
          <w:tcPr>
            <w:tcW w:w="1660" w:type="dxa"/>
            <w:vAlign w:val="bottom"/>
            <w:vMerge w:val="restart"/>
          </w:tcPr>
          <w:p>
            <w:pPr>
              <w:jc w:val="right"/>
              <w:ind w:right="12"/>
              <w:spacing w:after="0"/>
              <w:rPr>
                <w:sz w:val="20"/>
                <w:szCs w:val="20"/>
                <w:color w:val="auto"/>
              </w:rPr>
            </w:pPr>
            <w:r>
              <w:rPr>
                <w:rFonts w:ascii="Arial" w:cs="Arial" w:eastAsia="Arial" w:hAnsi="Arial"/>
                <w:sz w:val="18"/>
                <w:szCs w:val="18"/>
                <w:color w:val="02568A"/>
              </w:rPr>
              <w:t>446,000(5)</w:t>
            </w:r>
          </w:p>
        </w:tc>
        <w:tc>
          <w:tcPr>
            <w:tcW w:w="1760" w:type="dxa"/>
            <w:vAlign w:val="bottom"/>
            <w:vMerge w:val="restart"/>
          </w:tcPr>
          <w:p>
            <w:pPr>
              <w:jc w:val="right"/>
              <w:ind w:right="12"/>
              <w:spacing w:after="0"/>
              <w:rPr>
                <w:sz w:val="20"/>
                <w:szCs w:val="20"/>
                <w:color w:val="auto"/>
              </w:rPr>
            </w:pPr>
            <w:r>
              <w:rPr>
                <w:rFonts w:ascii="Arial" w:cs="Arial" w:eastAsia="Arial" w:hAnsi="Arial"/>
                <w:sz w:val="18"/>
                <w:szCs w:val="18"/>
                <w:color w:val="02568A"/>
              </w:rPr>
              <w:t>1,204,200(6)</w:t>
            </w:r>
          </w:p>
        </w:tc>
        <w:tc>
          <w:tcPr>
            <w:tcW w:w="1640" w:type="dxa"/>
            <w:vAlign w:val="bottom"/>
            <w:vMerge w:val="restart"/>
          </w:tcPr>
          <w:p>
            <w:pPr>
              <w:jc w:val="right"/>
              <w:ind w:right="192"/>
              <w:spacing w:after="0"/>
              <w:rPr>
                <w:sz w:val="20"/>
                <w:szCs w:val="20"/>
                <w:color w:val="auto"/>
              </w:rPr>
            </w:pPr>
            <w:r>
              <w:rPr>
                <w:rFonts w:ascii="Arial" w:cs="Arial" w:eastAsia="Arial" w:hAnsi="Arial"/>
                <w:sz w:val="18"/>
                <w:szCs w:val="18"/>
                <w:color w:val="02568A"/>
              </w:rPr>
              <w:t>—</w:t>
            </w: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220" w:type="dxa"/>
            <w:vAlign w:val="bottom"/>
            <w:vMerge w:val="restart"/>
          </w:tcPr>
          <w:p>
            <w:pPr>
              <w:spacing w:after="0"/>
              <w:rPr>
                <w:sz w:val="20"/>
                <w:szCs w:val="20"/>
                <w:color w:val="auto"/>
              </w:rPr>
            </w:pPr>
            <w:r>
              <w:rPr>
                <w:rFonts w:ascii="Arial" w:cs="Arial" w:eastAsia="Arial" w:hAnsi="Arial"/>
                <w:sz w:val="18"/>
                <w:szCs w:val="18"/>
                <w:b w:val="1"/>
                <w:bCs w:val="1"/>
                <w:color w:val="02568A"/>
              </w:rPr>
              <w:t>Terry(2)</w:t>
            </w:r>
          </w:p>
        </w:tc>
        <w:tc>
          <w:tcPr>
            <w:tcW w:w="16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380" w:type="dxa"/>
            <w:vAlign w:val="bottom"/>
            <w:vMerge w:val="restart"/>
          </w:tcPr>
          <w:p>
            <w:pPr>
              <w:spacing w:after="0"/>
              <w:rPr>
                <w:sz w:val="20"/>
                <w:szCs w:val="20"/>
                <w:color w:val="auto"/>
              </w:rPr>
            </w:pPr>
            <w:r>
              <w:rPr>
                <w:rFonts w:ascii="Arial" w:cs="Arial" w:eastAsia="Arial" w:hAnsi="Arial"/>
                <w:sz w:val="18"/>
                <w:szCs w:val="18"/>
                <w:color w:val="02568A"/>
              </w:rPr>
              <w:t>Accelerated Options</w:t>
            </w:r>
          </w:p>
        </w:tc>
        <w:tc>
          <w:tcPr>
            <w:tcW w:w="1660" w:type="dxa"/>
            <w:vAlign w:val="bottom"/>
            <w:vMerge w:val="restart"/>
          </w:tcPr>
          <w:p>
            <w:pPr>
              <w:jc w:val="right"/>
              <w:ind w:right="12"/>
              <w:spacing w:after="0"/>
              <w:rPr>
                <w:sz w:val="20"/>
                <w:szCs w:val="20"/>
                <w:color w:val="auto"/>
              </w:rPr>
            </w:pPr>
            <w:r>
              <w:rPr>
                <w:rFonts w:ascii="Arial" w:cs="Arial" w:eastAsia="Arial" w:hAnsi="Arial"/>
                <w:sz w:val="18"/>
                <w:szCs w:val="18"/>
                <w:color w:val="02568A"/>
              </w:rPr>
              <w:t>—</w:t>
            </w:r>
          </w:p>
        </w:tc>
        <w:tc>
          <w:tcPr>
            <w:tcW w:w="1760" w:type="dxa"/>
            <w:vAlign w:val="bottom"/>
            <w:vMerge w:val="restart"/>
          </w:tcPr>
          <w:p>
            <w:pPr>
              <w:jc w:val="right"/>
              <w:ind w:right="12"/>
              <w:spacing w:after="0"/>
              <w:rPr>
                <w:sz w:val="20"/>
                <w:szCs w:val="20"/>
                <w:color w:val="auto"/>
              </w:rPr>
            </w:pPr>
            <w:r>
              <w:rPr>
                <w:rFonts w:ascii="Arial" w:cs="Arial" w:eastAsia="Arial" w:hAnsi="Arial"/>
                <w:sz w:val="18"/>
                <w:szCs w:val="18"/>
                <w:color w:val="02568A"/>
              </w:rPr>
              <w:t>7,026</w:t>
            </w:r>
          </w:p>
        </w:tc>
        <w:tc>
          <w:tcPr>
            <w:tcW w:w="1640" w:type="dxa"/>
            <w:vAlign w:val="bottom"/>
            <w:vMerge w:val="restart"/>
          </w:tcPr>
          <w:p>
            <w:pPr>
              <w:jc w:val="right"/>
              <w:ind w:right="192"/>
              <w:spacing w:after="0"/>
              <w:rPr>
                <w:sz w:val="20"/>
                <w:szCs w:val="20"/>
                <w:color w:val="auto"/>
              </w:rPr>
            </w:pPr>
            <w:r>
              <w:rPr>
                <w:rFonts w:ascii="Arial" w:cs="Arial" w:eastAsia="Arial" w:hAnsi="Arial"/>
                <w:sz w:val="18"/>
                <w:szCs w:val="18"/>
                <w:color w:val="02568A"/>
              </w:rPr>
              <w:t>7,026</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02568A"/>
              </w:rPr>
              <w:t>Accelerated RSUs</w:t>
            </w:r>
          </w:p>
        </w:tc>
        <w:tc>
          <w:tcPr>
            <w:tcW w:w="1660" w:type="dxa"/>
            <w:vAlign w:val="bottom"/>
          </w:tcPr>
          <w:p>
            <w:pPr>
              <w:jc w:val="right"/>
              <w:ind w:right="12"/>
              <w:spacing w:after="0"/>
              <w:rPr>
                <w:sz w:val="20"/>
                <w:szCs w:val="20"/>
                <w:color w:val="auto"/>
              </w:rPr>
            </w:pPr>
            <w:r>
              <w:rPr>
                <w:rFonts w:ascii="Arial" w:cs="Arial" w:eastAsia="Arial" w:hAnsi="Arial"/>
                <w:sz w:val="18"/>
                <w:szCs w:val="18"/>
                <w:color w:val="02568A"/>
              </w:rPr>
              <w:t>—</w:t>
            </w:r>
          </w:p>
        </w:tc>
        <w:tc>
          <w:tcPr>
            <w:tcW w:w="1760" w:type="dxa"/>
            <w:vAlign w:val="bottom"/>
          </w:tcPr>
          <w:p>
            <w:pPr>
              <w:jc w:val="right"/>
              <w:ind w:right="12"/>
              <w:spacing w:after="0"/>
              <w:rPr>
                <w:sz w:val="20"/>
                <w:szCs w:val="20"/>
                <w:color w:val="auto"/>
              </w:rPr>
            </w:pPr>
            <w:r>
              <w:rPr>
                <w:rFonts w:ascii="Arial" w:cs="Arial" w:eastAsia="Arial" w:hAnsi="Arial"/>
                <w:sz w:val="18"/>
                <w:szCs w:val="18"/>
                <w:color w:val="02568A"/>
              </w:rPr>
              <w:t>1,052,895</w:t>
            </w:r>
          </w:p>
        </w:tc>
        <w:tc>
          <w:tcPr>
            <w:tcW w:w="1640" w:type="dxa"/>
            <w:vAlign w:val="bottom"/>
          </w:tcPr>
          <w:p>
            <w:pPr>
              <w:jc w:val="right"/>
              <w:ind w:right="192"/>
              <w:spacing w:after="0"/>
              <w:rPr>
                <w:sz w:val="20"/>
                <w:szCs w:val="20"/>
                <w:color w:val="auto"/>
              </w:rPr>
            </w:pPr>
            <w:r>
              <w:rPr>
                <w:rFonts w:ascii="Arial" w:cs="Arial" w:eastAsia="Arial" w:hAnsi="Arial"/>
                <w:sz w:val="18"/>
                <w:szCs w:val="18"/>
                <w:color w:val="02568A"/>
              </w:rPr>
              <w:t>1,052,895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02568A"/>
              </w:rPr>
              <w:t>Accelerated PSAs</w:t>
            </w:r>
          </w:p>
        </w:tc>
        <w:tc>
          <w:tcPr>
            <w:tcW w:w="1660" w:type="dxa"/>
            <w:vAlign w:val="bottom"/>
          </w:tcPr>
          <w:p>
            <w:pPr>
              <w:jc w:val="right"/>
              <w:ind w:right="12"/>
              <w:spacing w:after="0"/>
              <w:rPr>
                <w:sz w:val="20"/>
                <w:szCs w:val="20"/>
                <w:color w:val="auto"/>
              </w:rPr>
            </w:pPr>
            <w:r>
              <w:rPr>
                <w:rFonts w:ascii="Arial" w:cs="Arial" w:eastAsia="Arial" w:hAnsi="Arial"/>
                <w:sz w:val="18"/>
                <w:szCs w:val="18"/>
                <w:color w:val="02568A"/>
              </w:rPr>
              <w:t>—</w:t>
            </w:r>
          </w:p>
        </w:tc>
        <w:tc>
          <w:tcPr>
            <w:tcW w:w="1760" w:type="dxa"/>
            <w:vAlign w:val="bottom"/>
          </w:tcPr>
          <w:p>
            <w:pPr>
              <w:jc w:val="right"/>
              <w:ind w:right="12"/>
              <w:spacing w:after="0"/>
              <w:rPr>
                <w:sz w:val="20"/>
                <w:szCs w:val="20"/>
                <w:color w:val="auto"/>
              </w:rPr>
            </w:pPr>
            <w:r>
              <w:rPr>
                <w:rFonts w:ascii="Arial" w:cs="Arial" w:eastAsia="Arial" w:hAnsi="Arial"/>
                <w:sz w:val="18"/>
                <w:szCs w:val="18"/>
                <w:color w:val="02568A"/>
              </w:rPr>
              <w:t>2,038,391</w:t>
            </w:r>
          </w:p>
        </w:tc>
        <w:tc>
          <w:tcPr>
            <w:tcW w:w="1640" w:type="dxa"/>
            <w:vAlign w:val="bottom"/>
          </w:tcPr>
          <w:p>
            <w:pPr>
              <w:jc w:val="right"/>
              <w:ind w:right="192"/>
              <w:spacing w:after="0"/>
              <w:rPr>
                <w:sz w:val="20"/>
                <w:szCs w:val="20"/>
                <w:color w:val="auto"/>
              </w:rPr>
            </w:pPr>
            <w:r>
              <w:rPr>
                <w:rFonts w:ascii="Arial" w:cs="Arial" w:eastAsia="Arial" w:hAnsi="Arial"/>
                <w:sz w:val="18"/>
                <w:szCs w:val="18"/>
                <w:color w:val="02568A"/>
              </w:rPr>
              <w:t>2,038,391</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tcBorders>
              <w:bottom w:val="single" w:sz="8" w:color="02568A"/>
            </w:tcBorders>
          </w:tcPr>
          <w:p>
            <w:pPr>
              <w:spacing w:after="0"/>
              <w:rPr>
                <w:sz w:val="20"/>
                <w:szCs w:val="20"/>
                <w:color w:val="auto"/>
              </w:rPr>
            </w:pPr>
            <w:r>
              <w:rPr>
                <w:rFonts w:ascii="Arial" w:cs="Arial" w:eastAsia="Arial" w:hAnsi="Arial"/>
                <w:sz w:val="18"/>
                <w:szCs w:val="18"/>
                <w:color w:val="02568A"/>
              </w:rPr>
              <w:t>Medical</w:t>
            </w:r>
          </w:p>
        </w:tc>
        <w:tc>
          <w:tcPr>
            <w:tcW w:w="1660" w:type="dxa"/>
            <w:vAlign w:val="bottom"/>
            <w:tcBorders>
              <w:bottom w:val="single" w:sz="8" w:color="02568A"/>
            </w:tcBorders>
          </w:tcPr>
          <w:p>
            <w:pPr>
              <w:jc w:val="right"/>
              <w:ind w:right="12"/>
              <w:spacing w:after="0"/>
              <w:rPr>
                <w:sz w:val="20"/>
                <w:szCs w:val="20"/>
                <w:color w:val="auto"/>
              </w:rPr>
            </w:pPr>
            <w:r>
              <w:rPr>
                <w:rFonts w:ascii="Arial" w:cs="Arial" w:eastAsia="Arial" w:hAnsi="Arial"/>
                <w:sz w:val="18"/>
                <w:szCs w:val="18"/>
                <w:color w:val="02568A"/>
              </w:rPr>
              <w:t>18,853</w:t>
            </w:r>
          </w:p>
        </w:tc>
        <w:tc>
          <w:tcPr>
            <w:tcW w:w="1760" w:type="dxa"/>
            <w:vAlign w:val="bottom"/>
            <w:tcBorders>
              <w:bottom w:val="single" w:sz="8" w:color="02568A"/>
            </w:tcBorders>
          </w:tcPr>
          <w:p>
            <w:pPr>
              <w:jc w:val="right"/>
              <w:ind w:right="12"/>
              <w:spacing w:after="0"/>
              <w:rPr>
                <w:sz w:val="20"/>
                <w:szCs w:val="20"/>
                <w:color w:val="auto"/>
              </w:rPr>
            </w:pPr>
            <w:r>
              <w:rPr>
                <w:rFonts w:ascii="Arial" w:cs="Arial" w:eastAsia="Arial" w:hAnsi="Arial"/>
                <w:sz w:val="18"/>
                <w:szCs w:val="18"/>
                <w:color w:val="02568A"/>
              </w:rPr>
              <w:t>28,280</w:t>
            </w:r>
          </w:p>
        </w:tc>
        <w:tc>
          <w:tcPr>
            <w:tcW w:w="1640" w:type="dxa"/>
            <w:vAlign w:val="bottom"/>
            <w:tcBorders>
              <w:bottom w:val="single" w:sz="8" w:color="02568A"/>
            </w:tcBorders>
          </w:tcPr>
          <w:p>
            <w:pPr>
              <w:jc w:val="right"/>
              <w:ind w:right="192"/>
              <w:spacing w:after="0"/>
              <w:rPr>
                <w:sz w:val="20"/>
                <w:szCs w:val="20"/>
                <w:color w:val="auto"/>
              </w:rPr>
            </w:pPr>
            <w:r>
              <w:rPr>
                <w:rFonts w:ascii="Arial" w:cs="Arial" w:eastAsia="Arial" w:hAnsi="Arial"/>
                <w:sz w:val="18"/>
                <w:szCs w:val="18"/>
                <w:color w:val="02568A"/>
              </w:rPr>
              <w:t>—</w:t>
            </w:r>
          </w:p>
        </w:tc>
        <w:tc>
          <w:tcPr>
            <w:tcW w:w="0" w:type="dxa"/>
            <w:vAlign w:val="bottom"/>
          </w:tcPr>
          <w:p>
            <w:pPr>
              <w:spacing w:after="0"/>
              <w:rPr>
                <w:sz w:val="1"/>
                <w:szCs w:val="1"/>
                <w:color w:val="auto"/>
              </w:rPr>
            </w:pPr>
          </w:p>
        </w:tc>
      </w:tr>
      <w:tr>
        <w:trPr>
          <w:trHeight w:val="211"/>
        </w:trPr>
        <w:tc>
          <w:tcPr>
            <w:tcW w:w="280" w:type="dxa"/>
            <w:vAlign w:val="bottom"/>
            <w:tcBorders>
              <w:bottom w:val="single" w:sz="8" w:color="02568A"/>
            </w:tcBorders>
          </w:tcPr>
          <w:p>
            <w:pPr>
              <w:spacing w:after="0"/>
              <w:rPr>
                <w:sz w:val="18"/>
                <w:szCs w:val="18"/>
                <w:color w:val="auto"/>
              </w:rPr>
            </w:pPr>
          </w:p>
        </w:tc>
        <w:tc>
          <w:tcPr>
            <w:tcW w:w="1220" w:type="dxa"/>
            <w:vAlign w:val="bottom"/>
            <w:tcBorders>
              <w:bottom w:val="single" w:sz="8" w:color="02568A"/>
            </w:tcBorders>
          </w:tcPr>
          <w:p>
            <w:pPr>
              <w:spacing w:after="0"/>
              <w:rPr>
                <w:sz w:val="18"/>
                <w:szCs w:val="18"/>
                <w:color w:val="auto"/>
              </w:rPr>
            </w:pPr>
          </w:p>
        </w:tc>
        <w:tc>
          <w:tcPr>
            <w:tcW w:w="160" w:type="dxa"/>
            <w:vAlign w:val="bottom"/>
            <w:tcBorders>
              <w:bottom w:val="single" w:sz="8" w:color="02568A"/>
            </w:tcBorders>
          </w:tcPr>
          <w:p>
            <w:pPr>
              <w:spacing w:after="0"/>
              <w:rPr>
                <w:sz w:val="18"/>
                <w:szCs w:val="18"/>
                <w:color w:val="auto"/>
              </w:rPr>
            </w:pPr>
          </w:p>
        </w:tc>
        <w:tc>
          <w:tcPr>
            <w:tcW w:w="2380" w:type="dxa"/>
            <w:vAlign w:val="bottom"/>
            <w:tcBorders>
              <w:bottom w:val="single" w:sz="8" w:color="02568A"/>
            </w:tcBorders>
          </w:tcPr>
          <w:p>
            <w:pPr>
              <w:spacing w:after="0"/>
              <w:rPr>
                <w:sz w:val="20"/>
                <w:szCs w:val="20"/>
                <w:color w:val="auto"/>
              </w:rPr>
            </w:pPr>
            <w:r>
              <w:rPr>
                <w:rFonts w:ascii="Arial" w:cs="Arial" w:eastAsia="Arial" w:hAnsi="Arial"/>
                <w:sz w:val="18"/>
                <w:szCs w:val="18"/>
                <w:b w:val="1"/>
                <w:bCs w:val="1"/>
                <w:color w:val="02568A"/>
              </w:rPr>
              <w:t>TOTAL</w:t>
            </w:r>
          </w:p>
        </w:tc>
        <w:tc>
          <w:tcPr>
            <w:tcW w:w="1660" w:type="dxa"/>
            <w:vAlign w:val="bottom"/>
            <w:tcBorders>
              <w:bottom w:val="single" w:sz="8" w:color="02568A"/>
            </w:tcBorders>
          </w:tcPr>
          <w:p>
            <w:pPr>
              <w:jc w:val="right"/>
              <w:ind w:right="12"/>
              <w:spacing w:after="0"/>
              <w:rPr>
                <w:sz w:val="20"/>
                <w:szCs w:val="20"/>
                <w:color w:val="auto"/>
              </w:rPr>
            </w:pPr>
            <w:r>
              <w:rPr>
                <w:rFonts w:ascii="Arial" w:cs="Arial" w:eastAsia="Arial" w:hAnsi="Arial"/>
                <w:sz w:val="18"/>
                <w:szCs w:val="18"/>
                <w:b w:val="1"/>
                <w:bCs w:val="1"/>
                <w:color w:val="02568A"/>
              </w:rPr>
              <w:t>464,853</w:t>
            </w:r>
          </w:p>
        </w:tc>
        <w:tc>
          <w:tcPr>
            <w:tcW w:w="1760" w:type="dxa"/>
            <w:vAlign w:val="bottom"/>
            <w:tcBorders>
              <w:bottom w:val="single" w:sz="8" w:color="02568A"/>
            </w:tcBorders>
          </w:tcPr>
          <w:p>
            <w:pPr>
              <w:jc w:val="right"/>
              <w:ind w:right="12"/>
              <w:spacing w:after="0"/>
              <w:rPr>
                <w:sz w:val="20"/>
                <w:szCs w:val="20"/>
                <w:color w:val="auto"/>
              </w:rPr>
            </w:pPr>
            <w:r>
              <w:rPr>
                <w:rFonts w:ascii="Arial" w:cs="Arial" w:eastAsia="Arial" w:hAnsi="Arial"/>
                <w:sz w:val="18"/>
                <w:szCs w:val="18"/>
                <w:b w:val="1"/>
                <w:bCs w:val="1"/>
                <w:color w:val="02568A"/>
              </w:rPr>
              <w:t>4,330,792</w:t>
            </w:r>
          </w:p>
        </w:tc>
        <w:tc>
          <w:tcPr>
            <w:tcW w:w="1640" w:type="dxa"/>
            <w:vAlign w:val="bottom"/>
            <w:tcBorders>
              <w:bottom w:val="single" w:sz="8" w:color="02568A"/>
            </w:tcBorders>
          </w:tcPr>
          <w:p>
            <w:pPr>
              <w:jc w:val="right"/>
              <w:ind w:right="192"/>
              <w:spacing w:after="0"/>
              <w:rPr>
                <w:sz w:val="20"/>
                <w:szCs w:val="20"/>
                <w:color w:val="auto"/>
              </w:rPr>
            </w:pPr>
            <w:r>
              <w:rPr>
                <w:rFonts w:ascii="Arial" w:cs="Arial" w:eastAsia="Arial" w:hAnsi="Arial"/>
                <w:sz w:val="18"/>
                <w:szCs w:val="18"/>
                <w:b w:val="1"/>
                <w:bCs w:val="1"/>
                <w:color w:val="02568A"/>
              </w:rPr>
              <w:t>3,098,312</w:t>
            </w:r>
          </w:p>
        </w:tc>
        <w:tc>
          <w:tcPr>
            <w:tcW w:w="0" w:type="dxa"/>
            <w:vAlign w:val="bottom"/>
          </w:tcPr>
          <w:p>
            <w:pPr>
              <w:spacing w:after="0"/>
              <w:rPr>
                <w:sz w:val="1"/>
                <w:szCs w:val="1"/>
                <w:color w:val="auto"/>
              </w:rPr>
            </w:pPr>
          </w:p>
        </w:tc>
      </w:tr>
      <w:tr>
        <w:trPr>
          <w:trHeight w:val="195"/>
        </w:trPr>
        <w:tc>
          <w:tcPr>
            <w:tcW w:w="280" w:type="dxa"/>
            <w:vAlign w:val="bottom"/>
            <w:shd w:val="clear" w:color="auto" w:fill="CED8EA"/>
          </w:tcPr>
          <w:p>
            <w:pPr>
              <w:spacing w:after="0"/>
              <w:rPr>
                <w:sz w:val="16"/>
                <w:szCs w:val="16"/>
                <w:color w:val="auto"/>
              </w:rPr>
            </w:pPr>
          </w:p>
        </w:tc>
        <w:tc>
          <w:tcPr>
            <w:tcW w:w="1220" w:type="dxa"/>
            <w:vAlign w:val="bottom"/>
            <w:shd w:val="clear" w:color="auto" w:fill="CED8EA"/>
          </w:tcPr>
          <w:p>
            <w:pPr>
              <w:spacing w:after="0" w:line="195" w:lineRule="exact"/>
              <w:rPr>
                <w:sz w:val="20"/>
                <w:szCs w:val="20"/>
                <w:color w:val="auto"/>
              </w:rPr>
            </w:pPr>
            <w:r>
              <w:rPr>
                <w:rFonts w:ascii="Arial" w:cs="Arial" w:eastAsia="Arial" w:hAnsi="Arial"/>
                <w:sz w:val="18"/>
                <w:szCs w:val="18"/>
                <w:b w:val="1"/>
                <w:bCs w:val="1"/>
                <w:color w:val="02568A"/>
              </w:rPr>
              <w:t>Peter L.</w:t>
            </w:r>
          </w:p>
        </w:tc>
        <w:tc>
          <w:tcPr>
            <w:tcW w:w="160" w:type="dxa"/>
            <w:vAlign w:val="bottom"/>
            <w:shd w:val="clear" w:color="auto" w:fill="CED8EA"/>
          </w:tcPr>
          <w:p>
            <w:pPr>
              <w:spacing w:after="0"/>
              <w:rPr>
                <w:sz w:val="16"/>
                <w:szCs w:val="16"/>
                <w:color w:val="auto"/>
              </w:rPr>
            </w:pPr>
          </w:p>
        </w:tc>
        <w:tc>
          <w:tcPr>
            <w:tcW w:w="2380" w:type="dxa"/>
            <w:vAlign w:val="bottom"/>
            <w:vMerge w:val="restart"/>
            <w:shd w:val="clear" w:color="auto" w:fill="CED8EA"/>
          </w:tcPr>
          <w:p>
            <w:pPr>
              <w:spacing w:after="0"/>
              <w:rPr>
                <w:sz w:val="20"/>
                <w:szCs w:val="20"/>
                <w:color w:val="auto"/>
              </w:rPr>
            </w:pPr>
            <w:r>
              <w:rPr>
                <w:rFonts w:ascii="Arial" w:cs="Arial" w:eastAsia="Arial" w:hAnsi="Arial"/>
                <w:sz w:val="18"/>
                <w:szCs w:val="18"/>
                <w:color w:val="02568A"/>
                <w:w w:val="91"/>
              </w:rPr>
              <w:t>Salary and Short-Term Incentive</w:t>
            </w:r>
          </w:p>
        </w:tc>
        <w:tc>
          <w:tcPr>
            <w:tcW w:w="1660" w:type="dxa"/>
            <w:vAlign w:val="bottom"/>
            <w:vMerge w:val="restart"/>
            <w:shd w:val="clear" w:color="auto" w:fill="CED8EA"/>
          </w:tcPr>
          <w:p>
            <w:pPr>
              <w:jc w:val="right"/>
              <w:ind w:right="12"/>
              <w:spacing w:after="0"/>
              <w:rPr>
                <w:sz w:val="20"/>
                <w:szCs w:val="20"/>
                <w:color w:val="auto"/>
              </w:rPr>
            </w:pPr>
            <w:r>
              <w:rPr>
                <w:rFonts w:ascii="Arial" w:cs="Arial" w:eastAsia="Arial" w:hAnsi="Arial"/>
                <w:sz w:val="18"/>
                <w:szCs w:val="18"/>
                <w:color w:val="02568A"/>
              </w:rPr>
              <w:t>410,000(5)</w:t>
            </w:r>
          </w:p>
        </w:tc>
        <w:tc>
          <w:tcPr>
            <w:tcW w:w="1760" w:type="dxa"/>
            <w:vAlign w:val="bottom"/>
            <w:vMerge w:val="restart"/>
            <w:shd w:val="clear" w:color="auto" w:fill="CED8EA"/>
          </w:tcPr>
          <w:p>
            <w:pPr>
              <w:jc w:val="right"/>
              <w:ind w:right="12"/>
              <w:spacing w:after="0"/>
              <w:rPr>
                <w:sz w:val="20"/>
                <w:szCs w:val="20"/>
                <w:color w:val="auto"/>
              </w:rPr>
            </w:pPr>
            <w:r>
              <w:rPr>
                <w:rFonts w:ascii="Arial" w:cs="Arial" w:eastAsia="Arial" w:hAnsi="Arial"/>
                <w:sz w:val="18"/>
                <w:szCs w:val="18"/>
                <w:color w:val="02568A"/>
              </w:rPr>
              <w:t>1,476,000(7)</w:t>
            </w:r>
          </w:p>
        </w:tc>
        <w:tc>
          <w:tcPr>
            <w:tcW w:w="1640" w:type="dxa"/>
            <w:vAlign w:val="bottom"/>
            <w:vMerge w:val="restart"/>
            <w:shd w:val="clear" w:color="auto" w:fill="CED8EA"/>
          </w:tcPr>
          <w:p>
            <w:pPr>
              <w:jc w:val="right"/>
              <w:ind w:right="192"/>
              <w:spacing w:after="0"/>
              <w:rPr>
                <w:sz w:val="20"/>
                <w:szCs w:val="20"/>
                <w:color w:val="auto"/>
              </w:rPr>
            </w:pPr>
            <w:r>
              <w:rPr>
                <w:rFonts w:ascii="Arial" w:cs="Arial" w:eastAsia="Arial" w:hAnsi="Arial"/>
                <w:sz w:val="18"/>
                <w:szCs w:val="18"/>
                <w:color w:val="02568A"/>
              </w:rPr>
              <w:t>—</w:t>
            </w:r>
          </w:p>
        </w:tc>
        <w:tc>
          <w:tcPr>
            <w:tcW w:w="0" w:type="dxa"/>
            <w:vAlign w:val="bottom"/>
          </w:tcPr>
          <w:p>
            <w:pPr>
              <w:spacing w:after="0"/>
              <w:rPr>
                <w:sz w:val="1"/>
                <w:szCs w:val="1"/>
                <w:color w:val="auto"/>
              </w:rPr>
            </w:pPr>
          </w:p>
        </w:tc>
      </w:tr>
      <w:tr>
        <w:trPr>
          <w:trHeight w:val="120"/>
        </w:trPr>
        <w:tc>
          <w:tcPr>
            <w:tcW w:w="280" w:type="dxa"/>
            <w:vAlign w:val="bottom"/>
            <w:shd w:val="clear" w:color="auto" w:fill="CED8EA"/>
          </w:tcPr>
          <w:p>
            <w:pPr>
              <w:spacing w:after="0"/>
              <w:rPr>
                <w:sz w:val="10"/>
                <w:szCs w:val="10"/>
                <w:color w:val="auto"/>
              </w:rPr>
            </w:pPr>
          </w:p>
        </w:tc>
        <w:tc>
          <w:tcPr>
            <w:tcW w:w="1220" w:type="dxa"/>
            <w:vAlign w:val="bottom"/>
            <w:vMerge w:val="restart"/>
            <w:shd w:val="clear" w:color="auto" w:fill="CED8EA"/>
          </w:tcPr>
          <w:p>
            <w:pPr>
              <w:spacing w:after="0"/>
              <w:rPr>
                <w:sz w:val="20"/>
                <w:szCs w:val="20"/>
                <w:color w:val="auto"/>
              </w:rPr>
            </w:pPr>
            <w:r>
              <w:rPr>
                <w:rFonts w:ascii="Arial" w:cs="Arial" w:eastAsia="Arial" w:hAnsi="Arial"/>
                <w:sz w:val="18"/>
                <w:szCs w:val="18"/>
                <w:b w:val="1"/>
                <w:bCs w:val="1"/>
                <w:color w:val="02568A"/>
              </w:rPr>
              <w:t>Gammel(2)</w:t>
            </w:r>
          </w:p>
        </w:tc>
        <w:tc>
          <w:tcPr>
            <w:tcW w:w="160" w:type="dxa"/>
            <w:vAlign w:val="bottom"/>
            <w:shd w:val="clear" w:color="auto" w:fill="CED8EA"/>
          </w:tcPr>
          <w:p>
            <w:pPr>
              <w:spacing w:after="0"/>
              <w:rPr>
                <w:sz w:val="10"/>
                <w:szCs w:val="10"/>
                <w:color w:val="auto"/>
              </w:rPr>
            </w:pPr>
          </w:p>
        </w:tc>
        <w:tc>
          <w:tcPr>
            <w:tcW w:w="2380" w:type="dxa"/>
            <w:vAlign w:val="bottom"/>
            <w:vMerge w:val="continue"/>
            <w:shd w:val="clear" w:color="auto" w:fill="CED8EA"/>
          </w:tcPr>
          <w:p>
            <w:pPr>
              <w:spacing w:after="0"/>
              <w:rPr>
                <w:sz w:val="10"/>
                <w:szCs w:val="10"/>
                <w:color w:val="auto"/>
              </w:rPr>
            </w:pPr>
          </w:p>
        </w:tc>
        <w:tc>
          <w:tcPr>
            <w:tcW w:w="1660" w:type="dxa"/>
            <w:vAlign w:val="bottom"/>
            <w:vMerge w:val="continue"/>
            <w:shd w:val="clear" w:color="auto" w:fill="CED8EA"/>
          </w:tcPr>
          <w:p>
            <w:pPr>
              <w:spacing w:after="0"/>
              <w:rPr>
                <w:sz w:val="10"/>
                <w:szCs w:val="10"/>
                <w:color w:val="auto"/>
              </w:rPr>
            </w:pPr>
          </w:p>
        </w:tc>
        <w:tc>
          <w:tcPr>
            <w:tcW w:w="1760" w:type="dxa"/>
            <w:vAlign w:val="bottom"/>
            <w:vMerge w:val="continue"/>
            <w:shd w:val="clear" w:color="auto" w:fill="CED8EA"/>
          </w:tcPr>
          <w:p>
            <w:pPr>
              <w:spacing w:after="0"/>
              <w:rPr>
                <w:sz w:val="10"/>
                <w:szCs w:val="10"/>
                <w:color w:val="auto"/>
              </w:rPr>
            </w:pPr>
          </w:p>
        </w:tc>
        <w:tc>
          <w:tcPr>
            <w:tcW w:w="1640" w:type="dxa"/>
            <w:vAlign w:val="bottom"/>
            <w:vMerge w:val="continue"/>
            <w:shd w:val="clear" w:color="auto" w:fill="CED8EA"/>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shd w:val="clear" w:color="auto" w:fill="CED8EA"/>
          </w:tcPr>
          <w:p>
            <w:pPr>
              <w:spacing w:after="0"/>
              <w:rPr>
                <w:sz w:val="9"/>
                <w:szCs w:val="9"/>
                <w:color w:val="auto"/>
              </w:rPr>
            </w:pPr>
          </w:p>
        </w:tc>
        <w:tc>
          <w:tcPr>
            <w:tcW w:w="1220" w:type="dxa"/>
            <w:vAlign w:val="bottom"/>
            <w:vMerge w:val="continue"/>
            <w:shd w:val="clear" w:color="auto" w:fill="CED8EA"/>
          </w:tcPr>
          <w:p>
            <w:pPr>
              <w:spacing w:after="0"/>
              <w:rPr>
                <w:sz w:val="9"/>
                <w:szCs w:val="9"/>
                <w:color w:val="auto"/>
              </w:rPr>
            </w:pPr>
          </w:p>
        </w:tc>
        <w:tc>
          <w:tcPr>
            <w:tcW w:w="160" w:type="dxa"/>
            <w:vAlign w:val="bottom"/>
            <w:shd w:val="clear" w:color="auto" w:fill="CED8EA"/>
          </w:tcPr>
          <w:p>
            <w:pPr>
              <w:spacing w:after="0"/>
              <w:rPr>
                <w:sz w:val="9"/>
                <w:szCs w:val="9"/>
                <w:color w:val="auto"/>
              </w:rPr>
            </w:pPr>
          </w:p>
        </w:tc>
        <w:tc>
          <w:tcPr>
            <w:tcW w:w="2380" w:type="dxa"/>
            <w:vAlign w:val="bottom"/>
            <w:vMerge w:val="restart"/>
            <w:shd w:val="clear" w:color="auto" w:fill="CED8EA"/>
          </w:tcPr>
          <w:p>
            <w:pPr>
              <w:spacing w:after="0"/>
              <w:rPr>
                <w:sz w:val="20"/>
                <w:szCs w:val="20"/>
                <w:color w:val="auto"/>
              </w:rPr>
            </w:pPr>
            <w:r>
              <w:rPr>
                <w:rFonts w:ascii="Arial" w:cs="Arial" w:eastAsia="Arial" w:hAnsi="Arial"/>
                <w:sz w:val="18"/>
                <w:szCs w:val="18"/>
                <w:color w:val="02568A"/>
              </w:rPr>
              <w:t>Accelerated Options</w:t>
            </w:r>
          </w:p>
        </w:tc>
        <w:tc>
          <w:tcPr>
            <w:tcW w:w="1660" w:type="dxa"/>
            <w:vAlign w:val="bottom"/>
            <w:vMerge w:val="restart"/>
            <w:shd w:val="clear" w:color="auto" w:fill="CED8EA"/>
          </w:tcPr>
          <w:p>
            <w:pPr>
              <w:jc w:val="right"/>
              <w:ind w:right="12"/>
              <w:spacing w:after="0"/>
              <w:rPr>
                <w:sz w:val="20"/>
                <w:szCs w:val="20"/>
                <w:color w:val="auto"/>
              </w:rPr>
            </w:pPr>
            <w:r>
              <w:rPr>
                <w:rFonts w:ascii="Arial" w:cs="Arial" w:eastAsia="Arial" w:hAnsi="Arial"/>
                <w:sz w:val="18"/>
                <w:szCs w:val="18"/>
                <w:color w:val="02568A"/>
              </w:rPr>
              <w:t>—</w:t>
            </w:r>
          </w:p>
        </w:tc>
        <w:tc>
          <w:tcPr>
            <w:tcW w:w="1760" w:type="dxa"/>
            <w:vAlign w:val="bottom"/>
            <w:vMerge w:val="restart"/>
            <w:shd w:val="clear" w:color="auto" w:fill="CED8EA"/>
          </w:tcPr>
          <w:p>
            <w:pPr>
              <w:jc w:val="right"/>
              <w:ind w:right="12"/>
              <w:spacing w:after="0"/>
              <w:rPr>
                <w:sz w:val="20"/>
                <w:szCs w:val="20"/>
                <w:color w:val="auto"/>
              </w:rPr>
            </w:pPr>
            <w:r>
              <w:rPr>
                <w:rFonts w:ascii="Arial" w:cs="Arial" w:eastAsia="Arial" w:hAnsi="Arial"/>
                <w:sz w:val="18"/>
                <w:szCs w:val="18"/>
                <w:color w:val="02568A"/>
              </w:rPr>
              <w:t>—</w:t>
            </w:r>
          </w:p>
        </w:tc>
        <w:tc>
          <w:tcPr>
            <w:tcW w:w="1640" w:type="dxa"/>
            <w:vAlign w:val="bottom"/>
            <w:vMerge w:val="restart"/>
            <w:shd w:val="clear" w:color="auto" w:fill="CED8EA"/>
          </w:tcPr>
          <w:p>
            <w:pPr>
              <w:jc w:val="right"/>
              <w:ind w:right="192"/>
              <w:spacing w:after="0"/>
              <w:rPr>
                <w:sz w:val="20"/>
                <w:szCs w:val="20"/>
                <w:color w:val="auto"/>
              </w:rPr>
            </w:pPr>
            <w:r>
              <w:rPr>
                <w:rFonts w:ascii="Arial" w:cs="Arial" w:eastAsia="Arial" w:hAnsi="Arial"/>
                <w:sz w:val="18"/>
                <w:szCs w:val="18"/>
                <w:color w:val="02568A"/>
              </w:rPr>
              <w:t>—</w:t>
            </w:r>
          </w:p>
        </w:tc>
        <w:tc>
          <w:tcPr>
            <w:tcW w:w="0" w:type="dxa"/>
            <w:vAlign w:val="bottom"/>
          </w:tcPr>
          <w:p>
            <w:pPr>
              <w:spacing w:after="0"/>
              <w:rPr>
                <w:sz w:val="1"/>
                <w:szCs w:val="1"/>
                <w:color w:val="auto"/>
              </w:rPr>
            </w:pPr>
          </w:p>
        </w:tc>
      </w:tr>
      <w:tr>
        <w:trPr>
          <w:trHeight w:val="216"/>
        </w:trPr>
        <w:tc>
          <w:tcPr>
            <w:tcW w:w="280" w:type="dxa"/>
            <w:vAlign w:val="bottom"/>
            <w:shd w:val="clear" w:color="auto" w:fill="CED8EA"/>
          </w:tcPr>
          <w:p>
            <w:pPr>
              <w:spacing w:after="0"/>
              <w:rPr>
                <w:sz w:val="18"/>
                <w:szCs w:val="18"/>
                <w:color w:val="auto"/>
              </w:rPr>
            </w:pPr>
          </w:p>
        </w:tc>
        <w:tc>
          <w:tcPr>
            <w:tcW w:w="122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2380" w:type="dxa"/>
            <w:vAlign w:val="bottom"/>
            <w:vMerge w:val="continue"/>
            <w:shd w:val="clear" w:color="auto" w:fill="CED8EA"/>
          </w:tcPr>
          <w:p>
            <w:pPr>
              <w:spacing w:after="0"/>
              <w:rPr>
                <w:sz w:val="18"/>
                <w:szCs w:val="18"/>
                <w:color w:val="auto"/>
              </w:rPr>
            </w:pPr>
          </w:p>
        </w:tc>
        <w:tc>
          <w:tcPr>
            <w:tcW w:w="1660" w:type="dxa"/>
            <w:vAlign w:val="bottom"/>
            <w:vMerge w:val="continue"/>
            <w:shd w:val="clear" w:color="auto" w:fill="CED8EA"/>
          </w:tcPr>
          <w:p>
            <w:pPr>
              <w:spacing w:after="0"/>
              <w:rPr>
                <w:sz w:val="18"/>
                <w:szCs w:val="18"/>
                <w:color w:val="auto"/>
              </w:rPr>
            </w:pPr>
          </w:p>
        </w:tc>
        <w:tc>
          <w:tcPr>
            <w:tcW w:w="1760" w:type="dxa"/>
            <w:vAlign w:val="bottom"/>
            <w:vMerge w:val="continue"/>
            <w:shd w:val="clear" w:color="auto" w:fill="CED8EA"/>
          </w:tcPr>
          <w:p>
            <w:pPr>
              <w:spacing w:after="0"/>
              <w:rPr>
                <w:sz w:val="18"/>
                <w:szCs w:val="18"/>
                <w:color w:val="auto"/>
              </w:rPr>
            </w:pPr>
          </w:p>
        </w:tc>
        <w:tc>
          <w:tcPr>
            <w:tcW w:w="1640" w:type="dxa"/>
            <w:vAlign w:val="bottom"/>
            <w:vMerge w:val="continue"/>
            <w:shd w:val="clear" w:color="auto" w:fill="CED8EA"/>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0" w:type="dxa"/>
            <w:vAlign w:val="bottom"/>
            <w:shd w:val="clear" w:color="auto" w:fill="CED8EA"/>
          </w:tcPr>
          <w:p>
            <w:pPr>
              <w:spacing w:after="0"/>
              <w:rPr>
                <w:sz w:val="18"/>
                <w:szCs w:val="18"/>
                <w:color w:val="auto"/>
              </w:rPr>
            </w:pPr>
          </w:p>
        </w:tc>
        <w:tc>
          <w:tcPr>
            <w:tcW w:w="122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2380" w:type="dxa"/>
            <w:vAlign w:val="bottom"/>
            <w:shd w:val="clear" w:color="auto" w:fill="CED8EA"/>
          </w:tcPr>
          <w:p>
            <w:pPr>
              <w:spacing w:after="0"/>
              <w:rPr>
                <w:sz w:val="20"/>
                <w:szCs w:val="20"/>
                <w:color w:val="auto"/>
              </w:rPr>
            </w:pPr>
            <w:r>
              <w:rPr>
                <w:rFonts w:ascii="Arial" w:cs="Arial" w:eastAsia="Arial" w:hAnsi="Arial"/>
                <w:sz w:val="18"/>
                <w:szCs w:val="18"/>
                <w:color w:val="02568A"/>
              </w:rPr>
              <w:t>Accelerated RSUs</w:t>
            </w:r>
          </w:p>
        </w:tc>
        <w:tc>
          <w:tcPr>
            <w:tcW w:w="1660" w:type="dxa"/>
            <w:vAlign w:val="bottom"/>
            <w:shd w:val="clear" w:color="auto" w:fill="CED8EA"/>
          </w:tcPr>
          <w:p>
            <w:pPr>
              <w:jc w:val="right"/>
              <w:ind w:right="12"/>
              <w:spacing w:after="0"/>
              <w:rPr>
                <w:sz w:val="20"/>
                <w:szCs w:val="20"/>
                <w:color w:val="auto"/>
              </w:rPr>
            </w:pPr>
            <w:r>
              <w:rPr>
                <w:rFonts w:ascii="Arial" w:cs="Arial" w:eastAsia="Arial" w:hAnsi="Arial"/>
                <w:sz w:val="18"/>
                <w:szCs w:val="18"/>
                <w:color w:val="02568A"/>
              </w:rPr>
              <w:t>—</w:t>
            </w:r>
          </w:p>
        </w:tc>
        <w:tc>
          <w:tcPr>
            <w:tcW w:w="1760" w:type="dxa"/>
            <w:vAlign w:val="bottom"/>
            <w:shd w:val="clear" w:color="auto" w:fill="CED8EA"/>
          </w:tcPr>
          <w:p>
            <w:pPr>
              <w:jc w:val="right"/>
              <w:ind w:right="12"/>
              <w:spacing w:after="0"/>
              <w:rPr>
                <w:sz w:val="20"/>
                <w:szCs w:val="20"/>
                <w:color w:val="auto"/>
              </w:rPr>
            </w:pPr>
            <w:r>
              <w:rPr>
                <w:rFonts w:ascii="Arial" w:cs="Arial" w:eastAsia="Arial" w:hAnsi="Arial"/>
                <w:sz w:val="18"/>
                <w:szCs w:val="18"/>
                <w:color w:val="02568A"/>
              </w:rPr>
              <w:t>735,423</w:t>
            </w:r>
          </w:p>
        </w:tc>
        <w:tc>
          <w:tcPr>
            <w:tcW w:w="1640" w:type="dxa"/>
            <w:vAlign w:val="bottom"/>
            <w:shd w:val="clear" w:color="auto" w:fill="CED8EA"/>
          </w:tcPr>
          <w:p>
            <w:pPr>
              <w:jc w:val="right"/>
              <w:ind w:right="192"/>
              <w:spacing w:after="0"/>
              <w:rPr>
                <w:sz w:val="20"/>
                <w:szCs w:val="20"/>
                <w:color w:val="auto"/>
              </w:rPr>
            </w:pPr>
            <w:r>
              <w:rPr>
                <w:rFonts w:ascii="Arial" w:cs="Arial" w:eastAsia="Arial" w:hAnsi="Arial"/>
                <w:sz w:val="18"/>
                <w:szCs w:val="18"/>
                <w:color w:val="02568A"/>
              </w:rPr>
              <w:t>735,423</w:t>
            </w:r>
          </w:p>
        </w:tc>
        <w:tc>
          <w:tcPr>
            <w:tcW w:w="0" w:type="dxa"/>
            <w:vAlign w:val="bottom"/>
          </w:tcPr>
          <w:p>
            <w:pPr>
              <w:spacing w:after="0"/>
              <w:rPr>
                <w:sz w:val="1"/>
                <w:szCs w:val="1"/>
                <w:color w:val="auto"/>
              </w:rPr>
            </w:pPr>
          </w:p>
        </w:tc>
      </w:tr>
      <w:tr>
        <w:trPr>
          <w:trHeight w:val="216"/>
        </w:trPr>
        <w:tc>
          <w:tcPr>
            <w:tcW w:w="280" w:type="dxa"/>
            <w:vAlign w:val="bottom"/>
            <w:shd w:val="clear" w:color="auto" w:fill="CED8EA"/>
          </w:tcPr>
          <w:p>
            <w:pPr>
              <w:spacing w:after="0"/>
              <w:rPr>
                <w:sz w:val="18"/>
                <w:szCs w:val="18"/>
                <w:color w:val="auto"/>
              </w:rPr>
            </w:pPr>
          </w:p>
        </w:tc>
        <w:tc>
          <w:tcPr>
            <w:tcW w:w="122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2380" w:type="dxa"/>
            <w:vAlign w:val="bottom"/>
            <w:shd w:val="clear" w:color="auto" w:fill="CED8EA"/>
          </w:tcPr>
          <w:p>
            <w:pPr>
              <w:spacing w:after="0"/>
              <w:rPr>
                <w:sz w:val="20"/>
                <w:szCs w:val="20"/>
                <w:color w:val="auto"/>
              </w:rPr>
            </w:pPr>
            <w:r>
              <w:rPr>
                <w:rFonts w:ascii="Arial" w:cs="Arial" w:eastAsia="Arial" w:hAnsi="Arial"/>
                <w:sz w:val="18"/>
                <w:szCs w:val="18"/>
                <w:color w:val="02568A"/>
              </w:rPr>
              <w:t>Accelerated PSAs</w:t>
            </w:r>
          </w:p>
        </w:tc>
        <w:tc>
          <w:tcPr>
            <w:tcW w:w="1660" w:type="dxa"/>
            <w:vAlign w:val="bottom"/>
            <w:shd w:val="clear" w:color="auto" w:fill="CED8EA"/>
          </w:tcPr>
          <w:p>
            <w:pPr>
              <w:jc w:val="right"/>
              <w:ind w:right="12"/>
              <w:spacing w:after="0"/>
              <w:rPr>
                <w:sz w:val="20"/>
                <w:szCs w:val="20"/>
                <w:color w:val="auto"/>
              </w:rPr>
            </w:pPr>
            <w:r>
              <w:rPr>
                <w:rFonts w:ascii="Arial" w:cs="Arial" w:eastAsia="Arial" w:hAnsi="Arial"/>
                <w:sz w:val="18"/>
                <w:szCs w:val="18"/>
                <w:color w:val="02568A"/>
              </w:rPr>
              <w:t>—</w:t>
            </w:r>
          </w:p>
        </w:tc>
        <w:tc>
          <w:tcPr>
            <w:tcW w:w="1760" w:type="dxa"/>
            <w:vAlign w:val="bottom"/>
            <w:shd w:val="clear" w:color="auto" w:fill="CED8EA"/>
          </w:tcPr>
          <w:p>
            <w:pPr>
              <w:jc w:val="right"/>
              <w:ind w:right="12"/>
              <w:spacing w:after="0"/>
              <w:rPr>
                <w:sz w:val="20"/>
                <w:szCs w:val="20"/>
                <w:color w:val="auto"/>
              </w:rPr>
            </w:pPr>
            <w:r>
              <w:rPr>
                <w:rFonts w:ascii="Arial" w:cs="Arial" w:eastAsia="Arial" w:hAnsi="Arial"/>
                <w:sz w:val="18"/>
                <w:szCs w:val="18"/>
                <w:color w:val="02568A"/>
              </w:rPr>
              <w:t>1,596,734</w:t>
            </w:r>
          </w:p>
        </w:tc>
        <w:tc>
          <w:tcPr>
            <w:tcW w:w="1640" w:type="dxa"/>
            <w:vAlign w:val="bottom"/>
            <w:shd w:val="clear" w:color="auto" w:fill="CED8EA"/>
          </w:tcPr>
          <w:p>
            <w:pPr>
              <w:jc w:val="right"/>
              <w:ind w:right="192"/>
              <w:spacing w:after="0"/>
              <w:rPr>
                <w:sz w:val="20"/>
                <w:szCs w:val="20"/>
                <w:color w:val="auto"/>
              </w:rPr>
            </w:pPr>
            <w:r>
              <w:rPr>
                <w:rFonts w:ascii="Arial" w:cs="Arial" w:eastAsia="Arial" w:hAnsi="Arial"/>
                <w:sz w:val="18"/>
                <w:szCs w:val="18"/>
                <w:color w:val="02568A"/>
              </w:rPr>
              <w:t>1,596,734</w:t>
            </w:r>
          </w:p>
        </w:tc>
        <w:tc>
          <w:tcPr>
            <w:tcW w:w="0" w:type="dxa"/>
            <w:vAlign w:val="bottom"/>
          </w:tcPr>
          <w:p>
            <w:pPr>
              <w:spacing w:after="0"/>
              <w:rPr>
                <w:sz w:val="1"/>
                <w:szCs w:val="1"/>
                <w:color w:val="auto"/>
              </w:rPr>
            </w:pPr>
          </w:p>
        </w:tc>
      </w:tr>
      <w:tr>
        <w:trPr>
          <w:trHeight w:val="216"/>
        </w:trPr>
        <w:tc>
          <w:tcPr>
            <w:tcW w:w="280" w:type="dxa"/>
            <w:vAlign w:val="bottom"/>
            <w:tcBorders>
              <w:bottom w:val="single" w:sz="8" w:color="CED8EA"/>
            </w:tcBorders>
            <w:shd w:val="clear" w:color="auto" w:fill="CED8EA"/>
          </w:tcPr>
          <w:p>
            <w:pPr>
              <w:spacing w:after="0"/>
              <w:rPr>
                <w:sz w:val="18"/>
                <w:szCs w:val="18"/>
                <w:color w:val="auto"/>
              </w:rPr>
            </w:pPr>
          </w:p>
        </w:tc>
        <w:tc>
          <w:tcPr>
            <w:tcW w:w="1220" w:type="dxa"/>
            <w:vAlign w:val="bottom"/>
            <w:tcBorders>
              <w:bottom w:val="single" w:sz="8" w:color="CED8EA"/>
            </w:tcBorders>
            <w:shd w:val="clear" w:color="auto" w:fill="CED8EA"/>
          </w:tcPr>
          <w:p>
            <w:pPr>
              <w:spacing w:after="0"/>
              <w:rPr>
                <w:sz w:val="18"/>
                <w:szCs w:val="18"/>
                <w:color w:val="auto"/>
              </w:rPr>
            </w:pPr>
          </w:p>
        </w:tc>
        <w:tc>
          <w:tcPr>
            <w:tcW w:w="160" w:type="dxa"/>
            <w:vAlign w:val="bottom"/>
            <w:tcBorders>
              <w:bottom w:val="single" w:sz="8" w:color="CED8EA"/>
            </w:tcBorders>
            <w:shd w:val="clear" w:color="auto" w:fill="CED8EA"/>
          </w:tcPr>
          <w:p>
            <w:pPr>
              <w:spacing w:after="0"/>
              <w:rPr>
                <w:sz w:val="18"/>
                <w:szCs w:val="18"/>
                <w:color w:val="auto"/>
              </w:rPr>
            </w:pPr>
          </w:p>
        </w:tc>
        <w:tc>
          <w:tcPr>
            <w:tcW w:w="2380" w:type="dxa"/>
            <w:vAlign w:val="bottom"/>
            <w:tcBorders>
              <w:bottom w:val="single" w:sz="8" w:color="02568A"/>
            </w:tcBorders>
            <w:shd w:val="clear" w:color="auto" w:fill="CED8EA"/>
          </w:tcPr>
          <w:p>
            <w:pPr>
              <w:spacing w:after="0"/>
              <w:rPr>
                <w:sz w:val="20"/>
                <w:szCs w:val="20"/>
                <w:color w:val="auto"/>
              </w:rPr>
            </w:pPr>
            <w:r>
              <w:rPr>
                <w:rFonts w:ascii="Arial" w:cs="Arial" w:eastAsia="Arial" w:hAnsi="Arial"/>
                <w:sz w:val="18"/>
                <w:szCs w:val="18"/>
                <w:color w:val="02568A"/>
              </w:rPr>
              <w:t>Medical</w:t>
            </w:r>
          </w:p>
        </w:tc>
        <w:tc>
          <w:tcPr>
            <w:tcW w:w="1660" w:type="dxa"/>
            <w:vAlign w:val="bottom"/>
            <w:tcBorders>
              <w:bottom w:val="single" w:sz="8" w:color="02568A"/>
            </w:tcBorders>
            <w:shd w:val="clear" w:color="auto" w:fill="CED8EA"/>
          </w:tcPr>
          <w:p>
            <w:pPr>
              <w:jc w:val="right"/>
              <w:ind w:right="12"/>
              <w:spacing w:after="0"/>
              <w:rPr>
                <w:sz w:val="20"/>
                <w:szCs w:val="20"/>
                <w:color w:val="auto"/>
              </w:rPr>
            </w:pPr>
            <w:r>
              <w:rPr>
                <w:rFonts w:ascii="Arial" w:cs="Arial" w:eastAsia="Arial" w:hAnsi="Arial"/>
                <w:sz w:val="18"/>
                <w:szCs w:val="18"/>
                <w:color w:val="02568A"/>
              </w:rPr>
              <w:t>18,853</w:t>
            </w:r>
          </w:p>
        </w:tc>
        <w:tc>
          <w:tcPr>
            <w:tcW w:w="1760" w:type="dxa"/>
            <w:vAlign w:val="bottom"/>
            <w:tcBorders>
              <w:bottom w:val="single" w:sz="8" w:color="02568A"/>
            </w:tcBorders>
            <w:shd w:val="clear" w:color="auto" w:fill="CED8EA"/>
          </w:tcPr>
          <w:p>
            <w:pPr>
              <w:jc w:val="right"/>
              <w:ind w:right="12"/>
              <w:spacing w:after="0"/>
              <w:rPr>
                <w:sz w:val="20"/>
                <w:szCs w:val="20"/>
                <w:color w:val="auto"/>
              </w:rPr>
            </w:pPr>
            <w:r>
              <w:rPr>
                <w:rFonts w:ascii="Arial" w:cs="Arial" w:eastAsia="Arial" w:hAnsi="Arial"/>
                <w:sz w:val="18"/>
                <w:szCs w:val="18"/>
                <w:color w:val="02568A"/>
              </w:rPr>
              <w:t>28,280</w:t>
            </w:r>
          </w:p>
        </w:tc>
        <w:tc>
          <w:tcPr>
            <w:tcW w:w="1640" w:type="dxa"/>
            <w:vAlign w:val="bottom"/>
            <w:tcBorders>
              <w:bottom w:val="single" w:sz="8" w:color="02568A"/>
            </w:tcBorders>
            <w:shd w:val="clear" w:color="auto" w:fill="CED8EA"/>
          </w:tcPr>
          <w:p>
            <w:pPr>
              <w:jc w:val="right"/>
              <w:ind w:right="192"/>
              <w:spacing w:after="0"/>
              <w:rPr>
                <w:sz w:val="20"/>
                <w:szCs w:val="20"/>
                <w:color w:val="auto"/>
              </w:rPr>
            </w:pPr>
            <w:r>
              <w:rPr>
                <w:rFonts w:ascii="Arial" w:cs="Arial" w:eastAsia="Arial" w:hAnsi="Arial"/>
                <w:sz w:val="18"/>
                <w:szCs w:val="18"/>
                <w:color w:val="02568A"/>
              </w:rPr>
              <w:t>—</w:t>
            </w:r>
          </w:p>
        </w:tc>
        <w:tc>
          <w:tcPr>
            <w:tcW w:w="0" w:type="dxa"/>
            <w:vAlign w:val="bottom"/>
          </w:tcPr>
          <w:p>
            <w:pPr>
              <w:spacing w:after="0"/>
              <w:rPr>
                <w:sz w:val="1"/>
                <w:szCs w:val="1"/>
                <w:color w:val="auto"/>
              </w:rPr>
            </w:pPr>
          </w:p>
        </w:tc>
      </w:tr>
      <w:tr>
        <w:trPr>
          <w:trHeight w:val="210"/>
        </w:trPr>
        <w:tc>
          <w:tcPr>
            <w:tcW w:w="280" w:type="dxa"/>
            <w:vAlign w:val="bottom"/>
            <w:tcBorders>
              <w:bottom w:val="single" w:sz="8" w:color="02568A"/>
            </w:tcBorders>
            <w:shd w:val="clear" w:color="auto" w:fill="CED8EA"/>
          </w:tcPr>
          <w:p>
            <w:pPr>
              <w:spacing w:after="0"/>
              <w:rPr>
                <w:sz w:val="18"/>
                <w:szCs w:val="18"/>
                <w:color w:val="auto"/>
              </w:rPr>
            </w:pPr>
          </w:p>
        </w:tc>
        <w:tc>
          <w:tcPr>
            <w:tcW w:w="1220" w:type="dxa"/>
            <w:vAlign w:val="bottom"/>
            <w:tcBorders>
              <w:bottom w:val="single" w:sz="8" w:color="02568A"/>
            </w:tcBorders>
            <w:shd w:val="clear" w:color="auto" w:fill="CED8EA"/>
          </w:tcPr>
          <w:p>
            <w:pPr>
              <w:spacing w:after="0"/>
              <w:rPr>
                <w:sz w:val="18"/>
                <w:szCs w:val="18"/>
                <w:color w:val="auto"/>
              </w:rPr>
            </w:pPr>
          </w:p>
        </w:tc>
        <w:tc>
          <w:tcPr>
            <w:tcW w:w="160" w:type="dxa"/>
            <w:vAlign w:val="bottom"/>
            <w:tcBorders>
              <w:bottom w:val="single" w:sz="8" w:color="02568A"/>
            </w:tcBorders>
            <w:shd w:val="clear" w:color="auto" w:fill="CED8EA"/>
          </w:tcPr>
          <w:p>
            <w:pPr>
              <w:spacing w:after="0"/>
              <w:rPr>
                <w:sz w:val="18"/>
                <w:szCs w:val="18"/>
                <w:color w:val="auto"/>
              </w:rPr>
            </w:pPr>
          </w:p>
        </w:tc>
        <w:tc>
          <w:tcPr>
            <w:tcW w:w="2380" w:type="dxa"/>
            <w:vAlign w:val="bottom"/>
            <w:tcBorders>
              <w:bottom w:val="single" w:sz="8" w:color="02568A"/>
            </w:tcBorders>
            <w:shd w:val="clear" w:color="auto" w:fill="CED8EA"/>
          </w:tcPr>
          <w:p>
            <w:pPr>
              <w:spacing w:after="0"/>
              <w:rPr>
                <w:sz w:val="20"/>
                <w:szCs w:val="20"/>
                <w:color w:val="auto"/>
              </w:rPr>
            </w:pPr>
            <w:r>
              <w:rPr>
                <w:rFonts w:ascii="Arial" w:cs="Arial" w:eastAsia="Arial" w:hAnsi="Arial"/>
                <w:sz w:val="18"/>
                <w:szCs w:val="18"/>
                <w:b w:val="1"/>
                <w:bCs w:val="1"/>
                <w:color w:val="02568A"/>
              </w:rPr>
              <w:t>TOTAL</w:t>
            </w:r>
          </w:p>
        </w:tc>
        <w:tc>
          <w:tcPr>
            <w:tcW w:w="1660" w:type="dxa"/>
            <w:vAlign w:val="bottom"/>
            <w:tcBorders>
              <w:bottom w:val="single" w:sz="8" w:color="02568A"/>
            </w:tcBorders>
            <w:shd w:val="clear" w:color="auto" w:fill="CED8EA"/>
          </w:tcPr>
          <w:p>
            <w:pPr>
              <w:jc w:val="right"/>
              <w:ind w:right="12"/>
              <w:spacing w:after="0"/>
              <w:rPr>
                <w:sz w:val="20"/>
                <w:szCs w:val="20"/>
                <w:color w:val="auto"/>
              </w:rPr>
            </w:pPr>
            <w:r>
              <w:rPr>
                <w:rFonts w:ascii="Arial" w:cs="Arial" w:eastAsia="Arial" w:hAnsi="Arial"/>
                <w:sz w:val="18"/>
                <w:szCs w:val="18"/>
                <w:b w:val="1"/>
                <w:bCs w:val="1"/>
                <w:color w:val="02568A"/>
              </w:rPr>
              <w:t>428,853</w:t>
            </w:r>
          </w:p>
        </w:tc>
        <w:tc>
          <w:tcPr>
            <w:tcW w:w="1760" w:type="dxa"/>
            <w:vAlign w:val="bottom"/>
            <w:tcBorders>
              <w:bottom w:val="single" w:sz="8" w:color="02568A"/>
            </w:tcBorders>
            <w:shd w:val="clear" w:color="auto" w:fill="CED8EA"/>
          </w:tcPr>
          <w:p>
            <w:pPr>
              <w:jc w:val="right"/>
              <w:ind w:right="12"/>
              <w:spacing w:after="0"/>
              <w:rPr>
                <w:sz w:val="20"/>
                <w:szCs w:val="20"/>
                <w:color w:val="auto"/>
              </w:rPr>
            </w:pPr>
            <w:r>
              <w:rPr>
                <w:rFonts w:ascii="Arial" w:cs="Arial" w:eastAsia="Arial" w:hAnsi="Arial"/>
                <w:sz w:val="18"/>
                <w:szCs w:val="18"/>
                <w:b w:val="1"/>
                <w:bCs w:val="1"/>
                <w:color w:val="02568A"/>
              </w:rPr>
              <w:t>3,836,437</w:t>
            </w:r>
          </w:p>
        </w:tc>
        <w:tc>
          <w:tcPr>
            <w:tcW w:w="1640" w:type="dxa"/>
            <w:vAlign w:val="bottom"/>
            <w:tcBorders>
              <w:bottom w:val="single" w:sz="8" w:color="02568A"/>
            </w:tcBorders>
            <w:shd w:val="clear" w:color="auto" w:fill="CED8EA"/>
          </w:tcPr>
          <w:p>
            <w:pPr>
              <w:jc w:val="right"/>
              <w:ind w:right="192"/>
              <w:spacing w:after="0"/>
              <w:rPr>
                <w:sz w:val="20"/>
                <w:szCs w:val="20"/>
                <w:color w:val="auto"/>
              </w:rPr>
            </w:pPr>
            <w:r>
              <w:rPr>
                <w:rFonts w:ascii="Arial" w:cs="Arial" w:eastAsia="Arial" w:hAnsi="Arial"/>
                <w:sz w:val="18"/>
                <w:szCs w:val="18"/>
                <w:b w:val="1"/>
                <w:bCs w:val="1"/>
                <w:color w:val="02568A"/>
              </w:rPr>
              <w:t>2,332,157</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49"/>
        <w:spacing w:after="0"/>
        <w:tabs>
          <w:tab w:leader="none" w:pos="1680" w:val="left"/>
        </w:tabs>
        <w:numPr>
          <w:ilvl w:val="0"/>
          <w:numId w:val="63"/>
        </w:numPr>
        <w:rPr>
          <w:rFonts w:ascii="Arial" w:cs="Arial" w:eastAsia="Arial" w:hAnsi="Arial"/>
          <w:sz w:val="18"/>
          <w:szCs w:val="18"/>
          <w:color w:val="191919"/>
        </w:rPr>
      </w:pPr>
      <w:r>
        <w:rPr>
          <w:rFonts w:ascii="Arial" w:cs="Arial" w:eastAsia="Arial" w:hAnsi="Arial"/>
          <w:sz w:val="18"/>
          <w:szCs w:val="18"/>
          <w:color w:val="191919"/>
        </w:rPr>
        <w:t>For Mr. Griffin, includes amounts payable pursuant to a termination for good reason outside of a change in control.</w:t>
      </w:r>
    </w:p>
    <w:p>
      <w:pPr>
        <w:spacing w:after="0" w:line="36" w:lineRule="exact"/>
        <w:rPr>
          <w:rFonts w:ascii="Arial" w:cs="Arial" w:eastAsia="Arial" w:hAnsi="Arial"/>
          <w:sz w:val="18"/>
          <w:szCs w:val="18"/>
          <w:color w:val="191919"/>
        </w:rPr>
      </w:pPr>
    </w:p>
    <w:p>
      <w:pPr>
        <w:ind w:left="1680" w:hanging="549"/>
        <w:spacing w:after="0"/>
        <w:tabs>
          <w:tab w:leader="none" w:pos="1680" w:val="left"/>
        </w:tabs>
        <w:numPr>
          <w:ilvl w:val="0"/>
          <w:numId w:val="63"/>
        </w:numPr>
        <w:rPr>
          <w:rFonts w:ascii="Arial" w:cs="Arial" w:eastAsia="Arial" w:hAnsi="Arial"/>
          <w:sz w:val="18"/>
          <w:szCs w:val="18"/>
          <w:color w:val="191919"/>
        </w:rPr>
      </w:pPr>
      <w:r>
        <w:rPr>
          <w:rFonts w:ascii="Arial" w:cs="Arial" w:eastAsia="Arial" w:hAnsi="Arial"/>
          <w:sz w:val="18"/>
          <w:szCs w:val="18"/>
          <w:color w:val="191919"/>
        </w:rPr>
        <w:t>Excludes the value of accrued vacation/paid time off required by law to be paid upon termination.</w:t>
      </w:r>
    </w:p>
    <w:p>
      <w:pPr>
        <w:spacing w:after="0" w:line="22" w:lineRule="exact"/>
        <w:rPr>
          <w:rFonts w:ascii="Arial" w:cs="Arial" w:eastAsia="Arial" w:hAnsi="Arial"/>
          <w:sz w:val="18"/>
          <w:szCs w:val="18"/>
          <w:color w:val="191919"/>
        </w:rPr>
      </w:pPr>
    </w:p>
    <w:p>
      <w:pPr>
        <w:ind w:left="1680" w:right="400" w:hanging="549"/>
        <w:spacing w:after="0" w:line="252" w:lineRule="auto"/>
        <w:tabs>
          <w:tab w:leader="none" w:pos="1680" w:val="left"/>
        </w:tabs>
        <w:numPr>
          <w:ilvl w:val="0"/>
          <w:numId w:val="63"/>
        </w:numPr>
        <w:rPr>
          <w:rFonts w:ascii="Arial" w:cs="Arial" w:eastAsia="Arial" w:hAnsi="Arial"/>
          <w:sz w:val="18"/>
          <w:szCs w:val="18"/>
          <w:color w:val="191919"/>
        </w:rPr>
      </w:pPr>
      <w:r>
        <w:rPr>
          <w:rFonts w:ascii="Arial" w:cs="Arial" w:eastAsia="Arial" w:hAnsi="Arial"/>
          <w:sz w:val="18"/>
          <w:szCs w:val="18"/>
          <w:color w:val="191919"/>
        </w:rPr>
        <w:t>Represents an amount equal to two (2) times the sum of (A) Mr. Griffin’s annual base salary as of September 27, 2019, and (B) an Incentive Plan payment, which is equal to Mr. Griffin’s “target” short-term cash incentive award for fiscal year 2019, since such “target” payout level is greater than the three (3) year average of the actual incentive payments made to Mr. Griffin for fiscal years 2016, 2017, and 2018.</w:t>
      </w:r>
    </w:p>
    <w:p>
      <w:pPr>
        <w:spacing w:after="0" w:line="9" w:lineRule="exact"/>
        <w:rPr>
          <w:rFonts w:ascii="Arial" w:cs="Arial" w:eastAsia="Arial" w:hAnsi="Arial"/>
          <w:sz w:val="18"/>
          <w:szCs w:val="18"/>
          <w:color w:val="191919"/>
        </w:rPr>
      </w:pPr>
    </w:p>
    <w:p>
      <w:pPr>
        <w:ind w:left="1680" w:right="40" w:hanging="549"/>
        <w:spacing w:after="0" w:line="213" w:lineRule="auto"/>
        <w:tabs>
          <w:tab w:leader="none" w:pos="1680" w:val="left"/>
        </w:tabs>
        <w:numPr>
          <w:ilvl w:val="0"/>
          <w:numId w:val="63"/>
        </w:numPr>
        <w:rPr>
          <w:rFonts w:ascii="Arial" w:cs="Arial" w:eastAsia="Arial" w:hAnsi="Arial"/>
          <w:sz w:val="35"/>
          <w:szCs w:val="35"/>
          <w:color w:val="191919"/>
          <w:vertAlign w:val="superscript"/>
        </w:rPr>
      </w:pPr>
      <w:r>
        <w:rPr>
          <w:rFonts w:ascii="Arial" w:cs="Arial" w:eastAsia="Arial" w:hAnsi="Arial"/>
          <w:sz w:val="18"/>
          <w:szCs w:val="18"/>
          <w:color w:val="191919"/>
        </w:rPr>
        <w:t>Represents an amount equal to two and one-half (2</w:t>
      </w:r>
      <w:r>
        <w:rPr>
          <w:rFonts w:ascii="Arial" w:cs="Arial" w:eastAsia="Arial" w:hAnsi="Arial"/>
          <w:sz w:val="29"/>
          <w:szCs w:val="29"/>
          <w:color w:val="191919"/>
          <w:vertAlign w:val="superscript"/>
        </w:rPr>
        <w:t>1</w:t>
      </w:r>
      <w:r>
        <w:rPr>
          <w:rFonts w:ascii="Arial" w:cs="Arial" w:eastAsia="Arial" w:hAnsi="Arial"/>
          <w:sz w:val="18"/>
          <w:szCs w:val="18"/>
          <w:color w:val="191919"/>
        </w:rPr>
        <w:t>/</w:t>
      </w:r>
      <w:r>
        <w:rPr>
          <w:rFonts w:ascii="Arial" w:cs="Arial" w:eastAsia="Arial" w:hAnsi="Arial"/>
          <w:sz w:val="14"/>
          <w:szCs w:val="14"/>
          <w:color w:val="191919"/>
        </w:rPr>
        <w:t>2</w:t>
      </w:r>
      <w:r>
        <w:rPr>
          <w:rFonts w:ascii="Arial" w:cs="Arial" w:eastAsia="Arial" w:hAnsi="Arial"/>
          <w:sz w:val="18"/>
          <w:szCs w:val="18"/>
          <w:color w:val="191919"/>
        </w:rPr>
        <w:t>) times the sum of (A) Mr. Griffin’s annual base salary as of September 27, 2019, and (B) an Incentive Plan payment, which is equal to Mr. Griffin’s “target” short-term cash incentive award for fiscal year 2019, since such “target” payout level is greater than the three (3) year average of the actual incentive payments made to Mr. Griffin for fiscal years 2016, 2017, and 2018.</w:t>
      </w:r>
    </w:p>
    <w:p>
      <w:pPr>
        <w:spacing w:after="0" w:line="22" w:lineRule="exact"/>
        <w:rPr>
          <w:rFonts w:ascii="Arial" w:cs="Arial" w:eastAsia="Arial" w:hAnsi="Arial"/>
          <w:sz w:val="35"/>
          <w:szCs w:val="35"/>
          <w:color w:val="191919"/>
          <w:vertAlign w:val="superscript"/>
        </w:rPr>
      </w:pPr>
    </w:p>
    <w:p>
      <w:pPr>
        <w:ind w:left="1680" w:hanging="549"/>
        <w:spacing w:after="0"/>
        <w:tabs>
          <w:tab w:leader="none" w:pos="1680" w:val="left"/>
        </w:tabs>
        <w:numPr>
          <w:ilvl w:val="0"/>
          <w:numId w:val="63"/>
        </w:numPr>
        <w:rPr>
          <w:rFonts w:ascii="Arial" w:cs="Arial" w:eastAsia="Arial" w:hAnsi="Arial"/>
          <w:sz w:val="18"/>
          <w:szCs w:val="18"/>
          <w:color w:val="191919"/>
        </w:rPr>
      </w:pPr>
      <w:r>
        <w:rPr>
          <w:rFonts w:ascii="Arial" w:cs="Arial" w:eastAsia="Arial" w:hAnsi="Arial"/>
          <w:sz w:val="18"/>
          <w:szCs w:val="18"/>
          <w:color w:val="191919"/>
        </w:rPr>
        <w:t>Represents an amount equal to the Named Executive Officer’s annual base salary as of September 27, 2019.</w:t>
      </w:r>
    </w:p>
    <w:p>
      <w:pPr>
        <w:spacing w:after="0" w:line="23" w:lineRule="exact"/>
        <w:rPr>
          <w:rFonts w:ascii="Arial" w:cs="Arial" w:eastAsia="Arial" w:hAnsi="Arial"/>
          <w:sz w:val="18"/>
          <w:szCs w:val="18"/>
          <w:color w:val="191919"/>
        </w:rPr>
      </w:pPr>
    </w:p>
    <w:p>
      <w:pPr>
        <w:ind w:left="1680" w:right="240" w:hanging="549"/>
        <w:spacing w:after="0" w:line="223" w:lineRule="auto"/>
        <w:tabs>
          <w:tab w:leader="none" w:pos="1680" w:val="left"/>
        </w:tabs>
        <w:numPr>
          <w:ilvl w:val="0"/>
          <w:numId w:val="63"/>
        </w:numPr>
        <w:rPr>
          <w:rFonts w:ascii="Arial" w:cs="Arial" w:eastAsia="Arial" w:hAnsi="Arial"/>
          <w:sz w:val="34"/>
          <w:szCs w:val="34"/>
          <w:color w:val="191919"/>
          <w:vertAlign w:val="superscript"/>
        </w:rPr>
      </w:pPr>
      <w:r>
        <w:rPr>
          <w:rFonts w:ascii="Arial" w:cs="Arial" w:eastAsia="Arial" w:hAnsi="Arial"/>
          <w:sz w:val="17"/>
          <w:szCs w:val="17"/>
          <w:color w:val="191919"/>
        </w:rPr>
        <w:t>Represents an amount equal to one and one-half (1</w:t>
      </w:r>
      <w:r>
        <w:rPr>
          <w:rFonts w:ascii="Arial" w:cs="Arial" w:eastAsia="Arial" w:hAnsi="Arial"/>
          <w:sz w:val="28"/>
          <w:szCs w:val="28"/>
          <w:color w:val="191919"/>
          <w:vertAlign w:val="superscript"/>
        </w:rPr>
        <w:t>1</w:t>
      </w:r>
      <w:r>
        <w:rPr>
          <w:rFonts w:ascii="Arial" w:cs="Arial" w:eastAsia="Arial" w:hAnsi="Arial"/>
          <w:sz w:val="17"/>
          <w:szCs w:val="17"/>
          <w:color w:val="191919"/>
        </w:rPr>
        <w:t>/</w:t>
      </w:r>
      <w:r>
        <w:rPr>
          <w:rFonts w:ascii="Arial" w:cs="Arial" w:eastAsia="Arial" w:hAnsi="Arial"/>
          <w:sz w:val="14"/>
          <w:szCs w:val="14"/>
          <w:color w:val="191919"/>
        </w:rPr>
        <w:t>2</w:t>
      </w:r>
      <w:r>
        <w:rPr>
          <w:rFonts w:ascii="Arial" w:cs="Arial" w:eastAsia="Arial" w:hAnsi="Arial"/>
          <w:sz w:val="17"/>
          <w:szCs w:val="17"/>
          <w:color w:val="191919"/>
        </w:rPr>
        <w:t>) times the sum of (A) the Named Executive Officer’s annual base salary as of September 27, 2019, and (B) an Incentive Plan payment, which is equal to the Named Executive Officer’s “target” short-term cash incentive award for fiscal year 2019, since such “target” payout level is greater than the three (3) year average of the actual incentive payments made to the Named Executive Officer for fiscal years 2016, 2017, and 2018.</w:t>
      </w:r>
    </w:p>
    <w:p>
      <w:pPr>
        <w:spacing w:after="0" w:line="8" w:lineRule="exact"/>
        <w:rPr>
          <w:rFonts w:ascii="Arial" w:cs="Arial" w:eastAsia="Arial" w:hAnsi="Arial"/>
          <w:sz w:val="34"/>
          <w:szCs w:val="34"/>
          <w:color w:val="191919"/>
          <w:vertAlign w:val="superscript"/>
        </w:rPr>
      </w:pPr>
    </w:p>
    <w:p>
      <w:pPr>
        <w:ind w:left="1680" w:right="280" w:hanging="549"/>
        <w:spacing w:after="0" w:line="256" w:lineRule="auto"/>
        <w:tabs>
          <w:tab w:leader="none" w:pos="1680" w:val="left"/>
        </w:tabs>
        <w:numPr>
          <w:ilvl w:val="0"/>
          <w:numId w:val="63"/>
        </w:numPr>
        <w:rPr>
          <w:rFonts w:ascii="Arial" w:cs="Arial" w:eastAsia="Arial" w:hAnsi="Arial"/>
          <w:sz w:val="18"/>
          <w:szCs w:val="18"/>
          <w:color w:val="191919"/>
        </w:rPr>
      </w:pPr>
      <w:r>
        <w:rPr>
          <w:rFonts w:ascii="Arial" w:cs="Arial" w:eastAsia="Arial" w:hAnsi="Arial"/>
          <w:sz w:val="18"/>
          <w:szCs w:val="18"/>
          <w:color w:val="191919"/>
        </w:rPr>
        <w:t>Represents an amount equal to two (2) times the sum of (A) Mr. Gammel’s annual base salary as of September 27, 2019, and (B) an Incentive Plan payment, which is equal to Mr. Gammel’s “target” short-term cash incentive award for fiscal year 2019, since such “target” payout level is greater than the three (3) year average of the actual incentive payments made to Mr. Gammel for fiscal years 2016, 2017, and 2018.</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673"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CEO Pay Ratio</w:t>
      </w:r>
    </w:p>
    <w:p>
      <w:pPr>
        <w:spacing w:after="0" w:line="200" w:lineRule="exact"/>
        <w:rPr>
          <w:sz w:val="20"/>
          <w:szCs w:val="20"/>
          <w:color w:val="auto"/>
        </w:rPr>
      </w:pPr>
    </w:p>
    <w:p>
      <w:pPr>
        <w:spacing w:after="0" w:line="2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191919"/>
        </w:rPr>
        <w:t>Following is a reasonable estimate, prepared under applicable SEC rules, of the ratio of the annual total compensation of our Chief Executive Officer to the median of the annual total compensation of our other employees. For fiscal year 2019:</w:t>
      </w:r>
    </w:p>
    <w:p>
      <w:pPr>
        <w:spacing w:after="0" w:line="210" w:lineRule="exact"/>
        <w:rPr>
          <w:sz w:val="20"/>
          <w:szCs w:val="20"/>
          <w:color w:val="auto"/>
        </w:rPr>
      </w:pPr>
    </w:p>
    <w:p>
      <w:pPr>
        <w:ind w:left="540" w:right="20" w:hanging="532"/>
        <w:spacing w:after="0" w:line="254" w:lineRule="auto"/>
        <w:tabs>
          <w:tab w:leader="none" w:pos="540" w:val="left"/>
        </w:tabs>
        <w:numPr>
          <w:ilvl w:val="0"/>
          <w:numId w:val="64"/>
        </w:numPr>
        <w:rPr>
          <w:rFonts w:ascii="Arial" w:cs="Arial" w:eastAsia="Arial" w:hAnsi="Arial"/>
          <w:sz w:val="18"/>
          <w:szCs w:val="18"/>
          <w:color w:val="191919"/>
        </w:rPr>
      </w:pPr>
      <w:r>
        <w:rPr>
          <w:rFonts w:ascii="Arial" w:cs="Arial" w:eastAsia="Arial" w:hAnsi="Arial"/>
          <w:sz w:val="18"/>
          <w:szCs w:val="18"/>
          <w:color w:val="191919"/>
        </w:rPr>
        <w:t>The annual total compensation of our Chief Executive Officer was $13,660,593.</w:t>
      </w:r>
    </w:p>
    <w:p>
      <w:pPr>
        <w:spacing w:after="0" w:line="20" w:lineRule="exact"/>
        <w:rPr>
          <w:rFonts w:ascii="Arial" w:cs="Arial" w:eastAsia="Arial" w:hAnsi="Arial"/>
          <w:sz w:val="18"/>
          <w:szCs w:val="18"/>
          <w:color w:val="191919"/>
        </w:rPr>
      </w:pPr>
    </w:p>
    <w:p>
      <w:pPr>
        <w:ind w:left="540" w:right="540" w:hanging="532"/>
        <w:spacing w:after="0" w:line="254" w:lineRule="auto"/>
        <w:tabs>
          <w:tab w:leader="none" w:pos="540" w:val="left"/>
        </w:tabs>
        <w:numPr>
          <w:ilvl w:val="0"/>
          <w:numId w:val="64"/>
        </w:numPr>
        <w:rPr>
          <w:rFonts w:ascii="Arial" w:cs="Arial" w:eastAsia="Arial" w:hAnsi="Arial"/>
          <w:sz w:val="18"/>
          <w:szCs w:val="18"/>
          <w:color w:val="191919"/>
        </w:rPr>
      </w:pPr>
      <w:r>
        <w:rPr>
          <w:rFonts w:ascii="Arial" w:cs="Arial" w:eastAsia="Arial" w:hAnsi="Arial"/>
          <w:sz w:val="18"/>
          <w:szCs w:val="18"/>
          <w:color w:val="191919"/>
        </w:rPr>
        <w:t>The annual total compensation of our median compensated employee was $21,852.</w:t>
      </w:r>
    </w:p>
    <w:p>
      <w:pPr>
        <w:spacing w:after="0" w:line="7" w:lineRule="exact"/>
        <w:rPr>
          <w:rFonts w:ascii="Arial" w:cs="Arial" w:eastAsia="Arial" w:hAnsi="Arial"/>
          <w:sz w:val="18"/>
          <w:szCs w:val="18"/>
          <w:color w:val="191919"/>
        </w:rPr>
      </w:pPr>
    </w:p>
    <w:p>
      <w:pPr>
        <w:ind w:left="540" w:right="80" w:hanging="532"/>
        <w:spacing w:after="0" w:line="259" w:lineRule="auto"/>
        <w:tabs>
          <w:tab w:leader="none" w:pos="540" w:val="left"/>
        </w:tabs>
        <w:numPr>
          <w:ilvl w:val="0"/>
          <w:numId w:val="64"/>
        </w:numPr>
        <w:rPr>
          <w:rFonts w:ascii="Arial" w:cs="Arial" w:eastAsia="Arial" w:hAnsi="Arial"/>
          <w:sz w:val="18"/>
          <w:szCs w:val="18"/>
          <w:color w:val="191919"/>
        </w:rPr>
      </w:pPr>
      <w:r>
        <w:rPr>
          <w:rFonts w:ascii="Arial" w:cs="Arial" w:eastAsia="Arial" w:hAnsi="Arial"/>
          <w:sz w:val="18"/>
          <w:szCs w:val="18"/>
          <w:color w:val="191919"/>
        </w:rPr>
        <w:t>Based on the foregoing, we estimate that our Chief Executive Officer’s total annual compensation was approximately 625 times that of our median employee.</w:t>
      </w:r>
    </w:p>
    <w:p>
      <w:pPr>
        <w:spacing w:after="0" w:line="194" w:lineRule="exact"/>
        <w:rPr>
          <w:sz w:val="20"/>
          <w:szCs w:val="20"/>
          <w:color w:val="auto"/>
        </w:rPr>
      </w:pPr>
    </w:p>
    <w:p>
      <w:pPr>
        <w:jc w:val="both"/>
        <w:ind w:right="680"/>
        <w:spacing w:after="0" w:line="259" w:lineRule="auto"/>
        <w:rPr>
          <w:sz w:val="20"/>
          <w:szCs w:val="20"/>
          <w:color w:val="auto"/>
        </w:rPr>
      </w:pPr>
      <w:r>
        <w:rPr>
          <w:rFonts w:ascii="Arial" w:cs="Arial" w:eastAsia="Arial" w:hAnsi="Arial"/>
          <w:sz w:val="18"/>
          <w:szCs w:val="18"/>
          <w:color w:val="191919"/>
        </w:rPr>
        <w:t>To determine the median of the annual total compensation of our employees, we applied the following methodology and material assumptions:</w:t>
      </w:r>
    </w:p>
    <w:p>
      <w:pPr>
        <w:spacing w:after="0" w:line="207" w:lineRule="exact"/>
        <w:rPr>
          <w:sz w:val="20"/>
          <w:szCs w:val="20"/>
          <w:color w:val="auto"/>
        </w:rPr>
      </w:pPr>
    </w:p>
    <w:p>
      <w:pPr>
        <w:ind w:left="540" w:hanging="532"/>
        <w:spacing w:after="0" w:line="282" w:lineRule="auto"/>
        <w:tabs>
          <w:tab w:leader="none" w:pos="540" w:val="left"/>
        </w:tabs>
        <w:numPr>
          <w:ilvl w:val="0"/>
          <w:numId w:val="65"/>
        </w:numPr>
        <w:rPr>
          <w:rFonts w:ascii="Arial" w:cs="Arial" w:eastAsia="Arial" w:hAnsi="Arial"/>
          <w:sz w:val="16"/>
          <w:szCs w:val="16"/>
          <w:color w:val="191919"/>
        </w:rPr>
      </w:pPr>
      <w:r>
        <w:rPr>
          <w:rFonts w:ascii="Arial" w:cs="Arial" w:eastAsia="Arial" w:hAnsi="Arial"/>
          <w:sz w:val="16"/>
          <w:szCs w:val="16"/>
          <w:color w:val="191919"/>
        </w:rPr>
        <w:t>We did not use the de minimis exception to exclude any non-U.S. employees. We have a globally diverse workforce with total headcount of approximately 9,200 as of September 27, 2019, of which approximately 7,000 are located outside the United States, primarily in locations employing large direct labor forces such as Mexico and Singapore where wages are significantly lower than in the United States. The median employee identified within this employee population as of September 27, 2019, is a full-time employee in our Singapore facility.</w:t>
      </w:r>
    </w:p>
    <w:p>
      <w:pPr>
        <w:spacing w:after="0" w:line="25" w:lineRule="exact"/>
        <w:rPr>
          <w:rFonts w:ascii="Arial" w:cs="Arial" w:eastAsia="Arial" w:hAnsi="Arial"/>
          <w:sz w:val="16"/>
          <w:szCs w:val="16"/>
          <w:color w:val="191919"/>
        </w:rPr>
      </w:pPr>
    </w:p>
    <w:p>
      <w:pPr>
        <w:ind w:left="540" w:right="60" w:hanging="532"/>
        <w:spacing w:after="0" w:line="306" w:lineRule="auto"/>
        <w:tabs>
          <w:tab w:leader="none" w:pos="540" w:val="left"/>
        </w:tabs>
        <w:numPr>
          <w:ilvl w:val="0"/>
          <w:numId w:val="65"/>
        </w:numPr>
        <w:rPr>
          <w:rFonts w:ascii="Arial" w:cs="Arial" w:eastAsia="Arial" w:hAnsi="Arial"/>
          <w:sz w:val="16"/>
          <w:szCs w:val="16"/>
          <w:color w:val="191919"/>
        </w:rPr>
      </w:pPr>
      <w:r>
        <w:rPr>
          <w:rFonts w:ascii="Arial" w:cs="Arial" w:eastAsia="Arial" w:hAnsi="Arial"/>
          <w:sz w:val="16"/>
          <w:szCs w:val="16"/>
          <w:color w:val="191919"/>
        </w:rPr>
        <w:t>To identify the median employee, we used a consistently applied compensation measure that included total taxable earnings paid to our employees in the most recently completed taxable</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62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0" w:right="40"/>
        <w:spacing w:after="0" w:line="314" w:lineRule="auto"/>
        <w:rPr>
          <w:sz w:val="20"/>
          <w:szCs w:val="20"/>
          <w:color w:val="auto"/>
        </w:rPr>
      </w:pPr>
      <w:r>
        <w:rPr>
          <w:rFonts w:ascii="Arial" w:cs="Arial" w:eastAsia="Arial" w:hAnsi="Arial"/>
          <w:sz w:val="15"/>
          <w:szCs w:val="15"/>
          <w:color w:val="191919"/>
        </w:rPr>
        <w:t>year in their respective jurisdictions. This included base salary, overtime pay, shift premiums, recognition bonuses, annual cash incentive awards, and long-term stock-based incentive awards. We annualized the compensation of permanent, full-time, and part-time employees who were hired after the beginning of the most recently completed taxable year in their respective jurisdictions.</w:t>
      </w:r>
    </w:p>
    <w:p>
      <w:pPr>
        <w:spacing w:after="0" w:line="172" w:lineRule="exact"/>
        <w:rPr>
          <w:sz w:val="20"/>
          <w:szCs w:val="20"/>
          <w:color w:val="auto"/>
        </w:rPr>
      </w:pPr>
    </w:p>
    <w:p>
      <w:pPr>
        <w:ind w:left="540" w:right="120" w:hanging="539"/>
        <w:spacing w:after="0" w:line="252" w:lineRule="auto"/>
        <w:tabs>
          <w:tab w:leader="none" w:pos="540" w:val="left"/>
        </w:tabs>
        <w:numPr>
          <w:ilvl w:val="0"/>
          <w:numId w:val="66"/>
        </w:numPr>
        <w:rPr>
          <w:rFonts w:ascii="Arial" w:cs="Arial" w:eastAsia="Arial" w:hAnsi="Arial"/>
          <w:sz w:val="18"/>
          <w:szCs w:val="18"/>
          <w:color w:val="191919"/>
        </w:rPr>
      </w:pPr>
      <w:r>
        <w:rPr>
          <w:rFonts w:ascii="Arial" w:cs="Arial" w:eastAsia="Arial" w:hAnsi="Arial"/>
          <w:sz w:val="18"/>
          <w:szCs w:val="18"/>
          <w:color w:val="191919"/>
        </w:rPr>
        <w:t>Using this consistently applied compensation measure, we identified an employee at the median and calculated such employee’s total compensation for fiscal year 2019 in accordance with Item 402(c)(2)(x) of Regulation S-K.</w:t>
      </w:r>
    </w:p>
    <w:p>
      <w:pPr>
        <w:spacing w:after="0" w:line="21" w:lineRule="exact"/>
        <w:rPr>
          <w:rFonts w:ascii="Arial" w:cs="Arial" w:eastAsia="Arial" w:hAnsi="Arial"/>
          <w:sz w:val="18"/>
          <w:szCs w:val="18"/>
          <w:color w:val="191919"/>
        </w:rPr>
      </w:pPr>
    </w:p>
    <w:p>
      <w:pPr>
        <w:ind w:left="540" w:right="240" w:hanging="539"/>
        <w:spacing w:after="0" w:line="254" w:lineRule="auto"/>
        <w:tabs>
          <w:tab w:leader="none" w:pos="540" w:val="left"/>
        </w:tabs>
        <w:numPr>
          <w:ilvl w:val="0"/>
          <w:numId w:val="66"/>
        </w:numPr>
        <w:rPr>
          <w:rFonts w:ascii="Arial" w:cs="Arial" w:eastAsia="Arial" w:hAnsi="Arial"/>
          <w:sz w:val="18"/>
          <w:szCs w:val="18"/>
          <w:color w:val="191919"/>
        </w:rPr>
      </w:pPr>
      <w:r>
        <w:rPr>
          <w:rFonts w:ascii="Arial" w:cs="Arial" w:eastAsia="Arial" w:hAnsi="Arial"/>
          <w:sz w:val="18"/>
          <w:szCs w:val="18"/>
          <w:color w:val="191919"/>
        </w:rPr>
        <w:t>We did not use any cost-of-living adjustments in identifying the median employee.</w:t>
      </w:r>
    </w:p>
    <w:p>
      <w:pPr>
        <w:spacing w:after="0" w:line="7" w:lineRule="exact"/>
        <w:rPr>
          <w:rFonts w:ascii="Arial" w:cs="Arial" w:eastAsia="Arial" w:hAnsi="Arial"/>
          <w:sz w:val="18"/>
          <w:szCs w:val="18"/>
          <w:color w:val="191919"/>
        </w:rPr>
      </w:pPr>
    </w:p>
    <w:p>
      <w:pPr>
        <w:ind w:left="540" w:right="200" w:hanging="539"/>
        <w:spacing w:after="0" w:line="259" w:lineRule="auto"/>
        <w:tabs>
          <w:tab w:leader="none" w:pos="540" w:val="left"/>
        </w:tabs>
        <w:numPr>
          <w:ilvl w:val="0"/>
          <w:numId w:val="66"/>
        </w:numPr>
        <w:rPr>
          <w:rFonts w:ascii="Arial" w:cs="Arial" w:eastAsia="Arial" w:hAnsi="Arial"/>
          <w:sz w:val="18"/>
          <w:szCs w:val="18"/>
          <w:color w:val="191919"/>
        </w:rPr>
      </w:pPr>
      <w:r>
        <w:rPr>
          <w:rFonts w:ascii="Arial" w:cs="Arial" w:eastAsia="Arial" w:hAnsi="Arial"/>
          <w:sz w:val="18"/>
          <w:szCs w:val="18"/>
          <w:color w:val="191919"/>
        </w:rPr>
        <w:t>The annual total compensation of our Chief Executive Officer is the amount reported in the “Total” column of our Summary Compensation Table for fiscal year 2019.</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191919"/>
        </w:rPr>
        <w:t>We believe our pay ratio presented above is a reasonable estimate calculated in a manner consistent with Item 402(u) of Regulation S-K. The SEC rules for identifying the median compensated employee and calculating the pay ratio based on that employee’s annual total compensation allow companies to adopt a variety of methodologies, to apply certain exclusions, and to make reasonable estimates and assumptions. As a result,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692150</wp:posOffset>
            </wp:positionV>
            <wp:extent cx="7136130"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40" w:space="720"/>
            <w:col w:w="5260"/>
          </w:cols>
          <w:pgMar w:left="320" w:top="131" w:right="359" w:bottom="1440" w:gutter="0" w:footer="0" w:header="0"/>
        </w:sectPr>
      </w:pPr>
    </w:p>
    <w:bookmarkStart w:id="58" w:name="page59"/>
    <w:bookmarkEnd w:id="58"/>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p>
      <w:pPr>
        <w:spacing w:after="0" w:line="294" w:lineRule="exact"/>
        <w:rPr>
          <w:sz w:val="20"/>
          <w:szCs w:val="20"/>
          <w:color w:val="auto"/>
        </w:rPr>
      </w:pPr>
    </w:p>
    <w:p>
      <w:pPr>
        <w:spacing w:after="0"/>
        <w:rPr>
          <w:sz w:val="20"/>
          <w:szCs w:val="20"/>
          <w:color w:val="auto"/>
        </w:rPr>
      </w:pPr>
      <w:r>
        <w:rPr>
          <w:rFonts w:ascii="Arial" w:cs="Arial" w:eastAsia="Arial" w:hAnsi="Arial"/>
          <w:sz w:val="32"/>
          <w:szCs w:val="32"/>
          <w:b w:val="1"/>
          <w:bCs w:val="1"/>
          <w:color w:val="02568A"/>
        </w:rPr>
        <w:t>Director Compensation</w:t>
      </w:r>
    </w:p>
    <w:p>
      <w:pPr>
        <w:spacing w:after="0" w:line="200" w:lineRule="exact"/>
        <w:rPr>
          <w:sz w:val="20"/>
          <w:szCs w:val="20"/>
          <w:color w:val="auto"/>
        </w:rPr>
      </w:pPr>
    </w:p>
    <w:p>
      <w:pPr>
        <w:spacing w:after="0" w:line="261" w:lineRule="exact"/>
        <w:rPr>
          <w:sz w:val="20"/>
          <w:szCs w:val="20"/>
          <w:color w:val="auto"/>
        </w:rPr>
      </w:pPr>
    </w:p>
    <w:p>
      <w:pPr>
        <w:spacing w:after="0" w:line="288" w:lineRule="auto"/>
        <w:rPr>
          <w:sz w:val="20"/>
          <w:szCs w:val="20"/>
          <w:color w:val="auto"/>
        </w:rPr>
      </w:pPr>
      <w:r>
        <w:rPr>
          <w:rFonts w:ascii="Arial" w:cs="Arial" w:eastAsia="Arial" w:hAnsi="Arial"/>
          <w:sz w:val="16"/>
          <w:szCs w:val="16"/>
          <w:color w:val="191919"/>
        </w:rPr>
        <w:t>The Board of Directors sets the compensation for the Company’s non-employee directors, after receiving the recommendations of the Compensation Committee. In formulating its recommendations, the Compensation Committee seeks and receives input from Aon/Radford related to the amounts, terms and conditions of director cash compensation and stock-based compensation awards, with the goal of establishing non-employee director compensation that is similar to, and competitive with, the compensation of non-employee directors at peer companies in the semiconductor industry.</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Cash Compensation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191919"/>
        </w:rPr>
        <w:t>Non-employee directors of the Company are paid, in quarterly</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191919"/>
        </w:rPr>
        <w:t>installments, an annual retainer of $70,000 (which increased to $75,000 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191919"/>
        </w:rPr>
        <w:t>of February 2020). Additional annual retainers for Chairman, Lead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91919"/>
        </w:rPr>
        <w:t>Independent Director, and/or committee service (paid in quarterly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191919"/>
        </w:rPr>
        <w:t>installments) are as follows: any non-employee Chairman of the Board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($130,000); the Lead Independent Director, if one has been appointed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($50,000); the Chairman of the Audit Committee ($30,000); the Chairman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191919"/>
        </w:rPr>
        <w:t>of the Compensation Committee ($20,000); the Chairman of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191919"/>
        </w:rPr>
        <w:t>Nominating and Governance Committee ($15,000); non-chair member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Audit Committee ($12,000, which increased to $15,000 as of February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2020); non-chair member of Compensation Committee ($10,000);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non-chair member of Nominating and Corporate Governance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($5,000, which increased to $7,500 as of February 2020). In addition,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Compensation Committee continues to retain discretion to recommend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the full Board of Directors that additional cash payments be made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non-employee director for extraordinary service during a fiscal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Equity Compensation</w:t>
      </w:r>
    </w:p>
    <w:p>
      <w:pPr>
        <w:spacing w:after="0" w:line="219"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191919"/>
        </w:rPr>
        <w:t>Currently, following each annual meeting of stockholders, each non-employee director who is reelected will receive a grant of RSUs having a value of approximately $200,000. Any newly appointed non-employee director will receive an initial equity grant of RSUs having a value of approximately $200,000. The number of shares subject to a non-employee director’s initial RSU award or annual award is determined by dividing the approximate value of the award, as stated above, by the average closing price per share of the Company’s common stock as reported on the Nasdaq Global Select Market (or if the common stock is not then traded on such market, such other market on which the common stock is traded) for each trading day during the 30 consecutive trading day period ending on, and including, the grant date. Unless otherwise determined by the Board of Directors, (a) a non-employee director’s initial equity grant of RSUs will vest in three (3) equal annual installments on the first three anniversaries of the date of grant, and (b) a non-employee director’s annual equity grant of RSUs will vest on the first anniversary of the date of grant. In the event of a change in control of the Company, any outstanding options and RSUs awarded under the 2008 Director Long-Term Incentive Plan will become fully exercisable and deemed fully vested, respectively.</w:t>
      </w:r>
    </w:p>
    <w:p>
      <w:pPr>
        <w:spacing w:after="0" w:line="169"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191919"/>
        </w:rPr>
        <w:t>No director who is also an employee receives separate compensation for services rendered as a director. Mr. Griffin is currently the only director who is also an employee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149860</wp:posOffset>
            </wp:positionV>
            <wp:extent cx="71361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2">
            <w:col w:w="5260" w:space="700"/>
            <w:col w:w="5280"/>
          </w:cols>
          <w:pgMar w:left="320" w:top="131" w:right="3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Director Compensation Table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191919"/>
        </w:rPr>
        <w:t>The following table summarizes the compensation paid to the Company’s non-employee directors for fiscal year 2019.</w:t>
      </w:r>
    </w:p>
    <w:p>
      <w:pPr>
        <w:spacing w:after="0" w:line="213"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4380" w:type="dxa"/>
            <w:vAlign w:val="bottom"/>
            <w:tcBorders>
              <w:top w:val="single" w:sz="8" w:color="02568A"/>
            </w:tcBorders>
          </w:tcPr>
          <w:p>
            <w:pPr>
              <w:spacing w:after="0"/>
              <w:rPr>
                <w:sz w:val="18"/>
                <w:szCs w:val="18"/>
                <w:color w:val="auto"/>
              </w:rPr>
            </w:pPr>
          </w:p>
        </w:tc>
        <w:tc>
          <w:tcPr>
            <w:tcW w:w="1720" w:type="dxa"/>
            <w:vAlign w:val="bottom"/>
            <w:tcBorders>
              <w:top w:val="single" w:sz="8" w:color="02568A"/>
            </w:tcBorders>
          </w:tcPr>
          <w:p>
            <w:pPr>
              <w:jc w:val="center"/>
              <w:ind w:right="292"/>
              <w:spacing w:after="0"/>
              <w:rPr>
                <w:sz w:val="20"/>
                <w:szCs w:val="20"/>
                <w:color w:val="auto"/>
              </w:rPr>
            </w:pPr>
            <w:r>
              <w:rPr>
                <w:rFonts w:ascii="Arial" w:cs="Arial" w:eastAsia="Arial" w:hAnsi="Arial"/>
                <w:sz w:val="18"/>
                <w:szCs w:val="18"/>
                <w:b w:val="1"/>
                <w:bCs w:val="1"/>
                <w:color w:val="02568A"/>
                <w:w w:val="87"/>
              </w:rPr>
              <w:t>Fees Earned</w:t>
            </w:r>
          </w:p>
        </w:tc>
        <w:tc>
          <w:tcPr>
            <w:tcW w:w="1960" w:type="dxa"/>
            <w:vAlign w:val="bottom"/>
            <w:tcBorders>
              <w:top w:val="single" w:sz="8" w:color="02568A"/>
            </w:tcBorders>
          </w:tcPr>
          <w:p>
            <w:pPr>
              <w:spacing w:after="0"/>
              <w:rPr>
                <w:sz w:val="18"/>
                <w:szCs w:val="18"/>
                <w:color w:val="auto"/>
              </w:rPr>
            </w:pPr>
          </w:p>
        </w:tc>
        <w:tc>
          <w:tcPr>
            <w:tcW w:w="1040" w:type="dxa"/>
            <w:vAlign w:val="bottom"/>
            <w:tcBorders>
              <w:top w:val="single" w:sz="8" w:color="02568A"/>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720" w:type="dxa"/>
            <w:vAlign w:val="bottom"/>
          </w:tcPr>
          <w:p>
            <w:pPr>
              <w:jc w:val="center"/>
              <w:ind w:right="272"/>
              <w:spacing w:after="0"/>
              <w:rPr>
                <w:sz w:val="20"/>
                <w:szCs w:val="20"/>
                <w:color w:val="auto"/>
              </w:rPr>
            </w:pPr>
            <w:r>
              <w:rPr>
                <w:rFonts w:ascii="Arial" w:cs="Arial" w:eastAsia="Arial" w:hAnsi="Arial"/>
                <w:sz w:val="18"/>
                <w:szCs w:val="18"/>
                <w:b w:val="1"/>
                <w:bCs w:val="1"/>
                <w:color w:val="02568A"/>
                <w:w w:val="88"/>
              </w:rPr>
              <w:t>or Paid in Cash</w:t>
            </w:r>
          </w:p>
        </w:tc>
        <w:tc>
          <w:tcPr>
            <w:tcW w:w="1960" w:type="dxa"/>
            <w:vAlign w:val="bottom"/>
          </w:tcPr>
          <w:p>
            <w:pPr>
              <w:jc w:val="right"/>
              <w:ind w:right="372"/>
              <w:spacing w:after="0"/>
              <w:rPr>
                <w:sz w:val="20"/>
                <w:szCs w:val="20"/>
                <w:color w:val="auto"/>
              </w:rPr>
            </w:pPr>
            <w:r>
              <w:rPr>
                <w:rFonts w:ascii="Arial" w:cs="Arial" w:eastAsia="Arial" w:hAnsi="Arial"/>
                <w:sz w:val="18"/>
                <w:szCs w:val="18"/>
                <w:b w:val="1"/>
                <w:bCs w:val="1"/>
                <w:color w:val="02568A"/>
              </w:rPr>
              <w:t>Stock Awards</w:t>
            </w:r>
          </w:p>
        </w:tc>
        <w:tc>
          <w:tcPr>
            <w:tcW w:w="1060" w:type="dxa"/>
            <w:vAlign w:val="bottom"/>
            <w:gridSpan w:val="2"/>
          </w:tcPr>
          <w:p>
            <w:pPr>
              <w:ind w:left="540"/>
              <w:spacing w:after="0"/>
              <w:rPr>
                <w:sz w:val="20"/>
                <w:szCs w:val="20"/>
                <w:color w:val="auto"/>
              </w:rPr>
            </w:pPr>
            <w:r>
              <w:rPr>
                <w:rFonts w:ascii="Arial" w:cs="Arial" w:eastAsia="Arial" w:hAnsi="Arial"/>
                <w:sz w:val="18"/>
                <w:szCs w:val="18"/>
                <w:b w:val="1"/>
                <w:bCs w:val="1"/>
                <w:color w:val="02568A"/>
              </w:rPr>
              <w:t>Total</w:t>
            </w:r>
          </w:p>
        </w:tc>
      </w:tr>
      <w:tr>
        <w:trPr>
          <w:trHeight w:val="229"/>
        </w:trPr>
        <w:tc>
          <w:tcPr>
            <w:tcW w:w="4380" w:type="dxa"/>
            <w:vAlign w:val="bottom"/>
            <w:tcBorders>
              <w:bottom w:val="single" w:sz="8" w:color="02568A"/>
            </w:tcBorders>
          </w:tcPr>
          <w:p>
            <w:pPr>
              <w:ind w:left="1940"/>
              <w:spacing w:after="0"/>
              <w:rPr>
                <w:sz w:val="20"/>
                <w:szCs w:val="20"/>
                <w:color w:val="auto"/>
              </w:rPr>
            </w:pPr>
            <w:r>
              <w:rPr>
                <w:rFonts w:ascii="Arial" w:cs="Arial" w:eastAsia="Arial" w:hAnsi="Arial"/>
                <w:sz w:val="18"/>
                <w:szCs w:val="18"/>
                <w:b w:val="1"/>
                <w:bCs w:val="1"/>
                <w:color w:val="02568A"/>
              </w:rPr>
              <w:t>Name</w:t>
            </w:r>
          </w:p>
        </w:tc>
        <w:tc>
          <w:tcPr>
            <w:tcW w:w="1720" w:type="dxa"/>
            <w:vAlign w:val="bottom"/>
            <w:tcBorders>
              <w:bottom w:val="single" w:sz="8" w:color="02568A"/>
            </w:tcBorders>
          </w:tcPr>
          <w:p>
            <w:pPr>
              <w:jc w:val="center"/>
              <w:ind w:right="272"/>
              <w:spacing w:after="0"/>
              <w:rPr>
                <w:sz w:val="20"/>
                <w:szCs w:val="20"/>
                <w:color w:val="auto"/>
              </w:rPr>
            </w:pPr>
            <w:r>
              <w:rPr>
                <w:rFonts w:ascii="Arial" w:cs="Arial" w:eastAsia="Arial" w:hAnsi="Arial"/>
                <w:sz w:val="18"/>
                <w:szCs w:val="18"/>
                <w:b w:val="1"/>
                <w:bCs w:val="1"/>
                <w:color w:val="02568A"/>
                <w:w w:val="90"/>
              </w:rPr>
              <w:t>($)</w:t>
            </w:r>
          </w:p>
        </w:tc>
        <w:tc>
          <w:tcPr>
            <w:tcW w:w="1960" w:type="dxa"/>
            <w:vAlign w:val="bottom"/>
            <w:tcBorders>
              <w:bottom w:val="single" w:sz="8" w:color="02568A"/>
            </w:tcBorders>
          </w:tcPr>
          <w:p>
            <w:pPr>
              <w:jc w:val="right"/>
              <w:ind w:right="592"/>
              <w:spacing w:after="0"/>
              <w:rPr>
                <w:sz w:val="20"/>
                <w:szCs w:val="20"/>
                <w:color w:val="auto"/>
              </w:rPr>
            </w:pPr>
            <w:r>
              <w:rPr>
                <w:rFonts w:ascii="Arial" w:cs="Arial" w:eastAsia="Arial" w:hAnsi="Arial"/>
                <w:sz w:val="18"/>
                <w:szCs w:val="18"/>
                <w:b w:val="1"/>
                <w:bCs w:val="1"/>
                <w:color w:val="02568A"/>
              </w:rPr>
              <w:t>($)(1)(2)</w:t>
            </w:r>
          </w:p>
        </w:tc>
        <w:tc>
          <w:tcPr>
            <w:tcW w:w="1040" w:type="dxa"/>
            <w:vAlign w:val="bottom"/>
            <w:tcBorders>
              <w:bottom w:val="single" w:sz="8" w:color="02568A"/>
            </w:tcBorders>
          </w:tcPr>
          <w:p>
            <w:pPr>
              <w:jc w:val="right"/>
              <w:ind w:right="112"/>
              <w:spacing w:after="0"/>
              <w:rPr>
                <w:sz w:val="20"/>
                <w:szCs w:val="20"/>
                <w:color w:val="auto"/>
              </w:rPr>
            </w:pPr>
            <w:r>
              <w:rPr>
                <w:rFonts w:ascii="Arial" w:cs="Arial" w:eastAsia="Arial" w:hAnsi="Arial"/>
                <w:sz w:val="18"/>
                <w:szCs w:val="18"/>
                <w:b w:val="1"/>
                <w:bCs w:val="1"/>
                <w:color w:val="02568A"/>
              </w:rPr>
              <w:t>($)</w:t>
            </w:r>
          </w:p>
        </w:tc>
        <w:tc>
          <w:tcPr>
            <w:tcW w:w="20" w:type="dxa"/>
            <w:vAlign w:val="bottom"/>
          </w:tcPr>
          <w:p>
            <w:pPr>
              <w:spacing w:after="0"/>
              <w:rPr>
                <w:sz w:val="19"/>
                <w:szCs w:val="19"/>
                <w:color w:val="auto"/>
              </w:rPr>
            </w:pPr>
          </w:p>
        </w:tc>
      </w:tr>
      <w:tr>
        <w:trPr>
          <w:trHeight w:val="211"/>
        </w:trPr>
        <w:tc>
          <w:tcPr>
            <w:tcW w:w="4380" w:type="dxa"/>
            <w:vAlign w:val="bottom"/>
            <w:tcBorders>
              <w:bottom w:val="single" w:sz="8" w:color="D1D2D4"/>
            </w:tcBorders>
            <w:shd w:val="clear" w:color="auto" w:fill="CED8EA"/>
          </w:tcPr>
          <w:p>
            <w:pPr>
              <w:ind w:left="20"/>
              <w:spacing w:after="0"/>
              <w:rPr>
                <w:sz w:val="20"/>
                <w:szCs w:val="20"/>
                <w:color w:val="auto"/>
              </w:rPr>
            </w:pPr>
            <w:r>
              <w:rPr>
                <w:rFonts w:ascii="Arial" w:cs="Arial" w:eastAsia="Arial" w:hAnsi="Arial"/>
                <w:sz w:val="18"/>
                <w:szCs w:val="18"/>
                <w:b w:val="1"/>
                <w:bCs w:val="1"/>
                <w:color w:val="02568A"/>
              </w:rPr>
              <w:t>David J. Aldrich, Chairman of the Board</w:t>
            </w:r>
          </w:p>
        </w:tc>
        <w:tc>
          <w:tcPr>
            <w:tcW w:w="1720" w:type="dxa"/>
            <w:vAlign w:val="bottom"/>
            <w:tcBorders>
              <w:bottom w:val="single" w:sz="8" w:color="D1D2D4"/>
            </w:tcBorders>
            <w:shd w:val="clear" w:color="auto" w:fill="CED8EA"/>
          </w:tcPr>
          <w:p>
            <w:pPr>
              <w:jc w:val="right"/>
              <w:ind w:right="352"/>
              <w:spacing w:after="0"/>
              <w:rPr>
                <w:sz w:val="20"/>
                <w:szCs w:val="20"/>
                <w:color w:val="auto"/>
              </w:rPr>
            </w:pPr>
            <w:r>
              <w:rPr>
                <w:rFonts w:ascii="Arial" w:cs="Arial" w:eastAsia="Arial" w:hAnsi="Arial"/>
                <w:sz w:val="18"/>
                <w:szCs w:val="18"/>
                <w:color w:val="02568A"/>
              </w:rPr>
              <w:t>200,000</w:t>
            </w:r>
          </w:p>
        </w:tc>
        <w:tc>
          <w:tcPr>
            <w:tcW w:w="1960" w:type="dxa"/>
            <w:vAlign w:val="bottom"/>
            <w:tcBorders>
              <w:bottom w:val="single" w:sz="8" w:color="D1D2D4"/>
            </w:tcBorders>
            <w:shd w:val="clear" w:color="auto" w:fill="CED8EA"/>
          </w:tcPr>
          <w:p>
            <w:pPr>
              <w:jc w:val="right"/>
              <w:ind w:right="372"/>
              <w:spacing w:after="0"/>
              <w:rPr>
                <w:sz w:val="20"/>
                <w:szCs w:val="20"/>
                <w:color w:val="auto"/>
              </w:rPr>
            </w:pPr>
            <w:r>
              <w:rPr>
                <w:rFonts w:ascii="Arial" w:cs="Arial" w:eastAsia="Arial" w:hAnsi="Arial"/>
                <w:sz w:val="18"/>
                <w:szCs w:val="18"/>
                <w:color w:val="02568A"/>
              </w:rPr>
              <w:t>192,834</w:t>
            </w:r>
          </w:p>
        </w:tc>
        <w:tc>
          <w:tcPr>
            <w:tcW w:w="104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392,834</w:t>
            </w:r>
          </w:p>
        </w:tc>
        <w:tc>
          <w:tcPr>
            <w:tcW w:w="20" w:type="dxa"/>
            <w:vAlign w:val="bottom"/>
          </w:tcPr>
          <w:p>
            <w:pPr>
              <w:spacing w:after="0"/>
              <w:rPr>
                <w:sz w:val="18"/>
                <w:szCs w:val="18"/>
                <w:color w:val="auto"/>
              </w:rPr>
            </w:pPr>
          </w:p>
        </w:tc>
      </w:tr>
      <w:tr>
        <w:trPr>
          <w:trHeight w:val="210"/>
        </w:trPr>
        <w:tc>
          <w:tcPr>
            <w:tcW w:w="4380" w:type="dxa"/>
            <w:vAlign w:val="bottom"/>
            <w:tcBorders>
              <w:bottom w:val="single" w:sz="8" w:color="D1D2D4"/>
            </w:tcBorders>
          </w:tcPr>
          <w:p>
            <w:pPr>
              <w:ind w:left="20"/>
              <w:spacing w:after="0"/>
              <w:rPr>
                <w:sz w:val="20"/>
                <w:szCs w:val="20"/>
                <w:color w:val="auto"/>
              </w:rPr>
            </w:pPr>
            <w:r>
              <w:rPr>
                <w:rFonts w:ascii="Arial" w:cs="Arial" w:eastAsia="Arial" w:hAnsi="Arial"/>
                <w:sz w:val="18"/>
                <w:szCs w:val="18"/>
                <w:b w:val="1"/>
                <w:bCs w:val="1"/>
                <w:color w:val="02568A"/>
              </w:rPr>
              <w:t>Christine King, Lead Independent Director</w:t>
            </w:r>
          </w:p>
        </w:tc>
        <w:tc>
          <w:tcPr>
            <w:tcW w:w="1720" w:type="dxa"/>
            <w:vAlign w:val="bottom"/>
            <w:tcBorders>
              <w:bottom w:val="single" w:sz="8" w:color="D1D2D4"/>
            </w:tcBorders>
          </w:tcPr>
          <w:p>
            <w:pPr>
              <w:jc w:val="right"/>
              <w:ind w:right="352"/>
              <w:spacing w:after="0"/>
              <w:rPr>
                <w:sz w:val="20"/>
                <w:szCs w:val="20"/>
                <w:color w:val="auto"/>
              </w:rPr>
            </w:pPr>
            <w:r>
              <w:rPr>
                <w:rFonts w:ascii="Arial" w:cs="Arial" w:eastAsia="Arial" w:hAnsi="Arial"/>
                <w:sz w:val="18"/>
                <w:szCs w:val="18"/>
                <w:color w:val="02568A"/>
              </w:rPr>
              <w:t>117,780</w:t>
            </w:r>
          </w:p>
        </w:tc>
        <w:tc>
          <w:tcPr>
            <w:tcW w:w="1960" w:type="dxa"/>
            <w:vAlign w:val="bottom"/>
            <w:tcBorders>
              <w:bottom w:val="single" w:sz="8" w:color="D1D2D4"/>
            </w:tcBorders>
          </w:tcPr>
          <w:p>
            <w:pPr>
              <w:jc w:val="right"/>
              <w:ind w:right="372"/>
              <w:spacing w:after="0"/>
              <w:rPr>
                <w:sz w:val="20"/>
                <w:szCs w:val="20"/>
                <w:color w:val="auto"/>
              </w:rPr>
            </w:pPr>
            <w:r>
              <w:rPr>
                <w:rFonts w:ascii="Arial" w:cs="Arial" w:eastAsia="Arial" w:hAnsi="Arial"/>
                <w:sz w:val="18"/>
                <w:szCs w:val="18"/>
                <w:color w:val="02568A"/>
              </w:rPr>
              <w:t>192,834</w:t>
            </w:r>
          </w:p>
        </w:tc>
        <w:tc>
          <w:tcPr>
            <w:tcW w:w="10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310,614</w:t>
            </w:r>
          </w:p>
        </w:tc>
        <w:tc>
          <w:tcPr>
            <w:tcW w:w="20" w:type="dxa"/>
            <w:vAlign w:val="bottom"/>
            <w:tcBorders>
              <w:bottom w:val="single" w:sz="8" w:color="D1D2D4"/>
            </w:tcBorders>
          </w:tcPr>
          <w:p>
            <w:pPr>
              <w:spacing w:after="0"/>
              <w:rPr>
                <w:sz w:val="18"/>
                <w:szCs w:val="18"/>
                <w:color w:val="auto"/>
              </w:rPr>
            </w:pPr>
          </w:p>
        </w:tc>
      </w:tr>
      <w:tr>
        <w:trPr>
          <w:trHeight w:val="209"/>
        </w:trPr>
        <w:tc>
          <w:tcPr>
            <w:tcW w:w="4380" w:type="dxa"/>
            <w:vAlign w:val="bottom"/>
            <w:tcBorders>
              <w:bottom w:val="single" w:sz="8" w:color="D1D2D4"/>
            </w:tcBorders>
            <w:shd w:val="clear" w:color="auto" w:fill="CED8EA"/>
          </w:tcPr>
          <w:p>
            <w:pPr>
              <w:ind w:left="20"/>
              <w:spacing w:after="0"/>
              <w:rPr>
                <w:sz w:val="20"/>
                <w:szCs w:val="20"/>
                <w:color w:val="auto"/>
              </w:rPr>
            </w:pPr>
            <w:r>
              <w:rPr>
                <w:rFonts w:ascii="Arial" w:cs="Arial" w:eastAsia="Arial" w:hAnsi="Arial"/>
                <w:sz w:val="18"/>
                <w:szCs w:val="18"/>
                <w:b w:val="1"/>
                <w:bCs w:val="1"/>
                <w:color w:val="02568A"/>
                <w:w w:val="91"/>
              </w:rPr>
              <w:t>David J. McLachlan, Former Lead Independent Director</w:t>
            </w:r>
          </w:p>
        </w:tc>
        <w:tc>
          <w:tcPr>
            <w:tcW w:w="1720" w:type="dxa"/>
            <w:vAlign w:val="bottom"/>
            <w:tcBorders>
              <w:bottom w:val="single" w:sz="8" w:color="D1D2D4"/>
            </w:tcBorders>
            <w:shd w:val="clear" w:color="auto" w:fill="CED8EA"/>
          </w:tcPr>
          <w:p>
            <w:pPr>
              <w:jc w:val="right"/>
              <w:ind w:right="352"/>
              <w:spacing w:after="0"/>
              <w:rPr>
                <w:sz w:val="20"/>
                <w:szCs w:val="20"/>
                <w:color w:val="auto"/>
              </w:rPr>
            </w:pPr>
            <w:r>
              <w:rPr>
                <w:rFonts w:ascii="Arial" w:cs="Arial" w:eastAsia="Arial" w:hAnsi="Arial"/>
                <w:sz w:val="18"/>
                <w:szCs w:val="18"/>
                <w:color w:val="02568A"/>
              </w:rPr>
              <w:t>82,802</w:t>
            </w:r>
          </w:p>
        </w:tc>
        <w:tc>
          <w:tcPr>
            <w:tcW w:w="1960" w:type="dxa"/>
            <w:vAlign w:val="bottom"/>
            <w:tcBorders>
              <w:bottom w:val="single" w:sz="8" w:color="D1D2D4"/>
            </w:tcBorders>
            <w:shd w:val="clear" w:color="auto" w:fill="CED8EA"/>
          </w:tcPr>
          <w:p>
            <w:pPr>
              <w:jc w:val="right"/>
              <w:ind w:right="372"/>
              <w:spacing w:after="0"/>
              <w:rPr>
                <w:sz w:val="20"/>
                <w:szCs w:val="20"/>
                <w:color w:val="auto"/>
              </w:rPr>
            </w:pPr>
            <w:r>
              <w:rPr>
                <w:rFonts w:ascii="Arial" w:cs="Arial" w:eastAsia="Arial" w:hAnsi="Arial"/>
                <w:sz w:val="18"/>
                <w:szCs w:val="18"/>
                <w:color w:val="02568A"/>
              </w:rPr>
              <w:t>—</w:t>
            </w:r>
          </w:p>
        </w:tc>
        <w:tc>
          <w:tcPr>
            <w:tcW w:w="104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82,802</w:t>
            </w:r>
          </w:p>
        </w:tc>
        <w:tc>
          <w:tcPr>
            <w:tcW w:w="20" w:type="dxa"/>
            <w:vAlign w:val="bottom"/>
          </w:tcPr>
          <w:p>
            <w:pPr>
              <w:spacing w:after="0"/>
              <w:rPr>
                <w:sz w:val="18"/>
                <w:szCs w:val="18"/>
                <w:color w:val="auto"/>
              </w:rPr>
            </w:pPr>
          </w:p>
        </w:tc>
      </w:tr>
      <w:tr>
        <w:trPr>
          <w:trHeight w:val="210"/>
        </w:trPr>
        <w:tc>
          <w:tcPr>
            <w:tcW w:w="4380" w:type="dxa"/>
            <w:vAlign w:val="bottom"/>
            <w:tcBorders>
              <w:bottom w:val="single" w:sz="8" w:color="D1D2D4"/>
            </w:tcBorders>
          </w:tcPr>
          <w:p>
            <w:pPr>
              <w:ind w:left="20"/>
              <w:spacing w:after="0"/>
              <w:rPr>
                <w:sz w:val="20"/>
                <w:szCs w:val="20"/>
                <w:color w:val="auto"/>
              </w:rPr>
            </w:pPr>
            <w:r>
              <w:rPr>
                <w:rFonts w:ascii="Arial" w:cs="Arial" w:eastAsia="Arial" w:hAnsi="Arial"/>
                <w:sz w:val="18"/>
                <w:szCs w:val="18"/>
                <w:b w:val="1"/>
                <w:bCs w:val="1"/>
                <w:color w:val="02568A"/>
              </w:rPr>
              <w:t>Alan S. Batey</w:t>
            </w:r>
          </w:p>
        </w:tc>
        <w:tc>
          <w:tcPr>
            <w:tcW w:w="1720" w:type="dxa"/>
            <w:vAlign w:val="bottom"/>
            <w:tcBorders>
              <w:bottom w:val="single" w:sz="8" w:color="D1D2D4"/>
            </w:tcBorders>
          </w:tcPr>
          <w:p>
            <w:pPr>
              <w:jc w:val="right"/>
              <w:ind w:right="352"/>
              <w:spacing w:after="0"/>
              <w:rPr>
                <w:sz w:val="20"/>
                <w:szCs w:val="20"/>
                <w:color w:val="auto"/>
              </w:rPr>
            </w:pPr>
            <w:r>
              <w:rPr>
                <w:rFonts w:ascii="Arial" w:cs="Arial" w:eastAsia="Arial" w:hAnsi="Arial"/>
                <w:sz w:val="18"/>
                <w:szCs w:val="18"/>
                <w:color w:val="02568A"/>
              </w:rPr>
              <w:t>7,609</w:t>
            </w:r>
          </w:p>
        </w:tc>
        <w:tc>
          <w:tcPr>
            <w:tcW w:w="1960" w:type="dxa"/>
            <w:vAlign w:val="bottom"/>
            <w:tcBorders>
              <w:bottom w:val="single" w:sz="8" w:color="D1D2D4"/>
            </w:tcBorders>
          </w:tcPr>
          <w:p>
            <w:pPr>
              <w:jc w:val="right"/>
              <w:ind w:right="372"/>
              <w:spacing w:after="0"/>
              <w:rPr>
                <w:sz w:val="20"/>
                <w:szCs w:val="20"/>
                <w:color w:val="auto"/>
              </w:rPr>
            </w:pPr>
            <w:r>
              <w:rPr>
                <w:rFonts w:ascii="Arial" w:cs="Arial" w:eastAsia="Arial" w:hAnsi="Arial"/>
                <w:sz w:val="18"/>
                <w:szCs w:val="18"/>
                <w:color w:val="02568A"/>
              </w:rPr>
              <w:t>188,949</w:t>
            </w:r>
          </w:p>
        </w:tc>
        <w:tc>
          <w:tcPr>
            <w:tcW w:w="10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196,558</w:t>
            </w:r>
          </w:p>
        </w:tc>
        <w:tc>
          <w:tcPr>
            <w:tcW w:w="20" w:type="dxa"/>
            <w:vAlign w:val="bottom"/>
            <w:tcBorders>
              <w:bottom w:val="single" w:sz="8" w:color="D1D2D4"/>
            </w:tcBorders>
          </w:tcPr>
          <w:p>
            <w:pPr>
              <w:spacing w:after="0"/>
              <w:rPr>
                <w:sz w:val="18"/>
                <w:szCs w:val="18"/>
                <w:color w:val="auto"/>
              </w:rPr>
            </w:pPr>
          </w:p>
        </w:tc>
      </w:tr>
      <w:tr>
        <w:trPr>
          <w:trHeight w:val="209"/>
        </w:trPr>
        <w:tc>
          <w:tcPr>
            <w:tcW w:w="4380" w:type="dxa"/>
            <w:vAlign w:val="bottom"/>
            <w:tcBorders>
              <w:bottom w:val="single" w:sz="8" w:color="D1D2D4"/>
            </w:tcBorders>
            <w:shd w:val="clear" w:color="auto" w:fill="CED8EA"/>
          </w:tcPr>
          <w:p>
            <w:pPr>
              <w:ind w:left="20"/>
              <w:spacing w:after="0"/>
              <w:rPr>
                <w:sz w:val="20"/>
                <w:szCs w:val="20"/>
                <w:color w:val="auto"/>
              </w:rPr>
            </w:pPr>
            <w:r>
              <w:rPr>
                <w:rFonts w:ascii="Arial" w:cs="Arial" w:eastAsia="Arial" w:hAnsi="Arial"/>
                <w:sz w:val="18"/>
                <w:szCs w:val="18"/>
                <w:b w:val="1"/>
                <w:bCs w:val="1"/>
                <w:color w:val="02568A"/>
              </w:rPr>
              <w:t>Kevin L. Beebe</w:t>
            </w:r>
          </w:p>
        </w:tc>
        <w:tc>
          <w:tcPr>
            <w:tcW w:w="1720" w:type="dxa"/>
            <w:vAlign w:val="bottom"/>
            <w:tcBorders>
              <w:bottom w:val="single" w:sz="8" w:color="D1D2D4"/>
            </w:tcBorders>
            <w:shd w:val="clear" w:color="auto" w:fill="CED8EA"/>
          </w:tcPr>
          <w:p>
            <w:pPr>
              <w:jc w:val="right"/>
              <w:ind w:right="352"/>
              <w:spacing w:after="0"/>
              <w:rPr>
                <w:sz w:val="20"/>
                <w:szCs w:val="20"/>
                <w:color w:val="auto"/>
              </w:rPr>
            </w:pPr>
            <w:r>
              <w:rPr>
                <w:rFonts w:ascii="Arial" w:cs="Arial" w:eastAsia="Arial" w:hAnsi="Arial"/>
                <w:sz w:val="18"/>
                <w:szCs w:val="18"/>
                <w:color w:val="02568A"/>
              </w:rPr>
              <w:t>90,784</w:t>
            </w:r>
          </w:p>
        </w:tc>
        <w:tc>
          <w:tcPr>
            <w:tcW w:w="1960" w:type="dxa"/>
            <w:vAlign w:val="bottom"/>
            <w:tcBorders>
              <w:bottom w:val="single" w:sz="8" w:color="D1D2D4"/>
            </w:tcBorders>
            <w:shd w:val="clear" w:color="auto" w:fill="CED8EA"/>
          </w:tcPr>
          <w:p>
            <w:pPr>
              <w:jc w:val="right"/>
              <w:ind w:right="372"/>
              <w:spacing w:after="0"/>
              <w:rPr>
                <w:sz w:val="20"/>
                <w:szCs w:val="20"/>
                <w:color w:val="auto"/>
              </w:rPr>
            </w:pPr>
            <w:r>
              <w:rPr>
                <w:rFonts w:ascii="Arial" w:cs="Arial" w:eastAsia="Arial" w:hAnsi="Arial"/>
                <w:sz w:val="18"/>
                <w:szCs w:val="18"/>
                <w:color w:val="02568A"/>
              </w:rPr>
              <w:t>192,834</w:t>
            </w:r>
          </w:p>
        </w:tc>
        <w:tc>
          <w:tcPr>
            <w:tcW w:w="104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283,618</w:t>
            </w:r>
          </w:p>
        </w:tc>
        <w:tc>
          <w:tcPr>
            <w:tcW w:w="20" w:type="dxa"/>
            <w:vAlign w:val="bottom"/>
          </w:tcPr>
          <w:p>
            <w:pPr>
              <w:spacing w:after="0"/>
              <w:rPr>
                <w:sz w:val="18"/>
                <w:szCs w:val="18"/>
                <w:color w:val="auto"/>
              </w:rPr>
            </w:pPr>
          </w:p>
        </w:tc>
      </w:tr>
      <w:tr>
        <w:trPr>
          <w:trHeight w:val="209"/>
        </w:trPr>
        <w:tc>
          <w:tcPr>
            <w:tcW w:w="4380" w:type="dxa"/>
            <w:vAlign w:val="bottom"/>
            <w:tcBorders>
              <w:bottom w:val="single" w:sz="8" w:color="D1D2D4"/>
            </w:tcBorders>
          </w:tcPr>
          <w:p>
            <w:pPr>
              <w:ind w:left="20"/>
              <w:spacing w:after="0"/>
              <w:rPr>
                <w:sz w:val="20"/>
                <w:szCs w:val="20"/>
                <w:color w:val="auto"/>
              </w:rPr>
            </w:pPr>
            <w:r>
              <w:rPr>
                <w:rFonts w:ascii="Arial" w:cs="Arial" w:eastAsia="Arial" w:hAnsi="Arial"/>
                <w:sz w:val="18"/>
                <w:szCs w:val="18"/>
                <w:b w:val="1"/>
                <w:bCs w:val="1"/>
                <w:color w:val="02568A"/>
              </w:rPr>
              <w:t>Timothy R. Furey</w:t>
            </w:r>
          </w:p>
        </w:tc>
        <w:tc>
          <w:tcPr>
            <w:tcW w:w="1720" w:type="dxa"/>
            <w:vAlign w:val="bottom"/>
            <w:tcBorders>
              <w:bottom w:val="single" w:sz="8" w:color="D1D2D4"/>
            </w:tcBorders>
          </w:tcPr>
          <w:p>
            <w:pPr>
              <w:jc w:val="right"/>
              <w:ind w:right="352"/>
              <w:spacing w:after="0"/>
              <w:rPr>
                <w:sz w:val="20"/>
                <w:szCs w:val="20"/>
                <w:color w:val="auto"/>
              </w:rPr>
            </w:pPr>
            <w:r>
              <w:rPr>
                <w:rFonts w:ascii="Arial" w:cs="Arial" w:eastAsia="Arial" w:hAnsi="Arial"/>
                <w:sz w:val="18"/>
                <w:szCs w:val="18"/>
                <w:color w:val="02568A"/>
              </w:rPr>
              <w:t>86,333</w:t>
            </w:r>
          </w:p>
        </w:tc>
        <w:tc>
          <w:tcPr>
            <w:tcW w:w="1960" w:type="dxa"/>
            <w:vAlign w:val="bottom"/>
            <w:tcBorders>
              <w:bottom w:val="single" w:sz="8" w:color="D1D2D4"/>
            </w:tcBorders>
          </w:tcPr>
          <w:p>
            <w:pPr>
              <w:jc w:val="right"/>
              <w:ind w:right="372"/>
              <w:spacing w:after="0"/>
              <w:rPr>
                <w:sz w:val="20"/>
                <w:szCs w:val="20"/>
                <w:color w:val="auto"/>
              </w:rPr>
            </w:pPr>
            <w:r>
              <w:rPr>
                <w:rFonts w:ascii="Arial" w:cs="Arial" w:eastAsia="Arial" w:hAnsi="Arial"/>
                <w:sz w:val="18"/>
                <w:szCs w:val="18"/>
                <w:color w:val="02568A"/>
              </w:rPr>
              <w:t>192,834</w:t>
            </w:r>
          </w:p>
        </w:tc>
        <w:tc>
          <w:tcPr>
            <w:tcW w:w="10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279,167</w:t>
            </w:r>
          </w:p>
        </w:tc>
        <w:tc>
          <w:tcPr>
            <w:tcW w:w="20" w:type="dxa"/>
            <w:vAlign w:val="bottom"/>
            <w:tcBorders>
              <w:bottom w:val="single" w:sz="8" w:color="D1D2D4"/>
            </w:tcBorders>
          </w:tcPr>
          <w:p>
            <w:pPr>
              <w:spacing w:after="0"/>
              <w:rPr>
                <w:sz w:val="18"/>
                <w:szCs w:val="18"/>
                <w:color w:val="auto"/>
              </w:rPr>
            </w:pPr>
          </w:p>
        </w:tc>
      </w:tr>
      <w:tr>
        <w:trPr>
          <w:trHeight w:val="210"/>
        </w:trPr>
        <w:tc>
          <w:tcPr>
            <w:tcW w:w="4380" w:type="dxa"/>
            <w:vAlign w:val="bottom"/>
            <w:tcBorders>
              <w:bottom w:val="single" w:sz="8" w:color="D1D2D4"/>
            </w:tcBorders>
            <w:shd w:val="clear" w:color="auto" w:fill="CED8EA"/>
          </w:tcPr>
          <w:p>
            <w:pPr>
              <w:ind w:left="20"/>
              <w:spacing w:after="0"/>
              <w:rPr>
                <w:sz w:val="20"/>
                <w:szCs w:val="20"/>
                <w:color w:val="auto"/>
              </w:rPr>
            </w:pPr>
            <w:r>
              <w:rPr>
                <w:rFonts w:ascii="Arial" w:cs="Arial" w:eastAsia="Arial" w:hAnsi="Arial"/>
                <w:sz w:val="18"/>
                <w:szCs w:val="18"/>
                <w:b w:val="1"/>
                <w:bCs w:val="1"/>
                <w:color w:val="02568A"/>
              </w:rPr>
              <w:t>Balakrishnan S. Iyer</w:t>
            </w:r>
          </w:p>
        </w:tc>
        <w:tc>
          <w:tcPr>
            <w:tcW w:w="1720" w:type="dxa"/>
            <w:vAlign w:val="bottom"/>
            <w:tcBorders>
              <w:bottom w:val="single" w:sz="8" w:color="D1D2D4"/>
            </w:tcBorders>
            <w:shd w:val="clear" w:color="auto" w:fill="CED8EA"/>
          </w:tcPr>
          <w:p>
            <w:pPr>
              <w:jc w:val="right"/>
              <w:ind w:right="352"/>
              <w:spacing w:after="0"/>
              <w:rPr>
                <w:sz w:val="20"/>
                <w:szCs w:val="20"/>
                <w:color w:val="auto"/>
              </w:rPr>
            </w:pPr>
            <w:r>
              <w:rPr>
                <w:rFonts w:ascii="Arial" w:cs="Arial" w:eastAsia="Arial" w:hAnsi="Arial"/>
                <w:sz w:val="18"/>
                <w:szCs w:val="18"/>
                <w:color w:val="02568A"/>
              </w:rPr>
              <w:t>96,699</w:t>
            </w:r>
          </w:p>
        </w:tc>
        <w:tc>
          <w:tcPr>
            <w:tcW w:w="1960" w:type="dxa"/>
            <w:vAlign w:val="bottom"/>
            <w:tcBorders>
              <w:bottom w:val="single" w:sz="8" w:color="D1D2D4"/>
            </w:tcBorders>
            <w:shd w:val="clear" w:color="auto" w:fill="CED8EA"/>
          </w:tcPr>
          <w:p>
            <w:pPr>
              <w:jc w:val="right"/>
              <w:ind w:right="372"/>
              <w:spacing w:after="0"/>
              <w:rPr>
                <w:sz w:val="20"/>
                <w:szCs w:val="20"/>
                <w:color w:val="auto"/>
              </w:rPr>
            </w:pPr>
            <w:r>
              <w:rPr>
                <w:rFonts w:ascii="Arial" w:cs="Arial" w:eastAsia="Arial" w:hAnsi="Arial"/>
                <w:sz w:val="18"/>
                <w:szCs w:val="18"/>
                <w:color w:val="02568A"/>
              </w:rPr>
              <w:t>192,834</w:t>
            </w:r>
          </w:p>
        </w:tc>
        <w:tc>
          <w:tcPr>
            <w:tcW w:w="104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289,533</w:t>
            </w:r>
          </w:p>
        </w:tc>
        <w:tc>
          <w:tcPr>
            <w:tcW w:w="20" w:type="dxa"/>
            <w:vAlign w:val="bottom"/>
          </w:tcPr>
          <w:p>
            <w:pPr>
              <w:spacing w:after="0"/>
              <w:rPr>
                <w:sz w:val="18"/>
                <w:szCs w:val="18"/>
                <w:color w:val="auto"/>
              </w:rPr>
            </w:pPr>
          </w:p>
        </w:tc>
      </w:tr>
      <w:tr>
        <w:trPr>
          <w:trHeight w:val="209"/>
        </w:trPr>
        <w:tc>
          <w:tcPr>
            <w:tcW w:w="4380" w:type="dxa"/>
            <w:vAlign w:val="bottom"/>
            <w:tcBorders>
              <w:bottom w:val="single" w:sz="8" w:color="D1D2D4"/>
            </w:tcBorders>
          </w:tcPr>
          <w:p>
            <w:pPr>
              <w:ind w:left="20"/>
              <w:spacing w:after="0"/>
              <w:rPr>
                <w:sz w:val="20"/>
                <w:szCs w:val="20"/>
                <w:color w:val="auto"/>
              </w:rPr>
            </w:pPr>
            <w:r>
              <w:rPr>
                <w:rFonts w:ascii="Arial" w:cs="Arial" w:eastAsia="Arial" w:hAnsi="Arial"/>
                <w:sz w:val="18"/>
                <w:szCs w:val="18"/>
                <w:b w:val="1"/>
                <w:bCs w:val="1"/>
                <w:color w:val="02568A"/>
              </w:rPr>
              <w:t>David P. McGlade</w:t>
            </w:r>
          </w:p>
        </w:tc>
        <w:tc>
          <w:tcPr>
            <w:tcW w:w="1720" w:type="dxa"/>
            <w:vAlign w:val="bottom"/>
            <w:tcBorders>
              <w:bottom w:val="single" w:sz="8" w:color="D1D2D4"/>
            </w:tcBorders>
          </w:tcPr>
          <w:p>
            <w:pPr>
              <w:jc w:val="right"/>
              <w:ind w:right="352"/>
              <w:spacing w:after="0"/>
              <w:rPr>
                <w:sz w:val="20"/>
                <w:szCs w:val="20"/>
                <w:color w:val="auto"/>
              </w:rPr>
            </w:pPr>
            <w:r>
              <w:rPr>
                <w:rFonts w:ascii="Arial" w:cs="Arial" w:eastAsia="Arial" w:hAnsi="Arial"/>
                <w:sz w:val="18"/>
                <w:szCs w:val="18"/>
                <w:color w:val="02568A"/>
              </w:rPr>
              <w:t>89,667</w:t>
            </w:r>
          </w:p>
        </w:tc>
        <w:tc>
          <w:tcPr>
            <w:tcW w:w="1960" w:type="dxa"/>
            <w:vAlign w:val="bottom"/>
            <w:tcBorders>
              <w:bottom w:val="single" w:sz="8" w:color="D1D2D4"/>
            </w:tcBorders>
          </w:tcPr>
          <w:p>
            <w:pPr>
              <w:jc w:val="right"/>
              <w:ind w:right="372"/>
              <w:spacing w:after="0"/>
              <w:rPr>
                <w:sz w:val="20"/>
                <w:szCs w:val="20"/>
                <w:color w:val="auto"/>
              </w:rPr>
            </w:pPr>
            <w:r>
              <w:rPr>
                <w:rFonts w:ascii="Arial" w:cs="Arial" w:eastAsia="Arial" w:hAnsi="Arial"/>
                <w:sz w:val="18"/>
                <w:szCs w:val="18"/>
                <w:color w:val="02568A"/>
              </w:rPr>
              <w:t>192,834</w:t>
            </w:r>
          </w:p>
        </w:tc>
        <w:tc>
          <w:tcPr>
            <w:tcW w:w="10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282,501</w:t>
            </w:r>
          </w:p>
        </w:tc>
        <w:tc>
          <w:tcPr>
            <w:tcW w:w="20" w:type="dxa"/>
            <w:vAlign w:val="bottom"/>
            <w:tcBorders>
              <w:bottom w:val="single" w:sz="8" w:color="D1D2D4"/>
            </w:tcBorders>
          </w:tcPr>
          <w:p>
            <w:pPr>
              <w:spacing w:after="0"/>
              <w:rPr>
                <w:sz w:val="18"/>
                <w:szCs w:val="18"/>
                <w:color w:val="auto"/>
              </w:rPr>
            </w:pPr>
          </w:p>
        </w:tc>
      </w:tr>
      <w:tr>
        <w:trPr>
          <w:trHeight w:val="209"/>
        </w:trPr>
        <w:tc>
          <w:tcPr>
            <w:tcW w:w="4380" w:type="dxa"/>
            <w:vAlign w:val="bottom"/>
            <w:tcBorders>
              <w:bottom w:val="single" w:sz="8" w:color="D1D2D4"/>
            </w:tcBorders>
            <w:shd w:val="clear" w:color="auto" w:fill="CED8EA"/>
          </w:tcPr>
          <w:p>
            <w:pPr>
              <w:ind w:left="20"/>
              <w:spacing w:after="0"/>
              <w:rPr>
                <w:sz w:val="20"/>
                <w:szCs w:val="20"/>
                <w:color w:val="auto"/>
              </w:rPr>
            </w:pPr>
            <w:r>
              <w:rPr>
                <w:rFonts w:ascii="Arial" w:cs="Arial" w:eastAsia="Arial" w:hAnsi="Arial"/>
                <w:sz w:val="18"/>
                <w:szCs w:val="18"/>
                <w:b w:val="1"/>
                <w:bCs w:val="1"/>
                <w:color w:val="02568A"/>
              </w:rPr>
              <w:t>Robert A. Schriesheim</w:t>
            </w:r>
          </w:p>
        </w:tc>
        <w:tc>
          <w:tcPr>
            <w:tcW w:w="1720" w:type="dxa"/>
            <w:vAlign w:val="bottom"/>
            <w:tcBorders>
              <w:bottom w:val="single" w:sz="8" w:color="D1D2D4"/>
            </w:tcBorders>
            <w:shd w:val="clear" w:color="auto" w:fill="CED8EA"/>
          </w:tcPr>
          <w:p>
            <w:pPr>
              <w:jc w:val="right"/>
              <w:ind w:right="352"/>
              <w:spacing w:after="0"/>
              <w:rPr>
                <w:sz w:val="20"/>
                <w:szCs w:val="20"/>
                <w:color w:val="auto"/>
              </w:rPr>
            </w:pPr>
            <w:r>
              <w:rPr>
                <w:rFonts w:ascii="Arial" w:cs="Arial" w:eastAsia="Arial" w:hAnsi="Arial"/>
                <w:sz w:val="18"/>
                <w:szCs w:val="18"/>
                <w:color w:val="02568A"/>
              </w:rPr>
              <w:t>90,000</w:t>
            </w:r>
          </w:p>
        </w:tc>
        <w:tc>
          <w:tcPr>
            <w:tcW w:w="1960" w:type="dxa"/>
            <w:vAlign w:val="bottom"/>
            <w:tcBorders>
              <w:bottom w:val="single" w:sz="8" w:color="D1D2D4"/>
            </w:tcBorders>
            <w:shd w:val="clear" w:color="auto" w:fill="CED8EA"/>
          </w:tcPr>
          <w:p>
            <w:pPr>
              <w:jc w:val="right"/>
              <w:ind w:right="372"/>
              <w:spacing w:after="0"/>
              <w:rPr>
                <w:sz w:val="20"/>
                <w:szCs w:val="20"/>
                <w:color w:val="auto"/>
              </w:rPr>
            </w:pPr>
            <w:r>
              <w:rPr>
                <w:rFonts w:ascii="Arial" w:cs="Arial" w:eastAsia="Arial" w:hAnsi="Arial"/>
                <w:sz w:val="18"/>
                <w:szCs w:val="18"/>
                <w:color w:val="02568A"/>
              </w:rPr>
              <w:t>192,834</w:t>
            </w:r>
          </w:p>
        </w:tc>
        <w:tc>
          <w:tcPr>
            <w:tcW w:w="104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282,834</w:t>
            </w:r>
          </w:p>
        </w:tc>
        <w:tc>
          <w:tcPr>
            <w:tcW w:w="20" w:type="dxa"/>
            <w:vAlign w:val="bottom"/>
          </w:tcPr>
          <w:p>
            <w:pPr>
              <w:spacing w:after="0"/>
              <w:rPr>
                <w:sz w:val="18"/>
                <w:szCs w:val="18"/>
                <w:color w:val="auto"/>
              </w:rPr>
            </w:pPr>
          </w:p>
        </w:tc>
      </w:tr>
      <w:tr>
        <w:trPr>
          <w:trHeight w:val="210"/>
        </w:trPr>
        <w:tc>
          <w:tcPr>
            <w:tcW w:w="4380" w:type="dxa"/>
            <w:vAlign w:val="bottom"/>
            <w:tcBorders>
              <w:bottom w:val="single" w:sz="8" w:color="02568A"/>
            </w:tcBorders>
          </w:tcPr>
          <w:p>
            <w:pPr>
              <w:ind w:left="20"/>
              <w:spacing w:after="0"/>
              <w:rPr>
                <w:sz w:val="20"/>
                <w:szCs w:val="20"/>
                <w:color w:val="auto"/>
              </w:rPr>
            </w:pPr>
            <w:r>
              <w:rPr>
                <w:rFonts w:ascii="Arial" w:cs="Arial" w:eastAsia="Arial" w:hAnsi="Arial"/>
                <w:sz w:val="18"/>
                <w:szCs w:val="18"/>
                <w:b w:val="1"/>
                <w:bCs w:val="1"/>
                <w:color w:val="02568A"/>
              </w:rPr>
              <w:t>Kimberly S. Stevenson</w:t>
            </w:r>
          </w:p>
        </w:tc>
        <w:tc>
          <w:tcPr>
            <w:tcW w:w="1720" w:type="dxa"/>
            <w:vAlign w:val="bottom"/>
            <w:tcBorders>
              <w:bottom w:val="single" w:sz="8" w:color="02568A"/>
            </w:tcBorders>
          </w:tcPr>
          <w:p>
            <w:pPr>
              <w:jc w:val="right"/>
              <w:ind w:right="352"/>
              <w:spacing w:after="0"/>
              <w:rPr>
                <w:sz w:val="20"/>
                <w:szCs w:val="20"/>
                <w:color w:val="auto"/>
              </w:rPr>
            </w:pPr>
            <w:r>
              <w:rPr>
                <w:rFonts w:ascii="Arial" w:cs="Arial" w:eastAsia="Arial" w:hAnsi="Arial"/>
                <w:sz w:val="18"/>
                <w:szCs w:val="18"/>
                <w:color w:val="02568A"/>
              </w:rPr>
              <w:t>74,484</w:t>
            </w:r>
          </w:p>
        </w:tc>
        <w:tc>
          <w:tcPr>
            <w:tcW w:w="1960" w:type="dxa"/>
            <w:vAlign w:val="bottom"/>
            <w:tcBorders>
              <w:bottom w:val="single" w:sz="8" w:color="02568A"/>
            </w:tcBorders>
          </w:tcPr>
          <w:p>
            <w:pPr>
              <w:jc w:val="right"/>
              <w:ind w:right="372"/>
              <w:spacing w:after="0"/>
              <w:rPr>
                <w:sz w:val="20"/>
                <w:szCs w:val="20"/>
                <w:color w:val="auto"/>
              </w:rPr>
            </w:pPr>
            <w:r>
              <w:rPr>
                <w:rFonts w:ascii="Arial" w:cs="Arial" w:eastAsia="Arial" w:hAnsi="Arial"/>
                <w:sz w:val="18"/>
                <w:szCs w:val="18"/>
                <w:color w:val="02568A"/>
              </w:rPr>
              <w:t>192,834</w:t>
            </w:r>
          </w:p>
        </w:tc>
        <w:tc>
          <w:tcPr>
            <w:tcW w:w="1040" w:type="dxa"/>
            <w:vAlign w:val="bottom"/>
            <w:tcBorders>
              <w:bottom w:val="single" w:sz="8" w:color="02568A"/>
            </w:tcBorders>
          </w:tcPr>
          <w:p>
            <w:pPr>
              <w:jc w:val="right"/>
              <w:spacing w:after="0"/>
              <w:rPr>
                <w:sz w:val="20"/>
                <w:szCs w:val="20"/>
                <w:color w:val="auto"/>
              </w:rPr>
            </w:pPr>
            <w:r>
              <w:rPr>
                <w:rFonts w:ascii="Arial" w:cs="Arial" w:eastAsia="Arial" w:hAnsi="Arial"/>
                <w:sz w:val="18"/>
                <w:szCs w:val="18"/>
                <w:color w:val="02568A"/>
              </w:rPr>
              <w:t>267,318</w:t>
            </w:r>
          </w:p>
        </w:tc>
        <w:tc>
          <w:tcPr>
            <w:tcW w:w="20" w:type="dxa"/>
            <w:vAlign w:val="bottom"/>
            <w:tcBorders>
              <w:bottom w:val="single" w:sz="8" w:color="02568A"/>
            </w:tcBorders>
          </w:tcPr>
          <w:p>
            <w:pPr>
              <w:spacing w:after="0"/>
              <w:rPr>
                <w:sz w:val="18"/>
                <w:szCs w:val="18"/>
                <w:color w:val="auto"/>
              </w:rPr>
            </w:pPr>
          </w:p>
        </w:tc>
      </w:tr>
    </w:tbl>
    <w:p>
      <w:pPr>
        <w:spacing w:after="0" w:line="221" w:lineRule="exact"/>
        <w:rPr>
          <w:sz w:val="20"/>
          <w:szCs w:val="20"/>
          <w:color w:val="auto"/>
        </w:rPr>
      </w:pPr>
    </w:p>
    <w:p>
      <w:pPr>
        <w:ind w:left="540" w:right="20" w:hanging="532"/>
        <w:spacing w:after="0" w:line="259" w:lineRule="auto"/>
        <w:tabs>
          <w:tab w:leader="none" w:pos="540" w:val="left"/>
        </w:tabs>
        <w:numPr>
          <w:ilvl w:val="0"/>
          <w:numId w:val="67"/>
        </w:numPr>
        <w:rPr>
          <w:rFonts w:ascii="Arial" w:cs="Arial" w:eastAsia="Arial" w:hAnsi="Arial"/>
          <w:sz w:val="18"/>
          <w:szCs w:val="18"/>
          <w:color w:val="191919"/>
        </w:rPr>
      </w:pPr>
      <w:r>
        <w:rPr>
          <w:rFonts w:ascii="Arial" w:cs="Arial" w:eastAsia="Arial" w:hAnsi="Arial"/>
          <w:sz w:val="18"/>
          <w:szCs w:val="18"/>
          <w:color w:val="191919"/>
        </w:rPr>
        <w:t>The non-employee members of the Board of Directors who held such positions on September 27, 2019, held the following aggregate number of unexercised stock options, unvested RSU awards, and unearned, unvested performance share awards (assuming achievement at the “threshold” level of performance) as of such date:</w:t>
      </w:r>
    </w:p>
    <w:p>
      <w:pPr>
        <w:spacing w:after="0" w:line="223" w:lineRule="exact"/>
        <w:rPr>
          <w:sz w:val="20"/>
          <w:szCs w:val="20"/>
          <w:color w:val="auto"/>
        </w:rPr>
      </w:pPr>
    </w:p>
    <w:tbl>
      <w:tblPr>
        <w:tblLayout w:type="fixed"/>
        <w:tblInd w:w="1400" w:type="dxa"/>
        <w:tblCellMar>
          <w:top w:w="0" w:type="dxa"/>
          <w:left w:w="0" w:type="dxa"/>
          <w:bottom w:w="0" w:type="dxa"/>
          <w:right w:w="0" w:type="dxa"/>
        </w:tblCellMar>
      </w:tblPr>
      <w:tr>
        <w:trPr>
          <w:trHeight w:val="215"/>
        </w:trPr>
        <w:tc>
          <w:tcPr>
            <w:tcW w:w="3620" w:type="dxa"/>
            <w:vAlign w:val="bottom"/>
            <w:tcBorders>
              <w:top w:val="single" w:sz="8" w:color="02568A"/>
            </w:tcBorders>
          </w:tcPr>
          <w:p>
            <w:pPr>
              <w:spacing w:after="0"/>
              <w:rPr>
                <w:sz w:val="18"/>
                <w:szCs w:val="18"/>
                <w:color w:val="auto"/>
              </w:rPr>
            </w:pPr>
          </w:p>
        </w:tc>
        <w:tc>
          <w:tcPr>
            <w:tcW w:w="2040" w:type="dxa"/>
            <w:vAlign w:val="bottom"/>
            <w:tcBorders>
              <w:top w:val="single" w:sz="8" w:color="02568A"/>
            </w:tcBorders>
          </w:tcPr>
          <w:p>
            <w:pPr>
              <w:jc w:val="center"/>
              <w:ind w:left="212"/>
              <w:spacing w:after="0"/>
              <w:rPr>
                <w:sz w:val="20"/>
                <w:szCs w:val="20"/>
                <w:color w:val="auto"/>
              </w:rPr>
            </w:pPr>
            <w:r>
              <w:rPr>
                <w:rFonts w:ascii="Arial" w:cs="Arial" w:eastAsia="Arial" w:hAnsi="Arial"/>
                <w:sz w:val="18"/>
                <w:szCs w:val="18"/>
                <w:b w:val="1"/>
                <w:bCs w:val="1"/>
                <w:color w:val="02568A"/>
                <w:w w:val="87"/>
              </w:rPr>
              <w:t>Number of Securities</w:t>
            </w:r>
          </w:p>
        </w:tc>
        <w:tc>
          <w:tcPr>
            <w:tcW w:w="1480" w:type="dxa"/>
            <w:vAlign w:val="bottom"/>
            <w:tcBorders>
              <w:top w:val="single" w:sz="8" w:color="02568A"/>
            </w:tcBorders>
          </w:tcPr>
          <w:p>
            <w:pPr>
              <w:jc w:val="center"/>
              <w:spacing w:after="0"/>
              <w:rPr>
                <w:sz w:val="20"/>
                <w:szCs w:val="20"/>
                <w:color w:val="auto"/>
              </w:rPr>
            </w:pPr>
            <w:r>
              <w:rPr>
                <w:rFonts w:ascii="Arial" w:cs="Arial" w:eastAsia="Arial" w:hAnsi="Arial"/>
                <w:sz w:val="18"/>
                <w:szCs w:val="18"/>
                <w:b w:val="1"/>
                <w:bCs w:val="1"/>
                <w:color w:val="02568A"/>
                <w:w w:val="87"/>
              </w:rPr>
              <w:t>Number of Shares</w:t>
            </w:r>
          </w:p>
        </w:tc>
        <w:tc>
          <w:tcPr>
            <w:tcW w:w="1680" w:type="dxa"/>
            <w:vAlign w:val="bottom"/>
            <w:tcBorders>
              <w:top w:val="single" w:sz="8" w:color="02568A"/>
            </w:tcBorders>
          </w:tcPr>
          <w:p>
            <w:pPr>
              <w:jc w:val="center"/>
              <w:spacing w:after="0"/>
              <w:rPr>
                <w:sz w:val="20"/>
                <w:szCs w:val="20"/>
                <w:color w:val="auto"/>
              </w:rPr>
            </w:pPr>
            <w:r>
              <w:rPr>
                <w:rFonts w:ascii="Arial" w:cs="Arial" w:eastAsia="Arial" w:hAnsi="Arial"/>
                <w:sz w:val="18"/>
                <w:szCs w:val="18"/>
                <w:b w:val="1"/>
                <w:bCs w:val="1"/>
                <w:color w:val="02568A"/>
                <w:w w:val="89"/>
              </w:rPr>
              <w:t>Number of Unearned</w:t>
            </w:r>
          </w:p>
        </w:tc>
        <w:tc>
          <w:tcPr>
            <w:tcW w:w="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040" w:type="dxa"/>
            <w:vAlign w:val="bottom"/>
          </w:tcPr>
          <w:p>
            <w:pPr>
              <w:jc w:val="center"/>
              <w:ind w:left="212"/>
              <w:spacing w:after="0"/>
              <w:rPr>
                <w:sz w:val="20"/>
                <w:szCs w:val="20"/>
                <w:color w:val="auto"/>
              </w:rPr>
            </w:pPr>
            <w:r>
              <w:rPr>
                <w:rFonts w:ascii="Arial" w:cs="Arial" w:eastAsia="Arial" w:hAnsi="Arial"/>
                <w:sz w:val="18"/>
                <w:szCs w:val="18"/>
                <w:b w:val="1"/>
                <w:bCs w:val="1"/>
                <w:color w:val="02568A"/>
                <w:w w:val="91"/>
              </w:rPr>
              <w:t>Underlying</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02568A"/>
                <w:w w:val="87"/>
              </w:rPr>
              <w:t>Subject to</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02568A"/>
                <w:w w:val="88"/>
              </w:rPr>
              <w:t>Performance Share</w:t>
            </w:r>
          </w:p>
        </w:tc>
      </w:tr>
      <w:tr>
        <w:trPr>
          <w:trHeight w:val="216"/>
        </w:trPr>
        <w:tc>
          <w:tcPr>
            <w:tcW w:w="3620" w:type="dxa"/>
            <w:vAlign w:val="bottom"/>
          </w:tcPr>
          <w:p>
            <w:pPr>
              <w:spacing w:after="0"/>
              <w:rPr>
                <w:sz w:val="18"/>
                <w:szCs w:val="18"/>
                <w:color w:val="auto"/>
              </w:rPr>
            </w:pPr>
          </w:p>
        </w:tc>
        <w:tc>
          <w:tcPr>
            <w:tcW w:w="2040" w:type="dxa"/>
            <w:vAlign w:val="bottom"/>
          </w:tcPr>
          <w:p>
            <w:pPr>
              <w:jc w:val="center"/>
              <w:ind w:left="212"/>
              <w:spacing w:after="0"/>
              <w:rPr>
                <w:sz w:val="20"/>
                <w:szCs w:val="20"/>
                <w:color w:val="auto"/>
              </w:rPr>
            </w:pPr>
            <w:r>
              <w:rPr>
                <w:rFonts w:ascii="Arial" w:cs="Arial" w:eastAsia="Arial" w:hAnsi="Arial"/>
                <w:sz w:val="18"/>
                <w:szCs w:val="18"/>
                <w:b w:val="1"/>
                <w:bCs w:val="1"/>
                <w:color w:val="02568A"/>
                <w:w w:val="84"/>
              </w:rPr>
              <w:t>Unexercised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02568A"/>
                <w:w w:val="83"/>
              </w:rPr>
              <w:t>Unvested</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02568A"/>
                <w:w w:val="88"/>
              </w:rPr>
              <w:t>Awards that Have</w:t>
            </w:r>
          </w:p>
        </w:tc>
      </w:tr>
      <w:tr>
        <w:trPr>
          <w:trHeight w:val="228"/>
        </w:trPr>
        <w:tc>
          <w:tcPr>
            <w:tcW w:w="3620" w:type="dxa"/>
            <w:vAlign w:val="bottom"/>
          </w:tcPr>
          <w:p>
            <w:pPr>
              <w:ind w:left="1680"/>
              <w:spacing w:after="0"/>
              <w:rPr>
                <w:sz w:val="20"/>
                <w:szCs w:val="20"/>
                <w:color w:val="auto"/>
              </w:rPr>
            </w:pPr>
            <w:r>
              <w:rPr>
                <w:rFonts w:ascii="Arial" w:cs="Arial" w:eastAsia="Arial" w:hAnsi="Arial"/>
                <w:sz w:val="18"/>
                <w:szCs w:val="18"/>
                <w:b w:val="1"/>
                <w:bCs w:val="1"/>
                <w:color w:val="02568A"/>
              </w:rPr>
              <w:t>Name</w:t>
            </w:r>
          </w:p>
        </w:tc>
        <w:tc>
          <w:tcPr>
            <w:tcW w:w="2040" w:type="dxa"/>
            <w:vAlign w:val="bottom"/>
          </w:tcPr>
          <w:p>
            <w:pPr>
              <w:jc w:val="center"/>
              <w:ind w:left="192"/>
              <w:spacing w:after="0"/>
              <w:rPr>
                <w:sz w:val="20"/>
                <w:szCs w:val="20"/>
                <w:color w:val="auto"/>
              </w:rPr>
            </w:pPr>
            <w:r>
              <w:rPr>
                <w:rFonts w:ascii="Arial" w:cs="Arial" w:eastAsia="Arial" w:hAnsi="Arial"/>
                <w:sz w:val="18"/>
                <w:szCs w:val="18"/>
                <w:b w:val="1"/>
                <w:bCs w:val="1"/>
                <w:color w:val="02568A"/>
                <w:w w:val="88"/>
              </w:rPr>
              <w:t>Options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02568A"/>
                <w:w w:val="83"/>
              </w:rPr>
              <w:t>RSUs</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02568A"/>
                <w:w w:val="87"/>
              </w:rPr>
              <w:t>Not Vested</w:t>
            </w:r>
          </w:p>
        </w:tc>
      </w:tr>
      <w:tr>
        <w:trPr>
          <w:trHeight w:val="43"/>
        </w:trPr>
        <w:tc>
          <w:tcPr>
            <w:tcW w:w="36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700" w:type="dxa"/>
            <w:vAlign w:val="bottom"/>
            <w:gridSpan w:val="2"/>
          </w:tcPr>
          <w:p>
            <w:pPr>
              <w:spacing w:after="0"/>
              <w:rPr>
                <w:sz w:val="3"/>
                <w:szCs w:val="3"/>
                <w:color w:val="auto"/>
              </w:rPr>
            </w:pPr>
          </w:p>
        </w:tc>
      </w:tr>
      <w:tr>
        <w:trPr>
          <w:trHeight w:val="210"/>
        </w:trPr>
        <w:tc>
          <w:tcPr>
            <w:tcW w:w="3620" w:type="dxa"/>
            <w:vAlign w:val="bottom"/>
            <w:tcBorders>
              <w:top w:val="single" w:sz="8" w:color="02568A"/>
            </w:tcBorders>
            <w:shd w:val="clear" w:color="auto" w:fill="CED8EA"/>
          </w:tcPr>
          <w:p>
            <w:pPr>
              <w:spacing w:after="0"/>
              <w:rPr>
                <w:sz w:val="20"/>
                <w:szCs w:val="20"/>
                <w:color w:val="auto"/>
              </w:rPr>
            </w:pPr>
            <w:r>
              <w:rPr>
                <w:rFonts w:ascii="Arial" w:cs="Arial" w:eastAsia="Arial" w:hAnsi="Arial"/>
                <w:sz w:val="18"/>
                <w:szCs w:val="18"/>
                <w:b w:val="1"/>
                <w:bCs w:val="1"/>
                <w:color w:val="02568A"/>
              </w:rPr>
              <w:t>David J. Aldrich, Chairman of the Board</w:t>
            </w:r>
          </w:p>
        </w:tc>
        <w:tc>
          <w:tcPr>
            <w:tcW w:w="2040" w:type="dxa"/>
            <w:vAlign w:val="bottom"/>
            <w:tcBorders>
              <w:top w:val="single" w:sz="8" w:color="02568A"/>
            </w:tcBorders>
            <w:shd w:val="clear" w:color="auto" w:fill="CED8EA"/>
          </w:tcPr>
          <w:p>
            <w:pPr>
              <w:jc w:val="right"/>
              <w:spacing w:after="0"/>
              <w:rPr>
                <w:sz w:val="20"/>
                <w:szCs w:val="20"/>
                <w:color w:val="auto"/>
              </w:rPr>
            </w:pPr>
            <w:r>
              <w:rPr>
                <w:rFonts w:ascii="Arial" w:cs="Arial" w:eastAsia="Arial" w:hAnsi="Arial"/>
                <w:sz w:val="18"/>
                <w:szCs w:val="18"/>
                <w:color w:val="02568A"/>
              </w:rPr>
              <w:t>137,560</w:t>
            </w:r>
          </w:p>
        </w:tc>
        <w:tc>
          <w:tcPr>
            <w:tcW w:w="1480" w:type="dxa"/>
            <w:vAlign w:val="bottom"/>
            <w:tcBorders>
              <w:top w:val="single" w:sz="8" w:color="02568A"/>
            </w:tcBorders>
            <w:shd w:val="clear" w:color="auto" w:fill="CED8EA"/>
          </w:tcPr>
          <w:p>
            <w:pPr>
              <w:jc w:val="right"/>
              <w:spacing w:after="0"/>
              <w:rPr>
                <w:sz w:val="20"/>
                <w:szCs w:val="20"/>
                <w:color w:val="auto"/>
              </w:rPr>
            </w:pPr>
            <w:r>
              <w:rPr>
                <w:rFonts w:ascii="Arial" w:cs="Arial" w:eastAsia="Arial" w:hAnsi="Arial"/>
                <w:sz w:val="18"/>
                <w:szCs w:val="18"/>
                <w:color w:val="02568A"/>
              </w:rPr>
              <w:t>2,294</w:t>
            </w:r>
          </w:p>
        </w:tc>
        <w:tc>
          <w:tcPr>
            <w:tcW w:w="1680" w:type="dxa"/>
            <w:vAlign w:val="bottom"/>
            <w:tcBorders>
              <w:top w:val="single" w:sz="8" w:color="02568A"/>
            </w:tcBorders>
            <w:shd w:val="clear" w:color="auto" w:fill="CED8EA"/>
          </w:tcPr>
          <w:p>
            <w:pPr>
              <w:jc w:val="right"/>
              <w:spacing w:after="0"/>
              <w:rPr>
                <w:sz w:val="20"/>
                <w:szCs w:val="20"/>
                <w:color w:val="auto"/>
              </w:rPr>
            </w:pPr>
            <w:r>
              <w:rPr>
                <w:rFonts w:ascii="Arial" w:cs="Arial" w:eastAsia="Arial" w:hAnsi="Arial"/>
                <w:sz w:val="18"/>
                <w:szCs w:val="18"/>
                <w:color w:val="02568A"/>
              </w:rPr>
              <w:t>8,361</w:t>
            </w:r>
          </w:p>
        </w:tc>
        <w:tc>
          <w:tcPr>
            <w:tcW w:w="20" w:type="dxa"/>
            <w:vAlign w:val="bottom"/>
          </w:tcPr>
          <w:p>
            <w:pPr>
              <w:spacing w:after="0"/>
              <w:rPr>
                <w:sz w:val="18"/>
                <w:szCs w:val="18"/>
                <w:color w:val="auto"/>
              </w:rPr>
            </w:pPr>
          </w:p>
        </w:tc>
      </w:tr>
      <w:tr>
        <w:trPr>
          <w:trHeight w:val="40"/>
        </w:trPr>
        <w:tc>
          <w:tcPr>
            <w:tcW w:w="36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700" w:type="dxa"/>
            <w:vAlign w:val="bottom"/>
            <w:gridSpan w:val="2"/>
          </w:tcPr>
          <w:p>
            <w:pPr>
              <w:spacing w:after="0"/>
              <w:rPr>
                <w:sz w:val="3"/>
                <w:szCs w:val="3"/>
                <w:color w:val="auto"/>
              </w:rPr>
            </w:pPr>
          </w:p>
        </w:tc>
      </w:tr>
      <w:tr>
        <w:trPr>
          <w:trHeight w:val="222"/>
        </w:trPr>
        <w:tc>
          <w:tcPr>
            <w:tcW w:w="3620" w:type="dxa"/>
            <w:vAlign w:val="bottom"/>
            <w:tcBorders>
              <w:top w:val="single" w:sz="8" w:color="D1D2D4"/>
            </w:tcBorders>
          </w:tcPr>
          <w:p>
            <w:pPr>
              <w:spacing w:after="0"/>
              <w:rPr>
                <w:sz w:val="20"/>
                <w:szCs w:val="20"/>
                <w:color w:val="auto"/>
              </w:rPr>
            </w:pPr>
            <w:r>
              <w:rPr>
                <w:rFonts w:ascii="Arial" w:cs="Arial" w:eastAsia="Arial" w:hAnsi="Arial"/>
                <w:sz w:val="18"/>
                <w:szCs w:val="18"/>
                <w:b w:val="1"/>
                <w:bCs w:val="1"/>
                <w:color w:val="02568A"/>
                <w:w w:val="99"/>
              </w:rPr>
              <w:t>Christine King, Lead Independent Director</w:t>
            </w:r>
          </w:p>
        </w:tc>
        <w:tc>
          <w:tcPr>
            <w:tcW w:w="2040" w:type="dxa"/>
            <w:vAlign w:val="bottom"/>
            <w:tcBorders>
              <w:top w:val="single" w:sz="8" w:color="D1D2D4"/>
            </w:tcBorders>
          </w:tcPr>
          <w:p>
            <w:pPr>
              <w:jc w:val="right"/>
              <w:spacing w:after="0"/>
              <w:rPr>
                <w:sz w:val="20"/>
                <w:szCs w:val="20"/>
                <w:color w:val="auto"/>
              </w:rPr>
            </w:pPr>
            <w:r>
              <w:rPr>
                <w:rFonts w:ascii="Arial" w:cs="Arial" w:eastAsia="Arial" w:hAnsi="Arial"/>
                <w:sz w:val="18"/>
                <w:szCs w:val="18"/>
                <w:color w:val="02568A"/>
              </w:rPr>
              <w:t>—</w:t>
            </w:r>
          </w:p>
        </w:tc>
        <w:tc>
          <w:tcPr>
            <w:tcW w:w="1480" w:type="dxa"/>
            <w:vAlign w:val="bottom"/>
            <w:tcBorders>
              <w:top w:val="single" w:sz="8" w:color="D1D2D4"/>
            </w:tcBorders>
          </w:tcPr>
          <w:p>
            <w:pPr>
              <w:jc w:val="right"/>
              <w:spacing w:after="0"/>
              <w:rPr>
                <w:sz w:val="20"/>
                <w:szCs w:val="20"/>
                <w:color w:val="auto"/>
              </w:rPr>
            </w:pPr>
            <w:r>
              <w:rPr>
                <w:rFonts w:ascii="Arial" w:cs="Arial" w:eastAsia="Arial" w:hAnsi="Arial"/>
                <w:sz w:val="18"/>
                <w:szCs w:val="18"/>
                <w:color w:val="02568A"/>
              </w:rPr>
              <w:t>2,294</w:t>
            </w:r>
          </w:p>
        </w:tc>
        <w:tc>
          <w:tcPr>
            <w:tcW w:w="1680" w:type="dxa"/>
            <w:vAlign w:val="bottom"/>
            <w:tcBorders>
              <w:top w:val="single" w:sz="8" w:color="D1D2D4"/>
            </w:tcBorders>
          </w:tcPr>
          <w:p>
            <w:pPr>
              <w:jc w:val="right"/>
              <w:spacing w:after="0"/>
              <w:rPr>
                <w:sz w:val="20"/>
                <w:szCs w:val="20"/>
                <w:color w:val="auto"/>
              </w:rPr>
            </w:pPr>
            <w:r>
              <w:rPr>
                <w:rFonts w:ascii="Arial" w:cs="Arial" w:eastAsia="Arial" w:hAnsi="Arial"/>
                <w:sz w:val="18"/>
                <w:szCs w:val="18"/>
                <w:color w:val="02568A"/>
              </w:rPr>
              <w:t>—</w:t>
            </w:r>
          </w:p>
        </w:tc>
        <w:tc>
          <w:tcPr>
            <w:tcW w:w="20" w:type="dxa"/>
            <w:vAlign w:val="bottom"/>
          </w:tcPr>
          <w:p>
            <w:pPr>
              <w:spacing w:after="0"/>
              <w:rPr>
                <w:sz w:val="19"/>
                <w:szCs w:val="19"/>
                <w:color w:val="auto"/>
              </w:rPr>
            </w:pPr>
          </w:p>
        </w:tc>
      </w:tr>
      <w:tr>
        <w:trPr>
          <w:trHeight w:val="28"/>
        </w:trPr>
        <w:tc>
          <w:tcPr>
            <w:tcW w:w="3620" w:type="dxa"/>
            <w:vAlign w:val="bottom"/>
            <w:tcBorders>
              <w:bottom w:val="single" w:sz="8" w:color="D1D2D4"/>
            </w:tcBorders>
          </w:tcPr>
          <w:p>
            <w:pPr>
              <w:spacing w:after="0"/>
              <w:rPr>
                <w:sz w:val="2"/>
                <w:szCs w:val="2"/>
                <w:color w:val="auto"/>
              </w:rPr>
            </w:pPr>
          </w:p>
        </w:tc>
        <w:tc>
          <w:tcPr>
            <w:tcW w:w="2040" w:type="dxa"/>
            <w:vAlign w:val="bottom"/>
            <w:tcBorders>
              <w:bottom w:val="single" w:sz="8" w:color="D1D2D4"/>
            </w:tcBorders>
          </w:tcPr>
          <w:p>
            <w:pPr>
              <w:spacing w:after="0"/>
              <w:rPr>
                <w:sz w:val="2"/>
                <w:szCs w:val="2"/>
                <w:color w:val="auto"/>
              </w:rPr>
            </w:pPr>
          </w:p>
        </w:tc>
        <w:tc>
          <w:tcPr>
            <w:tcW w:w="1480" w:type="dxa"/>
            <w:vAlign w:val="bottom"/>
            <w:tcBorders>
              <w:bottom w:val="single" w:sz="8" w:color="D1D2D4"/>
            </w:tcBorders>
          </w:tcPr>
          <w:p>
            <w:pPr>
              <w:spacing w:after="0"/>
              <w:rPr>
                <w:sz w:val="2"/>
                <w:szCs w:val="2"/>
                <w:color w:val="auto"/>
              </w:rPr>
            </w:pPr>
          </w:p>
        </w:tc>
        <w:tc>
          <w:tcPr>
            <w:tcW w:w="1700" w:type="dxa"/>
            <w:vAlign w:val="bottom"/>
            <w:tcBorders>
              <w:bottom w:val="single" w:sz="8" w:color="D1D2D4"/>
            </w:tcBorders>
            <w:gridSpan w:val="2"/>
          </w:tcPr>
          <w:p>
            <w:pPr>
              <w:spacing w:after="0"/>
              <w:rPr>
                <w:sz w:val="2"/>
                <w:szCs w:val="2"/>
                <w:color w:val="auto"/>
              </w:rPr>
            </w:pPr>
          </w:p>
        </w:tc>
      </w:tr>
      <w:tr>
        <w:trPr>
          <w:trHeight w:val="210"/>
        </w:trPr>
        <w:tc>
          <w:tcPr>
            <w:tcW w:w="3620" w:type="dxa"/>
            <w:vAlign w:val="bottom"/>
            <w:shd w:val="clear" w:color="auto" w:fill="CED8EA"/>
          </w:tcPr>
          <w:p>
            <w:pPr>
              <w:spacing w:after="0"/>
              <w:rPr>
                <w:sz w:val="20"/>
                <w:szCs w:val="20"/>
                <w:color w:val="auto"/>
              </w:rPr>
            </w:pPr>
            <w:r>
              <w:rPr>
                <w:rFonts w:ascii="Arial" w:cs="Arial" w:eastAsia="Arial" w:hAnsi="Arial"/>
                <w:sz w:val="18"/>
                <w:szCs w:val="18"/>
                <w:b w:val="1"/>
                <w:bCs w:val="1"/>
                <w:color w:val="02568A"/>
              </w:rPr>
              <w:t>Alan S. Batey</w:t>
            </w:r>
          </w:p>
        </w:tc>
        <w:tc>
          <w:tcPr>
            <w:tcW w:w="2040" w:type="dxa"/>
            <w:vAlign w:val="bottom"/>
            <w:shd w:val="clear" w:color="auto" w:fill="CED8EA"/>
          </w:tcPr>
          <w:p>
            <w:pPr>
              <w:jc w:val="right"/>
              <w:spacing w:after="0"/>
              <w:rPr>
                <w:sz w:val="20"/>
                <w:szCs w:val="20"/>
                <w:color w:val="auto"/>
              </w:rPr>
            </w:pPr>
            <w:r>
              <w:rPr>
                <w:rFonts w:ascii="Arial" w:cs="Arial" w:eastAsia="Arial" w:hAnsi="Arial"/>
                <w:sz w:val="18"/>
                <w:szCs w:val="18"/>
                <w:color w:val="02568A"/>
              </w:rPr>
              <w:t>—</w:t>
            </w:r>
          </w:p>
        </w:tc>
        <w:tc>
          <w:tcPr>
            <w:tcW w:w="1480" w:type="dxa"/>
            <w:vAlign w:val="bottom"/>
            <w:shd w:val="clear" w:color="auto" w:fill="CED8EA"/>
          </w:tcPr>
          <w:p>
            <w:pPr>
              <w:jc w:val="right"/>
              <w:spacing w:after="0"/>
              <w:rPr>
                <w:sz w:val="20"/>
                <w:szCs w:val="20"/>
                <w:color w:val="auto"/>
              </w:rPr>
            </w:pPr>
            <w:r>
              <w:rPr>
                <w:rFonts w:ascii="Arial" w:cs="Arial" w:eastAsia="Arial" w:hAnsi="Arial"/>
                <w:sz w:val="18"/>
                <w:szCs w:val="18"/>
                <w:color w:val="02568A"/>
              </w:rPr>
              <w:t>2,521</w:t>
            </w:r>
          </w:p>
        </w:tc>
        <w:tc>
          <w:tcPr>
            <w:tcW w:w="1680" w:type="dxa"/>
            <w:vAlign w:val="bottom"/>
            <w:shd w:val="clear" w:color="auto" w:fill="CED8EA"/>
          </w:tcPr>
          <w:p>
            <w:pPr>
              <w:jc w:val="right"/>
              <w:spacing w:after="0"/>
              <w:rPr>
                <w:sz w:val="20"/>
                <w:szCs w:val="20"/>
                <w:color w:val="auto"/>
              </w:rPr>
            </w:pPr>
            <w:r>
              <w:rPr>
                <w:rFonts w:ascii="Arial" w:cs="Arial" w:eastAsia="Arial" w:hAnsi="Arial"/>
                <w:sz w:val="18"/>
                <w:szCs w:val="18"/>
                <w:color w:val="02568A"/>
              </w:rPr>
              <w:t>—</w:t>
            </w:r>
          </w:p>
        </w:tc>
        <w:tc>
          <w:tcPr>
            <w:tcW w:w="20" w:type="dxa"/>
            <w:vAlign w:val="bottom"/>
          </w:tcPr>
          <w:p>
            <w:pPr>
              <w:spacing w:after="0"/>
              <w:rPr>
                <w:sz w:val="18"/>
                <w:szCs w:val="18"/>
                <w:color w:val="auto"/>
              </w:rPr>
            </w:pPr>
          </w:p>
        </w:tc>
      </w:tr>
      <w:tr>
        <w:trPr>
          <w:trHeight w:val="40"/>
        </w:trPr>
        <w:tc>
          <w:tcPr>
            <w:tcW w:w="36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700" w:type="dxa"/>
            <w:vAlign w:val="bottom"/>
            <w:gridSpan w:val="2"/>
          </w:tcPr>
          <w:p>
            <w:pPr>
              <w:spacing w:after="0"/>
              <w:rPr>
                <w:sz w:val="3"/>
                <w:szCs w:val="3"/>
                <w:color w:val="auto"/>
              </w:rPr>
            </w:pPr>
          </w:p>
        </w:tc>
      </w:tr>
      <w:tr>
        <w:trPr>
          <w:trHeight w:val="222"/>
        </w:trPr>
        <w:tc>
          <w:tcPr>
            <w:tcW w:w="3620" w:type="dxa"/>
            <w:vAlign w:val="bottom"/>
            <w:tcBorders>
              <w:top w:val="single" w:sz="8" w:color="D1D2D4"/>
            </w:tcBorders>
          </w:tcPr>
          <w:p>
            <w:pPr>
              <w:spacing w:after="0"/>
              <w:rPr>
                <w:sz w:val="20"/>
                <w:szCs w:val="20"/>
                <w:color w:val="auto"/>
              </w:rPr>
            </w:pPr>
            <w:r>
              <w:rPr>
                <w:rFonts w:ascii="Arial" w:cs="Arial" w:eastAsia="Arial" w:hAnsi="Arial"/>
                <w:sz w:val="18"/>
                <w:szCs w:val="18"/>
                <w:b w:val="1"/>
                <w:bCs w:val="1"/>
                <w:color w:val="02568A"/>
              </w:rPr>
              <w:t>Kevin L. Beebe</w:t>
            </w:r>
          </w:p>
        </w:tc>
        <w:tc>
          <w:tcPr>
            <w:tcW w:w="2040" w:type="dxa"/>
            <w:vAlign w:val="bottom"/>
            <w:tcBorders>
              <w:top w:val="single" w:sz="8" w:color="D1D2D4"/>
            </w:tcBorders>
          </w:tcPr>
          <w:p>
            <w:pPr>
              <w:jc w:val="right"/>
              <w:spacing w:after="0"/>
              <w:rPr>
                <w:sz w:val="20"/>
                <w:szCs w:val="20"/>
                <w:color w:val="auto"/>
              </w:rPr>
            </w:pPr>
            <w:r>
              <w:rPr>
                <w:rFonts w:ascii="Arial" w:cs="Arial" w:eastAsia="Arial" w:hAnsi="Arial"/>
                <w:sz w:val="18"/>
                <w:szCs w:val="18"/>
                <w:color w:val="02568A"/>
              </w:rPr>
              <w:t>—</w:t>
            </w:r>
          </w:p>
        </w:tc>
        <w:tc>
          <w:tcPr>
            <w:tcW w:w="1480" w:type="dxa"/>
            <w:vAlign w:val="bottom"/>
            <w:tcBorders>
              <w:top w:val="single" w:sz="8" w:color="D1D2D4"/>
            </w:tcBorders>
          </w:tcPr>
          <w:p>
            <w:pPr>
              <w:jc w:val="right"/>
              <w:spacing w:after="0"/>
              <w:rPr>
                <w:sz w:val="20"/>
                <w:szCs w:val="20"/>
                <w:color w:val="auto"/>
              </w:rPr>
            </w:pPr>
            <w:r>
              <w:rPr>
                <w:rFonts w:ascii="Arial" w:cs="Arial" w:eastAsia="Arial" w:hAnsi="Arial"/>
                <w:sz w:val="18"/>
                <w:szCs w:val="18"/>
                <w:color w:val="02568A"/>
              </w:rPr>
              <w:t>2,294</w:t>
            </w:r>
          </w:p>
        </w:tc>
        <w:tc>
          <w:tcPr>
            <w:tcW w:w="1680" w:type="dxa"/>
            <w:vAlign w:val="bottom"/>
            <w:tcBorders>
              <w:top w:val="single" w:sz="8" w:color="D1D2D4"/>
            </w:tcBorders>
          </w:tcPr>
          <w:p>
            <w:pPr>
              <w:jc w:val="right"/>
              <w:spacing w:after="0"/>
              <w:rPr>
                <w:sz w:val="20"/>
                <w:szCs w:val="20"/>
                <w:color w:val="auto"/>
              </w:rPr>
            </w:pPr>
            <w:r>
              <w:rPr>
                <w:rFonts w:ascii="Arial" w:cs="Arial" w:eastAsia="Arial" w:hAnsi="Arial"/>
                <w:sz w:val="18"/>
                <w:szCs w:val="18"/>
                <w:color w:val="02568A"/>
              </w:rPr>
              <w:t>—</w:t>
            </w:r>
          </w:p>
        </w:tc>
        <w:tc>
          <w:tcPr>
            <w:tcW w:w="20" w:type="dxa"/>
            <w:vAlign w:val="bottom"/>
          </w:tcPr>
          <w:p>
            <w:pPr>
              <w:spacing w:after="0"/>
              <w:rPr>
                <w:sz w:val="19"/>
                <w:szCs w:val="19"/>
                <w:color w:val="auto"/>
              </w:rPr>
            </w:pPr>
          </w:p>
        </w:tc>
      </w:tr>
      <w:tr>
        <w:trPr>
          <w:trHeight w:val="28"/>
        </w:trPr>
        <w:tc>
          <w:tcPr>
            <w:tcW w:w="3620" w:type="dxa"/>
            <w:vAlign w:val="bottom"/>
            <w:tcBorders>
              <w:bottom w:val="single" w:sz="8" w:color="D1D2D4"/>
            </w:tcBorders>
          </w:tcPr>
          <w:p>
            <w:pPr>
              <w:spacing w:after="0"/>
              <w:rPr>
                <w:sz w:val="2"/>
                <w:szCs w:val="2"/>
                <w:color w:val="auto"/>
              </w:rPr>
            </w:pPr>
          </w:p>
        </w:tc>
        <w:tc>
          <w:tcPr>
            <w:tcW w:w="2040" w:type="dxa"/>
            <w:vAlign w:val="bottom"/>
            <w:tcBorders>
              <w:bottom w:val="single" w:sz="8" w:color="D1D2D4"/>
            </w:tcBorders>
          </w:tcPr>
          <w:p>
            <w:pPr>
              <w:spacing w:after="0"/>
              <w:rPr>
                <w:sz w:val="2"/>
                <w:szCs w:val="2"/>
                <w:color w:val="auto"/>
              </w:rPr>
            </w:pPr>
          </w:p>
        </w:tc>
        <w:tc>
          <w:tcPr>
            <w:tcW w:w="1480" w:type="dxa"/>
            <w:vAlign w:val="bottom"/>
            <w:tcBorders>
              <w:bottom w:val="single" w:sz="8" w:color="D1D2D4"/>
            </w:tcBorders>
          </w:tcPr>
          <w:p>
            <w:pPr>
              <w:spacing w:after="0"/>
              <w:rPr>
                <w:sz w:val="2"/>
                <w:szCs w:val="2"/>
                <w:color w:val="auto"/>
              </w:rPr>
            </w:pPr>
          </w:p>
        </w:tc>
        <w:tc>
          <w:tcPr>
            <w:tcW w:w="1700" w:type="dxa"/>
            <w:vAlign w:val="bottom"/>
            <w:tcBorders>
              <w:bottom w:val="single" w:sz="8" w:color="D1D2D4"/>
            </w:tcBorders>
            <w:gridSpan w:val="2"/>
          </w:tcPr>
          <w:p>
            <w:pPr>
              <w:spacing w:after="0"/>
              <w:rPr>
                <w:sz w:val="2"/>
                <w:szCs w:val="2"/>
                <w:color w:val="auto"/>
              </w:rPr>
            </w:pPr>
          </w:p>
        </w:tc>
      </w:tr>
      <w:tr>
        <w:trPr>
          <w:trHeight w:val="210"/>
        </w:trPr>
        <w:tc>
          <w:tcPr>
            <w:tcW w:w="3620" w:type="dxa"/>
            <w:vAlign w:val="bottom"/>
            <w:shd w:val="clear" w:color="auto" w:fill="CED8EA"/>
          </w:tcPr>
          <w:p>
            <w:pPr>
              <w:spacing w:after="0"/>
              <w:rPr>
                <w:sz w:val="20"/>
                <w:szCs w:val="20"/>
                <w:color w:val="auto"/>
              </w:rPr>
            </w:pPr>
            <w:r>
              <w:rPr>
                <w:rFonts w:ascii="Arial" w:cs="Arial" w:eastAsia="Arial" w:hAnsi="Arial"/>
                <w:sz w:val="18"/>
                <w:szCs w:val="18"/>
                <w:b w:val="1"/>
                <w:bCs w:val="1"/>
                <w:color w:val="02568A"/>
              </w:rPr>
              <w:t>Timothy R. Furey</w:t>
            </w:r>
          </w:p>
        </w:tc>
        <w:tc>
          <w:tcPr>
            <w:tcW w:w="2040" w:type="dxa"/>
            <w:vAlign w:val="bottom"/>
            <w:shd w:val="clear" w:color="auto" w:fill="CED8EA"/>
          </w:tcPr>
          <w:p>
            <w:pPr>
              <w:jc w:val="right"/>
              <w:spacing w:after="0"/>
              <w:rPr>
                <w:sz w:val="20"/>
                <w:szCs w:val="20"/>
                <w:color w:val="auto"/>
              </w:rPr>
            </w:pPr>
            <w:r>
              <w:rPr>
                <w:rFonts w:ascii="Arial" w:cs="Arial" w:eastAsia="Arial" w:hAnsi="Arial"/>
                <w:sz w:val="18"/>
                <w:szCs w:val="18"/>
                <w:color w:val="02568A"/>
              </w:rPr>
              <w:t>—</w:t>
            </w:r>
          </w:p>
        </w:tc>
        <w:tc>
          <w:tcPr>
            <w:tcW w:w="1480" w:type="dxa"/>
            <w:vAlign w:val="bottom"/>
            <w:shd w:val="clear" w:color="auto" w:fill="CED8EA"/>
          </w:tcPr>
          <w:p>
            <w:pPr>
              <w:jc w:val="right"/>
              <w:spacing w:after="0"/>
              <w:rPr>
                <w:sz w:val="20"/>
                <w:szCs w:val="20"/>
                <w:color w:val="auto"/>
              </w:rPr>
            </w:pPr>
            <w:r>
              <w:rPr>
                <w:rFonts w:ascii="Arial" w:cs="Arial" w:eastAsia="Arial" w:hAnsi="Arial"/>
                <w:sz w:val="18"/>
                <w:szCs w:val="18"/>
                <w:color w:val="02568A"/>
              </w:rPr>
              <w:t>2,294</w:t>
            </w:r>
          </w:p>
        </w:tc>
        <w:tc>
          <w:tcPr>
            <w:tcW w:w="1680" w:type="dxa"/>
            <w:vAlign w:val="bottom"/>
            <w:shd w:val="clear" w:color="auto" w:fill="CED8EA"/>
          </w:tcPr>
          <w:p>
            <w:pPr>
              <w:jc w:val="right"/>
              <w:spacing w:after="0"/>
              <w:rPr>
                <w:sz w:val="20"/>
                <w:szCs w:val="20"/>
                <w:color w:val="auto"/>
              </w:rPr>
            </w:pPr>
            <w:r>
              <w:rPr>
                <w:rFonts w:ascii="Arial" w:cs="Arial" w:eastAsia="Arial" w:hAnsi="Arial"/>
                <w:sz w:val="18"/>
                <w:szCs w:val="18"/>
                <w:color w:val="02568A"/>
              </w:rPr>
              <w:t>—</w:t>
            </w:r>
          </w:p>
        </w:tc>
        <w:tc>
          <w:tcPr>
            <w:tcW w:w="20" w:type="dxa"/>
            <w:vAlign w:val="bottom"/>
          </w:tcPr>
          <w:p>
            <w:pPr>
              <w:spacing w:after="0"/>
              <w:rPr>
                <w:sz w:val="18"/>
                <w:szCs w:val="18"/>
                <w:color w:val="auto"/>
              </w:rPr>
            </w:pPr>
          </w:p>
        </w:tc>
      </w:tr>
      <w:tr>
        <w:trPr>
          <w:trHeight w:val="40"/>
        </w:trPr>
        <w:tc>
          <w:tcPr>
            <w:tcW w:w="36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700" w:type="dxa"/>
            <w:vAlign w:val="bottom"/>
            <w:gridSpan w:val="2"/>
          </w:tcPr>
          <w:p>
            <w:pPr>
              <w:spacing w:after="0"/>
              <w:rPr>
                <w:sz w:val="3"/>
                <w:szCs w:val="3"/>
                <w:color w:val="auto"/>
              </w:rPr>
            </w:pPr>
          </w:p>
        </w:tc>
      </w:tr>
      <w:tr>
        <w:trPr>
          <w:trHeight w:val="222"/>
        </w:trPr>
        <w:tc>
          <w:tcPr>
            <w:tcW w:w="3620" w:type="dxa"/>
            <w:vAlign w:val="bottom"/>
            <w:tcBorders>
              <w:top w:val="single" w:sz="8" w:color="D1D2D4"/>
            </w:tcBorders>
          </w:tcPr>
          <w:p>
            <w:pPr>
              <w:spacing w:after="0"/>
              <w:rPr>
                <w:sz w:val="20"/>
                <w:szCs w:val="20"/>
                <w:color w:val="auto"/>
              </w:rPr>
            </w:pPr>
            <w:r>
              <w:rPr>
                <w:rFonts w:ascii="Arial" w:cs="Arial" w:eastAsia="Arial" w:hAnsi="Arial"/>
                <w:sz w:val="18"/>
                <w:szCs w:val="18"/>
                <w:b w:val="1"/>
                <w:bCs w:val="1"/>
                <w:color w:val="02568A"/>
              </w:rPr>
              <w:t>Balakrishnan S. Iyer</w:t>
            </w:r>
          </w:p>
        </w:tc>
        <w:tc>
          <w:tcPr>
            <w:tcW w:w="2040" w:type="dxa"/>
            <w:vAlign w:val="bottom"/>
            <w:tcBorders>
              <w:top w:val="single" w:sz="8" w:color="D1D2D4"/>
            </w:tcBorders>
          </w:tcPr>
          <w:p>
            <w:pPr>
              <w:jc w:val="right"/>
              <w:spacing w:after="0"/>
              <w:rPr>
                <w:sz w:val="20"/>
                <w:szCs w:val="20"/>
                <w:color w:val="auto"/>
              </w:rPr>
            </w:pPr>
            <w:r>
              <w:rPr>
                <w:rFonts w:ascii="Arial" w:cs="Arial" w:eastAsia="Arial" w:hAnsi="Arial"/>
                <w:sz w:val="18"/>
                <w:szCs w:val="18"/>
                <w:color w:val="02568A"/>
              </w:rPr>
              <w:t>—</w:t>
            </w:r>
          </w:p>
        </w:tc>
        <w:tc>
          <w:tcPr>
            <w:tcW w:w="1480" w:type="dxa"/>
            <w:vAlign w:val="bottom"/>
            <w:tcBorders>
              <w:top w:val="single" w:sz="8" w:color="D1D2D4"/>
            </w:tcBorders>
          </w:tcPr>
          <w:p>
            <w:pPr>
              <w:jc w:val="right"/>
              <w:spacing w:after="0"/>
              <w:rPr>
                <w:sz w:val="20"/>
                <w:szCs w:val="20"/>
                <w:color w:val="auto"/>
              </w:rPr>
            </w:pPr>
            <w:r>
              <w:rPr>
                <w:rFonts w:ascii="Arial" w:cs="Arial" w:eastAsia="Arial" w:hAnsi="Arial"/>
                <w:sz w:val="18"/>
                <w:szCs w:val="18"/>
                <w:color w:val="02568A"/>
              </w:rPr>
              <w:t>2,294</w:t>
            </w:r>
          </w:p>
        </w:tc>
        <w:tc>
          <w:tcPr>
            <w:tcW w:w="1680" w:type="dxa"/>
            <w:vAlign w:val="bottom"/>
            <w:tcBorders>
              <w:top w:val="single" w:sz="8" w:color="D1D2D4"/>
            </w:tcBorders>
          </w:tcPr>
          <w:p>
            <w:pPr>
              <w:jc w:val="right"/>
              <w:spacing w:after="0"/>
              <w:rPr>
                <w:sz w:val="20"/>
                <w:szCs w:val="20"/>
                <w:color w:val="auto"/>
              </w:rPr>
            </w:pPr>
            <w:r>
              <w:rPr>
                <w:rFonts w:ascii="Arial" w:cs="Arial" w:eastAsia="Arial" w:hAnsi="Arial"/>
                <w:sz w:val="18"/>
                <w:szCs w:val="18"/>
                <w:color w:val="02568A"/>
              </w:rPr>
              <w:t>—</w:t>
            </w:r>
          </w:p>
        </w:tc>
        <w:tc>
          <w:tcPr>
            <w:tcW w:w="20" w:type="dxa"/>
            <w:vAlign w:val="bottom"/>
          </w:tcPr>
          <w:p>
            <w:pPr>
              <w:spacing w:after="0"/>
              <w:rPr>
                <w:sz w:val="19"/>
                <w:szCs w:val="19"/>
                <w:color w:val="auto"/>
              </w:rPr>
            </w:pPr>
          </w:p>
        </w:tc>
      </w:tr>
      <w:tr>
        <w:trPr>
          <w:trHeight w:val="28"/>
        </w:trPr>
        <w:tc>
          <w:tcPr>
            <w:tcW w:w="3620" w:type="dxa"/>
            <w:vAlign w:val="bottom"/>
            <w:tcBorders>
              <w:bottom w:val="single" w:sz="8" w:color="D1D2D4"/>
            </w:tcBorders>
          </w:tcPr>
          <w:p>
            <w:pPr>
              <w:spacing w:after="0"/>
              <w:rPr>
                <w:sz w:val="2"/>
                <w:szCs w:val="2"/>
                <w:color w:val="auto"/>
              </w:rPr>
            </w:pPr>
          </w:p>
        </w:tc>
        <w:tc>
          <w:tcPr>
            <w:tcW w:w="2040" w:type="dxa"/>
            <w:vAlign w:val="bottom"/>
            <w:tcBorders>
              <w:bottom w:val="single" w:sz="8" w:color="D1D2D4"/>
            </w:tcBorders>
          </w:tcPr>
          <w:p>
            <w:pPr>
              <w:spacing w:after="0"/>
              <w:rPr>
                <w:sz w:val="2"/>
                <w:szCs w:val="2"/>
                <w:color w:val="auto"/>
              </w:rPr>
            </w:pPr>
          </w:p>
        </w:tc>
        <w:tc>
          <w:tcPr>
            <w:tcW w:w="1480" w:type="dxa"/>
            <w:vAlign w:val="bottom"/>
            <w:tcBorders>
              <w:bottom w:val="single" w:sz="8" w:color="D1D2D4"/>
            </w:tcBorders>
          </w:tcPr>
          <w:p>
            <w:pPr>
              <w:spacing w:after="0"/>
              <w:rPr>
                <w:sz w:val="2"/>
                <w:szCs w:val="2"/>
                <w:color w:val="auto"/>
              </w:rPr>
            </w:pPr>
          </w:p>
        </w:tc>
        <w:tc>
          <w:tcPr>
            <w:tcW w:w="1700" w:type="dxa"/>
            <w:vAlign w:val="bottom"/>
            <w:tcBorders>
              <w:bottom w:val="single" w:sz="8" w:color="D1D2D4"/>
            </w:tcBorders>
            <w:gridSpan w:val="2"/>
          </w:tcPr>
          <w:p>
            <w:pPr>
              <w:spacing w:after="0"/>
              <w:rPr>
                <w:sz w:val="2"/>
                <w:szCs w:val="2"/>
                <w:color w:val="auto"/>
              </w:rPr>
            </w:pPr>
          </w:p>
        </w:tc>
      </w:tr>
      <w:tr>
        <w:trPr>
          <w:trHeight w:val="210"/>
        </w:trPr>
        <w:tc>
          <w:tcPr>
            <w:tcW w:w="3620" w:type="dxa"/>
            <w:vAlign w:val="bottom"/>
            <w:shd w:val="clear" w:color="auto" w:fill="CED8EA"/>
          </w:tcPr>
          <w:p>
            <w:pPr>
              <w:spacing w:after="0"/>
              <w:rPr>
                <w:sz w:val="20"/>
                <w:szCs w:val="20"/>
                <w:color w:val="auto"/>
              </w:rPr>
            </w:pPr>
            <w:r>
              <w:rPr>
                <w:rFonts w:ascii="Arial" w:cs="Arial" w:eastAsia="Arial" w:hAnsi="Arial"/>
                <w:sz w:val="18"/>
                <w:szCs w:val="18"/>
                <w:b w:val="1"/>
                <w:bCs w:val="1"/>
                <w:color w:val="02568A"/>
              </w:rPr>
              <w:t>David P. McGlade</w:t>
            </w:r>
          </w:p>
        </w:tc>
        <w:tc>
          <w:tcPr>
            <w:tcW w:w="2040" w:type="dxa"/>
            <w:vAlign w:val="bottom"/>
            <w:shd w:val="clear" w:color="auto" w:fill="CED8EA"/>
          </w:tcPr>
          <w:p>
            <w:pPr>
              <w:jc w:val="right"/>
              <w:spacing w:after="0"/>
              <w:rPr>
                <w:sz w:val="20"/>
                <w:szCs w:val="20"/>
                <w:color w:val="auto"/>
              </w:rPr>
            </w:pPr>
            <w:r>
              <w:rPr>
                <w:rFonts w:ascii="Arial" w:cs="Arial" w:eastAsia="Arial" w:hAnsi="Arial"/>
                <w:sz w:val="18"/>
                <w:szCs w:val="18"/>
                <w:color w:val="02568A"/>
              </w:rPr>
              <w:t>—</w:t>
            </w:r>
          </w:p>
        </w:tc>
        <w:tc>
          <w:tcPr>
            <w:tcW w:w="1480" w:type="dxa"/>
            <w:vAlign w:val="bottom"/>
            <w:shd w:val="clear" w:color="auto" w:fill="CED8EA"/>
          </w:tcPr>
          <w:p>
            <w:pPr>
              <w:jc w:val="right"/>
              <w:spacing w:after="0"/>
              <w:rPr>
                <w:sz w:val="20"/>
                <w:szCs w:val="20"/>
                <w:color w:val="auto"/>
              </w:rPr>
            </w:pPr>
            <w:r>
              <w:rPr>
                <w:rFonts w:ascii="Arial" w:cs="Arial" w:eastAsia="Arial" w:hAnsi="Arial"/>
                <w:sz w:val="18"/>
                <w:szCs w:val="18"/>
                <w:color w:val="02568A"/>
              </w:rPr>
              <w:t>2,294</w:t>
            </w:r>
          </w:p>
        </w:tc>
        <w:tc>
          <w:tcPr>
            <w:tcW w:w="1680" w:type="dxa"/>
            <w:vAlign w:val="bottom"/>
            <w:shd w:val="clear" w:color="auto" w:fill="CED8EA"/>
          </w:tcPr>
          <w:p>
            <w:pPr>
              <w:jc w:val="right"/>
              <w:spacing w:after="0"/>
              <w:rPr>
                <w:sz w:val="20"/>
                <w:szCs w:val="20"/>
                <w:color w:val="auto"/>
              </w:rPr>
            </w:pPr>
            <w:r>
              <w:rPr>
                <w:rFonts w:ascii="Arial" w:cs="Arial" w:eastAsia="Arial" w:hAnsi="Arial"/>
                <w:sz w:val="18"/>
                <w:szCs w:val="18"/>
                <w:color w:val="02568A"/>
              </w:rPr>
              <w:t>—</w:t>
            </w:r>
          </w:p>
        </w:tc>
        <w:tc>
          <w:tcPr>
            <w:tcW w:w="20" w:type="dxa"/>
            <w:vAlign w:val="bottom"/>
          </w:tcPr>
          <w:p>
            <w:pPr>
              <w:spacing w:after="0"/>
              <w:rPr>
                <w:sz w:val="18"/>
                <w:szCs w:val="18"/>
                <w:color w:val="auto"/>
              </w:rPr>
            </w:pPr>
          </w:p>
        </w:tc>
      </w:tr>
      <w:tr>
        <w:trPr>
          <w:trHeight w:val="40"/>
        </w:trPr>
        <w:tc>
          <w:tcPr>
            <w:tcW w:w="36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700" w:type="dxa"/>
            <w:vAlign w:val="bottom"/>
            <w:gridSpan w:val="2"/>
          </w:tcPr>
          <w:p>
            <w:pPr>
              <w:spacing w:after="0"/>
              <w:rPr>
                <w:sz w:val="3"/>
                <w:szCs w:val="3"/>
                <w:color w:val="auto"/>
              </w:rPr>
            </w:pPr>
          </w:p>
        </w:tc>
      </w:tr>
      <w:tr>
        <w:trPr>
          <w:trHeight w:val="222"/>
        </w:trPr>
        <w:tc>
          <w:tcPr>
            <w:tcW w:w="3620" w:type="dxa"/>
            <w:vAlign w:val="bottom"/>
            <w:tcBorders>
              <w:top w:val="single" w:sz="8" w:color="D1D2D4"/>
            </w:tcBorders>
          </w:tcPr>
          <w:p>
            <w:pPr>
              <w:spacing w:after="0"/>
              <w:rPr>
                <w:sz w:val="20"/>
                <w:szCs w:val="20"/>
                <w:color w:val="auto"/>
              </w:rPr>
            </w:pPr>
            <w:r>
              <w:rPr>
                <w:rFonts w:ascii="Arial" w:cs="Arial" w:eastAsia="Arial" w:hAnsi="Arial"/>
                <w:sz w:val="18"/>
                <w:szCs w:val="18"/>
                <w:b w:val="1"/>
                <w:bCs w:val="1"/>
                <w:color w:val="02568A"/>
              </w:rPr>
              <w:t>Robert A. Schriesheim</w:t>
            </w:r>
          </w:p>
        </w:tc>
        <w:tc>
          <w:tcPr>
            <w:tcW w:w="2040" w:type="dxa"/>
            <w:vAlign w:val="bottom"/>
            <w:tcBorders>
              <w:top w:val="single" w:sz="8" w:color="D1D2D4"/>
            </w:tcBorders>
          </w:tcPr>
          <w:p>
            <w:pPr>
              <w:jc w:val="right"/>
              <w:spacing w:after="0"/>
              <w:rPr>
                <w:sz w:val="20"/>
                <w:szCs w:val="20"/>
                <w:color w:val="auto"/>
              </w:rPr>
            </w:pPr>
            <w:r>
              <w:rPr>
                <w:rFonts w:ascii="Arial" w:cs="Arial" w:eastAsia="Arial" w:hAnsi="Arial"/>
                <w:sz w:val="18"/>
                <w:szCs w:val="18"/>
                <w:color w:val="02568A"/>
              </w:rPr>
              <w:t>—</w:t>
            </w:r>
          </w:p>
        </w:tc>
        <w:tc>
          <w:tcPr>
            <w:tcW w:w="1480" w:type="dxa"/>
            <w:vAlign w:val="bottom"/>
            <w:tcBorders>
              <w:top w:val="single" w:sz="8" w:color="D1D2D4"/>
            </w:tcBorders>
          </w:tcPr>
          <w:p>
            <w:pPr>
              <w:jc w:val="right"/>
              <w:spacing w:after="0"/>
              <w:rPr>
                <w:sz w:val="20"/>
                <w:szCs w:val="20"/>
                <w:color w:val="auto"/>
              </w:rPr>
            </w:pPr>
            <w:r>
              <w:rPr>
                <w:rFonts w:ascii="Arial" w:cs="Arial" w:eastAsia="Arial" w:hAnsi="Arial"/>
                <w:sz w:val="18"/>
                <w:szCs w:val="18"/>
                <w:color w:val="02568A"/>
              </w:rPr>
              <w:t>2,294</w:t>
            </w:r>
          </w:p>
        </w:tc>
        <w:tc>
          <w:tcPr>
            <w:tcW w:w="1680" w:type="dxa"/>
            <w:vAlign w:val="bottom"/>
            <w:tcBorders>
              <w:top w:val="single" w:sz="8" w:color="D1D2D4"/>
            </w:tcBorders>
          </w:tcPr>
          <w:p>
            <w:pPr>
              <w:jc w:val="right"/>
              <w:spacing w:after="0"/>
              <w:rPr>
                <w:sz w:val="20"/>
                <w:szCs w:val="20"/>
                <w:color w:val="auto"/>
              </w:rPr>
            </w:pPr>
            <w:r>
              <w:rPr>
                <w:rFonts w:ascii="Arial" w:cs="Arial" w:eastAsia="Arial" w:hAnsi="Arial"/>
                <w:sz w:val="18"/>
                <w:szCs w:val="18"/>
                <w:color w:val="02568A"/>
              </w:rPr>
              <w:t>—</w:t>
            </w:r>
          </w:p>
        </w:tc>
        <w:tc>
          <w:tcPr>
            <w:tcW w:w="20" w:type="dxa"/>
            <w:vAlign w:val="bottom"/>
          </w:tcPr>
          <w:p>
            <w:pPr>
              <w:spacing w:after="0"/>
              <w:rPr>
                <w:sz w:val="19"/>
                <w:szCs w:val="19"/>
                <w:color w:val="auto"/>
              </w:rPr>
            </w:pPr>
          </w:p>
        </w:tc>
      </w:tr>
      <w:tr>
        <w:trPr>
          <w:trHeight w:val="28"/>
        </w:trPr>
        <w:tc>
          <w:tcPr>
            <w:tcW w:w="3620" w:type="dxa"/>
            <w:vAlign w:val="bottom"/>
            <w:tcBorders>
              <w:bottom w:val="single" w:sz="8" w:color="D1D2D4"/>
            </w:tcBorders>
          </w:tcPr>
          <w:p>
            <w:pPr>
              <w:spacing w:after="0"/>
              <w:rPr>
                <w:sz w:val="2"/>
                <w:szCs w:val="2"/>
                <w:color w:val="auto"/>
              </w:rPr>
            </w:pPr>
          </w:p>
        </w:tc>
        <w:tc>
          <w:tcPr>
            <w:tcW w:w="2040" w:type="dxa"/>
            <w:vAlign w:val="bottom"/>
            <w:tcBorders>
              <w:bottom w:val="single" w:sz="8" w:color="D1D2D4"/>
            </w:tcBorders>
          </w:tcPr>
          <w:p>
            <w:pPr>
              <w:spacing w:after="0"/>
              <w:rPr>
                <w:sz w:val="2"/>
                <w:szCs w:val="2"/>
                <w:color w:val="auto"/>
              </w:rPr>
            </w:pPr>
          </w:p>
        </w:tc>
        <w:tc>
          <w:tcPr>
            <w:tcW w:w="1480" w:type="dxa"/>
            <w:vAlign w:val="bottom"/>
            <w:tcBorders>
              <w:bottom w:val="single" w:sz="8" w:color="D1D2D4"/>
            </w:tcBorders>
          </w:tcPr>
          <w:p>
            <w:pPr>
              <w:spacing w:after="0"/>
              <w:rPr>
                <w:sz w:val="2"/>
                <w:szCs w:val="2"/>
                <w:color w:val="auto"/>
              </w:rPr>
            </w:pPr>
          </w:p>
        </w:tc>
        <w:tc>
          <w:tcPr>
            <w:tcW w:w="1700" w:type="dxa"/>
            <w:vAlign w:val="bottom"/>
            <w:tcBorders>
              <w:bottom w:val="single" w:sz="8" w:color="D1D2D4"/>
            </w:tcBorders>
            <w:gridSpan w:val="2"/>
          </w:tcPr>
          <w:p>
            <w:pPr>
              <w:spacing w:after="0"/>
              <w:rPr>
                <w:sz w:val="2"/>
                <w:szCs w:val="2"/>
                <w:color w:val="auto"/>
              </w:rPr>
            </w:pPr>
          </w:p>
        </w:tc>
      </w:tr>
      <w:tr>
        <w:trPr>
          <w:trHeight w:val="210"/>
        </w:trPr>
        <w:tc>
          <w:tcPr>
            <w:tcW w:w="3620" w:type="dxa"/>
            <w:vAlign w:val="bottom"/>
            <w:shd w:val="clear" w:color="auto" w:fill="CED8EA"/>
          </w:tcPr>
          <w:p>
            <w:pPr>
              <w:spacing w:after="0"/>
              <w:rPr>
                <w:sz w:val="20"/>
                <w:szCs w:val="20"/>
                <w:color w:val="auto"/>
              </w:rPr>
            </w:pPr>
            <w:r>
              <w:rPr>
                <w:rFonts w:ascii="Arial" w:cs="Arial" w:eastAsia="Arial" w:hAnsi="Arial"/>
                <w:sz w:val="18"/>
                <w:szCs w:val="18"/>
                <w:b w:val="1"/>
                <w:bCs w:val="1"/>
                <w:color w:val="02568A"/>
              </w:rPr>
              <w:t>Kimberly S. Stevenson</w:t>
            </w:r>
          </w:p>
        </w:tc>
        <w:tc>
          <w:tcPr>
            <w:tcW w:w="2040" w:type="dxa"/>
            <w:vAlign w:val="bottom"/>
            <w:shd w:val="clear" w:color="auto" w:fill="CED8EA"/>
          </w:tcPr>
          <w:p>
            <w:pPr>
              <w:jc w:val="right"/>
              <w:spacing w:after="0"/>
              <w:rPr>
                <w:sz w:val="20"/>
                <w:szCs w:val="20"/>
                <w:color w:val="auto"/>
              </w:rPr>
            </w:pPr>
            <w:r>
              <w:rPr>
                <w:rFonts w:ascii="Arial" w:cs="Arial" w:eastAsia="Arial" w:hAnsi="Arial"/>
                <w:sz w:val="18"/>
                <w:szCs w:val="18"/>
                <w:color w:val="02568A"/>
              </w:rPr>
              <w:t>—</w:t>
            </w:r>
          </w:p>
        </w:tc>
        <w:tc>
          <w:tcPr>
            <w:tcW w:w="1480" w:type="dxa"/>
            <w:vAlign w:val="bottom"/>
            <w:shd w:val="clear" w:color="auto" w:fill="CED8EA"/>
          </w:tcPr>
          <w:p>
            <w:pPr>
              <w:jc w:val="right"/>
              <w:spacing w:after="0"/>
              <w:rPr>
                <w:sz w:val="20"/>
                <w:szCs w:val="20"/>
                <w:color w:val="auto"/>
              </w:rPr>
            </w:pPr>
            <w:r>
              <w:rPr>
                <w:rFonts w:ascii="Arial" w:cs="Arial" w:eastAsia="Arial" w:hAnsi="Arial"/>
                <w:sz w:val="18"/>
                <w:szCs w:val="18"/>
                <w:color w:val="02568A"/>
              </w:rPr>
              <w:t>3,638</w:t>
            </w:r>
          </w:p>
        </w:tc>
        <w:tc>
          <w:tcPr>
            <w:tcW w:w="1680" w:type="dxa"/>
            <w:vAlign w:val="bottom"/>
            <w:shd w:val="clear" w:color="auto" w:fill="CED8EA"/>
          </w:tcPr>
          <w:p>
            <w:pPr>
              <w:jc w:val="right"/>
              <w:spacing w:after="0"/>
              <w:rPr>
                <w:sz w:val="20"/>
                <w:szCs w:val="20"/>
                <w:color w:val="auto"/>
              </w:rPr>
            </w:pPr>
            <w:r>
              <w:rPr>
                <w:rFonts w:ascii="Arial" w:cs="Arial" w:eastAsia="Arial" w:hAnsi="Arial"/>
                <w:sz w:val="18"/>
                <w:szCs w:val="18"/>
                <w:color w:val="02568A"/>
              </w:rPr>
              <w:t>—</w:t>
            </w:r>
          </w:p>
        </w:tc>
        <w:tc>
          <w:tcPr>
            <w:tcW w:w="20" w:type="dxa"/>
            <w:vAlign w:val="bottom"/>
          </w:tcPr>
          <w:p>
            <w:pPr>
              <w:spacing w:after="0"/>
              <w:rPr>
                <w:sz w:val="18"/>
                <w:szCs w:val="18"/>
                <w:color w:val="auto"/>
              </w:rPr>
            </w:pPr>
          </w:p>
        </w:tc>
      </w:tr>
      <w:tr>
        <w:trPr>
          <w:trHeight w:val="40"/>
        </w:trPr>
        <w:tc>
          <w:tcPr>
            <w:tcW w:w="3620" w:type="dxa"/>
            <w:vAlign w:val="bottom"/>
            <w:tcBorders>
              <w:bottom w:val="single" w:sz="8" w:color="02568A"/>
            </w:tcBorders>
          </w:tcPr>
          <w:p>
            <w:pPr>
              <w:spacing w:after="0"/>
              <w:rPr>
                <w:sz w:val="3"/>
                <w:szCs w:val="3"/>
                <w:color w:val="auto"/>
              </w:rPr>
            </w:pPr>
          </w:p>
        </w:tc>
        <w:tc>
          <w:tcPr>
            <w:tcW w:w="2040" w:type="dxa"/>
            <w:vAlign w:val="bottom"/>
            <w:tcBorders>
              <w:bottom w:val="single" w:sz="8" w:color="02568A"/>
            </w:tcBorders>
          </w:tcPr>
          <w:p>
            <w:pPr>
              <w:spacing w:after="0"/>
              <w:rPr>
                <w:sz w:val="3"/>
                <w:szCs w:val="3"/>
                <w:color w:val="auto"/>
              </w:rPr>
            </w:pPr>
          </w:p>
        </w:tc>
        <w:tc>
          <w:tcPr>
            <w:tcW w:w="1480" w:type="dxa"/>
            <w:vAlign w:val="bottom"/>
            <w:tcBorders>
              <w:bottom w:val="single" w:sz="8" w:color="02568A"/>
            </w:tcBorders>
          </w:tcPr>
          <w:p>
            <w:pPr>
              <w:spacing w:after="0"/>
              <w:rPr>
                <w:sz w:val="3"/>
                <w:szCs w:val="3"/>
                <w:color w:val="auto"/>
              </w:rPr>
            </w:pPr>
          </w:p>
        </w:tc>
        <w:tc>
          <w:tcPr>
            <w:tcW w:w="1680" w:type="dxa"/>
            <w:vAlign w:val="bottom"/>
            <w:tcBorders>
              <w:bottom w:val="single" w:sz="8" w:color="02568A"/>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235" w:lineRule="exact"/>
        <w:rPr>
          <w:sz w:val="20"/>
          <w:szCs w:val="20"/>
          <w:color w:val="auto"/>
        </w:rPr>
      </w:pPr>
    </w:p>
    <w:p>
      <w:pPr>
        <w:ind w:left="540" w:hanging="532"/>
        <w:spacing w:after="0" w:line="294" w:lineRule="auto"/>
        <w:tabs>
          <w:tab w:leader="none" w:pos="540" w:val="left"/>
        </w:tabs>
        <w:numPr>
          <w:ilvl w:val="0"/>
          <w:numId w:val="68"/>
        </w:numPr>
        <w:rPr>
          <w:rFonts w:ascii="Arial" w:cs="Arial" w:eastAsia="Arial" w:hAnsi="Arial"/>
          <w:sz w:val="16"/>
          <w:szCs w:val="16"/>
          <w:color w:val="191919"/>
        </w:rPr>
      </w:pPr>
      <w:r>
        <w:rPr>
          <w:rFonts w:ascii="Arial" w:cs="Arial" w:eastAsia="Arial" w:hAnsi="Arial"/>
          <w:sz w:val="16"/>
          <w:szCs w:val="16"/>
          <w:color w:val="191919"/>
        </w:rPr>
        <w:t>Reflects the grant date fair value of 2,294 RSUs granted on May 8, 2019, to each non-employee director elected at the 2019 Annual Meeting of Stockholders, computed in accordance with the provisions of ASC 718 using a price of $84.06 per share, which was the closing sale price of the Company’s common stock on the Nasdaq Global Select Market on May 8, 2019. For Mr. Batey, reflects the grant date fair value of 2,521 RSUs granted on August 29, 2019, upon his initial appointment to the Board of Directors, computed in accordance with the provisions of ASC 718 using a price of $74.95 per share, which was the closing sale price of the Company’s common stock on the Nasdaq Global Select Market on August 29,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64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613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Director Stock Ownership Requirements</w:t>
      </w:r>
    </w:p>
    <w:p>
      <w:pPr>
        <w:spacing w:after="0" w:line="21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191919"/>
        </w:rPr>
        <w:t>We have adopted Director Stock Ownership guidelines with the objective of more closely aligning the interests of our directors with those of our stockholders. The minimum number of shares of the Company’s common stock that the Director Stock Ownership guidelines require non-employee directors to hold while serving in their capacity as directors is the director base compensation (currently $75,000) multiplied by five (5), divided by the fair market value of the Company’s common stock (rounded to the nearest 100 shares). For purposes of the Director Stock Ownership guidelines, the fair market value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88" w:lineRule="auto"/>
        <w:rPr>
          <w:sz w:val="20"/>
          <w:szCs w:val="20"/>
          <w:color w:val="auto"/>
        </w:rPr>
      </w:pPr>
      <w:r>
        <w:rPr>
          <w:rFonts w:ascii="Arial" w:cs="Arial" w:eastAsia="Arial" w:hAnsi="Arial"/>
          <w:sz w:val="16"/>
          <w:szCs w:val="16"/>
          <w:color w:val="191919"/>
        </w:rPr>
        <w:t>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 All of our directors have met the stock ownership guidelines as of the date hereof (with the exception of Ms. Stevenson and Mr. Batey, who are not required to comply with the guidelines until the fifth anniversary of their respective appointments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543560</wp:posOffset>
            </wp:positionV>
            <wp:extent cx="7132320" cy="316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5240" w:space="720"/>
            <w:col w:w="5280"/>
          </w:cols>
          <w:pgMar w:left="320" w:top="131" w:right="339" w:bottom="1440" w:gutter="0" w:footer="0" w:header="0"/>
        </w:sect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FFFFFE"/>
        </w:rPr>
        <w:t>Compensation Committee Report</w:t>
      </w:r>
    </w:p>
    <w:p>
      <w:pPr>
        <w:spacing w:after="0" w:line="200" w:lineRule="exact"/>
        <w:rPr>
          <w:sz w:val="20"/>
          <w:szCs w:val="20"/>
          <w:color w:val="auto"/>
        </w:rPr>
      </w:pPr>
    </w:p>
    <w:p>
      <w:pPr>
        <w:spacing w:after="0" w:line="329" w:lineRule="exact"/>
        <w:rPr>
          <w:sz w:val="20"/>
          <w:szCs w:val="20"/>
          <w:color w:val="auto"/>
        </w:rPr>
      </w:pPr>
    </w:p>
    <w:p>
      <w:pPr>
        <w:spacing w:after="0" w:line="335" w:lineRule="auto"/>
        <w:rPr>
          <w:sz w:val="20"/>
          <w:szCs w:val="20"/>
          <w:color w:val="auto"/>
        </w:rPr>
      </w:pPr>
      <w:r>
        <w:rPr>
          <w:rFonts w:ascii="Arial" w:cs="Arial" w:eastAsia="Arial" w:hAnsi="Arial"/>
          <w:sz w:val="15"/>
          <w:szCs w:val="15"/>
          <w:color w:val="191919"/>
        </w:rPr>
        <w:t>The Compensation Committee has reviewed and discussed the Compensation Discussion and Analysis included herein with management, and based on the review and discussions, the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191919"/>
        </w:rPr>
        <w:t>recommended to the Board of Directors that the Compensation Discussion and Analysis be included in this Proxy Statement for the 2020 Annual Meeting of Stockholders.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191919"/>
        </w:rPr>
        <w:t>THE COMPENSATION COMMITTEE</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191919"/>
        </w:rPr>
        <w:t>Christine King, Chairman</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191919"/>
        </w:rPr>
        <w:t>David P. McGlade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191919"/>
        </w:rPr>
        <w:t>Robert A. Schriesheim</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149860</wp:posOffset>
            </wp:positionV>
            <wp:extent cx="713613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60" w:space="700"/>
            <w:col w:w="5280"/>
          </w:cols>
          <w:pgMar w:left="320" w:top="131" w:right="3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ind w:left="60"/>
        <w:spacing w:after="0"/>
        <w:rPr>
          <w:sz w:val="20"/>
          <w:szCs w:val="20"/>
          <w:color w:val="auto"/>
        </w:rPr>
      </w:pPr>
      <w:r>
        <w:rPr>
          <w:rFonts w:ascii="Arial" w:cs="Arial" w:eastAsia="Arial" w:hAnsi="Arial"/>
          <w:sz w:val="24"/>
          <w:szCs w:val="24"/>
          <w:b w:val="1"/>
          <w:bCs w:val="1"/>
          <w:color w:val="02568A"/>
        </w:rPr>
        <w:t>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16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FFFFFE"/>
        </w:rPr>
        <w:t>Approval of Amendment to the 2002 Employee Stock Purchase Plan</w:t>
      </w:r>
    </w:p>
    <w:p>
      <w:pPr>
        <w:sectPr>
          <w:pgSz w:w="11900" w:h="16838" w:orient="portrait"/>
          <w:cols w:equalWidth="0" w:num="1">
            <w:col w:w="11220"/>
          </w:cols>
          <w:pgMar w:left="320" w:top="13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191919"/>
        </w:rPr>
        <w:t>The Board of Directors believes it is in the best interest of the Company to encourage stock ownership by employees of the Company. The Company’s 2002 Employee Stock Purchase Plan (the “ESPP”) affords employees of the Company the opportunity to purchase shares of the Company’s common stock at a discount through regular payroll deductions. The Company believes the ESPP enhances its ability to seek and retain the services of highly skilled persons to serve as employees of the Company, and at the same time, encourages employee stock ownership. Under the ESPP, the Company has currently reserved</w:t>
      </w:r>
    </w:p>
    <w:p>
      <w:pPr>
        <w:spacing w:after="0" w:line="5" w:lineRule="exact"/>
        <w:rPr>
          <w:sz w:val="20"/>
          <w:szCs w:val="20"/>
          <w:color w:val="auto"/>
        </w:rPr>
      </w:pPr>
    </w:p>
    <w:p>
      <w:pPr>
        <w:spacing w:after="0" w:line="288" w:lineRule="auto"/>
        <w:rPr>
          <w:sz w:val="20"/>
          <w:szCs w:val="20"/>
          <w:color w:val="auto"/>
        </w:rPr>
      </w:pPr>
      <w:r>
        <w:rPr>
          <w:rFonts w:ascii="Arial" w:cs="Arial" w:eastAsia="Arial" w:hAnsi="Arial"/>
          <w:sz w:val="16"/>
          <w:szCs w:val="16"/>
          <w:color w:val="191919"/>
        </w:rPr>
        <w:t>8.38 million shares of common stock to provide eligible employees with opportunities to purchase shares. As there would be an insufficient number of shares available for continuing the ESPP through the end of fiscal year 2020, on November 5, 2019, the Board of Directors adopted, subject to stockholder approval, an amendment to the ESPP that increases the number of shares of common stock authorized for purchase under the plan from 8.38 million to 9.88 million (the “ESPP Amendment”).</w:t>
      </w:r>
    </w:p>
    <w:p>
      <w:pPr>
        <w:spacing w:after="0" w:line="176" w:lineRule="exact"/>
        <w:rPr>
          <w:sz w:val="20"/>
          <w:szCs w:val="20"/>
          <w:color w:val="auto"/>
        </w:rPr>
      </w:pPr>
    </w:p>
    <w:p>
      <w:pPr>
        <w:spacing w:after="0" w:line="298" w:lineRule="auto"/>
        <w:rPr>
          <w:sz w:val="20"/>
          <w:szCs w:val="20"/>
          <w:color w:val="auto"/>
        </w:rPr>
      </w:pPr>
      <w:r>
        <w:rPr>
          <w:rFonts w:ascii="Arial" w:cs="Arial" w:eastAsia="Arial" w:hAnsi="Arial"/>
          <w:sz w:val="16"/>
          <w:szCs w:val="16"/>
          <w:color w:val="191919"/>
        </w:rPr>
        <w:t>We are asking stockholders to approve the ESPP Amendment. Apart from the ESPP Amendment, no other terms or conditions of the ESPP will change. With the approval of the ESPP Amendment by the stockholders, it is the intention of the Company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191919"/>
        </w:rPr>
        <w:t>have the ESPP continue to qualify as an “employee stock purchase plan” under Section 423 of the IRC, which may provide certain tax benefits to employees as described below. As of March 12, 2020, and without giving effect to the ESPP Amendment, there were 5,309 shares available for future purchase under the ESPP.</w:t>
      </w:r>
    </w:p>
    <w:p>
      <w:pPr>
        <w:spacing w:after="0" w:line="169" w:lineRule="exact"/>
        <w:rPr>
          <w:sz w:val="20"/>
          <w:szCs w:val="20"/>
          <w:color w:val="auto"/>
        </w:rPr>
      </w:pPr>
    </w:p>
    <w:p>
      <w:pPr>
        <w:spacing w:after="0" w:line="285" w:lineRule="auto"/>
        <w:rPr>
          <w:sz w:val="20"/>
          <w:szCs w:val="20"/>
          <w:color w:val="auto"/>
        </w:rPr>
      </w:pPr>
      <w:r>
        <w:rPr>
          <w:rFonts w:ascii="Arial" w:cs="Arial" w:eastAsia="Arial" w:hAnsi="Arial"/>
          <w:sz w:val="16"/>
          <w:szCs w:val="16"/>
          <w:color w:val="191919"/>
        </w:rPr>
        <w:t>In addition, if the ESPP Amendment is approved, the Company intends to continue providing non-U.S. employees with the opportunity to purchase shares of the Company’s common stock at a discount pursuant to Skyworks’ Non-Qualified Employee Stock Purchase Plan (“NQ ESPP”) by taking all necessary action to make available an additional 400,000 shares of common stock under the NQ ESPP, which action is not subject to stockholder approval. If the ESPP Amendment is not approved by the stockholders, the Company will not be able to continue to offer employees an opportunity to participate in the ESPP in the future once the shares that remain available for issuance thereunder are exhausted. Further, if the ESPP Amendment is not approved, the Company will not take any action to increase the number of shares available under the NQ ESPP and will discontinue such plan when the remaining shares available under the NQ ESPP have been exhausted.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394970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1" w:lineRule="exact"/>
        <w:rPr>
          <w:sz w:val="20"/>
          <w:szCs w:val="20"/>
          <w:color w:val="auto"/>
        </w:rPr>
      </w:pPr>
    </w:p>
    <w:p>
      <w:pPr>
        <w:sectPr>
          <w:pgSz w:w="11900" w:h="16838" w:orient="portrait"/>
          <w:cols w:equalWidth="0" w:num="2">
            <w:col w:w="5260" w:space="700"/>
            <w:col w:w="5260"/>
          </w:cols>
          <w:pgMar w:left="320" w:top="131" w:right="359" w:bottom="1440" w:gutter="0" w:footer="0" w:header="0"/>
          <w:type w:val="continuous"/>
        </w:sectPr>
      </w:pPr>
    </w:p>
    <w:p>
      <w:pPr>
        <w:spacing w:after="0" w:line="217" w:lineRule="exact"/>
        <w:rPr>
          <w:sz w:val="20"/>
          <w:szCs w:val="20"/>
          <w:color w:val="auto"/>
        </w:rPr>
      </w:pPr>
    </w:p>
    <w:p>
      <w:pPr>
        <w:spacing w:after="0"/>
        <w:rPr>
          <w:sz w:val="20"/>
          <w:szCs w:val="20"/>
          <w:color w:val="auto"/>
        </w:rPr>
      </w:pPr>
      <w:r>
        <w:rPr>
          <w:rFonts w:ascii="Arial" w:cs="Arial" w:eastAsia="Arial" w:hAnsi="Arial"/>
          <w:sz w:val="28"/>
          <w:szCs w:val="28"/>
          <w:b w:val="1"/>
          <w:bCs w:val="1"/>
          <w:color w:val="02568A"/>
        </w:rPr>
        <w:t>Description of the ESPP as Proposed to be Amended</w:t>
      </w:r>
    </w:p>
    <w:p>
      <w:pPr>
        <w:sectPr>
          <w:pgSz w:w="11900" w:h="16838" w:orient="portrait"/>
          <w:cols w:equalWidth="0" w:num="1">
            <w:col w:w="11220"/>
          </w:cols>
          <w:pgMar w:left="320" w:top="131" w:right="35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191919"/>
        </w:rPr>
        <w:t xml:space="preserve">Below is a brief summary of the ESPP, as proposed to be amended. The full text of the ESPP, as proposed to be amended, is attached as </w:t>
      </w:r>
      <w:r>
        <w:rPr>
          <w:rFonts w:ascii="Arial" w:cs="Arial" w:eastAsia="Arial" w:hAnsi="Arial"/>
          <w:sz w:val="16"/>
          <w:szCs w:val="16"/>
          <w:i w:val="1"/>
          <w:iCs w:val="1"/>
          <w:color w:val="191919"/>
        </w:rPr>
        <w:t>Exhibit A</w:t>
      </w:r>
      <w:r>
        <w:rPr>
          <w:rFonts w:ascii="Arial" w:cs="Arial" w:eastAsia="Arial" w:hAnsi="Arial"/>
          <w:sz w:val="16"/>
          <w:szCs w:val="16"/>
          <w:color w:val="191919"/>
        </w:rPr>
        <w:t xml:space="preserve"> to the electronic copy of this Proxy Statement that is filed with the Securities and Exchange Commission (accessible via www.sec.gov) and may be accessed from our website, </w:t>
      </w:r>
      <w:r>
        <w:rPr>
          <w:rFonts w:ascii="Arial" w:cs="Arial" w:eastAsia="Arial" w:hAnsi="Arial"/>
          <w:sz w:val="16"/>
          <w:szCs w:val="16"/>
          <w:color w:val="02568A"/>
        </w:rPr>
        <w:t>www.skyworksinc.com</w:t>
      </w:r>
      <w:r>
        <w:rPr>
          <w:rFonts w:ascii="Arial" w:cs="Arial" w:eastAsia="Arial" w:hAnsi="Arial"/>
          <w:sz w:val="16"/>
          <w:szCs w:val="16"/>
          <w:color w:val="191919"/>
        </w:rPr>
        <w:t>. In addition, a copy of the ESPP may be obtained from the Secretary of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191919"/>
        </w:rPr>
        <w:t>The summary of the ESPP set forth below assumes the approval of the ESPP Amendment and is qualified in its entirety by reference to the ESPP as proposed to be amended. As noted above, other than the change to the ESPP proposed to be made by the ESPP Amendment, no other terms or conditions of the ESPP will change.</w:t>
      </w:r>
    </w:p>
    <w:p>
      <w:pPr>
        <w:spacing w:after="0" w:line="411" w:lineRule="exact"/>
        <w:rPr>
          <w:sz w:val="20"/>
          <w:szCs w:val="20"/>
          <w:color w:val="auto"/>
        </w:rPr>
      </w:pPr>
    </w:p>
    <w:p>
      <w:pPr>
        <w:sectPr>
          <w:pgSz w:w="11900" w:h="16838" w:orient="portrait"/>
          <w:cols w:equalWidth="0" w:num="2">
            <w:col w:w="5240" w:space="720"/>
            <w:col w:w="5260"/>
          </w:cols>
          <w:pgMar w:left="320" w:top="131" w:right="359"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000001"/>
        </w:rPr>
        <w:t xml:space="preserve">Page 66 </w:t>
      </w:r>
      <w:r>
        <w:rPr>
          <w:rFonts w:ascii="Arial" w:cs="Arial" w:eastAsia="Arial" w:hAnsi="Arial"/>
          <w:sz w:val="15"/>
          <w:szCs w:val="15"/>
          <w:b w:val="1"/>
          <w:bCs w:val="1"/>
          <w:color w:val="000001"/>
        </w:rPr>
        <w:t>|</w:t>
      </w:r>
      <w:r>
        <w:rPr>
          <w:rFonts w:ascii="Arial" w:cs="Arial" w:eastAsia="Arial" w:hAnsi="Arial"/>
          <w:sz w:val="16"/>
          <w:szCs w:val="16"/>
          <w:b w:val="1"/>
          <w:bCs w:val="1"/>
          <w:color w:val="000001"/>
        </w:rPr>
        <w:t xml:space="preserve"> </w:t>
      </w:r>
      <w:r>
        <w:rPr>
          <w:rFonts w:ascii="Arial" w:cs="Arial" w:eastAsia="Arial" w:hAnsi="Arial"/>
          <w:sz w:val="16"/>
          <w:szCs w:val="16"/>
          <w:color w:val="000001"/>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361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Eligibility</w:t>
      </w:r>
    </w:p>
    <w:p>
      <w:pPr>
        <w:spacing w:after="0" w:line="219" w:lineRule="exact"/>
        <w:rPr>
          <w:sz w:val="20"/>
          <w:szCs w:val="20"/>
          <w:color w:val="auto"/>
        </w:rPr>
      </w:pPr>
    </w:p>
    <w:p>
      <w:pPr>
        <w:spacing w:after="0" w:line="287" w:lineRule="auto"/>
        <w:rPr>
          <w:sz w:val="20"/>
          <w:szCs w:val="20"/>
          <w:color w:val="auto"/>
        </w:rPr>
      </w:pPr>
      <w:r>
        <w:rPr>
          <w:rFonts w:ascii="Arial" w:cs="Arial" w:eastAsia="Arial" w:hAnsi="Arial"/>
          <w:sz w:val="16"/>
          <w:szCs w:val="16"/>
          <w:color w:val="191919"/>
        </w:rPr>
        <w:t>All employees of the Company and its participating subsidiaries who are employed by the Company at least ten (10) business days prior to the first day of the applicable offering period are eligible to participate in the ESPP, except for (i) any employee whose customary employment is for less than twenty (20) hours per week or for less than five (5) months in any calendar year and (ii) any employee who owns stock representing five percent (5%) or more of the total combined voting power or value of all classes of the Company’s common stock. An employee’s rights under the ESPP terminate when he or she ceases to be an employee. The Company’s non-employee directors are not eligible to participate in the ESPP.</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Participation</w:t>
      </w:r>
    </w:p>
    <w:p>
      <w:pPr>
        <w:spacing w:after="0" w:line="21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191919"/>
        </w:rPr>
        <w:t>The number of shares that participants may purchase under the ESPP is discretionary and the value of the Company’s common stock purchased by participants under the ESPP will vary based on the fair market value of the Company’s common stock on an offering period’s commencement date or termination date. Accordingly, the number of shares that will be purchased by our employees and executive officers in the future are not currently determinable.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Offering Periods</w:t>
      </w:r>
    </w:p>
    <w:p>
      <w:pPr>
        <w:spacing w:after="0" w:line="21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191919"/>
        </w:rPr>
        <w:t>The Compensation Committee of the Board of Directors establishes the offering periods; however, an offering period may not extend for more than twenty-four (24) months. Subject to the foregoing, the offering periods will generally consist of six month periods commencing on each August 1 and February 1 and terminating on each January 31 and July 31,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Purchase Options</w:t>
      </w:r>
    </w:p>
    <w:p>
      <w:pPr>
        <w:spacing w:after="0" w:line="219"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191919"/>
        </w:rPr>
        <w:t>On the commencement date of each offering period, the Company will grant to each participant an option to purchase on the termination date of each offering period at the Option Exercise Price (as defined below), that number of full shares of common stock equal to the amount of each participant’s accumulated payroll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191919"/>
        </w:rPr>
        <w:t>deductions made during the offering period, up to a maximum of 1,000 shares. This maximum may be increased or decreased as set forth in the ESPP. If the participant’s accumulated payroll deductions on the termination date would result in a purchase of more than the maximum allowed under the plan, the excess deductions will be refunded to the participant, without interest.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191919"/>
        </w:rPr>
        <w:t>The Option Exercise Price for each offering period is the lesser of:</w:t>
      </w:r>
    </w:p>
    <w:p>
      <w:pPr>
        <w:spacing w:after="0" w:line="15" w:lineRule="exact"/>
        <w:rPr>
          <w:sz w:val="20"/>
          <w:szCs w:val="20"/>
          <w:color w:val="auto"/>
        </w:rPr>
      </w:pPr>
    </w:p>
    <w:p>
      <w:pPr>
        <w:ind w:right="300" w:firstLine="1"/>
        <w:spacing w:after="0" w:line="281" w:lineRule="auto"/>
        <w:tabs>
          <w:tab w:leader="none" w:pos="210" w:val="left"/>
        </w:tabs>
        <w:numPr>
          <w:ilvl w:val="0"/>
          <w:numId w:val="69"/>
        </w:numPr>
        <w:rPr>
          <w:rFonts w:ascii="Arial" w:cs="Arial" w:eastAsia="Arial" w:hAnsi="Arial"/>
          <w:sz w:val="16"/>
          <w:szCs w:val="16"/>
          <w:color w:val="191919"/>
        </w:rPr>
      </w:pPr>
      <w:r>
        <w:rPr>
          <w:rFonts w:ascii="Arial" w:cs="Arial" w:eastAsia="Arial" w:hAnsi="Arial"/>
          <w:sz w:val="16"/>
          <w:szCs w:val="16"/>
          <w:color w:val="191919"/>
        </w:rPr>
        <w:t>eighty-five percent (85%) of the fair market value (as defined in the ESPP) of the common stock on the offering commencement date, or</w:t>
      </w:r>
    </w:p>
    <w:p>
      <w:pPr>
        <w:spacing w:after="0" w:line="1" w:lineRule="exact"/>
        <w:rPr>
          <w:rFonts w:ascii="Arial" w:cs="Arial" w:eastAsia="Arial" w:hAnsi="Arial"/>
          <w:sz w:val="16"/>
          <w:szCs w:val="16"/>
          <w:color w:val="191919"/>
        </w:rPr>
      </w:pPr>
    </w:p>
    <w:p>
      <w:pPr>
        <w:ind w:right="20" w:firstLine="1"/>
        <w:spacing w:after="0" w:line="288" w:lineRule="auto"/>
        <w:tabs>
          <w:tab w:leader="none" w:pos="258" w:val="left"/>
        </w:tabs>
        <w:numPr>
          <w:ilvl w:val="0"/>
          <w:numId w:val="69"/>
        </w:numPr>
        <w:rPr>
          <w:rFonts w:ascii="Arial" w:cs="Arial" w:eastAsia="Arial" w:hAnsi="Arial"/>
          <w:sz w:val="16"/>
          <w:szCs w:val="16"/>
          <w:color w:val="191919"/>
        </w:rPr>
      </w:pPr>
      <w:r>
        <w:rPr>
          <w:rFonts w:ascii="Arial" w:cs="Arial" w:eastAsia="Arial" w:hAnsi="Arial"/>
          <w:sz w:val="16"/>
          <w:szCs w:val="16"/>
          <w:color w:val="191919"/>
        </w:rPr>
        <w:t>eighty-five percent (85%) of the fair market value of the common stock on the offering termination date, in either case rounded up to the next whole cent. If the participant’s accumulated payroll deductions on the last day of the offering period would otherwise enable the participant to purchase common stock in excess of the limitation prescribed under Section 423(b)(8) of the IRC, the excess will be refunded by the Company, without interest.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Option Exercise</w:t>
      </w:r>
    </w:p>
    <w:p>
      <w:pPr>
        <w:spacing w:after="0" w:line="21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191919"/>
        </w:rPr>
        <w:t>Each participant in the ESPP on the termination date of each offering period will be deemed to have exercised his or her option on such date and to have purchased from the Company such number of full shares of common stock reserved for the ESPP as his or her accumulated payroll deductions on such date will pay for at the Option Exercise Price (so long as such participant remained employed at the termination date), subject to the maximums and limitations set forth in the ESPP.</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Stock Subject to the ESPP</w:t>
      </w:r>
    </w:p>
    <w:p>
      <w:pPr>
        <w:spacing w:after="0" w:line="219" w:lineRule="exact"/>
        <w:rPr>
          <w:sz w:val="20"/>
          <w:szCs w:val="20"/>
          <w:color w:val="auto"/>
        </w:rPr>
      </w:pPr>
    </w:p>
    <w:p>
      <w:pPr>
        <w:spacing w:after="0" w:line="290" w:lineRule="auto"/>
        <w:rPr>
          <w:sz w:val="20"/>
          <w:szCs w:val="20"/>
          <w:color w:val="auto"/>
        </w:rPr>
      </w:pPr>
      <w:r>
        <w:rPr>
          <w:rFonts w:ascii="Arial" w:cs="Arial" w:eastAsia="Arial" w:hAnsi="Arial"/>
          <w:sz w:val="16"/>
          <w:szCs w:val="16"/>
          <w:color w:val="191919"/>
        </w:rPr>
        <w:t>After giving effect to the ESPP Amendment, an aggregate of 9,880,000 shares of common stock have been authorized for issuance under the ESPP since its inception. If there are any unexercised options granted under the ESPP that expire or terminate or options that cease to be exercisable, the unpurchased shares subject to such option will again be available under the ESPP. If the number of shares of common stock available for any offering period is insufficient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149860</wp:posOffset>
            </wp:positionV>
            <wp:extent cx="713613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80" w:space="680"/>
            <w:col w:w="5280"/>
          </w:cols>
          <w:pgMar w:left="320" w:top="131"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59" w:lineRule="auto"/>
        <w:rPr>
          <w:sz w:val="20"/>
          <w:szCs w:val="20"/>
          <w:color w:val="auto"/>
        </w:rPr>
      </w:pPr>
      <w:r>
        <w:rPr>
          <w:rFonts w:ascii="Arial" w:cs="Arial" w:eastAsia="Arial" w:hAnsi="Arial"/>
          <w:sz w:val="18"/>
          <w:szCs w:val="18"/>
          <w:color w:val="191919"/>
        </w:rPr>
        <w:t>satisfy the requirements for that offering period, the available shares for that offering period shall be apportioned among participating employees in proportion to their options.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Initial Eligibility and Participation</w:t>
      </w:r>
    </w:p>
    <w:p>
      <w:pPr>
        <w:spacing w:after="0" w:line="21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191919"/>
        </w:rPr>
        <w:t>An eligible employee may enter the ESPP by enrolling and authorizing payroll deductions not later than ten (10) business days before the next commencement date. Unless the participant files a revised authorization, or withdraws from the ESPP, his or her participation under the enrollment on file will continue as long as the ESPP remains in effect.</w:t>
      </w:r>
    </w:p>
    <w:p>
      <w:pPr>
        <w:spacing w:after="0" w:line="16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191919"/>
        </w:rPr>
        <w:t>A participant may withdraw in full from the ESPP prior to the termination date, in which event the Company will refund without interest the entire balance of such participant’s deductions not previously used to purchase common stock under the ESPP. Upon termination of the participant’s employment because of death, the person(s) entitled to receipt of the common stock and/or cash shall have the right to elect, either (i) to withdraw, without interest, all of the payroll deductions credited to the participant’s account under the ESPP, or (ii) to exercise the participant’s option for the purchase of shares of common stock on the next offering termination date following the date of the employee’s death.</w:t>
      </w:r>
    </w:p>
    <w:p>
      <w:pPr>
        <w:spacing w:after="0" w:line="176" w:lineRule="exact"/>
        <w:rPr>
          <w:sz w:val="20"/>
          <w:szCs w:val="20"/>
          <w:color w:val="auto"/>
        </w:rPr>
      </w:pPr>
    </w:p>
    <w:p>
      <w:pPr>
        <w:jc w:val="both"/>
        <w:ind w:right="240"/>
        <w:spacing w:after="0" w:line="369" w:lineRule="auto"/>
        <w:rPr>
          <w:sz w:val="20"/>
          <w:szCs w:val="20"/>
          <w:color w:val="auto"/>
        </w:rPr>
      </w:pPr>
      <w:r>
        <w:rPr>
          <w:rFonts w:ascii="Arial" w:cs="Arial" w:eastAsia="Arial" w:hAnsi="Arial"/>
          <w:sz w:val="15"/>
          <w:szCs w:val="15"/>
          <w:color w:val="191919"/>
        </w:rPr>
        <w:t>The Company will accumulate and hold for the employee’s account the amounts deducted from his or her pay. No interest will be paid thereon.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Deduction Amounts</w:t>
      </w:r>
    </w:p>
    <w:p>
      <w:pPr>
        <w:spacing w:after="0" w:line="219" w:lineRule="exact"/>
        <w:rPr>
          <w:sz w:val="20"/>
          <w:szCs w:val="20"/>
          <w:color w:val="auto"/>
        </w:rPr>
      </w:pPr>
    </w:p>
    <w:p>
      <w:pPr>
        <w:spacing w:after="0" w:line="288" w:lineRule="auto"/>
        <w:rPr>
          <w:sz w:val="20"/>
          <w:szCs w:val="20"/>
          <w:color w:val="auto"/>
        </w:rPr>
      </w:pPr>
      <w:r>
        <w:rPr>
          <w:rFonts w:ascii="Arial" w:cs="Arial" w:eastAsia="Arial" w:hAnsi="Arial"/>
          <w:sz w:val="16"/>
          <w:szCs w:val="16"/>
          <w:color w:val="191919"/>
        </w:rPr>
        <w:t>An employee may authorize payroll deductions from 1% to 10% (in whole number percentages only) of his or her eligible compensation (as defined in the ESPP). An employee may not make any additional payments into such account. Only full shares of common stock may be purchased. Any balance remaining in an employee’s account after a purchase will, to the extent not refunded as set forth above, be carried forward to the next offering period. Payroll deductions may not be increased, decreased or suspended by a participant during an offering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68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Termination and Amendment</w:t>
      </w:r>
    </w:p>
    <w:p>
      <w:pPr>
        <w:spacing w:after="0" w:line="21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191919"/>
        </w:rPr>
        <w:t>The ESPP may be terminated at any time by the Company’s Board of Directors or, if sooner, when all of the shares of common stock reserved for the ESPP have been purchased. The Compensation Committee or the Board of Directors may from time to time adopt amendments to the ESPP, subject to certain restrictions set forth in the ESPP.</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Sale of Stock Purchased Under the ESPP</w:t>
      </w:r>
    </w:p>
    <w:p>
      <w:pPr>
        <w:spacing w:after="0" w:line="219"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191919"/>
        </w:rPr>
        <w:t>An employee may sell stock purchased under the ESPP at any time the employee chooses, subject to compliance with Company trading policies, any applicable federal or state securities laws, and subject to certain restrictions imposed under the ESPP.</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Administration and Cost</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8"/>
          <w:szCs w:val="18"/>
          <w:color w:val="191919"/>
        </w:rPr>
        <w:t>The Company bears all costs of administering and carrying out the ESPP, and the ESPP may be administered by the Compensation Committee, or such other committee as may be appointed by the Board of Directors of the Company.</w:t>
      </w:r>
    </w:p>
    <w:p>
      <w:pPr>
        <w:spacing w:after="0" w:line="19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191919"/>
        </w:rPr>
        <w:t>The Company will indemnify each member of the Board of Directors and the Compensation Committee to the fullest extent permitted by law with respect to any claim, loss, damage or expense (including counsel fees) arising in connection with their responsibilities under the ESPP.</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Application of Funds</w:t>
      </w:r>
    </w:p>
    <w:p>
      <w:pPr>
        <w:spacing w:after="0" w:line="21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191919"/>
        </w:rPr>
        <w:t>The proceeds received by the Company from the sale of common stock pursuant to options granted under the ESPP may be used for any corporate purposes, and the Company is not obligated to segregate participating employees’ payroll deductions.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Changes in Common Stock</w:t>
      </w:r>
    </w:p>
    <w:p>
      <w:pPr>
        <w:spacing w:after="0" w:line="21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191919"/>
        </w:rPr>
        <w:t>If the Company should subdivide or reclassify the common stock, or should declare thereon any dividend payable in shares of such common stock, or should take any other action of a similar nature affecting such common stock, then the number and class of shares of common stock which may thereafter be optioned (in the aggregate and to any individual participating employee) shall be adjusted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525145</wp:posOffset>
            </wp:positionV>
            <wp:extent cx="713613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60" w:space="700"/>
            <w:col w:w="5280"/>
          </w:cols>
          <w:pgMar w:left="320" w:top="131"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Merger or Consolidation</w:t>
      </w:r>
    </w:p>
    <w:p>
      <w:pPr>
        <w:spacing w:after="0" w:line="219" w:lineRule="exact"/>
        <w:rPr>
          <w:sz w:val="20"/>
          <w:szCs w:val="20"/>
          <w:color w:val="auto"/>
        </w:rPr>
      </w:pPr>
    </w:p>
    <w:p>
      <w:pPr>
        <w:spacing w:after="0" w:line="287" w:lineRule="auto"/>
        <w:rPr>
          <w:sz w:val="20"/>
          <w:szCs w:val="20"/>
          <w:color w:val="auto"/>
        </w:rPr>
      </w:pPr>
      <w:r>
        <w:rPr>
          <w:rFonts w:ascii="Arial" w:cs="Arial" w:eastAsia="Arial" w:hAnsi="Arial"/>
          <w:sz w:val="16"/>
          <w:szCs w:val="16"/>
          <w:color w:val="191919"/>
        </w:rPr>
        <w:t>If the Company should merge into or consolidate with another corporation, the Board of Directors may, at its election, either (i) terminate the ESPP and refund without interest the entire balance of each participant’s deductions, or (ii) entitle each participant to receive on the offering termination date upon the exercise of such option for each share of common stock as to which such option shall be exercised the securities or property to which a holder of one share of the common stock was entitled upon and at the time of such merger or consolidation. A sale of all or substantially all of the assets of the Company shall be deemed a merger or consolidation for the foregoing purposes.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Federal Income Tax Consequences</w:t>
      </w:r>
    </w:p>
    <w:p>
      <w:pPr>
        <w:spacing w:after="0" w:line="219" w:lineRule="exact"/>
        <w:rPr>
          <w:sz w:val="20"/>
          <w:szCs w:val="20"/>
          <w:color w:val="auto"/>
        </w:rPr>
      </w:pPr>
    </w:p>
    <w:p>
      <w:pPr>
        <w:spacing w:after="0" w:line="309" w:lineRule="auto"/>
        <w:rPr>
          <w:sz w:val="20"/>
          <w:szCs w:val="20"/>
          <w:color w:val="auto"/>
        </w:rPr>
      </w:pPr>
      <w:r>
        <w:rPr>
          <w:rFonts w:ascii="Arial" w:cs="Arial" w:eastAsia="Arial" w:hAnsi="Arial"/>
          <w:sz w:val="15"/>
          <w:szCs w:val="15"/>
          <w:color w:val="191919"/>
        </w:rPr>
        <w:t>The following summarizes certain United States federal income tax considerations for employees participating in the ESPP and certain tax effects to the Company. This summary, however, does not address every situation that may result in taxation. For example, it does not discuss foreign, state, or local taxes, or any of the tax implications arising from a participant’s death. This summary is not intended as a substitute for careful tax planning, and each employee is urged to consult with and rely on his or her own advisors with respect to the possible tax consequences (federal, state, local and foreign) of exercising his or her rights under the ESPP.</w:t>
      </w:r>
    </w:p>
    <w:p>
      <w:pPr>
        <w:spacing w:after="0" w:line="16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191919"/>
        </w:rPr>
        <w:t>The amounts deducted from an employee’s pay under the ESPP will be included in the employee’s compensation subject to United States federal income tax, and the Company will withhold taxes on these amounts. Generally, the employee will not recognize any additional income at the time options are granted pursuant to the ESPP or at the time the employee purchases shares under the ESPP.</w:t>
      </w:r>
    </w:p>
    <w:p>
      <w:pPr>
        <w:spacing w:after="0" w:line="17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191919"/>
        </w:rPr>
        <w:t>If the employee disposes of shares purchased pursuant to the ESPP within two years after the first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85" w:lineRule="auto"/>
        <w:rPr>
          <w:sz w:val="20"/>
          <w:szCs w:val="20"/>
          <w:color w:val="auto"/>
        </w:rPr>
      </w:pPr>
      <w:r>
        <w:rPr>
          <w:rFonts w:ascii="Arial" w:cs="Arial" w:eastAsia="Arial" w:hAnsi="Arial"/>
          <w:sz w:val="16"/>
          <w:szCs w:val="16"/>
          <w:color w:val="191919"/>
        </w:rPr>
        <w:t>day of the offering period in which the employee acquired such shares, the employee will recognize ordinary compensation income (i.e., not capital gain income) at the time of such disposition in an amount equal to the excess, of the fair market value of the shares on the day the shares were purchased over the amount the employee paid for the shares. In addition, the employee generally will recognize capital gain or loss in an amount equal to the difference between the amount realized upon the sale of the shares and the employee’s tax basis in the shares (generally, the fair market value of the shares on the day of purchase). Capital gain or loss recognized on a disposition of shares will be long-term capital gain or loss if the employee’s holding period for the shares exceeds one year. The holding period for determining whether the gain or loss realized is short or long term will not begin until the employee has purchased shares under the ESPP.</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191919"/>
        </w:rPr>
        <w:t>If the employee disposes of shares purchased pursuant to the ESPP more than two years after the first business day of the offering period in which the employee acquired the shares, the employee will recognize ordinary compensation income at the time of such disposition in an amount equal to the lesser of:</w:t>
      </w:r>
    </w:p>
    <w:p>
      <w:pPr>
        <w:spacing w:after="0" w:line="214" w:lineRule="exact"/>
        <w:rPr>
          <w:sz w:val="20"/>
          <w:szCs w:val="20"/>
          <w:color w:val="auto"/>
        </w:rPr>
      </w:pPr>
    </w:p>
    <w:p>
      <w:pPr>
        <w:jc w:val="both"/>
        <w:ind w:left="540" w:right="40" w:hanging="539"/>
        <w:spacing w:after="0" w:line="304" w:lineRule="auto"/>
        <w:tabs>
          <w:tab w:leader="none" w:pos="540" w:val="left"/>
        </w:tabs>
        <w:numPr>
          <w:ilvl w:val="0"/>
          <w:numId w:val="70"/>
        </w:numPr>
        <w:rPr>
          <w:rFonts w:ascii="Arial" w:cs="Arial" w:eastAsia="Arial" w:hAnsi="Arial"/>
          <w:sz w:val="15"/>
          <w:szCs w:val="15"/>
          <w:color w:val="191919"/>
        </w:rPr>
      </w:pPr>
      <w:r>
        <w:rPr>
          <w:rFonts w:ascii="Arial" w:cs="Arial" w:eastAsia="Arial" w:hAnsi="Arial"/>
          <w:sz w:val="15"/>
          <w:szCs w:val="15"/>
          <w:color w:val="191919"/>
        </w:rPr>
        <w:t>the excess, if any, of the fair market value of the shares at the time of disposition over the amount the employee paid for the shares; or</w:t>
      </w:r>
    </w:p>
    <w:p>
      <w:pPr>
        <w:spacing w:after="0" w:line="22" w:lineRule="exact"/>
        <w:rPr>
          <w:rFonts w:ascii="Arial" w:cs="Arial" w:eastAsia="Arial" w:hAnsi="Arial"/>
          <w:sz w:val="15"/>
          <w:szCs w:val="15"/>
          <w:color w:val="191919"/>
        </w:rPr>
      </w:pPr>
    </w:p>
    <w:p>
      <w:pPr>
        <w:ind w:left="540" w:right="120" w:hanging="539"/>
        <w:spacing w:after="0" w:line="259" w:lineRule="auto"/>
        <w:tabs>
          <w:tab w:leader="none" w:pos="540" w:val="left"/>
        </w:tabs>
        <w:numPr>
          <w:ilvl w:val="0"/>
          <w:numId w:val="70"/>
        </w:numPr>
        <w:rPr>
          <w:rFonts w:ascii="Arial" w:cs="Arial" w:eastAsia="Arial" w:hAnsi="Arial"/>
          <w:sz w:val="18"/>
          <w:szCs w:val="18"/>
          <w:color w:val="191919"/>
        </w:rPr>
      </w:pPr>
      <w:r>
        <w:rPr>
          <w:rFonts w:ascii="Arial" w:cs="Arial" w:eastAsia="Arial" w:hAnsi="Arial"/>
          <w:sz w:val="18"/>
          <w:szCs w:val="18"/>
          <w:color w:val="191919"/>
        </w:rPr>
        <w:t>15% of the fair market value of the shares measured as of the first business day of the offering period in which the shares were purchased.</w:t>
      </w:r>
    </w:p>
    <w:p>
      <w:pPr>
        <w:spacing w:after="0" w:line="1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191919"/>
        </w:rPr>
        <w:t>In addition, the employee generally will recognize capital gain or loss in an amount equal to the difference between the amount realized upon the sale of shares and the employee’s tax basis in the shares. Capital gain or loss recognized on a disposition of shares will be long-term capital gain or loss if the employee’s holding period for the shares exceeds one year and otherwise will be short-term capital gain or loss.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149860</wp:posOffset>
            </wp:positionV>
            <wp:extent cx="713613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5280" w:space="680"/>
            <w:col w:w="5280"/>
          </w:cols>
          <w:pgMar w:left="320" w:top="131"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91" w:lineRule="auto"/>
        <w:rPr>
          <w:sz w:val="20"/>
          <w:szCs w:val="20"/>
          <w:color w:val="auto"/>
        </w:rPr>
      </w:pPr>
      <w:r>
        <w:rPr>
          <w:rFonts w:ascii="Arial" w:cs="Arial" w:eastAsia="Arial" w:hAnsi="Arial"/>
          <w:sz w:val="16"/>
          <w:szCs w:val="16"/>
          <w:color w:val="191919"/>
        </w:rPr>
        <w:t>If the employee disposes of shares purchased pursuant to the ESPP within two years after the first business day of the offering period in which such shares were purchased, the Company generally will be entitled to a deduction for United States federal income tax purposes in an amount equal to the ordinary compensation income recognized by the employee as a result of such disposition. If the employee disposes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91" w:lineRule="auto"/>
        <w:rPr>
          <w:sz w:val="20"/>
          <w:szCs w:val="20"/>
          <w:color w:val="auto"/>
        </w:rPr>
      </w:pPr>
      <w:r>
        <w:rPr>
          <w:rFonts w:ascii="Arial" w:cs="Arial" w:eastAsia="Arial" w:hAnsi="Arial"/>
          <w:sz w:val="16"/>
          <w:szCs w:val="16"/>
          <w:color w:val="191919"/>
        </w:rPr>
        <w:t>shares purchased pursuant to the ESPP more than two years after the first business day of the offering period in which the employee acquired the shares, the Company will not be entitled to any deduction for United States federal income tax purposes with respect to the options or the shares issued upon their exercise. Any deduction by the Company is subject to the limitations of Section 162(m) of the IRC.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252730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00"/>
            <w:col w:w="5280"/>
          </w:cols>
          <w:pgMar w:left="320" w:top="131" w:right="339"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02568A"/>
        </w:rPr>
        <w:t>Plan Benefits</w:t>
      </w:r>
    </w:p>
    <w:p>
      <w:pPr>
        <w:sectPr>
          <w:pgSz w:w="11900" w:h="16838" w:orient="portrait"/>
          <w:cols w:equalWidth="0" w:num="1">
            <w:col w:w="11240"/>
          </w:cols>
          <w:pgMar w:left="320" w:top="131" w:right="33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New Plan Benefits</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6"/>
          <w:szCs w:val="16"/>
          <w:color w:val="191919"/>
        </w:rPr>
        <w:t>Because benefits under the ESPP will depend on employees’ elections to participate and the fair market value of the Company’s common stock at various future dates, it is not possible to determine the benefits that will be received by executive officers and other employees if the ESPP is approved by the stockholders. Non-employee directors are not eligible to participate in the ESPP.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Existing Plan Benefits</w:t>
      </w:r>
    </w:p>
    <w:p>
      <w:pPr>
        <w:spacing w:after="0" w:line="21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191919"/>
        </w:rPr>
        <w:t>Only employees of the Company and its participating subsidiaries are eligible to participate in the ESPP. Pursuant to SEC rules, the following table sets forth the number of shares subject to stock options granted under the ESPP from September 25, 2002 (when the ESPP was first adopted by the Board of Directors) through the date hereof.</w:t>
      </w:r>
    </w:p>
    <w:p>
      <w:pPr>
        <w:spacing w:after="0" w:line="373" w:lineRule="exact"/>
        <w:rPr>
          <w:sz w:val="20"/>
          <w:szCs w:val="20"/>
          <w:color w:val="auto"/>
        </w:rPr>
      </w:pPr>
    </w:p>
    <w:p>
      <w:pPr>
        <w:sectPr>
          <w:pgSz w:w="11900" w:h="16838" w:orient="portrait"/>
          <w:cols w:equalWidth="0" w:num="2">
            <w:col w:w="5240" w:space="720"/>
            <w:col w:w="5280"/>
          </w:cols>
          <w:pgMar w:left="320" w:top="131" w:right="339" w:bottom="1440" w:gutter="0" w:footer="0" w:header="0"/>
          <w:type w:val="continuous"/>
        </w:sectPr>
      </w:pPr>
    </w:p>
    <w:tbl>
      <w:tblPr>
        <w:tblLayout w:type="fixed"/>
        <w:tblInd w:w="1120" w:type="dxa"/>
        <w:tblCellMar>
          <w:top w:w="0" w:type="dxa"/>
          <w:left w:w="0" w:type="dxa"/>
          <w:bottom w:w="0" w:type="dxa"/>
          <w:right w:w="0" w:type="dxa"/>
        </w:tblCellMar>
      </w:tblPr>
      <w:tr>
        <w:trPr>
          <w:trHeight w:val="215"/>
        </w:trPr>
        <w:tc>
          <w:tcPr>
            <w:tcW w:w="6020" w:type="dxa"/>
            <w:vAlign w:val="bottom"/>
            <w:tcBorders>
              <w:top w:val="single" w:sz="8" w:color="02568A"/>
            </w:tcBorders>
          </w:tcPr>
          <w:p>
            <w:pPr>
              <w:spacing w:after="0"/>
              <w:rPr>
                <w:sz w:val="18"/>
                <w:szCs w:val="18"/>
                <w:color w:val="auto"/>
              </w:rPr>
            </w:pPr>
          </w:p>
        </w:tc>
        <w:tc>
          <w:tcPr>
            <w:tcW w:w="2960" w:type="dxa"/>
            <w:vAlign w:val="bottom"/>
            <w:tcBorders>
              <w:top w:val="single" w:sz="8" w:color="02568A"/>
            </w:tcBorders>
          </w:tcPr>
          <w:p>
            <w:pPr>
              <w:jc w:val="right"/>
              <w:ind w:right="452"/>
              <w:spacing w:after="0"/>
              <w:rPr>
                <w:sz w:val="20"/>
                <w:szCs w:val="20"/>
                <w:color w:val="auto"/>
              </w:rPr>
            </w:pPr>
            <w:r>
              <w:rPr>
                <w:rFonts w:ascii="Arial" w:cs="Arial" w:eastAsia="Arial" w:hAnsi="Arial"/>
                <w:sz w:val="18"/>
                <w:szCs w:val="18"/>
                <w:b w:val="1"/>
                <w:bCs w:val="1"/>
                <w:color w:val="02568A"/>
              </w:rPr>
              <w:t>Number of Shares Subject</w:t>
            </w:r>
          </w:p>
        </w:tc>
      </w:tr>
      <w:tr>
        <w:trPr>
          <w:trHeight w:val="229"/>
        </w:trPr>
        <w:tc>
          <w:tcPr>
            <w:tcW w:w="6020" w:type="dxa"/>
            <w:vAlign w:val="bottom"/>
            <w:tcBorders>
              <w:bottom w:val="single" w:sz="8" w:color="02568A"/>
            </w:tcBorders>
          </w:tcPr>
          <w:p>
            <w:pPr>
              <w:ind w:left="2940"/>
              <w:spacing w:after="0"/>
              <w:rPr>
                <w:sz w:val="20"/>
                <w:szCs w:val="20"/>
                <w:color w:val="auto"/>
              </w:rPr>
            </w:pPr>
            <w:r>
              <w:rPr>
                <w:rFonts w:ascii="Arial" w:cs="Arial" w:eastAsia="Arial" w:hAnsi="Arial"/>
                <w:sz w:val="18"/>
                <w:szCs w:val="18"/>
                <w:b w:val="1"/>
                <w:bCs w:val="1"/>
                <w:color w:val="02568A"/>
              </w:rPr>
              <w:t>Name</w:t>
            </w:r>
          </w:p>
        </w:tc>
        <w:tc>
          <w:tcPr>
            <w:tcW w:w="2960" w:type="dxa"/>
            <w:vAlign w:val="bottom"/>
            <w:tcBorders>
              <w:bottom w:val="single" w:sz="8" w:color="02568A"/>
            </w:tcBorders>
          </w:tcPr>
          <w:p>
            <w:pPr>
              <w:jc w:val="right"/>
              <w:ind w:right="692"/>
              <w:spacing w:after="0"/>
              <w:rPr>
                <w:sz w:val="20"/>
                <w:szCs w:val="20"/>
                <w:color w:val="auto"/>
              </w:rPr>
            </w:pPr>
            <w:r>
              <w:rPr>
                <w:rFonts w:ascii="Arial" w:cs="Arial" w:eastAsia="Arial" w:hAnsi="Arial"/>
                <w:sz w:val="18"/>
                <w:szCs w:val="18"/>
                <w:b w:val="1"/>
                <w:bCs w:val="1"/>
                <w:color w:val="02568A"/>
              </w:rPr>
              <w:t>to Stock Options (#)</w:t>
            </w:r>
          </w:p>
        </w:tc>
      </w:tr>
      <w:tr>
        <w:trPr>
          <w:trHeight w:val="211"/>
        </w:trPr>
        <w:tc>
          <w:tcPr>
            <w:tcW w:w="602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Liam K. Griffin, President and Chief Executive Officer</w:t>
            </w:r>
          </w:p>
        </w:tc>
        <w:tc>
          <w:tcPr>
            <w:tcW w:w="2960" w:type="dxa"/>
            <w:vAlign w:val="bottom"/>
            <w:tcBorders>
              <w:bottom w:val="single" w:sz="8" w:color="D1D2D4"/>
            </w:tcBorders>
            <w:shd w:val="clear" w:color="auto" w:fill="CED8EA"/>
          </w:tcPr>
          <w:p>
            <w:pPr>
              <w:jc w:val="right"/>
              <w:ind w:right="172"/>
              <w:spacing w:after="0"/>
              <w:rPr>
                <w:sz w:val="20"/>
                <w:szCs w:val="20"/>
                <w:color w:val="auto"/>
              </w:rPr>
            </w:pPr>
            <w:r>
              <w:rPr>
                <w:rFonts w:ascii="Arial" w:cs="Arial" w:eastAsia="Arial" w:hAnsi="Arial"/>
                <w:sz w:val="18"/>
                <w:szCs w:val="18"/>
                <w:color w:val="02568A"/>
              </w:rPr>
              <w:t>12,868</w:t>
            </w:r>
          </w:p>
        </w:tc>
      </w:tr>
      <w:tr>
        <w:trPr>
          <w:trHeight w:val="209"/>
        </w:trPr>
        <w:tc>
          <w:tcPr>
            <w:tcW w:w="6020" w:type="dxa"/>
            <w:vAlign w:val="bottom"/>
            <w:tcBorders>
              <w:bottom w:val="single" w:sz="8" w:color="D1D2D4"/>
            </w:tcBorders>
          </w:tcPr>
          <w:p>
            <w:pPr>
              <w:ind w:left="280"/>
              <w:spacing w:after="0"/>
              <w:rPr>
                <w:sz w:val="20"/>
                <w:szCs w:val="20"/>
                <w:color w:val="auto"/>
              </w:rPr>
            </w:pPr>
            <w:r>
              <w:rPr>
                <w:rFonts w:ascii="Arial" w:cs="Arial" w:eastAsia="Arial" w:hAnsi="Arial"/>
                <w:sz w:val="18"/>
                <w:szCs w:val="18"/>
                <w:b w:val="1"/>
                <w:bCs w:val="1"/>
                <w:color w:val="02568A"/>
              </w:rPr>
              <w:t>Kris Sennesael, Senior Vice President and Chief Financial Officer</w:t>
            </w:r>
          </w:p>
        </w:tc>
        <w:tc>
          <w:tcPr>
            <w:tcW w:w="2960" w:type="dxa"/>
            <w:vAlign w:val="bottom"/>
            <w:tcBorders>
              <w:bottom w:val="single" w:sz="8" w:color="D1D2D4"/>
            </w:tcBorders>
          </w:tcPr>
          <w:p>
            <w:pPr>
              <w:jc w:val="right"/>
              <w:ind w:right="172"/>
              <w:spacing w:after="0"/>
              <w:rPr>
                <w:sz w:val="20"/>
                <w:szCs w:val="20"/>
                <w:color w:val="auto"/>
              </w:rPr>
            </w:pPr>
            <w:r>
              <w:rPr>
                <w:rFonts w:ascii="Arial" w:cs="Arial" w:eastAsia="Arial" w:hAnsi="Arial"/>
                <w:sz w:val="18"/>
                <w:szCs w:val="18"/>
                <w:color w:val="02568A"/>
              </w:rPr>
              <w:t>1,078</w:t>
            </w:r>
          </w:p>
        </w:tc>
      </w:tr>
      <w:tr>
        <w:trPr>
          <w:trHeight w:val="209"/>
        </w:trPr>
        <w:tc>
          <w:tcPr>
            <w:tcW w:w="602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Carlos S. Bori, Senior Vice President, Sales and Marketing</w:t>
            </w:r>
          </w:p>
        </w:tc>
        <w:tc>
          <w:tcPr>
            <w:tcW w:w="2960" w:type="dxa"/>
            <w:vAlign w:val="bottom"/>
            <w:tcBorders>
              <w:bottom w:val="single" w:sz="8" w:color="D1D2D4"/>
            </w:tcBorders>
            <w:shd w:val="clear" w:color="auto" w:fill="CED8EA"/>
          </w:tcPr>
          <w:p>
            <w:pPr>
              <w:jc w:val="right"/>
              <w:ind w:right="172"/>
              <w:spacing w:after="0"/>
              <w:rPr>
                <w:sz w:val="20"/>
                <w:szCs w:val="20"/>
                <w:color w:val="auto"/>
              </w:rPr>
            </w:pPr>
            <w:r>
              <w:rPr>
                <w:rFonts w:ascii="Arial" w:cs="Arial" w:eastAsia="Arial" w:hAnsi="Arial"/>
                <w:sz w:val="18"/>
                <w:szCs w:val="18"/>
                <w:color w:val="02568A"/>
              </w:rPr>
              <w:t>3,152</w:t>
            </w:r>
          </w:p>
        </w:tc>
      </w:tr>
      <w:tr>
        <w:trPr>
          <w:trHeight w:val="210"/>
        </w:trPr>
        <w:tc>
          <w:tcPr>
            <w:tcW w:w="6020" w:type="dxa"/>
            <w:vAlign w:val="bottom"/>
            <w:tcBorders>
              <w:bottom w:val="single" w:sz="8" w:color="D1D2D4"/>
            </w:tcBorders>
          </w:tcPr>
          <w:p>
            <w:pPr>
              <w:ind w:left="280"/>
              <w:spacing w:after="0"/>
              <w:rPr>
                <w:sz w:val="20"/>
                <w:szCs w:val="20"/>
                <w:color w:val="auto"/>
              </w:rPr>
            </w:pPr>
            <w:r>
              <w:rPr>
                <w:rFonts w:ascii="Arial" w:cs="Arial" w:eastAsia="Arial" w:hAnsi="Arial"/>
                <w:sz w:val="18"/>
                <w:szCs w:val="18"/>
                <w:b w:val="1"/>
                <w:bCs w:val="1"/>
                <w:color w:val="02568A"/>
                <w:w w:val="95"/>
              </w:rPr>
              <w:t>Robert J. Terry, Senior Vice President, General Counsel and Secretary</w:t>
            </w:r>
          </w:p>
        </w:tc>
        <w:tc>
          <w:tcPr>
            <w:tcW w:w="2960" w:type="dxa"/>
            <w:vAlign w:val="bottom"/>
            <w:tcBorders>
              <w:bottom w:val="single" w:sz="8" w:color="D1D2D4"/>
            </w:tcBorders>
          </w:tcPr>
          <w:p>
            <w:pPr>
              <w:jc w:val="right"/>
              <w:ind w:right="172"/>
              <w:spacing w:after="0"/>
              <w:rPr>
                <w:sz w:val="20"/>
                <w:szCs w:val="20"/>
                <w:color w:val="auto"/>
              </w:rPr>
            </w:pPr>
            <w:r>
              <w:rPr>
                <w:rFonts w:ascii="Arial" w:cs="Arial" w:eastAsia="Arial" w:hAnsi="Arial"/>
                <w:sz w:val="18"/>
                <w:szCs w:val="18"/>
                <w:color w:val="02568A"/>
              </w:rPr>
              <w:t>20,498</w:t>
            </w:r>
          </w:p>
        </w:tc>
      </w:tr>
      <w:tr>
        <w:trPr>
          <w:trHeight w:val="209"/>
        </w:trPr>
        <w:tc>
          <w:tcPr>
            <w:tcW w:w="602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Peter L. Gammel, Former Chief Technology Officer</w:t>
            </w:r>
          </w:p>
        </w:tc>
        <w:tc>
          <w:tcPr>
            <w:tcW w:w="2960" w:type="dxa"/>
            <w:vAlign w:val="bottom"/>
            <w:tcBorders>
              <w:bottom w:val="single" w:sz="8" w:color="D1D2D4"/>
            </w:tcBorders>
            <w:shd w:val="clear" w:color="auto" w:fill="CED8EA"/>
          </w:tcPr>
          <w:p>
            <w:pPr>
              <w:jc w:val="right"/>
              <w:ind w:right="172"/>
              <w:spacing w:after="0"/>
              <w:rPr>
                <w:sz w:val="20"/>
                <w:szCs w:val="20"/>
                <w:color w:val="auto"/>
              </w:rPr>
            </w:pPr>
            <w:r>
              <w:rPr>
                <w:rFonts w:ascii="Arial" w:cs="Arial" w:eastAsia="Arial" w:hAnsi="Arial"/>
                <w:sz w:val="18"/>
                <w:szCs w:val="18"/>
                <w:color w:val="02568A"/>
              </w:rPr>
              <w:t>5,524</w:t>
            </w:r>
          </w:p>
        </w:tc>
      </w:tr>
      <w:tr>
        <w:trPr>
          <w:trHeight w:val="210"/>
        </w:trPr>
        <w:tc>
          <w:tcPr>
            <w:tcW w:w="6020" w:type="dxa"/>
            <w:vAlign w:val="bottom"/>
            <w:tcBorders>
              <w:bottom w:val="single" w:sz="8" w:color="D1D2D4"/>
            </w:tcBorders>
          </w:tcPr>
          <w:p>
            <w:pPr>
              <w:ind w:left="280"/>
              <w:spacing w:after="0"/>
              <w:rPr>
                <w:sz w:val="20"/>
                <w:szCs w:val="20"/>
                <w:color w:val="auto"/>
              </w:rPr>
            </w:pPr>
            <w:r>
              <w:rPr>
                <w:rFonts w:ascii="Arial" w:cs="Arial" w:eastAsia="Arial" w:hAnsi="Arial"/>
                <w:sz w:val="18"/>
                <w:szCs w:val="18"/>
                <w:b w:val="1"/>
                <w:bCs w:val="1"/>
                <w:color w:val="02568A"/>
              </w:rPr>
              <w:t>All current executive officers as a group</w:t>
            </w:r>
          </w:p>
        </w:tc>
        <w:tc>
          <w:tcPr>
            <w:tcW w:w="2960" w:type="dxa"/>
            <w:vAlign w:val="bottom"/>
            <w:tcBorders>
              <w:bottom w:val="single" w:sz="8" w:color="D1D2D4"/>
            </w:tcBorders>
          </w:tcPr>
          <w:p>
            <w:pPr>
              <w:jc w:val="right"/>
              <w:ind w:right="172"/>
              <w:spacing w:after="0"/>
              <w:rPr>
                <w:sz w:val="20"/>
                <w:szCs w:val="20"/>
                <w:color w:val="auto"/>
              </w:rPr>
            </w:pPr>
            <w:r>
              <w:rPr>
                <w:rFonts w:ascii="Arial" w:cs="Arial" w:eastAsia="Arial" w:hAnsi="Arial"/>
                <w:sz w:val="18"/>
                <w:szCs w:val="18"/>
                <w:color w:val="02568A"/>
              </w:rPr>
              <w:t>38,426</w:t>
            </w:r>
          </w:p>
        </w:tc>
      </w:tr>
      <w:tr>
        <w:trPr>
          <w:trHeight w:val="210"/>
        </w:trPr>
        <w:tc>
          <w:tcPr>
            <w:tcW w:w="602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All employees (excluding current executive officers) as a group</w:t>
            </w:r>
          </w:p>
        </w:tc>
        <w:tc>
          <w:tcPr>
            <w:tcW w:w="2960" w:type="dxa"/>
            <w:vAlign w:val="bottom"/>
            <w:tcBorders>
              <w:bottom w:val="single" w:sz="8" w:color="D1D2D4"/>
            </w:tcBorders>
            <w:shd w:val="clear" w:color="auto" w:fill="CED8EA"/>
          </w:tcPr>
          <w:p>
            <w:pPr>
              <w:jc w:val="right"/>
              <w:ind w:right="172"/>
              <w:spacing w:after="0"/>
              <w:rPr>
                <w:sz w:val="20"/>
                <w:szCs w:val="20"/>
                <w:color w:val="auto"/>
              </w:rPr>
            </w:pPr>
            <w:r>
              <w:rPr>
                <w:rFonts w:ascii="Arial" w:cs="Arial" w:eastAsia="Arial" w:hAnsi="Arial"/>
                <w:sz w:val="18"/>
                <w:szCs w:val="18"/>
                <w:color w:val="02568A"/>
              </w:rPr>
              <w:t>8,336,265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137160</wp:posOffset>
            </wp:positionV>
            <wp:extent cx="6489065" cy="6000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8906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70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02568A"/>
        </w:rPr>
        <w:t>Equity Compensation Plan Information</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191919"/>
        </w:rPr>
        <w:t>As of September 27, 2019, the Company has the following equity compensation plans under which its equity securities were authorized for issuance to its employees and/or directors:</w:t>
      </w:r>
    </w:p>
    <w:p>
      <w:pPr>
        <w:spacing w:after="0" w:line="207" w:lineRule="exact"/>
        <w:rPr>
          <w:sz w:val="20"/>
          <w:szCs w:val="20"/>
          <w:color w:val="auto"/>
        </w:rPr>
      </w:pPr>
    </w:p>
    <w:p>
      <w:pPr>
        <w:ind w:left="540" w:hanging="532"/>
        <w:spacing w:after="0"/>
        <w:tabs>
          <w:tab w:leader="none" w:pos="540" w:val="left"/>
        </w:tabs>
        <w:numPr>
          <w:ilvl w:val="0"/>
          <w:numId w:val="71"/>
        </w:numPr>
        <w:rPr>
          <w:rFonts w:ascii="Arial" w:cs="Arial" w:eastAsia="Arial" w:hAnsi="Arial"/>
          <w:sz w:val="18"/>
          <w:szCs w:val="18"/>
          <w:color w:val="191919"/>
        </w:rPr>
      </w:pPr>
      <w:r>
        <w:rPr>
          <w:rFonts w:ascii="Arial" w:cs="Arial" w:eastAsia="Arial" w:hAnsi="Arial"/>
          <w:sz w:val="18"/>
          <w:szCs w:val="18"/>
          <w:color w:val="191919"/>
        </w:rPr>
        <w:t>the 2002 Employee Stock Purchase Plan</w:t>
      </w:r>
    </w:p>
    <w:p>
      <w:pPr>
        <w:spacing w:after="0" w:line="36" w:lineRule="exact"/>
        <w:rPr>
          <w:rFonts w:ascii="Arial" w:cs="Arial" w:eastAsia="Arial" w:hAnsi="Arial"/>
          <w:sz w:val="18"/>
          <w:szCs w:val="18"/>
          <w:color w:val="191919"/>
        </w:rPr>
      </w:pPr>
    </w:p>
    <w:p>
      <w:pPr>
        <w:ind w:left="540" w:hanging="532"/>
        <w:spacing w:after="0"/>
        <w:tabs>
          <w:tab w:leader="none" w:pos="540" w:val="left"/>
        </w:tabs>
        <w:numPr>
          <w:ilvl w:val="0"/>
          <w:numId w:val="71"/>
        </w:numPr>
        <w:rPr>
          <w:rFonts w:ascii="Arial" w:cs="Arial" w:eastAsia="Arial" w:hAnsi="Arial"/>
          <w:sz w:val="18"/>
          <w:szCs w:val="18"/>
          <w:color w:val="191919"/>
        </w:rPr>
      </w:pPr>
      <w:r>
        <w:rPr>
          <w:rFonts w:ascii="Arial" w:cs="Arial" w:eastAsia="Arial" w:hAnsi="Arial"/>
          <w:sz w:val="18"/>
          <w:szCs w:val="18"/>
          <w:color w:val="191919"/>
        </w:rPr>
        <w:t>the Non-Qualified Employee Stock Purchase Plan</w:t>
      </w:r>
    </w:p>
    <w:p>
      <w:pPr>
        <w:spacing w:after="0" w:line="22" w:lineRule="exact"/>
        <w:rPr>
          <w:rFonts w:ascii="Arial" w:cs="Arial" w:eastAsia="Arial" w:hAnsi="Arial"/>
          <w:sz w:val="18"/>
          <w:szCs w:val="18"/>
          <w:color w:val="191919"/>
        </w:rPr>
      </w:pPr>
    </w:p>
    <w:p>
      <w:pPr>
        <w:ind w:left="540" w:hanging="532"/>
        <w:spacing w:after="0"/>
        <w:tabs>
          <w:tab w:leader="none" w:pos="540" w:val="left"/>
        </w:tabs>
        <w:numPr>
          <w:ilvl w:val="0"/>
          <w:numId w:val="71"/>
        </w:numPr>
        <w:rPr>
          <w:rFonts w:ascii="Arial" w:cs="Arial" w:eastAsia="Arial" w:hAnsi="Arial"/>
          <w:sz w:val="18"/>
          <w:szCs w:val="18"/>
          <w:color w:val="191919"/>
        </w:rPr>
      </w:pPr>
      <w:r>
        <w:rPr>
          <w:rFonts w:ascii="Arial" w:cs="Arial" w:eastAsia="Arial" w:hAnsi="Arial"/>
          <w:sz w:val="18"/>
          <w:szCs w:val="18"/>
          <w:color w:val="191919"/>
        </w:rPr>
        <w:t>the 2005 Long-Term Incentive Plan</w:t>
      </w:r>
    </w:p>
    <w:p>
      <w:pPr>
        <w:spacing w:after="0" w:line="22" w:lineRule="exact"/>
        <w:rPr>
          <w:rFonts w:ascii="Arial" w:cs="Arial" w:eastAsia="Arial" w:hAnsi="Arial"/>
          <w:sz w:val="18"/>
          <w:szCs w:val="18"/>
          <w:color w:val="191919"/>
        </w:rPr>
      </w:pPr>
    </w:p>
    <w:p>
      <w:pPr>
        <w:ind w:left="540" w:hanging="532"/>
        <w:spacing w:after="0"/>
        <w:tabs>
          <w:tab w:leader="none" w:pos="540" w:val="left"/>
        </w:tabs>
        <w:numPr>
          <w:ilvl w:val="0"/>
          <w:numId w:val="71"/>
        </w:numPr>
        <w:rPr>
          <w:rFonts w:ascii="Arial" w:cs="Arial" w:eastAsia="Arial" w:hAnsi="Arial"/>
          <w:sz w:val="18"/>
          <w:szCs w:val="18"/>
          <w:color w:val="191919"/>
        </w:rPr>
      </w:pPr>
      <w:r>
        <w:rPr>
          <w:rFonts w:ascii="Arial" w:cs="Arial" w:eastAsia="Arial" w:hAnsi="Arial"/>
          <w:sz w:val="18"/>
          <w:szCs w:val="18"/>
          <w:color w:val="191919"/>
        </w:rPr>
        <w:t>the AATI 2005 Equity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540" w:hanging="539"/>
        <w:spacing w:after="0"/>
        <w:tabs>
          <w:tab w:leader="none" w:pos="540" w:val="left"/>
        </w:tabs>
        <w:numPr>
          <w:ilvl w:val="0"/>
          <w:numId w:val="72"/>
        </w:numPr>
        <w:rPr>
          <w:rFonts w:ascii="Arial" w:cs="Arial" w:eastAsia="Arial" w:hAnsi="Arial"/>
          <w:sz w:val="18"/>
          <w:szCs w:val="18"/>
          <w:color w:val="191919"/>
        </w:rPr>
      </w:pPr>
      <w:r>
        <w:rPr>
          <w:rFonts w:ascii="Arial" w:cs="Arial" w:eastAsia="Arial" w:hAnsi="Arial"/>
          <w:sz w:val="18"/>
          <w:szCs w:val="18"/>
          <w:color w:val="191919"/>
        </w:rPr>
        <w:t>the 2008 Director Long-Term Incentive Plan</w:t>
      </w:r>
    </w:p>
    <w:p>
      <w:pPr>
        <w:spacing w:after="0" w:line="36" w:lineRule="exact"/>
        <w:rPr>
          <w:rFonts w:ascii="Arial" w:cs="Arial" w:eastAsia="Arial" w:hAnsi="Arial"/>
          <w:sz w:val="18"/>
          <w:szCs w:val="18"/>
          <w:color w:val="191919"/>
        </w:rPr>
      </w:pPr>
    </w:p>
    <w:p>
      <w:pPr>
        <w:ind w:left="540" w:hanging="539"/>
        <w:spacing w:after="0"/>
        <w:tabs>
          <w:tab w:leader="none" w:pos="540" w:val="left"/>
        </w:tabs>
        <w:numPr>
          <w:ilvl w:val="0"/>
          <w:numId w:val="72"/>
        </w:numPr>
        <w:rPr>
          <w:rFonts w:ascii="Arial" w:cs="Arial" w:eastAsia="Arial" w:hAnsi="Arial"/>
          <w:sz w:val="18"/>
          <w:szCs w:val="18"/>
          <w:color w:val="191919"/>
        </w:rPr>
      </w:pPr>
      <w:r>
        <w:rPr>
          <w:rFonts w:ascii="Arial" w:cs="Arial" w:eastAsia="Arial" w:hAnsi="Arial"/>
          <w:sz w:val="18"/>
          <w:szCs w:val="18"/>
          <w:color w:val="191919"/>
        </w:rPr>
        <w:t>the 2015 Long-Term Incentive Plan</w:t>
      </w:r>
    </w:p>
    <w:p>
      <w:pPr>
        <w:spacing w:after="0" w:line="22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191919"/>
        </w:rPr>
        <w:t>Except for the Non-Qualified Employee Stock Purchase Plan (the “Non-Qualified ESPP”), each of the foregoing equity compensation plans was approved by the Company’s stockholders. A description of the material features of the Non-Qualified ESPP is provided below under the heading “</w:t>
      </w:r>
      <w:r>
        <w:rPr>
          <w:rFonts w:ascii="Arial" w:cs="Arial" w:eastAsia="Arial" w:hAnsi="Arial"/>
          <w:sz w:val="16"/>
          <w:szCs w:val="16"/>
          <w:i w:val="1"/>
          <w:iCs w:val="1"/>
          <w:color w:val="191919"/>
        </w:rPr>
        <w:t>Non-Qualified Employee Stock Purchase Plan</w:t>
      </w:r>
      <w:r>
        <w:rPr>
          <w:rFonts w:ascii="Arial" w:cs="Arial" w:eastAsia="Arial" w:hAnsi="Arial"/>
          <w:sz w:val="16"/>
          <w:szCs w:val="16"/>
          <w:color w:val="191919"/>
        </w:rPr>
        <w:t>.”</w:t>
      </w:r>
    </w:p>
    <w:p>
      <w:pPr>
        <w:spacing w:after="0" w:line="200" w:lineRule="exact"/>
        <w:rPr>
          <w:sz w:val="20"/>
          <w:szCs w:val="20"/>
          <w:color w:val="auto"/>
        </w:rPr>
      </w:pPr>
    </w:p>
    <w:p>
      <w:pPr>
        <w:sectPr>
          <w:pgSz w:w="11900" w:h="16838" w:orient="portrait"/>
          <w:cols w:equalWidth="0" w:num="2">
            <w:col w:w="5240" w:space="720"/>
            <w:col w:w="5280"/>
          </w:cols>
          <w:pgMar w:left="320" w:top="131" w:right="33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191919"/>
        </w:rPr>
        <w:t>The following table presents information about these plans as of September 27, 2019.</w:t>
      </w:r>
    </w:p>
    <w:p>
      <w:pPr>
        <w:spacing w:after="0" w:line="213"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3620" w:type="dxa"/>
            <w:vAlign w:val="bottom"/>
            <w:tcBorders>
              <w:top w:val="single" w:sz="8" w:color="02568A"/>
            </w:tcBorders>
          </w:tcPr>
          <w:p>
            <w:pPr>
              <w:spacing w:after="0"/>
              <w:rPr>
                <w:sz w:val="18"/>
                <w:szCs w:val="18"/>
                <w:color w:val="auto"/>
              </w:rPr>
            </w:pPr>
          </w:p>
        </w:tc>
        <w:tc>
          <w:tcPr>
            <w:tcW w:w="1620" w:type="dxa"/>
            <w:vAlign w:val="bottom"/>
            <w:tcBorders>
              <w:top w:val="single" w:sz="8" w:color="02568A"/>
            </w:tcBorders>
          </w:tcPr>
          <w:p>
            <w:pPr>
              <w:jc w:val="center"/>
              <w:spacing w:after="0"/>
              <w:rPr>
                <w:sz w:val="20"/>
                <w:szCs w:val="20"/>
                <w:color w:val="auto"/>
              </w:rPr>
            </w:pPr>
            <w:r>
              <w:rPr>
                <w:rFonts w:ascii="Arial" w:cs="Arial" w:eastAsia="Arial" w:hAnsi="Arial"/>
                <w:sz w:val="18"/>
                <w:szCs w:val="18"/>
                <w:b w:val="1"/>
                <w:bCs w:val="1"/>
                <w:color w:val="02568A"/>
                <w:w w:val="88"/>
              </w:rPr>
              <w:t>Number of</w:t>
            </w:r>
          </w:p>
        </w:tc>
        <w:tc>
          <w:tcPr>
            <w:tcW w:w="1400" w:type="dxa"/>
            <w:vAlign w:val="bottom"/>
            <w:tcBorders>
              <w:top w:val="single" w:sz="8" w:color="02568A"/>
            </w:tcBorders>
          </w:tcPr>
          <w:p>
            <w:pPr>
              <w:spacing w:after="0"/>
              <w:rPr>
                <w:sz w:val="18"/>
                <w:szCs w:val="18"/>
                <w:color w:val="auto"/>
              </w:rPr>
            </w:pPr>
          </w:p>
        </w:tc>
        <w:tc>
          <w:tcPr>
            <w:tcW w:w="2460" w:type="dxa"/>
            <w:vAlign w:val="bottom"/>
            <w:tcBorders>
              <w:top w:val="single" w:sz="8" w:color="02568A"/>
            </w:tcBorders>
          </w:tcPr>
          <w:p>
            <w:pPr>
              <w:jc w:val="center"/>
              <w:ind w:right="152"/>
              <w:spacing w:after="0"/>
              <w:rPr>
                <w:sz w:val="20"/>
                <w:szCs w:val="20"/>
                <w:color w:val="auto"/>
              </w:rPr>
            </w:pPr>
            <w:r>
              <w:rPr>
                <w:rFonts w:ascii="Arial" w:cs="Arial" w:eastAsia="Arial" w:hAnsi="Arial"/>
                <w:sz w:val="18"/>
                <w:szCs w:val="18"/>
                <w:b w:val="1"/>
                <w:bCs w:val="1"/>
                <w:color w:val="02568A"/>
                <w:w w:val="87"/>
              </w:rPr>
              <w:t>Number of Securities</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02568A"/>
                <w:w w:val="85"/>
              </w:rPr>
              <w:t>Securities to be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02568A"/>
                <w:w w:val="88"/>
              </w:rPr>
              <w:t>Weighted</w:t>
            </w:r>
          </w:p>
        </w:tc>
        <w:tc>
          <w:tcPr>
            <w:tcW w:w="2460" w:type="dxa"/>
            <w:vAlign w:val="bottom"/>
          </w:tcPr>
          <w:p>
            <w:pPr>
              <w:jc w:val="center"/>
              <w:ind w:right="152"/>
              <w:spacing w:after="0"/>
              <w:rPr>
                <w:sz w:val="20"/>
                <w:szCs w:val="20"/>
                <w:color w:val="auto"/>
              </w:rPr>
            </w:pPr>
            <w:r>
              <w:rPr>
                <w:rFonts w:ascii="Arial" w:cs="Arial" w:eastAsia="Arial" w:hAnsi="Arial"/>
                <w:sz w:val="18"/>
                <w:szCs w:val="18"/>
                <w:b w:val="1"/>
                <w:bCs w:val="1"/>
                <w:color w:val="02568A"/>
                <w:w w:val="89"/>
              </w:rPr>
              <w:t>Remaining</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02568A"/>
                <w:w w:val="85"/>
              </w:rPr>
              <w:t>Issued Upon</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02568A"/>
                <w:w w:val="84"/>
              </w:rPr>
              <w:t>Average</w:t>
            </w:r>
          </w:p>
        </w:tc>
        <w:tc>
          <w:tcPr>
            <w:tcW w:w="2460" w:type="dxa"/>
            <w:vAlign w:val="bottom"/>
          </w:tcPr>
          <w:p>
            <w:pPr>
              <w:jc w:val="center"/>
              <w:ind w:right="172"/>
              <w:spacing w:after="0"/>
              <w:rPr>
                <w:sz w:val="20"/>
                <w:szCs w:val="20"/>
                <w:color w:val="auto"/>
              </w:rPr>
            </w:pPr>
            <w:r>
              <w:rPr>
                <w:rFonts w:ascii="Arial" w:cs="Arial" w:eastAsia="Arial" w:hAnsi="Arial"/>
                <w:sz w:val="18"/>
                <w:szCs w:val="18"/>
                <w:b w:val="1"/>
                <w:bCs w:val="1"/>
                <w:color w:val="02568A"/>
                <w:w w:val="89"/>
              </w:rPr>
              <w:t>Available for Future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02568A"/>
                <w:w w:val="85"/>
              </w:rPr>
              <w:t>Exercise of</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02568A"/>
                <w:w w:val="86"/>
              </w:rPr>
              <w:t>Exercise Price of</w:t>
            </w:r>
          </w:p>
        </w:tc>
        <w:tc>
          <w:tcPr>
            <w:tcW w:w="2460" w:type="dxa"/>
            <w:vAlign w:val="bottom"/>
          </w:tcPr>
          <w:p>
            <w:pPr>
              <w:jc w:val="center"/>
              <w:ind w:right="172"/>
              <w:spacing w:after="0"/>
              <w:rPr>
                <w:sz w:val="20"/>
                <w:szCs w:val="20"/>
                <w:color w:val="auto"/>
              </w:rPr>
            </w:pPr>
            <w:r>
              <w:rPr>
                <w:rFonts w:ascii="Arial" w:cs="Arial" w:eastAsia="Arial" w:hAnsi="Arial"/>
                <w:sz w:val="18"/>
                <w:szCs w:val="18"/>
                <w:b w:val="1"/>
                <w:bCs w:val="1"/>
                <w:color w:val="02568A"/>
                <w:w w:val="86"/>
              </w:rPr>
              <w:t>Issuance Under</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02568A"/>
                <w:w w:val="86"/>
              </w:rPr>
              <w:t>Outstanding</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02568A"/>
                <w:w w:val="88"/>
              </w:rPr>
              <w:t>Outstanding</w:t>
            </w:r>
          </w:p>
        </w:tc>
        <w:tc>
          <w:tcPr>
            <w:tcW w:w="2460" w:type="dxa"/>
            <w:vAlign w:val="bottom"/>
          </w:tcPr>
          <w:p>
            <w:pPr>
              <w:jc w:val="center"/>
              <w:ind w:right="172"/>
              <w:spacing w:after="0"/>
              <w:rPr>
                <w:sz w:val="20"/>
                <w:szCs w:val="20"/>
                <w:color w:val="auto"/>
              </w:rPr>
            </w:pPr>
            <w:r>
              <w:rPr>
                <w:rFonts w:ascii="Arial" w:cs="Arial" w:eastAsia="Arial" w:hAnsi="Arial"/>
                <w:sz w:val="18"/>
                <w:szCs w:val="18"/>
                <w:b w:val="1"/>
                <w:bCs w:val="1"/>
                <w:color w:val="02568A"/>
                <w:w w:val="87"/>
              </w:rPr>
              <w:t>Equity Compensation Plans</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02568A"/>
                <w:w w:val="87"/>
              </w:rPr>
              <w:t>Options,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02568A"/>
                <w:w w:val="87"/>
              </w:rPr>
              <w:t>Options,</w:t>
            </w:r>
          </w:p>
        </w:tc>
        <w:tc>
          <w:tcPr>
            <w:tcW w:w="2460" w:type="dxa"/>
            <w:vAlign w:val="bottom"/>
          </w:tcPr>
          <w:p>
            <w:pPr>
              <w:jc w:val="center"/>
              <w:ind w:right="152"/>
              <w:spacing w:after="0"/>
              <w:rPr>
                <w:sz w:val="20"/>
                <w:szCs w:val="20"/>
                <w:color w:val="auto"/>
              </w:rPr>
            </w:pPr>
            <w:r>
              <w:rPr>
                <w:rFonts w:ascii="Arial" w:cs="Arial" w:eastAsia="Arial" w:hAnsi="Arial"/>
                <w:sz w:val="18"/>
                <w:szCs w:val="18"/>
                <w:b w:val="1"/>
                <w:bCs w:val="1"/>
                <w:color w:val="02568A"/>
                <w:w w:val="89"/>
              </w:rPr>
              <w:t>(Excluding</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02568A"/>
                <w:w w:val="89"/>
              </w:rPr>
              <w:t>Warrants, and</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02568A"/>
                <w:w w:val="90"/>
              </w:rPr>
              <w:t>Warrants and</w:t>
            </w:r>
          </w:p>
        </w:tc>
        <w:tc>
          <w:tcPr>
            <w:tcW w:w="2460" w:type="dxa"/>
            <w:vAlign w:val="bottom"/>
          </w:tcPr>
          <w:p>
            <w:pPr>
              <w:jc w:val="center"/>
              <w:ind w:right="152"/>
              <w:spacing w:after="0"/>
              <w:rPr>
                <w:sz w:val="20"/>
                <w:szCs w:val="20"/>
                <w:color w:val="auto"/>
              </w:rPr>
            </w:pPr>
            <w:r>
              <w:rPr>
                <w:rFonts w:ascii="Arial" w:cs="Arial" w:eastAsia="Arial" w:hAnsi="Arial"/>
                <w:sz w:val="18"/>
                <w:szCs w:val="18"/>
                <w:b w:val="1"/>
                <w:bCs w:val="1"/>
                <w:color w:val="02568A"/>
                <w:w w:val="85"/>
              </w:rPr>
              <w:t>Securities Reflected in</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02568A"/>
                <w:w w:val="86"/>
              </w:rPr>
              <w:t>Rights (#)</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02568A"/>
                <w:w w:val="89"/>
              </w:rPr>
              <w:t>Rights ($)</w:t>
            </w:r>
          </w:p>
        </w:tc>
        <w:tc>
          <w:tcPr>
            <w:tcW w:w="2460" w:type="dxa"/>
            <w:vAlign w:val="bottom"/>
          </w:tcPr>
          <w:p>
            <w:pPr>
              <w:jc w:val="center"/>
              <w:ind w:right="172"/>
              <w:spacing w:after="0"/>
              <w:rPr>
                <w:sz w:val="20"/>
                <w:szCs w:val="20"/>
                <w:color w:val="auto"/>
              </w:rPr>
            </w:pPr>
            <w:r>
              <w:rPr>
                <w:rFonts w:ascii="Arial" w:cs="Arial" w:eastAsia="Arial" w:hAnsi="Arial"/>
                <w:sz w:val="18"/>
                <w:szCs w:val="18"/>
                <w:b w:val="1"/>
                <w:bCs w:val="1"/>
                <w:color w:val="02568A"/>
                <w:w w:val="91"/>
              </w:rPr>
              <w:t>Column (a)) (#)</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02568A"/>
            </w:tcBorders>
          </w:tcPr>
          <w:p>
            <w:pPr>
              <w:spacing w:after="0"/>
              <w:rPr>
                <w:sz w:val="19"/>
                <w:szCs w:val="19"/>
                <w:color w:val="auto"/>
              </w:rPr>
            </w:pPr>
          </w:p>
        </w:tc>
        <w:tc>
          <w:tcPr>
            <w:tcW w:w="162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90"/>
              </w:rPr>
              <w:t>(a)</w:t>
            </w:r>
          </w:p>
        </w:tc>
        <w:tc>
          <w:tcPr>
            <w:tcW w:w="140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95"/>
              </w:rPr>
              <w:t>(b)</w:t>
            </w:r>
          </w:p>
        </w:tc>
        <w:tc>
          <w:tcPr>
            <w:tcW w:w="2460" w:type="dxa"/>
            <w:vAlign w:val="bottom"/>
            <w:tcBorders>
              <w:bottom w:val="single" w:sz="8" w:color="02568A"/>
            </w:tcBorders>
          </w:tcPr>
          <w:p>
            <w:pPr>
              <w:jc w:val="center"/>
              <w:ind w:right="172"/>
              <w:spacing w:after="0"/>
              <w:rPr>
                <w:sz w:val="20"/>
                <w:szCs w:val="20"/>
                <w:color w:val="auto"/>
              </w:rPr>
            </w:pPr>
            <w:r>
              <w:rPr>
                <w:rFonts w:ascii="Arial" w:cs="Arial" w:eastAsia="Arial" w:hAnsi="Arial"/>
                <w:sz w:val="18"/>
                <w:szCs w:val="18"/>
                <w:b w:val="1"/>
                <w:bCs w:val="1"/>
                <w:color w:val="02568A"/>
                <w:w w:val="90"/>
              </w:rPr>
              <w:t>(c)</w:t>
            </w:r>
          </w:p>
        </w:tc>
        <w:tc>
          <w:tcPr>
            <w:tcW w:w="0" w:type="dxa"/>
            <w:vAlign w:val="bottom"/>
          </w:tcPr>
          <w:p>
            <w:pPr>
              <w:spacing w:after="0"/>
              <w:rPr>
                <w:sz w:val="1"/>
                <w:szCs w:val="1"/>
                <w:color w:val="auto"/>
              </w:rPr>
            </w:pPr>
          </w:p>
        </w:tc>
      </w:tr>
      <w:tr>
        <w:trPr>
          <w:trHeight w:val="196"/>
        </w:trPr>
        <w:tc>
          <w:tcPr>
            <w:tcW w:w="3620" w:type="dxa"/>
            <w:vAlign w:val="bottom"/>
            <w:shd w:val="clear" w:color="auto" w:fill="CED8EA"/>
          </w:tcPr>
          <w:p>
            <w:pPr>
              <w:ind w:left="280"/>
              <w:spacing w:after="0" w:line="196" w:lineRule="exact"/>
              <w:rPr>
                <w:sz w:val="20"/>
                <w:szCs w:val="20"/>
                <w:color w:val="auto"/>
              </w:rPr>
            </w:pPr>
            <w:r>
              <w:rPr>
                <w:rFonts w:ascii="Arial" w:cs="Arial" w:eastAsia="Arial" w:hAnsi="Arial"/>
                <w:sz w:val="18"/>
                <w:szCs w:val="18"/>
                <w:b w:val="1"/>
                <w:bCs w:val="1"/>
                <w:color w:val="02568A"/>
                <w:w w:val="95"/>
              </w:rPr>
              <w:t>Equity compensation plans approved by</w:t>
            </w:r>
          </w:p>
        </w:tc>
        <w:tc>
          <w:tcPr>
            <w:tcW w:w="1620" w:type="dxa"/>
            <w:vAlign w:val="bottom"/>
            <w:vMerge w:val="restart"/>
            <w:shd w:val="clear" w:color="auto" w:fill="CED8EA"/>
          </w:tcPr>
          <w:p>
            <w:pPr>
              <w:jc w:val="right"/>
              <w:spacing w:after="0"/>
              <w:rPr>
                <w:sz w:val="20"/>
                <w:szCs w:val="20"/>
                <w:color w:val="auto"/>
              </w:rPr>
            </w:pPr>
            <w:r>
              <w:rPr>
                <w:rFonts w:ascii="Arial" w:cs="Arial" w:eastAsia="Arial" w:hAnsi="Arial"/>
                <w:sz w:val="18"/>
                <w:szCs w:val="18"/>
                <w:color w:val="02568A"/>
              </w:rPr>
              <w:t>1,273,688(1)</w:t>
            </w:r>
          </w:p>
        </w:tc>
        <w:tc>
          <w:tcPr>
            <w:tcW w:w="1400" w:type="dxa"/>
            <w:vAlign w:val="bottom"/>
            <w:vMerge w:val="restart"/>
            <w:shd w:val="clear" w:color="auto" w:fill="CED8EA"/>
          </w:tcPr>
          <w:p>
            <w:pPr>
              <w:jc w:val="right"/>
              <w:spacing w:after="0"/>
              <w:rPr>
                <w:sz w:val="20"/>
                <w:szCs w:val="20"/>
                <w:color w:val="auto"/>
              </w:rPr>
            </w:pPr>
            <w:r>
              <w:rPr>
                <w:rFonts w:ascii="Arial" w:cs="Arial" w:eastAsia="Arial" w:hAnsi="Arial"/>
                <w:sz w:val="18"/>
                <w:szCs w:val="18"/>
                <w:color w:val="02568A"/>
              </w:rPr>
              <w:t>65.38</w:t>
            </w:r>
          </w:p>
        </w:tc>
        <w:tc>
          <w:tcPr>
            <w:tcW w:w="2460" w:type="dxa"/>
            <w:vAlign w:val="bottom"/>
            <w:vMerge w:val="restart"/>
            <w:shd w:val="clear" w:color="auto" w:fill="CED8EA"/>
          </w:tcPr>
          <w:p>
            <w:pPr>
              <w:jc w:val="right"/>
              <w:ind w:right="192"/>
              <w:spacing w:after="0"/>
              <w:rPr>
                <w:sz w:val="20"/>
                <w:szCs w:val="20"/>
                <w:color w:val="auto"/>
              </w:rPr>
            </w:pPr>
            <w:r>
              <w:rPr>
                <w:rFonts w:ascii="Arial" w:cs="Arial" w:eastAsia="Arial" w:hAnsi="Arial"/>
                <w:sz w:val="18"/>
                <w:szCs w:val="18"/>
                <w:color w:val="02568A"/>
              </w:rPr>
              <w:t>12,787,571(2)</w:t>
            </w:r>
          </w:p>
        </w:tc>
        <w:tc>
          <w:tcPr>
            <w:tcW w:w="0" w:type="dxa"/>
            <w:vAlign w:val="bottom"/>
          </w:tcPr>
          <w:p>
            <w:pPr>
              <w:spacing w:after="0"/>
              <w:rPr>
                <w:sz w:val="1"/>
                <w:szCs w:val="1"/>
                <w:color w:val="auto"/>
              </w:rPr>
            </w:pPr>
          </w:p>
        </w:tc>
      </w:tr>
      <w:tr>
        <w:trPr>
          <w:trHeight w:val="120"/>
        </w:trPr>
        <w:tc>
          <w:tcPr>
            <w:tcW w:w="3620" w:type="dxa"/>
            <w:vAlign w:val="bottom"/>
            <w:vMerge w:val="restart"/>
            <w:shd w:val="clear" w:color="auto" w:fill="CED8EA"/>
          </w:tcPr>
          <w:p>
            <w:pPr>
              <w:ind w:left="280"/>
              <w:spacing w:after="0"/>
              <w:rPr>
                <w:sz w:val="20"/>
                <w:szCs w:val="20"/>
                <w:color w:val="auto"/>
              </w:rPr>
            </w:pPr>
            <w:r>
              <w:rPr>
                <w:rFonts w:ascii="Arial" w:cs="Arial" w:eastAsia="Arial" w:hAnsi="Arial"/>
                <w:sz w:val="18"/>
                <w:szCs w:val="18"/>
                <w:b w:val="1"/>
                <w:bCs w:val="1"/>
                <w:color w:val="02568A"/>
              </w:rPr>
              <w:t>security holders</w:t>
            </w:r>
          </w:p>
        </w:tc>
        <w:tc>
          <w:tcPr>
            <w:tcW w:w="1620" w:type="dxa"/>
            <w:vAlign w:val="bottom"/>
            <w:vMerge w:val="continue"/>
            <w:shd w:val="clear" w:color="auto" w:fill="CED8EA"/>
          </w:tcPr>
          <w:p>
            <w:pPr>
              <w:spacing w:after="0"/>
              <w:rPr>
                <w:sz w:val="10"/>
                <w:szCs w:val="10"/>
                <w:color w:val="auto"/>
              </w:rPr>
            </w:pPr>
          </w:p>
        </w:tc>
        <w:tc>
          <w:tcPr>
            <w:tcW w:w="1400" w:type="dxa"/>
            <w:vAlign w:val="bottom"/>
            <w:vMerge w:val="continue"/>
            <w:shd w:val="clear" w:color="auto" w:fill="CED8EA"/>
          </w:tcPr>
          <w:p>
            <w:pPr>
              <w:spacing w:after="0"/>
              <w:rPr>
                <w:sz w:val="10"/>
                <w:szCs w:val="10"/>
                <w:color w:val="auto"/>
              </w:rPr>
            </w:pPr>
          </w:p>
        </w:tc>
        <w:tc>
          <w:tcPr>
            <w:tcW w:w="2460" w:type="dxa"/>
            <w:vAlign w:val="bottom"/>
            <w:vMerge w:val="continue"/>
            <w:shd w:val="clear" w:color="auto" w:fill="CED8EA"/>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620" w:type="dxa"/>
            <w:vAlign w:val="bottom"/>
            <w:tcBorders>
              <w:bottom w:val="single" w:sz="8" w:color="D1D2D4"/>
            </w:tcBorders>
            <w:vMerge w:val="continue"/>
            <w:shd w:val="clear" w:color="auto" w:fill="CED8EA"/>
          </w:tcPr>
          <w:p>
            <w:pPr>
              <w:spacing w:after="0"/>
              <w:rPr>
                <w:sz w:val="9"/>
                <w:szCs w:val="9"/>
                <w:color w:val="auto"/>
              </w:rPr>
            </w:pPr>
          </w:p>
        </w:tc>
        <w:tc>
          <w:tcPr>
            <w:tcW w:w="1620" w:type="dxa"/>
            <w:vAlign w:val="bottom"/>
            <w:tcBorders>
              <w:bottom w:val="single" w:sz="8" w:color="D1D2D4"/>
            </w:tcBorders>
            <w:shd w:val="clear" w:color="auto" w:fill="CED8EA"/>
          </w:tcPr>
          <w:p>
            <w:pPr>
              <w:spacing w:after="0"/>
              <w:rPr>
                <w:sz w:val="9"/>
                <w:szCs w:val="9"/>
                <w:color w:val="auto"/>
              </w:rPr>
            </w:pPr>
          </w:p>
        </w:tc>
        <w:tc>
          <w:tcPr>
            <w:tcW w:w="1400" w:type="dxa"/>
            <w:vAlign w:val="bottom"/>
            <w:tcBorders>
              <w:bottom w:val="single" w:sz="8" w:color="D1D2D4"/>
            </w:tcBorders>
            <w:shd w:val="clear" w:color="auto" w:fill="CED8EA"/>
          </w:tcPr>
          <w:p>
            <w:pPr>
              <w:spacing w:after="0"/>
              <w:rPr>
                <w:sz w:val="9"/>
                <w:szCs w:val="9"/>
                <w:color w:val="auto"/>
              </w:rPr>
            </w:pPr>
          </w:p>
        </w:tc>
        <w:tc>
          <w:tcPr>
            <w:tcW w:w="2460" w:type="dxa"/>
            <w:vAlign w:val="bottom"/>
            <w:tcBorders>
              <w:bottom w:val="single" w:sz="8" w:color="D1D2D4"/>
            </w:tcBorders>
            <w:shd w:val="clear" w:color="auto" w:fill="CED8EA"/>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620" w:type="dxa"/>
            <w:vAlign w:val="bottom"/>
          </w:tcPr>
          <w:p>
            <w:pPr>
              <w:ind w:left="280"/>
              <w:spacing w:after="0" w:line="196" w:lineRule="exact"/>
              <w:rPr>
                <w:sz w:val="20"/>
                <w:szCs w:val="20"/>
                <w:color w:val="auto"/>
              </w:rPr>
            </w:pPr>
            <w:r>
              <w:rPr>
                <w:rFonts w:ascii="Arial" w:cs="Arial" w:eastAsia="Arial" w:hAnsi="Arial"/>
                <w:sz w:val="18"/>
                <w:szCs w:val="18"/>
                <w:b w:val="1"/>
                <w:bCs w:val="1"/>
                <w:color w:val="02568A"/>
                <w:w w:val="94"/>
              </w:rPr>
              <w:t>Equity compensation plans not approved</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02568A"/>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02568A"/>
              </w:rPr>
              <w:t>—</w:t>
            </w:r>
          </w:p>
        </w:tc>
        <w:tc>
          <w:tcPr>
            <w:tcW w:w="2460" w:type="dxa"/>
            <w:vAlign w:val="bottom"/>
            <w:vMerge w:val="restart"/>
          </w:tcPr>
          <w:p>
            <w:pPr>
              <w:jc w:val="right"/>
              <w:ind w:right="192"/>
              <w:spacing w:after="0"/>
              <w:rPr>
                <w:sz w:val="20"/>
                <w:szCs w:val="20"/>
                <w:color w:val="auto"/>
              </w:rPr>
            </w:pPr>
            <w:r>
              <w:rPr>
                <w:rFonts w:ascii="Arial" w:cs="Arial" w:eastAsia="Arial" w:hAnsi="Arial"/>
                <w:sz w:val="18"/>
                <w:szCs w:val="18"/>
                <w:color w:val="02568A"/>
              </w:rPr>
              <w:t>66,367(3)</w:t>
            </w:r>
          </w:p>
        </w:tc>
        <w:tc>
          <w:tcPr>
            <w:tcW w:w="0" w:type="dxa"/>
            <w:vAlign w:val="bottom"/>
          </w:tcPr>
          <w:p>
            <w:pPr>
              <w:spacing w:after="0"/>
              <w:rPr>
                <w:sz w:val="1"/>
                <w:szCs w:val="1"/>
                <w:color w:val="auto"/>
              </w:rPr>
            </w:pPr>
          </w:p>
        </w:tc>
      </w:tr>
      <w:tr>
        <w:trPr>
          <w:trHeight w:val="120"/>
        </w:trPr>
        <w:tc>
          <w:tcPr>
            <w:tcW w:w="3620" w:type="dxa"/>
            <w:vAlign w:val="bottom"/>
            <w:vMerge w:val="restart"/>
          </w:tcPr>
          <w:p>
            <w:pPr>
              <w:ind w:left="280"/>
              <w:spacing w:after="0"/>
              <w:rPr>
                <w:sz w:val="20"/>
                <w:szCs w:val="20"/>
                <w:color w:val="auto"/>
              </w:rPr>
            </w:pPr>
            <w:r>
              <w:rPr>
                <w:rFonts w:ascii="Arial" w:cs="Arial" w:eastAsia="Arial" w:hAnsi="Arial"/>
                <w:sz w:val="18"/>
                <w:szCs w:val="18"/>
                <w:b w:val="1"/>
                <w:bCs w:val="1"/>
                <w:color w:val="02568A"/>
              </w:rPr>
              <w:t>by security holders</w:t>
            </w:r>
          </w:p>
        </w:tc>
        <w:tc>
          <w:tcPr>
            <w:tcW w:w="16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620" w:type="dxa"/>
            <w:vAlign w:val="bottom"/>
            <w:tcBorders>
              <w:bottom w:val="single" w:sz="8" w:color="D1D2D4"/>
            </w:tcBorders>
            <w:vMerge w:val="continue"/>
          </w:tcPr>
          <w:p>
            <w:pPr>
              <w:spacing w:after="0"/>
              <w:rPr>
                <w:sz w:val="9"/>
                <w:szCs w:val="9"/>
                <w:color w:val="auto"/>
              </w:rPr>
            </w:pPr>
          </w:p>
        </w:tc>
        <w:tc>
          <w:tcPr>
            <w:tcW w:w="1620" w:type="dxa"/>
            <w:vAlign w:val="bottom"/>
            <w:tcBorders>
              <w:bottom w:val="single" w:sz="8" w:color="D1D2D4"/>
            </w:tcBorders>
          </w:tcPr>
          <w:p>
            <w:pPr>
              <w:spacing w:after="0"/>
              <w:rPr>
                <w:sz w:val="9"/>
                <w:szCs w:val="9"/>
                <w:color w:val="auto"/>
              </w:rPr>
            </w:pPr>
          </w:p>
        </w:tc>
        <w:tc>
          <w:tcPr>
            <w:tcW w:w="1400" w:type="dxa"/>
            <w:vAlign w:val="bottom"/>
            <w:tcBorders>
              <w:bottom w:val="single" w:sz="8" w:color="D1D2D4"/>
            </w:tcBorders>
          </w:tcPr>
          <w:p>
            <w:pPr>
              <w:spacing w:after="0"/>
              <w:rPr>
                <w:sz w:val="9"/>
                <w:szCs w:val="9"/>
                <w:color w:val="auto"/>
              </w:rPr>
            </w:pPr>
          </w:p>
        </w:tc>
        <w:tc>
          <w:tcPr>
            <w:tcW w:w="2460" w:type="dxa"/>
            <w:vAlign w:val="bottom"/>
            <w:tcBorders>
              <w:bottom w:val="single" w:sz="8" w:color="D1D2D4"/>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62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TOTAL</w:t>
            </w:r>
          </w:p>
        </w:tc>
        <w:tc>
          <w:tcPr>
            <w:tcW w:w="162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1,273,688</w:t>
            </w:r>
          </w:p>
        </w:tc>
        <w:tc>
          <w:tcPr>
            <w:tcW w:w="140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65.38</w:t>
            </w:r>
          </w:p>
        </w:tc>
        <w:tc>
          <w:tcPr>
            <w:tcW w:w="2460" w:type="dxa"/>
            <w:vAlign w:val="bottom"/>
            <w:tcBorders>
              <w:bottom w:val="single" w:sz="8" w:color="D1D2D4"/>
            </w:tcBorders>
            <w:shd w:val="clear" w:color="auto" w:fill="CED8EA"/>
          </w:tcPr>
          <w:p>
            <w:pPr>
              <w:jc w:val="right"/>
              <w:ind w:right="192"/>
              <w:spacing w:after="0"/>
              <w:rPr>
                <w:sz w:val="20"/>
                <w:szCs w:val="20"/>
                <w:color w:val="auto"/>
              </w:rPr>
            </w:pPr>
            <w:r>
              <w:rPr>
                <w:rFonts w:ascii="Arial" w:cs="Arial" w:eastAsia="Arial" w:hAnsi="Arial"/>
                <w:sz w:val="18"/>
                <w:szCs w:val="18"/>
                <w:color w:val="02568A"/>
              </w:rPr>
              <w:t>12,853,938</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680" w:right="200" w:hanging="549"/>
        <w:spacing w:after="0" w:line="254" w:lineRule="auto"/>
        <w:tabs>
          <w:tab w:leader="none" w:pos="1680" w:val="left"/>
        </w:tabs>
        <w:numPr>
          <w:ilvl w:val="0"/>
          <w:numId w:val="73"/>
        </w:numPr>
        <w:rPr>
          <w:rFonts w:ascii="Arial" w:cs="Arial" w:eastAsia="Arial" w:hAnsi="Arial"/>
          <w:sz w:val="18"/>
          <w:szCs w:val="18"/>
          <w:color w:val="191919"/>
        </w:rPr>
      </w:pPr>
      <w:r>
        <w:rPr>
          <w:rFonts w:ascii="Arial" w:cs="Arial" w:eastAsia="Arial" w:hAnsi="Arial"/>
          <w:sz w:val="18"/>
          <w:szCs w:val="18"/>
          <w:color w:val="191919"/>
        </w:rPr>
        <w:t>Excludes 1,576,852 unvested shares under restricted stock and RSU awards and 1,095,779 unvested shares under PSAs, which figure assumes achievement of performance goals under the FY19 PSAs at target levels.</w:t>
      </w:r>
    </w:p>
    <w:p>
      <w:pPr>
        <w:spacing w:after="0" w:line="7" w:lineRule="exact"/>
        <w:rPr>
          <w:rFonts w:ascii="Arial" w:cs="Arial" w:eastAsia="Arial" w:hAnsi="Arial"/>
          <w:sz w:val="18"/>
          <w:szCs w:val="18"/>
          <w:color w:val="191919"/>
        </w:rPr>
      </w:pPr>
    </w:p>
    <w:p>
      <w:pPr>
        <w:ind w:left="1680" w:right="240" w:hanging="549"/>
        <w:spacing w:after="0" w:line="252" w:lineRule="auto"/>
        <w:tabs>
          <w:tab w:leader="none" w:pos="1680" w:val="left"/>
        </w:tabs>
        <w:numPr>
          <w:ilvl w:val="0"/>
          <w:numId w:val="73"/>
        </w:numPr>
        <w:rPr>
          <w:rFonts w:ascii="Arial" w:cs="Arial" w:eastAsia="Arial" w:hAnsi="Arial"/>
          <w:sz w:val="18"/>
          <w:szCs w:val="18"/>
          <w:color w:val="191919"/>
        </w:rPr>
      </w:pPr>
      <w:r>
        <w:rPr>
          <w:rFonts w:ascii="Arial" w:cs="Arial" w:eastAsia="Arial" w:hAnsi="Arial"/>
          <w:sz w:val="18"/>
          <w:szCs w:val="18"/>
          <w:color w:val="191919"/>
        </w:rPr>
        <w:t>Includes 136,811 shares available for future issuance under the 2002 Employee Stock Purchase Plan, 12,032,017 shares available for future issuance under the 2015 Long-Term Incentive Plan, and 618,743 shares available for future issuance under the 2008 Director Long-Term Incentive Plan. No further grants will be made under the AATI 2005 Equity Incentive Plan or the 2005 Long-Term Incentive Plan.</w:t>
      </w:r>
    </w:p>
    <w:p>
      <w:pPr>
        <w:spacing w:after="0" w:line="8" w:lineRule="exact"/>
        <w:rPr>
          <w:rFonts w:ascii="Arial" w:cs="Arial" w:eastAsia="Arial" w:hAnsi="Arial"/>
          <w:sz w:val="18"/>
          <w:szCs w:val="18"/>
          <w:color w:val="191919"/>
        </w:rPr>
      </w:pPr>
    </w:p>
    <w:p>
      <w:pPr>
        <w:ind w:left="1680" w:hanging="549"/>
        <w:spacing w:after="0"/>
        <w:tabs>
          <w:tab w:leader="none" w:pos="1680" w:val="left"/>
        </w:tabs>
        <w:numPr>
          <w:ilvl w:val="0"/>
          <w:numId w:val="73"/>
        </w:numPr>
        <w:rPr>
          <w:rFonts w:ascii="Arial" w:cs="Arial" w:eastAsia="Arial" w:hAnsi="Arial"/>
          <w:sz w:val="18"/>
          <w:szCs w:val="18"/>
          <w:color w:val="191919"/>
        </w:rPr>
      </w:pPr>
      <w:r>
        <w:rPr>
          <w:rFonts w:ascii="Arial" w:cs="Arial" w:eastAsia="Arial" w:hAnsi="Arial"/>
          <w:sz w:val="18"/>
          <w:szCs w:val="18"/>
          <w:color w:val="191919"/>
        </w:rPr>
        <w:t>Represents shares available under the Non-Qualified ESPP.</w:t>
      </w:r>
    </w:p>
    <w:p>
      <w:pPr>
        <w:sectPr>
          <w:pgSz w:w="11900" w:h="16838" w:orient="portrait"/>
          <w:cols w:equalWidth="0" w:num="1">
            <w:col w:w="11240"/>
          </w:cols>
          <w:pgMar w:left="320" w:top="131" w:right="3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Non-Qualified Employee Stock Purchase Plan</w:t>
      </w:r>
    </w:p>
    <w:p>
      <w:pPr>
        <w:spacing w:after="0" w:line="219" w:lineRule="exact"/>
        <w:rPr>
          <w:sz w:val="20"/>
          <w:szCs w:val="20"/>
          <w:color w:val="auto"/>
        </w:rPr>
      </w:pPr>
    </w:p>
    <w:p>
      <w:pPr>
        <w:spacing w:after="0" w:line="294" w:lineRule="auto"/>
        <w:rPr>
          <w:sz w:val="20"/>
          <w:szCs w:val="20"/>
          <w:color w:val="auto"/>
        </w:rPr>
      </w:pPr>
      <w:r>
        <w:rPr>
          <w:rFonts w:ascii="Arial" w:cs="Arial" w:eastAsia="Arial" w:hAnsi="Arial"/>
          <w:sz w:val="16"/>
          <w:szCs w:val="16"/>
          <w:color w:val="191919"/>
        </w:rPr>
        <w:t>The Company maintains the Non-Qualified ESPP to provide employees of the Company and participating subsidiaries with an opportunity to acquire a proprietary interest in the Company through the purchase, by means of payroll deductions, of shares of the Company’s common stock at a discount from the market price of the common stock at the time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191919"/>
        </w:rPr>
        <w:t>purchase. The Non-Qualified ESPP is intended for use primarily by employees of the Company located outside the United States. Under the plan, eligible employees may purchase common stock through payroll deductions of up to 10% of compensation. The price per share is the lower of 85% of the market price at the beginning or end of each six-month offering period.</w:t>
      </w:r>
    </w:p>
    <w:p>
      <w:pPr>
        <w:spacing w:after="0" w:line="471" w:lineRule="exact"/>
        <w:rPr>
          <w:sz w:val="20"/>
          <w:szCs w:val="20"/>
          <w:color w:val="auto"/>
        </w:rPr>
      </w:pPr>
    </w:p>
    <w:p>
      <w:pPr>
        <w:sectPr>
          <w:pgSz w:w="11900" w:h="16838" w:orient="portrait"/>
          <w:cols w:equalWidth="0" w:num="2">
            <w:col w:w="5240" w:space="720"/>
            <w:col w:w="5280"/>
          </w:cols>
          <w:pgMar w:left="320" w:top="131" w:right="339" w:bottom="1440" w:gutter="0" w:footer="0" w:header="0"/>
          <w:type w:val="continuous"/>
        </w:sectPr>
      </w:pPr>
    </w:p>
    <w:p>
      <w:pPr>
        <w:spacing w:after="0" w:line="179" w:lineRule="exact"/>
        <w:rPr>
          <w:sz w:val="20"/>
          <w:szCs w:val="20"/>
          <w:color w:val="auto"/>
        </w:rPr>
      </w:pPr>
    </w:p>
    <w:p>
      <w:pPr>
        <w:ind w:left="9280"/>
        <w:spacing w:after="0"/>
        <w:rPr>
          <w:sz w:val="20"/>
          <w:szCs w:val="20"/>
          <w:color w:val="auto"/>
        </w:rPr>
      </w:pPr>
      <w:r>
        <w:rPr>
          <w:rFonts w:ascii="Arial" w:cs="Arial" w:eastAsia="Arial" w:hAnsi="Arial"/>
          <w:sz w:val="16"/>
          <w:szCs w:val="16"/>
          <w:color w:val="000001"/>
        </w:rPr>
        <w:t xml:space="preserve">Proxy Statement </w:t>
      </w:r>
      <w:r>
        <w:rPr>
          <w:rFonts w:ascii="Arial" w:cs="Arial" w:eastAsia="Arial" w:hAnsi="Arial"/>
          <w:sz w:val="15"/>
          <w:szCs w:val="15"/>
          <w:b w:val="1"/>
          <w:bCs w:val="1"/>
          <w:color w:val="000001"/>
        </w:rPr>
        <w:t>|</w:t>
      </w:r>
      <w:r>
        <w:rPr>
          <w:rFonts w:ascii="Arial" w:cs="Arial" w:eastAsia="Arial" w:hAnsi="Arial"/>
          <w:sz w:val="16"/>
          <w:szCs w:val="16"/>
          <w:color w:val="000001"/>
        </w:rPr>
        <w:t xml:space="preserve"> </w:t>
      </w:r>
      <w:r>
        <w:rPr>
          <w:rFonts w:ascii="Arial" w:cs="Arial" w:eastAsia="Arial" w:hAnsi="Arial"/>
          <w:sz w:val="16"/>
          <w:szCs w:val="16"/>
          <w:b w:val="1"/>
          <w:bCs w:val="1"/>
          <w:color w:val="000001"/>
        </w:rPr>
        <w:t>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3613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ind w:left="60"/>
        <w:spacing w:after="0"/>
        <w:rPr>
          <w:sz w:val="20"/>
          <w:szCs w:val="20"/>
          <w:color w:val="auto"/>
        </w:rPr>
      </w:pPr>
      <w:r>
        <w:rPr>
          <w:rFonts w:ascii="Arial" w:cs="Arial" w:eastAsia="Arial" w:hAnsi="Arial"/>
          <w:sz w:val="24"/>
          <w:szCs w:val="24"/>
          <w:b w:val="1"/>
          <w:bCs w:val="1"/>
          <w:color w:val="02568A"/>
        </w:rPr>
        <w:t>INTRODUCTION TO PROPOSALS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16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FFFFFE"/>
        </w:rPr>
        <w:t>Elimination of Supermajority Vote Provisions from Our Charter</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191919"/>
        </w:rPr>
        <w:t>The Charter currently includes a number of supermajority voting provisions. At the Company’s 2016 Annual Meeting, we presented five Company proposals that, if approved by the stockholders, would have removed all existing supermajority voting provisions from the Charter. However, despite the recommendation of the Board of Directors in favor of all five proposals, only one of the five proposals (which required the affirmative vote of only two-thirds of the shares of the Company’s outstanding common stock) passed.</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191919"/>
        </w:rPr>
        <w:t>Following the approval by our stockholders of a stockholder proposal presented at our 2019 Annual Meeting requesting that the Board of Directors take steps to remove the supermajority provisions in the Charter, we engaged in formal stockholder outreach to solicit institutional stockholders’ feedback regarding the reintroduction for stockholder vote of four proposals that did not pass in 2016. The majority of institutional stockholders with whom we spoke expressed their preference that the four proposals be reintroduced.</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191919"/>
        </w:rPr>
        <w:t>After taking into consideration the approval by our stockholders of the stockholder proposal in 2019 and the feedback from stockholders following the 2019 Annual Meeting, the Board of Directors has directed that the four proposals that did not pass in 2016 be again presented at the Annual Meeting for stockholder approval. Specifically, our Board of Directors has adopted and approved amendments to our Charter to remove the supermajority voting provisions and to make certain other changes as described below, subject to approval by the Company’s stockholders as set forth in the Charter.</w:t>
      </w:r>
    </w:p>
    <w:p>
      <w:pPr>
        <w:spacing w:after="0" w:line="173" w:lineRule="exact"/>
        <w:rPr>
          <w:sz w:val="20"/>
          <w:szCs w:val="20"/>
          <w:color w:val="auto"/>
        </w:rPr>
      </w:pPr>
    </w:p>
    <w:p>
      <w:pPr>
        <w:spacing w:after="0" w:line="317" w:lineRule="auto"/>
        <w:rPr>
          <w:sz w:val="20"/>
          <w:szCs w:val="20"/>
          <w:color w:val="auto"/>
        </w:rPr>
      </w:pPr>
      <w:r>
        <w:rPr>
          <w:rFonts w:ascii="Arial" w:cs="Arial" w:eastAsia="Arial" w:hAnsi="Arial"/>
          <w:sz w:val="15"/>
          <w:szCs w:val="15"/>
          <w:color w:val="191919"/>
        </w:rPr>
        <w:t>The Board of Directors believes that the changes set forth in Proposals 5-8 are advisable and in the best interests of our stockholders. The Board of Directors, upon the recommendation of the Nominating and Corporate Governance Committee, has unanimously approved the proposed amendments and declared them to be advisable, and recommends that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191919"/>
        </w:rPr>
        <w:t>Company’s stockholders adopt and approve the proposed amendments.</w:t>
      </w:r>
    </w:p>
    <w:p>
      <w:pPr>
        <w:spacing w:after="0" w:line="248"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191919"/>
        </w:rPr>
        <w:t>Different voting standards apply to the various provisions proposed to be amended and, accordingly, different votes are required for the approval of Proposals 5-8, as specified in each proposal below. We are submitting these amendments to our stockholders as separate items so that our stockholders are able to express their views on each amendment separately. None of the proposals is conditioned upon approval of any other proposal; each proposal may be approved or rejected independently.</w:t>
      </w:r>
    </w:p>
    <w:p>
      <w:pPr>
        <w:spacing w:after="0" w:line="15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191919"/>
        </w:rPr>
        <w:t>The Company recognizes the high voting thresholds that must be surpassed in order to approve Proposals 5-8 (80% of shares outstanding, in the case of Proposals 5, 7, and 8, and 90% of shares outstanding, in the case of Proposal 6) and that fewer than 80% of the Company’s outstanding shares of common stock were present in person or represented by proxy at our most recent annual meeting. In order to increase the number of shares represented at the Annual Meeting and with the objective of obtaining sufficient votes to approve Proposals 5-8, the Company has engaged its proxy solicitor, D.F. King &amp; Co., to undertake a targeted solicitation of both institutional and retail investors.</w:t>
      </w:r>
    </w:p>
    <w:p>
      <w:pPr>
        <w:spacing w:after="0" w:line="176" w:lineRule="exact"/>
        <w:rPr>
          <w:sz w:val="20"/>
          <w:szCs w:val="20"/>
          <w:color w:val="auto"/>
        </w:rPr>
      </w:pPr>
    </w:p>
    <w:p>
      <w:pPr>
        <w:spacing w:after="0" w:line="291" w:lineRule="auto"/>
        <w:rPr>
          <w:sz w:val="20"/>
          <w:szCs w:val="20"/>
          <w:color w:val="auto"/>
        </w:rPr>
      </w:pPr>
      <w:r>
        <w:rPr>
          <w:rFonts w:ascii="Arial" w:cs="Arial" w:eastAsia="Arial" w:hAnsi="Arial"/>
          <w:sz w:val="16"/>
          <w:szCs w:val="16"/>
          <w:color w:val="191919"/>
        </w:rPr>
        <w:t>The proposals that are approved by our stockholders at the 2020 Annual Meeting will be reflected in a Certificate of Amendment to our Restated Certificate of Incorporation filed with the Secretary of State of the State of Delaware following the meeting. Our Board of Directors reserves the right, at any time prior to the effectiveness of the filing of the Certificate of Amendment, to abandon the proposed amendments.</w:t>
      </w:r>
    </w:p>
    <w:p>
      <w:pPr>
        <w:spacing w:after="0" w:line="17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191919"/>
        </w:rPr>
        <w:t xml:space="preserve">The following description of the proposed amendments to our Charter is a summary and is qualified by the full text of the proposed amendments, which is attached to this Proxy Statement as </w:t>
      </w:r>
      <w:r>
        <w:rPr>
          <w:rFonts w:ascii="Arial" w:cs="Arial" w:eastAsia="Arial" w:hAnsi="Arial"/>
          <w:sz w:val="16"/>
          <w:szCs w:val="16"/>
          <w:i w:val="1"/>
          <w:iCs w:val="1"/>
          <w:color w:val="191919"/>
        </w:rPr>
        <w:t>Appendix A</w:t>
      </w:r>
      <w:r>
        <w:rPr>
          <w:rFonts w:ascii="Arial" w:cs="Arial" w:eastAsia="Arial" w:hAnsi="Arial"/>
          <w:sz w:val="16"/>
          <w:szCs w:val="16"/>
          <w:color w:val="191919"/>
        </w:rPr>
        <w:t>.</w:t>
      </w:r>
    </w:p>
    <w:p>
      <w:pPr>
        <w:spacing w:after="0" w:line="635" w:lineRule="exact"/>
        <w:rPr>
          <w:sz w:val="20"/>
          <w:szCs w:val="20"/>
          <w:color w:val="auto"/>
        </w:rPr>
      </w:pPr>
    </w:p>
    <w:p>
      <w:pPr>
        <w:sectPr>
          <w:pgSz w:w="11900" w:h="16838" w:orient="portrait"/>
          <w:cols w:equalWidth="0" w:num="2">
            <w:col w:w="5240" w:space="720"/>
            <w:col w:w="5280"/>
          </w:cols>
          <w:pgMar w:left="320" w:top="131" w:right="339" w:bottom="1440" w:gutter="0" w:footer="0" w:header="0"/>
          <w:type w:val="continuous"/>
        </w:sectPr>
      </w:pP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0001"/>
        </w:rPr>
        <w:t xml:space="preserve">Page 72 </w:t>
      </w:r>
      <w:r>
        <w:rPr>
          <w:rFonts w:ascii="Arial" w:cs="Arial" w:eastAsia="Arial" w:hAnsi="Arial"/>
          <w:sz w:val="15"/>
          <w:szCs w:val="15"/>
          <w:b w:val="1"/>
          <w:bCs w:val="1"/>
          <w:color w:val="000001"/>
        </w:rPr>
        <w:t>|</w:t>
      </w:r>
      <w:r>
        <w:rPr>
          <w:rFonts w:ascii="Arial" w:cs="Arial" w:eastAsia="Arial" w:hAnsi="Arial"/>
          <w:sz w:val="16"/>
          <w:szCs w:val="16"/>
          <w:b w:val="1"/>
          <w:bCs w:val="1"/>
          <w:color w:val="000001"/>
        </w:rPr>
        <w:t xml:space="preserve"> </w:t>
      </w:r>
      <w:r>
        <w:rPr>
          <w:rFonts w:ascii="Arial" w:cs="Arial" w:eastAsia="Arial" w:hAnsi="Arial"/>
          <w:sz w:val="16"/>
          <w:szCs w:val="16"/>
          <w:color w:val="000001"/>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3613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ind w:left="60"/>
        <w:spacing w:after="0"/>
        <w:rPr>
          <w:sz w:val="20"/>
          <w:szCs w:val="20"/>
          <w:color w:val="auto"/>
        </w:rPr>
      </w:pPr>
      <w:r>
        <w:rPr>
          <w:rFonts w:ascii="Arial" w:cs="Arial" w:eastAsia="Arial" w:hAnsi="Arial"/>
          <w:sz w:val="24"/>
          <w:szCs w:val="24"/>
          <w:b w:val="1"/>
          <w:bCs w:val="1"/>
          <w:color w:val="02568A"/>
        </w:rPr>
        <w:t>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0115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011555"/>
                    </a:xfrm>
                    <a:prstGeom prst="rect">
                      <a:avLst/>
                    </a:prstGeom>
                    <a:noFill/>
                  </pic:spPr>
                </pic:pic>
              </a:graphicData>
            </a:graphic>
          </wp:anchor>
        </w:drawing>
      </w:r>
    </w:p>
    <w:p>
      <w:pPr>
        <w:spacing w:after="0" w:line="258" w:lineRule="exact"/>
        <w:rPr>
          <w:sz w:val="20"/>
          <w:szCs w:val="20"/>
          <w:color w:val="auto"/>
        </w:rPr>
      </w:pPr>
    </w:p>
    <w:p>
      <w:pPr>
        <w:ind w:left="120" w:right="500"/>
        <w:spacing w:after="0" w:line="249" w:lineRule="auto"/>
        <w:rPr>
          <w:sz w:val="20"/>
          <w:szCs w:val="20"/>
          <w:color w:val="auto"/>
        </w:rPr>
      </w:pPr>
      <w:r>
        <w:rPr>
          <w:rFonts w:ascii="Arial" w:cs="Arial" w:eastAsia="Arial" w:hAnsi="Arial"/>
          <w:sz w:val="32"/>
          <w:szCs w:val="32"/>
          <w:b w:val="1"/>
          <w:bCs w:val="1"/>
          <w:color w:val="FFFFFE"/>
        </w:rPr>
        <w:t>Approval of Amendment to the Charter to Eliminate the Supermajority Vote Provisions Relating to Stockholder Approval of a Merger or Consolidation, Disposition of All or Substantially All of Our Assets, or Issuance of a Substantial Amount of Our Securities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line="284" w:lineRule="auto"/>
        <w:rPr>
          <w:sz w:val="20"/>
          <w:szCs w:val="20"/>
          <w:color w:val="auto"/>
        </w:rPr>
      </w:pPr>
      <w:r>
        <w:rPr>
          <w:rFonts w:ascii="Arial" w:cs="Arial" w:eastAsia="Arial" w:hAnsi="Arial"/>
          <w:sz w:val="16"/>
          <w:szCs w:val="16"/>
          <w:color w:val="191919"/>
        </w:rPr>
        <w:t>The Charter currently requires, in addition to any other vote required by law, another provision of the Charter, or a contract to which we are party, the affirmative vote of holders of at least 80% of the shares of all classes of our stock entitled to vote for the election of directors, considered for this purpose as one class of stock, (a) for the adoption of any agreement for the merger or consolidation of the Company with or into any Other Corporation (as defined in the Charter), or (b) to authorize any sale, lease, exchange, mortgage, pledge, or other disposition of all, or substantially all, of the assets of the Company or any Subsidiary (as defined in the Charter) to any Other Corporation, or (c) to authorize the issuance or transfer by the Company of any Substantial Amount (as defined in the Charter) of securities of the Company in exchange for the securities or assets of any Other Corporation. This supermajority vote is not required if the transaction has been approved by members of the Board of Directors who were directors prior to the time any such Other Corporation involved in the proposed transaction became a Beneficial Owner (as defined in the Charter) of 5% or more of the outstanding shares of stock of the Company entitled to vote for the election of directors.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191919"/>
        </w:rPr>
        <w:t>Charter also requires the affirmative vote of holders of at least 80% of the shares of all classes of our stock entitled to vote for the election of directors, considered for this purpose as one class of stock, to amend the Charter provisions relating to stockholder approval of such a transaction.</w:t>
      </w:r>
    </w:p>
    <w:p>
      <w:pPr>
        <w:spacing w:after="0" w:line="151" w:lineRule="exact"/>
        <w:rPr>
          <w:sz w:val="20"/>
          <w:szCs w:val="20"/>
          <w:color w:val="auto"/>
        </w:rPr>
      </w:pPr>
    </w:p>
    <w:p>
      <w:pPr>
        <w:ind w:right="40"/>
        <w:spacing w:after="0" w:line="317" w:lineRule="auto"/>
        <w:rPr>
          <w:sz w:val="20"/>
          <w:szCs w:val="20"/>
          <w:color w:val="auto"/>
        </w:rPr>
      </w:pPr>
      <w:r>
        <w:rPr>
          <w:rFonts w:ascii="Arial" w:cs="Arial" w:eastAsia="Arial" w:hAnsi="Arial"/>
          <w:sz w:val="15"/>
          <w:szCs w:val="15"/>
          <w:color w:val="191919"/>
        </w:rPr>
        <w:t>If stockholders approve this Proposal 5, the Charter will be amended to eliminate these supermajority voting requirements, and the voting requirement in the future would be the affirmative vote of the holders of at least a majority of the shares of all classes of our stock entitled to vote for the election of directors, considered for this purpose as one class of stock.</w:t>
      </w:r>
    </w:p>
    <w:p>
      <w:pPr>
        <w:spacing w:after="0" w:line="15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191919"/>
        </w:rPr>
        <w:t xml:space="preserve">The amendment to the Charter that would be effected by approval of this Proposal 5 is shown in the text of Article ELEVENTH, Paragraphs 1 and 5, of the Charter provisions attached to this Proxy Statement as </w:t>
      </w:r>
      <w:r>
        <w:rPr>
          <w:rFonts w:ascii="Arial" w:cs="Arial" w:eastAsia="Arial" w:hAnsi="Arial"/>
          <w:sz w:val="18"/>
          <w:szCs w:val="18"/>
          <w:i w:val="1"/>
          <w:iCs w:val="1"/>
          <w:color w:val="191919"/>
        </w:rPr>
        <w:t>Appendix A</w:t>
      </w:r>
      <w:r>
        <w:rPr>
          <w:rFonts w:ascii="Arial" w:cs="Arial" w:eastAsia="Arial" w:hAnsi="Arial"/>
          <w:sz w:val="18"/>
          <w:szCs w:val="18"/>
          <w:color w:val="191919"/>
        </w:rPr>
        <w: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Vote Required to Approve Proposal 5</w:t>
      </w:r>
    </w:p>
    <w:p>
      <w:pPr>
        <w:spacing w:after="0" w:line="219"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191919"/>
        </w:rPr>
        <w:t>Approval of this amendment at the Annual Meeting requires the affirmative vote of the holders of at least 80% of the shares of our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265430</wp:posOffset>
            </wp:positionV>
            <wp:extent cx="6489065" cy="6000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89065" cy="6000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680"/>
            <w:col w:w="5280"/>
          </w:cols>
          <w:pgMar w:left="320" w:top="1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280"/>
        <w:spacing w:after="0"/>
        <w:rPr>
          <w:sz w:val="20"/>
          <w:szCs w:val="20"/>
          <w:color w:val="auto"/>
        </w:rPr>
      </w:pPr>
      <w:r>
        <w:rPr>
          <w:rFonts w:ascii="Arial" w:cs="Arial" w:eastAsia="Arial" w:hAnsi="Arial"/>
          <w:sz w:val="16"/>
          <w:szCs w:val="16"/>
          <w:color w:val="000001"/>
        </w:rPr>
        <w:t xml:space="preserve">Proxy Statement </w:t>
      </w:r>
      <w:r>
        <w:rPr>
          <w:rFonts w:ascii="Arial" w:cs="Arial" w:eastAsia="Arial" w:hAnsi="Arial"/>
          <w:sz w:val="15"/>
          <w:szCs w:val="15"/>
          <w:b w:val="1"/>
          <w:bCs w:val="1"/>
          <w:color w:val="000001"/>
        </w:rPr>
        <w:t>|</w:t>
      </w:r>
      <w:r>
        <w:rPr>
          <w:rFonts w:ascii="Arial" w:cs="Arial" w:eastAsia="Arial" w:hAnsi="Arial"/>
          <w:sz w:val="16"/>
          <w:szCs w:val="16"/>
          <w:color w:val="000001"/>
        </w:rPr>
        <w:t xml:space="preserve"> </w:t>
      </w:r>
      <w:r>
        <w:rPr>
          <w:rFonts w:ascii="Arial" w:cs="Arial" w:eastAsia="Arial" w:hAnsi="Arial"/>
          <w:sz w:val="16"/>
          <w:szCs w:val="16"/>
          <w:b w:val="1"/>
          <w:bCs w:val="1"/>
          <w:color w:val="000001"/>
        </w:rPr>
        <w:t>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361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ind w:left="60"/>
        <w:spacing w:after="0"/>
        <w:rPr>
          <w:sz w:val="20"/>
          <w:szCs w:val="20"/>
          <w:color w:val="auto"/>
        </w:rPr>
      </w:pPr>
      <w:r>
        <w:rPr>
          <w:rFonts w:ascii="Arial" w:cs="Arial" w:eastAsia="Arial" w:hAnsi="Arial"/>
          <w:sz w:val="24"/>
          <w:szCs w:val="24"/>
          <w:b w:val="1"/>
          <w:bCs w:val="1"/>
          <w:color w:val="02568A"/>
        </w:rPr>
        <w:t>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7797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779780"/>
                    </a:xfrm>
                    <a:prstGeom prst="rect">
                      <a:avLst/>
                    </a:prstGeom>
                    <a:noFill/>
                  </pic:spPr>
                </pic:pic>
              </a:graphicData>
            </a:graphic>
          </wp:anchor>
        </w:drawing>
      </w:r>
    </w:p>
    <w:p>
      <w:pPr>
        <w:spacing w:after="0" w:line="258" w:lineRule="exact"/>
        <w:rPr>
          <w:sz w:val="20"/>
          <w:szCs w:val="20"/>
          <w:color w:val="auto"/>
        </w:rPr>
      </w:pPr>
    </w:p>
    <w:p>
      <w:pPr>
        <w:jc w:val="both"/>
        <w:ind w:left="120" w:right="480"/>
        <w:spacing w:after="0" w:line="254" w:lineRule="auto"/>
        <w:rPr>
          <w:sz w:val="20"/>
          <w:szCs w:val="20"/>
          <w:color w:val="auto"/>
        </w:rPr>
      </w:pPr>
      <w:r>
        <w:rPr>
          <w:rFonts w:ascii="Arial" w:cs="Arial" w:eastAsia="Arial" w:hAnsi="Arial"/>
          <w:sz w:val="32"/>
          <w:szCs w:val="32"/>
          <w:b w:val="1"/>
          <w:bCs w:val="1"/>
          <w:color w:val="FFFFFE"/>
        </w:rPr>
        <w:t>Approval of Amendment to the Charter to Eliminate the Supermajority Vote Provisions Relating to Stockholder Approval of a Business Combination with Any Related Person</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line="282" w:lineRule="auto"/>
        <w:rPr>
          <w:sz w:val="20"/>
          <w:szCs w:val="20"/>
          <w:color w:val="auto"/>
        </w:rPr>
      </w:pPr>
      <w:r>
        <w:rPr>
          <w:rFonts w:ascii="Arial" w:cs="Arial" w:eastAsia="Arial" w:hAnsi="Arial"/>
          <w:sz w:val="16"/>
          <w:szCs w:val="16"/>
          <w:color w:val="191919"/>
        </w:rPr>
        <w:t>The Charter currently requires the affirmative vote of holders of at least 90% of the shares of all classes of our stock entitled to vote for the election of directors, considered for this purpose as one class of stock, to approve a Business Combination with any Related Person (each as defined in the Charter), in addition to any other vote required by law or the Charter. The Charter also requires the affirmative vote of holders of at least 90% of the shares of all classes of our stock entitled to vote for the election of directors, considered for this purpose as one class of stock, to amend the Charter provisions relating to stockholder approval of such a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line="298" w:lineRule="auto"/>
        <w:rPr>
          <w:sz w:val="20"/>
          <w:szCs w:val="20"/>
          <w:color w:val="auto"/>
        </w:rPr>
      </w:pPr>
      <w:r>
        <w:rPr>
          <w:rFonts w:ascii="Arial" w:cs="Arial" w:eastAsia="Arial" w:hAnsi="Arial"/>
          <w:sz w:val="16"/>
          <w:szCs w:val="16"/>
          <w:color w:val="191919"/>
        </w:rPr>
        <w:t>voting requirements, and the voting requirement in the future would be the affirmative vote of the holders of at least a majority of the shares of all classes of our stock entitled to vote for the election of directors, considered for this purpose as one class of stock.</w:t>
      </w:r>
    </w:p>
    <w:p>
      <w:pPr>
        <w:spacing w:after="0" w:line="16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191919"/>
        </w:rPr>
        <w:t xml:space="preserve">The amendment to the Charter that would be effected by approval of this Proposal 6 is shown in the text of Article TWELFTH, Paragraph 2, and Article TENTH, Paragraph 1(B), subpart (ii), of the Charter provisions attached to this Proxy Statement as </w:t>
      </w:r>
      <w:r>
        <w:rPr>
          <w:rFonts w:ascii="Arial" w:cs="Arial" w:eastAsia="Arial" w:hAnsi="Arial"/>
          <w:sz w:val="16"/>
          <w:szCs w:val="16"/>
          <w:i w:val="1"/>
          <w:iCs w:val="1"/>
          <w:color w:val="191919"/>
        </w:rPr>
        <w:t>Appendix A</w:t>
      </w:r>
      <w:r>
        <w:rPr>
          <w:rFonts w:ascii="Arial" w:cs="Arial" w:eastAsia="Arial" w:hAnsi="Arial"/>
          <w:sz w:val="16"/>
          <w:szCs w:val="16"/>
          <w:color w:val="191919"/>
        </w:rPr>
        <w:t>.</w:t>
      </w:r>
    </w:p>
    <w:p>
      <w:pPr>
        <w:spacing w:after="0" w:line="171" w:lineRule="exact"/>
        <w:rPr>
          <w:sz w:val="20"/>
          <w:szCs w:val="20"/>
          <w:color w:val="auto"/>
        </w:rPr>
      </w:pPr>
    </w:p>
    <w:p>
      <w:pPr>
        <w:sectPr>
          <w:pgSz w:w="11900" w:h="16838" w:orient="portrait"/>
          <w:cols w:equalWidth="0" w:num="2">
            <w:col w:w="5280" w:space="680"/>
            <w:col w:w="5280"/>
          </w:cols>
          <w:pgMar w:left="320" w:top="131" w:right="339" w:bottom="1440" w:gutter="0" w:footer="0" w:header="0"/>
          <w:type w:val="continuous"/>
        </w:sectPr>
      </w:pPr>
    </w:p>
    <w:p>
      <w:pPr>
        <w:spacing w:after="0" w:line="21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191919"/>
        </w:rPr>
        <w:t>If stockholders approve this Proposal 6, the Charter will be amended to eliminate these supermajority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i w:val="1"/>
          <w:iCs w:val="1"/>
          <w:color w:val="000001"/>
        </w:rPr>
        <w:t>Vote Required to Approve Proposal 6</w:t>
      </w:r>
    </w:p>
    <w:p>
      <w:pPr>
        <w:spacing w:after="0" w:line="201"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191919"/>
        </w:rPr>
        <w:t>Approval of this amendment at the Annual Meeting requires the affirmative vote of the holders of at least 90% of the shares of our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265430</wp:posOffset>
            </wp:positionV>
            <wp:extent cx="6489065" cy="6000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89065" cy="6000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280"/>
          </w:cols>
          <w:pgMar w:left="320" w:top="1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000001"/>
        </w:rPr>
        <w:t xml:space="preserve">Page 74 </w:t>
      </w:r>
      <w:r>
        <w:rPr>
          <w:rFonts w:ascii="Arial" w:cs="Arial" w:eastAsia="Arial" w:hAnsi="Arial"/>
          <w:sz w:val="15"/>
          <w:szCs w:val="15"/>
          <w:b w:val="1"/>
          <w:bCs w:val="1"/>
          <w:color w:val="000001"/>
        </w:rPr>
        <w:t>|</w:t>
      </w:r>
      <w:r>
        <w:rPr>
          <w:rFonts w:ascii="Arial" w:cs="Arial" w:eastAsia="Arial" w:hAnsi="Arial"/>
          <w:sz w:val="16"/>
          <w:szCs w:val="16"/>
          <w:b w:val="1"/>
          <w:bCs w:val="1"/>
          <w:color w:val="000001"/>
        </w:rPr>
        <w:t xml:space="preserve"> </w:t>
      </w:r>
      <w:r>
        <w:rPr>
          <w:rFonts w:ascii="Arial" w:cs="Arial" w:eastAsia="Arial" w:hAnsi="Arial"/>
          <w:sz w:val="16"/>
          <w:szCs w:val="16"/>
          <w:color w:val="000001"/>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3613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ind w:left="60"/>
        <w:spacing w:after="0"/>
        <w:rPr>
          <w:sz w:val="20"/>
          <w:szCs w:val="20"/>
          <w:color w:val="auto"/>
        </w:rPr>
      </w:pPr>
      <w:r>
        <w:rPr>
          <w:rFonts w:ascii="Arial" w:cs="Arial" w:eastAsia="Arial" w:hAnsi="Arial"/>
          <w:sz w:val="24"/>
          <w:szCs w:val="24"/>
          <w:b w:val="1"/>
          <w:bCs w:val="1"/>
          <w:color w:val="02568A"/>
        </w:rPr>
        <w:t>PROPOSAL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7797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779780"/>
                    </a:xfrm>
                    <a:prstGeom prst="rect">
                      <a:avLst/>
                    </a:prstGeom>
                    <a:noFill/>
                  </pic:spPr>
                </pic:pic>
              </a:graphicData>
            </a:graphic>
          </wp:anchor>
        </w:drawing>
      </w:r>
    </w:p>
    <w:p>
      <w:pPr>
        <w:spacing w:after="0" w:line="258" w:lineRule="exact"/>
        <w:rPr>
          <w:sz w:val="20"/>
          <w:szCs w:val="20"/>
          <w:color w:val="auto"/>
        </w:rPr>
      </w:pPr>
    </w:p>
    <w:p>
      <w:pPr>
        <w:ind w:left="120" w:right="500"/>
        <w:spacing w:after="0" w:line="254" w:lineRule="auto"/>
        <w:rPr>
          <w:sz w:val="20"/>
          <w:szCs w:val="20"/>
          <w:color w:val="auto"/>
        </w:rPr>
      </w:pPr>
      <w:r>
        <w:rPr>
          <w:rFonts w:ascii="Arial" w:cs="Arial" w:eastAsia="Arial" w:hAnsi="Arial"/>
          <w:sz w:val="32"/>
          <w:szCs w:val="32"/>
          <w:b w:val="1"/>
          <w:bCs w:val="1"/>
          <w:color w:val="FFFFFE"/>
        </w:rPr>
        <w:t>Approval of Amendment to the Charter to Eliminate the Supermajority Vote Provision Relating to Stockholder Amendment of Charter Provisions Governing Directors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line="294" w:lineRule="auto"/>
        <w:rPr>
          <w:sz w:val="20"/>
          <w:szCs w:val="20"/>
          <w:color w:val="auto"/>
        </w:rPr>
      </w:pPr>
      <w:r>
        <w:rPr>
          <w:rFonts w:ascii="Arial" w:cs="Arial" w:eastAsia="Arial" w:hAnsi="Arial"/>
          <w:sz w:val="16"/>
          <w:szCs w:val="16"/>
          <w:color w:val="191919"/>
        </w:rPr>
        <w:t>The Charter currently requires the affirmative vote of holders of at least 80% of the shares of all classes of our stock entitled to vote for the election of directors, considered for this purpose as one class of stock, to amend the Charter provisions governing the duties, number, term, election, removal, and liability of our directors.</w:t>
      </w:r>
    </w:p>
    <w:p>
      <w:pPr>
        <w:spacing w:after="0" w:line="16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191919"/>
        </w:rPr>
        <w:t>If stockholders approve this Proposal 7, the Charter will be amended to eliminate this supermajority voting requirement, and the voting requirement in the future would be the affirmative vote of the holders of at least a majority of the shares of all classes of our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191919"/>
        </w:rPr>
        <w:t>entitled to vote for the election of directors, considered for this purpose as one class of stock.</w:t>
      </w:r>
    </w:p>
    <w:p>
      <w:pPr>
        <w:spacing w:after="0" w:line="18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191919"/>
        </w:rPr>
        <w:t xml:space="preserve">The amendment to the Charter that would be effected by approval of this Proposal 7 is shown in the text referring to Article SEVENTH within Article TENTH, Paragraph 1(B), subpart (i), of the Charter provisions attached to this Proxy Statement as </w:t>
      </w:r>
      <w:r>
        <w:rPr>
          <w:rFonts w:ascii="Arial" w:cs="Arial" w:eastAsia="Arial" w:hAnsi="Arial"/>
          <w:sz w:val="16"/>
          <w:szCs w:val="16"/>
          <w:i w:val="1"/>
          <w:iCs w:val="1"/>
          <w:color w:val="191919"/>
        </w:rPr>
        <w:t>Appendix A</w:t>
      </w:r>
      <w:r>
        <w:rPr>
          <w:rFonts w:ascii="Arial" w:cs="Arial" w:eastAsia="Arial" w:hAnsi="Arial"/>
          <w:sz w:val="16"/>
          <w:szCs w:val="16"/>
          <w:color w:val="191919"/>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Vote Required to Approve Proposal 7</w:t>
      </w:r>
    </w:p>
    <w:p>
      <w:pPr>
        <w:spacing w:after="0" w:line="219"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191919"/>
        </w:rPr>
        <w:t>Approval of this amendment at the Annual Meeting requires the affirmative vote of the holders of at least 80% of the shares of our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265430</wp:posOffset>
            </wp:positionV>
            <wp:extent cx="6489065" cy="6000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89065" cy="6000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680"/>
            <w:col w:w="5280"/>
          </w:cols>
          <w:pgMar w:left="320" w:top="1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280"/>
        <w:spacing w:after="0"/>
        <w:rPr>
          <w:sz w:val="20"/>
          <w:szCs w:val="20"/>
          <w:color w:val="auto"/>
        </w:rPr>
      </w:pPr>
      <w:r>
        <w:rPr>
          <w:rFonts w:ascii="Arial" w:cs="Arial" w:eastAsia="Arial" w:hAnsi="Arial"/>
          <w:sz w:val="16"/>
          <w:szCs w:val="16"/>
          <w:color w:val="000001"/>
        </w:rPr>
        <w:t xml:space="preserve">Proxy Statement </w:t>
      </w:r>
      <w:r>
        <w:rPr>
          <w:rFonts w:ascii="Arial" w:cs="Arial" w:eastAsia="Arial" w:hAnsi="Arial"/>
          <w:sz w:val="15"/>
          <w:szCs w:val="15"/>
          <w:b w:val="1"/>
          <w:bCs w:val="1"/>
          <w:color w:val="000001"/>
        </w:rPr>
        <w:t>|</w:t>
      </w:r>
      <w:r>
        <w:rPr>
          <w:rFonts w:ascii="Arial" w:cs="Arial" w:eastAsia="Arial" w:hAnsi="Arial"/>
          <w:sz w:val="16"/>
          <w:szCs w:val="16"/>
          <w:color w:val="000001"/>
        </w:rPr>
        <w:t xml:space="preserve"> </w:t>
      </w:r>
      <w:r>
        <w:rPr>
          <w:rFonts w:ascii="Arial" w:cs="Arial" w:eastAsia="Arial" w:hAnsi="Arial"/>
          <w:sz w:val="16"/>
          <w:szCs w:val="16"/>
          <w:b w:val="1"/>
          <w:bCs w:val="1"/>
          <w:color w:val="000001"/>
        </w:rPr>
        <w:t>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3613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ind w:left="60"/>
        <w:spacing w:after="0"/>
        <w:rPr>
          <w:sz w:val="20"/>
          <w:szCs w:val="20"/>
          <w:color w:val="auto"/>
        </w:rPr>
      </w:pPr>
      <w:r>
        <w:rPr>
          <w:rFonts w:ascii="Arial" w:cs="Arial" w:eastAsia="Arial" w:hAnsi="Arial"/>
          <w:sz w:val="24"/>
          <w:szCs w:val="24"/>
          <w:b w:val="1"/>
          <w:bCs w:val="1"/>
          <w:color w:val="02568A"/>
        </w:rPr>
        <w:t>PROPOSAL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7797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779780"/>
                    </a:xfrm>
                    <a:prstGeom prst="rect">
                      <a:avLst/>
                    </a:prstGeom>
                    <a:noFill/>
                  </pic:spPr>
                </pic:pic>
              </a:graphicData>
            </a:graphic>
          </wp:anchor>
        </w:drawing>
      </w:r>
    </w:p>
    <w:p>
      <w:pPr>
        <w:spacing w:after="0" w:line="258" w:lineRule="exact"/>
        <w:rPr>
          <w:sz w:val="20"/>
          <w:szCs w:val="20"/>
          <w:color w:val="auto"/>
        </w:rPr>
      </w:pPr>
    </w:p>
    <w:p>
      <w:pPr>
        <w:ind w:left="120" w:right="420"/>
        <w:spacing w:after="0" w:line="254" w:lineRule="auto"/>
        <w:rPr>
          <w:sz w:val="20"/>
          <w:szCs w:val="20"/>
          <w:color w:val="auto"/>
        </w:rPr>
      </w:pPr>
      <w:r>
        <w:rPr>
          <w:rFonts w:ascii="Arial" w:cs="Arial" w:eastAsia="Arial" w:hAnsi="Arial"/>
          <w:sz w:val="32"/>
          <w:szCs w:val="32"/>
          <w:b w:val="1"/>
          <w:bCs w:val="1"/>
          <w:color w:val="FFFFFE"/>
        </w:rPr>
        <w:t>Approval of Amendment to the Charter to Eliminate the Supermajority Vote Provision Relating to Stockholder Amendment of the Charter Provision Governing Action by Stockholders</w:t>
      </w:r>
    </w:p>
    <w:p>
      <w:pPr>
        <w:sectPr>
          <w:pgSz w:w="11900" w:h="16838" w:orient="portrait"/>
          <w:cols w:equalWidth="0" w:num="1">
            <w:col w:w="11160"/>
          </w:cols>
          <w:pgMar w:left="320" w:top="131" w:right="41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line="317" w:lineRule="auto"/>
        <w:rPr>
          <w:sz w:val="20"/>
          <w:szCs w:val="20"/>
          <w:color w:val="auto"/>
        </w:rPr>
      </w:pPr>
      <w:r>
        <w:rPr>
          <w:rFonts w:ascii="Arial" w:cs="Arial" w:eastAsia="Arial" w:hAnsi="Arial"/>
          <w:sz w:val="15"/>
          <w:szCs w:val="15"/>
          <w:color w:val="191919"/>
        </w:rPr>
        <w:t>The Charter currently requires the affirmative vote of holders of at least 80% of the shares of all classes of our stock entitled to vote for the election of directors, considered for this purpose as one class of stock, to amend the Charter provision requiring that an action taken by stockholders be effected at an annual or special meeting, and not by written consent.</w:t>
      </w:r>
    </w:p>
    <w:p>
      <w:pPr>
        <w:spacing w:after="0" w:line="15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191919"/>
        </w:rPr>
        <w:t>If stockholders approve this Proposal 8, the Charter will be amended to eliminate this supermajority voting requirement, and the voting requirement in the future would be the affirmative vote of the holders of at least a majority of the shares of all classes of our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line="268" w:lineRule="auto"/>
        <w:rPr>
          <w:sz w:val="20"/>
          <w:szCs w:val="20"/>
          <w:color w:val="auto"/>
        </w:rPr>
      </w:pPr>
      <w:r>
        <w:rPr>
          <w:rFonts w:ascii="Arial" w:cs="Arial" w:eastAsia="Arial" w:hAnsi="Arial"/>
          <w:sz w:val="18"/>
          <w:szCs w:val="18"/>
          <w:color w:val="191919"/>
        </w:rPr>
        <w:t>entitled to vote for the election of directors, considered for this purpose as one class of stock.</w:t>
      </w:r>
    </w:p>
    <w:p>
      <w:pPr>
        <w:spacing w:after="0" w:line="18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191919"/>
        </w:rPr>
        <w:t xml:space="preserve">The amendment to the Charter that would be effected by approval of this Proposal 8 is shown in the text referring to Article THIRTEENTH within Article TENTH, Paragraph 1(B), subpart (i), of the Charter provisions attached to this Proxy Statement as </w:t>
      </w:r>
      <w:r>
        <w:rPr>
          <w:rFonts w:ascii="Arial" w:cs="Arial" w:eastAsia="Arial" w:hAnsi="Arial"/>
          <w:sz w:val="16"/>
          <w:szCs w:val="16"/>
          <w:i w:val="1"/>
          <w:iCs w:val="1"/>
          <w:color w:val="191919"/>
        </w:rPr>
        <w:t>Appendix A</w:t>
      </w:r>
      <w:r>
        <w:rPr>
          <w:rFonts w:ascii="Arial" w:cs="Arial" w:eastAsia="Arial" w:hAnsi="Arial"/>
          <w:sz w:val="16"/>
          <w:szCs w:val="16"/>
          <w:color w:val="191919"/>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01"/>
        </w:rPr>
        <w:t>Vote Required to Approve Proposal 8</w:t>
      </w:r>
    </w:p>
    <w:p>
      <w:pPr>
        <w:spacing w:after="0" w:line="219"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191919"/>
        </w:rPr>
        <w:t>Approval of this amendment at the Annual Meeting requires the affirmative vote of the holders of at least 80% of the shares of our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265430</wp:posOffset>
            </wp:positionV>
            <wp:extent cx="6489065" cy="6000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489065" cy="6000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680"/>
            <w:col w:w="5200"/>
          </w:cols>
          <w:pgMar w:left="320" w:top="131"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000001"/>
        </w:rPr>
        <w:t xml:space="preserve">Page 76 </w:t>
      </w:r>
      <w:r>
        <w:rPr>
          <w:rFonts w:ascii="Arial" w:cs="Arial" w:eastAsia="Arial" w:hAnsi="Arial"/>
          <w:sz w:val="15"/>
          <w:szCs w:val="15"/>
          <w:b w:val="1"/>
          <w:bCs w:val="1"/>
          <w:color w:val="000001"/>
        </w:rPr>
        <w:t>|</w:t>
      </w:r>
      <w:r>
        <w:rPr>
          <w:rFonts w:ascii="Arial" w:cs="Arial" w:eastAsia="Arial" w:hAnsi="Arial"/>
          <w:sz w:val="16"/>
          <w:szCs w:val="16"/>
          <w:b w:val="1"/>
          <w:bCs w:val="1"/>
          <w:color w:val="000001"/>
        </w:rPr>
        <w:t xml:space="preserve"> </w:t>
      </w:r>
      <w:r>
        <w:rPr>
          <w:rFonts w:ascii="Arial" w:cs="Arial" w:eastAsia="Arial" w:hAnsi="Arial"/>
          <w:sz w:val="16"/>
          <w:szCs w:val="16"/>
          <w:color w:val="000001"/>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36130"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ind w:left="60"/>
        <w:spacing w:after="0"/>
        <w:rPr>
          <w:sz w:val="20"/>
          <w:szCs w:val="20"/>
          <w:color w:val="auto"/>
        </w:rPr>
      </w:pPr>
      <w:r>
        <w:rPr>
          <w:rFonts w:ascii="Arial" w:cs="Arial" w:eastAsia="Arial" w:hAnsi="Arial"/>
          <w:sz w:val="24"/>
          <w:szCs w:val="24"/>
          <w:b w:val="1"/>
          <w:bCs w:val="1"/>
          <w:color w:val="02568A"/>
        </w:rPr>
        <w:t>PROPOSAL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16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FFFFFE"/>
        </w:rPr>
        <w:t>Stockholder Proposal Regarding Right to Act by Written Consent</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spacing w:after="0" w:line="291" w:lineRule="auto"/>
        <w:rPr>
          <w:sz w:val="20"/>
          <w:szCs w:val="20"/>
          <w:color w:val="auto"/>
        </w:rPr>
      </w:pPr>
      <w:r>
        <w:rPr>
          <w:rFonts w:ascii="Arial" w:cs="Arial" w:eastAsia="Arial" w:hAnsi="Arial"/>
          <w:sz w:val="16"/>
          <w:szCs w:val="16"/>
          <w:color w:val="191919"/>
        </w:rPr>
        <w:t>In accordance with SEC rules, we have set forth below a stockholder proposal from Mr. John Chevedden, 2215 Nelson Avenue, No. 205, Redondo Beach, CA 90278. Mr. Chevedden has notified us that he is the beneficial owner of 50 shares of the Company’s common stock and that he intends to present the following proposal at the Annual Meeting. The stockholder proposal will be voted upon at the Annual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191919"/>
        </w:rPr>
        <w:t>Meeting if properly presented. The text of the stockholder’s resolution and the statement the stockholder furnished to us in support thereof appear below, exactly as submitted. The stockholder proposal includes some assertions the Company believes are incorrect. The Company assumes no responsibility for the content or accuracy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249555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1" w:lineRule="exact"/>
        <w:rPr>
          <w:sz w:val="20"/>
          <w:szCs w:val="20"/>
          <w:color w:val="auto"/>
        </w:rPr>
      </w:pPr>
    </w:p>
    <w:p>
      <w:pPr>
        <w:sectPr>
          <w:pgSz w:w="11900" w:h="16838" w:orient="portrait"/>
          <w:cols w:equalWidth="0" w:num="2">
            <w:col w:w="5260" w:space="700"/>
            <w:col w:w="5280"/>
          </w:cols>
          <w:pgMar w:left="320" w:top="1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000001"/>
        </w:rPr>
        <w:t>Proposal 9 – Right to Act by Written Consent</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191919"/>
        </w:rPr>
        <w:t>Shareholders request that our board of directors take the steps necessary to permit written consent by shareholders entitled to cast the minimum number of votes that would be necessary to authorize the action at a meeting at which all shareholders entitled to vote thereon were present and voting. This written consent is to give shareholders the fullest power to act by written consent consistent with applicable law. This includes shareholder ability to initiate any appropriate topic for written consent.</w:t>
      </w:r>
    </w:p>
    <w:p>
      <w:pPr>
        <w:spacing w:after="0" w:line="172" w:lineRule="exact"/>
        <w:rPr>
          <w:sz w:val="20"/>
          <w:szCs w:val="20"/>
          <w:color w:val="auto"/>
        </w:rPr>
      </w:pPr>
    </w:p>
    <w:p>
      <w:pPr>
        <w:spacing w:after="0" w:line="310" w:lineRule="auto"/>
        <w:rPr>
          <w:sz w:val="20"/>
          <w:szCs w:val="20"/>
          <w:color w:val="auto"/>
        </w:rPr>
      </w:pPr>
      <w:r>
        <w:rPr>
          <w:rFonts w:ascii="Arial" w:cs="Arial" w:eastAsia="Arial" w:hAnsi="Arial"/>
          <w:sz w:val="15"/>
          <w:szCs w:val="15"/>
          <w:color w:val="191919"/>
        </w:rPr>
        <w:t>Taking action by written consent in place of a meeting is a means shareholders can use to raise important matters outside the normal annual meeting cycle like the election of a new director. Hundreds of major companies enable shareholder action by written consent. This proposal topic won majority shareholder support at 13 large companies in a single year. This included 67%-support at both Allstate and Sprint. This proposal topic would have received a still higher vote than 67% at Allstate and Sprint if more shareholders had access to independent proxy voting advice.</w:t>
      </w:r>
    </w:p>
    <w:p>
      <w:pPr>
        <w:spacing w:after="0" w:line="16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191919"/>
        </w:rPr>
        <w:t>This is an additional proposal to improve the governance of our company in the spirit of the 2019 shareholder proposal for a simple majority vote standard in shareholder elections which received 96% support from Skyworks Solutions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191919"/>
        </w:rPr>
        <w:t>The right for shareholders to act by written consent is gaining acceptance as a more important right than the right to call a special meeting. This seems to be the conclusion of the Intel Corporation (INTC) shareholder vote at the 2019 Intel annual meeting.</w:t>
      </w:r>
    </w:p>
    <w:p>
      <w:pPr>
        <w:spacing w:after="0" w:line="16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191919"/>
        </w:rPr>
        <w:t>The directors at Intel apparently thought they could divert shareholder attention away from written consent by making it less difficult for shareholders to call a special meeting. However Intel shareholders responded with greater support for written consent in 2019 compared to 2018.</w:t>
      </w: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191919"/>
        </w:rPr>
        <w:t>Plus a proxy advisor has set certain minimum requirements for a company adopting written consent in case management is tempted to adopt a “fig leaf” version of written consent.</w:t>
      </w:r>
    </w:p>
    <w:p>
      <w:pPr>
        <w:spacing w:after="0" w:line="19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191919"/>
        </w:rPr>
        <w:t>This proposal topic received 45%-support at The Bank of New York Mellon Corporation (BK) in 2018 and then BK said it adopted written consent in 2019. This proposal topic also won 63%-support at Cigna Corp. (CI) in 2019. At Capital One Financial Corporation (COF) support for this topic increased from 44% in 2017 to 56% in 2019.</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000001"/>
        </w:rPr>
        <w:t>Please vote yes:</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0001"/>
        </w:rPr>
        <w:t>Right to Act by Written Consent – Proposal 9</w:t>
      </w:r>
    </w:p>
    <w:p>
      <w:pPr>
        <w:spacing w:after="0" w:line="200" w:lineRule="exact"/>
        <w:rPr>
          <w:sz w:val="20"/>
          <w:szCs w:val="20"/>
          <w:color w:val="auto"/>
        </w:rPr>
      </w:pPr>
    </w:p>
    <w:p>
      <w:pPr>
        <w:sectPr>
          <w:pgSz w:w="11900" w:h="16838" w:orient="portrait"/>
          <w:cols w:equalWidth="0" w:num="2">
            <w:col w:w="5280" w:space="680"/>
            <w:col w:w="5280"/>
          </w:cols>
          <w:pgMar w:left="320" w:top="131" w:right="339" w:bottom="1440" w:gutter="0" w:footer="0" w:header="0"/>
          <w:type w:val="continuous"/>
        </w:sectPr>
      </w:pPr>
    </w:p>
    <w:p>
      <w:pPr>
        <w:spacing w:after="0" w:line="211" w:lineRule="exact"/>
        <w:rPr>
          <w:sz w:val="20"/>
          <w:szCs w:val="20"/>
          <w:color w:val="auto"/>
        </w:rPr>
      </w:pPr>
    </w:p>
    <w:p>
      <w:pPr>
        <w:ind w:left="9280"/>
        <w:spacing w:after="0"/>
        <w:rPr>
          <w:sz w:val="20"/>
          <w:szCs w:val="20"/>
          <w:color w:val="auto"/>
        </w:rPr>
      </w:pPr>
      <w:r>
        <w:rPr>
          <w:rFonts w:ascii="Arial" w:cs="Arial" w:eastAsia="Arial" w:hAnsi="Arial"/>
          <w:sz w:val="16"/>
          <w:szCs w:val="16"/>
          <w:color w:val="000001"/>
        </w:rPr>
        <w:t xml:space="preserve">Proxy Statement </w:t>
      </w:r>
      <w:r>
        <w:rPr>
          <w:rFonts w:ascii="Arial" w:cs="Arial" w:eastAsia="Arial" w:hAnsi="Arial"/>
          <w:sz w:val="15"/>
          <w:szCs w:val="15"/>
          <w:b w:val="1"/>
          <w:bCs w:val="1"/>
          <w:color w:val="000001"/>
        </w:rPr>
        <w:t>|</w:t>
      </w:r>
      <w:r>
        <w:rPr>
          <w:rFonts w:ascii="Arial" w:cs="Arial" w:eastAsia="Arial" w:hAnsi="Arial"/>
          <w:sz w:val="16"/>
          <w:szCs w:val="16"/>
          <w:color w:val="000001"/>
        </w:rPr>
        <w:t xml:space="preserve"> </w:t>
      </w:r>
      <w:r>
        <w:rPr>
          <w:rFonts w:ascii="Arial" w:cs="Arial" w:eastAsia="Arial" w:hAnsi="Arial"/>
          <w:sz w:val="16"/>
          <w:szCs w:val="16"/>
          <w:b w:val="1"/>
          <w:bCs w:val="1"/>
          <w:color w:val="000001"/>
        </w:rPr>
        <w:t>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361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02568A"/>
        </w:rPr>
        <w:t>Statement of Opposition by the Board of Directors</w:t>
      </w:r>
    </w:p>
    <w:p>
      <w:pPr>
        <w:sectPr>
          <w:pgSz w:w="11900" w:h="16838" w:orient="portrait"/>
          <w:cols w:equalWidth="0" w:num="1">
            <w:col w:w="11220"/>
          </w:cols>
          <w:pgMar w:left="320" w:top="131" w:right="35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191919"/>
        </w:rPr>
        <w:t>The Board of Directors has carefully reviewed and considered the stockholder’s proposal and believes it is not in the best interests of the Company’s stockholders. The Board of Directors recommends a vote AGAINST the proposal for the following reasons:</w:t>
      </w:r>
    </w:p>
    <w:p>
      <w:pPr>
        <w:spacing w:after="0" w:line="166" w:lineRule="exact"/>
        <w:rPr>
          <w:sz w:val="20"/>
          <w:szCs w:val="20"/>
          <w:color w:val="auto"/>
        </w:rPr>
      </w:pPr>
    </w:p>
    <w:p>
      <w:pPr>
        <w:ind w:right="60"/>
        <w:spacing w:after="0" w:line="369" w:lineRule="auto"/>
        <w:rPr>
          <w:sz w:val="20"/>
          <w:szCs w:val="20"/>
          <w:color w:val="auto"/>
        </w:rPr>
      </w:pPr>
      <w:r>
        <w:rPr>
          <w:rFonts w:ascii="Arial" w:cs="Arial" w:eastAsia="Arial" w:hAnsi="Arial"/>
          <w:sz w:val="15"/>
          <w:szCs w:val="15"/>
          <w:b w:val="1"/>
          <w:bCs w:val="1"/>
          <w:i w:val="1"/>
          <w:iCs w:val="1"/>
          <w:color w:val="02568A"/>
        </w:rPr>
        <w:t>Our stockholders are currently allowed to propose any proper matter for a vote either through a special meeting or at our annual meeting</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191919"/>
        </w:rPr>
        <w:t>Permitting action at a meeting of stockholders, whether the annual meeting or a special meeting, is a more transparent and equitable process for stockholders than the written consent process, as it provides all stockholders with the opportunity to consider, deliberate, and vote on proposed stockholder actions. Our governing documents provide protections, such as advance notice to all stockholders, to ensure that business conducted at all annual and special meetings is orderly and well informed. In contrast, enabling a limited group of stockholders to act by written consent would disenfranchise our stockholders who are not given the chance to participate, depriving them of their important rights of engaging with the Board of Directors and with each other to understand alternative points of view that may be in the best interests of stockholders.</w:t>
      </w:r>
    </w:p>
    <w:p>
      <w:pPr>
        <w:spacing w:after="0" w:line="177" w:lineRule="exact"/>
        <w:rPr>
          <w:sz w:val="20"/>
          <w:szCs w:val="20"/>
          <w:color w:val="auto"/>
        </w:rPr>
      </w:pPr>
    </w:p>
    <w:p>
      <w:pPr>
        <w:ind w:right="380"/>
        <w:spacing w:after="0" w:line="331" w:lineRule="auto"/>
        <w:rPr>
          <w:sz w:val="20"/>
          <w:szCs w:val="20"/>
          <w:color w:val="auto"/>
        </w:rPr>
      </w:pPr>
      <w:r>
        <w:rPr>
          <w:rFonts w:ascii="Arial" w:cs="Arial" w:eastAsia="Arial" w:hAnsi="Arial"/>
          <w:sz w:val="16"/>
          <w:szCs w:val="16"/>
          <w:b w:val="1"/>
          <w:bCs w:val="1"/>
          <w:i w:val="1"/>
          <w:iCs w:val="1"/>
          <w:color w:val="02568A"/>
        </w:rPr>
        <w:t>Action by written consent, as proposed by the proponent, may cause substantial confusion and disruption</w:t>
      </w:r>
    </w:p>
    <w:p>
      <w:pPr>
        <w:spacing w:after="0" w:line="141" w:lineRule="exact"/>
        <w:rPr>
          <w:sz w:val="20"/>
          <w:szCs w:val="20"/>
          <w:color w:val="auto"/>
        </w:rPr>
      </w:pPr>
    </w:p>
    <w:p>
      <w:pPr>
        <w:spacing w:after="0" w:line="286" w:lineRule="auto"/>
        <w:rPr>
          <w:sz w:val="20"/>
          <w:szCs w:val="20"/>
          <w:color w:val="auto"/>
        </w:rPr>
      </w:pPr>
      <w:r>
        <w:rPr>
          <w:rFonts w:ascii="Arial" w:cs="Arial" w:eastAsia="Arial" w:hAnsi="Arial"/>
          <w:sz w:val="16"/>
          <w:szCs w:val="16"/>
          <w:color w:val="191919"/>
        </w:rPr>
        <w:t>The Board of Directors believes that the right of stockholders to act by written consent is not part of an appropriate corporate governance model for a widely held public company. Permitting stockholder action by written consent would not only allow a small group of stockholders to initiate action with no prior notice to other stockholders or to the Company, but could also result in multiple, even conflicting, written consent proposals being solicited simultaneously by multiple stockholder groups. Stockholders advocating action by written consent have no fiduciary duties to other stockholders, no accountability beyond their own internal stakeholders, and no incentive to avoid the potential duplication, confusion, and disruption associated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both"/>
        <w:ind w:right="40"/>
        <w:spacing w:after="0" w:line="317" w:lineRule="auto"/>
        <w:rPr>
          <w:sz w:val="20"/>
          <w:szCs w:val="20"/>
          <w:color w:val="auto"/>
        </w:rPr>
      </w:pPr>
      <w:r>
        <w:rPr>
          <w:rFonts w:ascii="Arial" w:cs="Arial" w:eastAsia="Arial" w:hAnsi="Arial"/>
          <w:sz w:val="15"/>
          <w:szCs w:val="15"/>
          <w:color w:val="191919"/>
        </w:rPr>
        <w:t>with written consent proposals. In fact, a written consent right could allow stockholders with special interests, including those who may accumulate a short-term voting position through the borrowing of shares, to undermine the long-term strategic direction established by the Board of Directors and to subvert the best interests of the Company and its stockholders.</w:t>
      </w:r>
    </w:p>
    <w:p>
      <w:pPr>
        <w:spacing w:after="0" w:line="157" w:lineRule="exact"/>
        <w:rPr>
          <w:sz w:val="20"/>
          <w:szCs w:val="20"/>
          <w:color w:val="auto"/>
        </w:rPr>
      </w:pPr>
    </w:p>
    <w:p>
      <w:pPr>
        <w:spacing w:after="0" w:line="369" w:lineRule="auto"/>
        <w:rPr>
          <w:sz w:val="20"/>
          <w:szCs w:val="20"/>
          <w:color w:val="auto"/>
        </w:rPr>
      </w:pPr>
      <w:r>
        <w:rPr>
          <w:rFonts w:ascii="Arial" w:cs="Arial" w:eastAsia="Arial" w:hAnsi="Arial"/>
          <w:sz w:val="15"/>
          <w:szCs w:val="15"/>
          <w:b w:val="1"/>
          <w:bCs w:val="1"/>
          <w:i w:val="1"/>
          <w:iCs w:val="1"/>
          <w:color w:val="02568A"/>
        </w:rPr>
        <w:t>The Board of Directors has long maintained high standards of corporate governance through practices that protect the rights of our stockholders</w:t>
      </w:r>
    </w:p>
    <w:p>
      <w:pPr>
        <w:spacing w:after="0" w:line="11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191919"/>
        </w:rPr>
        <w:t>The Board of Directors is committed to sound principles of corporate governance, as described throughout this proxy statement. For example, our governing documents provide: (1) stockholders with the right to call a special meeting, (2) that all directors are elected annually, (3) a majority vote standard to elect directors, and (4) “proxy access,” whereby eligible stockholders may nominate their own director nominees to be included in the Company’s proxy materials. Furthermore, as described in Proposals 5-8 above, the Board of Directors is recommending that stockholders approve amendments to our Charter that would eliminate applicable supermajority voting provisions therein. Our robust corporate governance framework makes the proponent’s proposal unnecessary.</w:t>
      </w:r>
    </w:p>
    <w:p>
      <w:pPr>
        <w:spacing w:after="0" w:line="18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i w:val="1"/>
          <w:iCs w:val="1"/>
          <w:color w:val="02568A"/>
        </w:rPr>
        <w:t>In addition to regular formal engagement with our institutional stockholders, we maintain open lines of communication by which all stockholders are permitted to communicate directly with members of our Board of Directors</w:t>
      </w:r>
    </w:p>
    <w:p>
      <w:pPr>
        <w:spacing w:after="0" w:line="16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191919"/>
        </w:rPr>
        <w:t>As described in this Proxy Statement, we have established a process by which our stockholders may communicate directly with members of the Company’s Board of Directors throughout the year on any topics of interest.</w:t>
      </w:r>
    </w:p>
    <w:p>
      <w:pPr>
        <w:spacing w:after="0" w:line="197"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191919"/>
        </w:rPr>
        <w:t>For these reasons, the Board of Directors considers the proponent’s proposal calling for action by written consent without prior notice to all stockholders not to be in the best interests of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369570</wp:posOffset>
            </wp:positionV>
            <wp:extent cx="6480810" cy="6000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480810" cy="600075"/>
                    </a:xfrm>
                    <a:prstGeom prst="rect">
                      <a:avLst/>
                    </a:prstGeom>
                    <a:noFill/>
                  </pic:spPr>
                </pic:pic>
              </a:graphicData>
            </a:graphic>
          </wp:anchor>
        </w:drawing>
      </w:r>
    </w:p>
    <w:p>
      <w:pPr>
        <w:spacing w:after="0" w:line="377" w:lineRule="exact"/>
        <w:rPr>
          <w:sz w:val="20"/>
          <w:szCs w:val="20"/>
          <w:color w:val="auto"/>
        </w:rPr>
      </w:pPr>
    </w:p>
    <w:p>
      <w:pPr>
        <w:sectPr>
          <w:pgSz w:w="11900" w:h="16838" w:orient="portrait"/>
          <w:cols w:equalWidth="0" w:num="2">
            <w:col w:w="5280" w:space="680"/>
            <w:col w:w="5260"/>
          </w:cols>
          <w:pgMar w:left="320" w:top="13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000001"/>
        </w:rPr>
        <w:t xml:space="preserve">Page 78 </w:t>
      </w:r>
      <w:r>
        <w:rPr>
          <w:rFonts w:ascii="Arial" w:cs="Arial" w:eastAsia="Arial" w:hAnsi="Arial"/>
          <w:sz w:val="15"/>
          <w:szCs w:val="15"/>
          <w:b w:val="1"/>
          <w:bCs w:val="1"/>
          <w:color w:val="000001"/>
        </w:rPr>
        <w:t>|</w:t>
      </w:r>
      <w:r>
        <w:rPr>
          <w:rFonts w:ascii="Arial" w:cs="Arial" w:eastAsia="Arial" w:hAnsi="Arial"/>
          <w:sz w:val="16"/>
          <w:szCs w:val="16"/>
          <w:b w:val="1"/>
          <w:bCs w:val="1"/>
          <w:color w:val="000001"/>
        </w:rPr>
        <w:t xml:space="preserve"> </w:t>
      </w:r>
      <w:r>
        <w:rPr>
          <w:rFonts w:ascii="Arial" w:cs="Arial" w:eastAsia="Arial" w:hAnsi="Arial"/>
          <w:sz w:val="16"/>
          <w:szCs w:val="16"/>
          <w:color w:val="000001"/>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361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16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FFFFFE"/>
        </w:rPr>
        <w:t>Security Ownership of Certain Beneficial Owners and Management</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spacing w:after="0" w:line="310" w:lineRule="auto"/>
        <w:rPr>
          <w:sz w:val="20"/>
          <w:szCs w:val="20"/>
          <w:color w:val="auto"/>
        </w:rPr>
      </w:pPr>
      <w:r>
        <w:rPr>
          <w:rFonts w:ascii="Arial" w:cs="Arial" w:eastAsia="Arial" w:hAnsi="Arial"/>
          <w:sz w:val="15"/>
          <w:szCs w:val="15"/>
          <w:color w:val="191919"/>
        </w:rPr>
        <w:t>To the Company’s knowledge, the following table sets forth the beneficial ownership of the Company’s common stock as of March 12, 2020, by the following individuals or entities: (i) each person or entity who beneficially owns five percent (5%) or more of the outstanding shares of the Company’s common stock as of March 12, 2020; (ii) the Named Executive Officers (as defined above under “</w:t>
      </w:r>
      <w:r>
        <w:rPr>
          <w:rFonts w:ascii="Arial" w:cs="Arial" w:eastAsia="Arial" w:hAnsi="Arial"/>
          <w:sz w:val="15"/>
          <w:szCs w:val="15"/>
          <w:i w:val="1"/>
          <w:iCs w:val="1"/>
          <w:color w:val="191919"/>
        </w:rPr>
        <w:t>Information About Executive and</w:t>
      </w:r>
      <w:r>
        <w:rPr>
          <w:rFonts w:ascii="Arial" w:cs="Arial" w:eastAsia="Arial" w:hAnsi="Arial"/>
          <w:sz w:val="15"/>
          <w:szCs w:val="15"/>
          <w:color w:val="191919"/>
        </w:rPr>
        <w:t xml:space="preserve"> </w:t>
      </w:r>
      <w:r>
        <w:rPr>
          <w:rFonts w:ascii="Arial" w:cs="Arial" w:eastAsia="Arial" w:hAnsi="Arial"/>
          <w:sz w:val="15"/>
          <w:szCs w:val="15"/>
          <w:i w:val="1"/>
          <w:iCs w:val="1"/>
          <w:color w:val="191919"/>
        </w:rPr>
        <w:t>Director Compensation</w:t>
      </w:r>
      <w:r>
        <w:rPr>
          <w:rFonts w:ascii="Arial" w:cs="Arial" w:eastAsia="Arial" w:hAnsi="Arial"/>
          <w:sz w:val="15"/>
          <w:szCs w:val="15"/>
          <w:color w:val="191919"/>
        </w:rPr>
        <w:t>”); (iii) each director and nominee for director; and</w:t>
      </w:r>
      <w:r>
        <w:rPr>
          <w:rFonts w:ascii="Arial" w:cs="Arial" w:eastAsia="Arial" w:hAnsi="Arial"/>
          <w:sz w:val="15"/>
          <w:szCs w:val="15"/>
          <w:i w:val="1"/>
          <w:iCs w:val="1"/>
          <w:color w:val="191919"/>
        </w:rPr>
        <w:t xml:space="preserve"> </w:t>
      </w:r>
      <w:r>
        <w:rPr>
          <w:rFonts w:ascii="Arial" w:cs="Arial" w:eastAsia="Arial" w:hAnsi="Arial"/>
          <w:sz w:val="15"/>
          <w:szCs w:val="15"/>
          <w:color w:val="191919"/>
        </w:rPr>
        <w:t>(iv) all current executive officers and directors of the Company, as a group.</w:t>
      </w:r>
    </w:p>
    <w:p>
      <w:pPr>
        <w:spacing w:after="0" w:line="162"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191919"/>
        </w:rPr>
        <w:t>Beneficial ownership is determined in accordance with the rules of the SEC, is not necessarily indicative of beneficial ownership for any other purpose, and does not constitute an admission that the named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191919"/>
        </w:rPr>
        <w:t>stockholder is a direct or indirect beneficial owner of those shares. As of March 12, 2020, there were 169,562,821 shares of the Company’s common stock issued and outstanding.</w:t>
      </w:r>
    </w:p>
    <w:p>
      <w:pPr>
        <w:spacing w:after="0" w:line="194" w:lineRule="exact"/>
        <w:rPr>
          <w:sz w:val="20"/>
          <w:szCs w:val="20"/>
          <w:color w:val="auto"/>
        </w:rPr>
      </w:pPr>
    </w:p>
    <w:p>
      <w:pPr>
        <w:spacing w:after="0" w:line="312" w:lineRule="auto"/>
        <w:rPr>
          <w:sz w:val="20"/>
          <w:szCs w:val="20"/>
          <w:color w:val="auto"/>
        </w:rPr>
      </w:pPr>
      <w:r>
        <w:rPr>
          <w:rFonts w:ascii="Arial" w:cs="Arial" w:eastAsia="Arial" w:hAnsi="Arial"/>
          <w:sz w:val="15"/>
          <w:szCs w:val="15"/>
          <w:color w:val="191919"/>
        </w:rPr>
        <w:t>In computing the number of shares of Company common stock beneficially owned by a person and the percentage ownership of that person, shares of Company common stock that are subject to stock options or other rights held by that person that are currently exercisable or that will become exercisable within sixty (60) days of March 12, 2020, are deemed outstanding. These shares are not, however, deemed outstanding for the purpose of computing the percentage ownership of any other person.</w:t>
      </w:r>
    </w:p>
    <w:p>
      <w:pPr>
        <w:spacing w:after="0" w:line="363" w:lineRule="exact"/>
        <w:rPr>
          <w:sz w:val="20"/>
          <w:szCs w:val="20"/>
          <w:color w:val="auto"/>
        </w:rPr>
      </w:pPr>
    </w:p>
    <w:p>
      <w:pPr>
        <w:sectPr>
          <w:pgSz w:w="11900" w:h="16838" w:orient="portrait"/>
          <w:cols w:equalWidth="0" w:num="2">
            <w:col w:w="5280" w:space="680"/>
            <w:col w:w="5280"/>
          </w:cols>
          <w:pgMar w:left="320" w:top="131" w:right="339" w:bottom="1440" w:gutter="0" w:footer="0" w:header="0"/>
          <w:type w:val="continuous"/>
        </w:sectPr>
      </w:pPr>
    </w:p>
    <w:tbl>
      <w:tblPr>
        <w:tblLayout w:type="fixed"/>
        <w:tblInd w:w="1120" w:type="dxa"/>
        <w:tblCellMar>
          <w:top w:w="0" w:type="dxa"/>
          <w:left w:w="0" w:type="dxa"/>
          <w:bottom w:w="0" w:type="dxa"/>
          <w:right w:w="0" w:type="dxa"/>
        </w:tblCellMar>
      </w:tblPr>
      <w:tr>
        <w:trPr>
          <w:trHeight w:val="215"/>
        </w:trPr>
        <w:tc>
          <w:tcPr>
            <w:tcW w:w="5440" w:type="dxa"/>
            <w:vAlign w:val="bottom"/>
            <w:tcBorders>
              <w:top w:val="single" w:sz="8" w:color="02568A"/>
            </w:tcBorders>
          </w:tcPr>
          <w:p>
            <w:pPr>
              <w:spacing w:after="0"/>
              <w:rPr>
                <w:sz w:val="18"/>
                <w:szCs w:val="18"/>
                <w:color w:val="auto"/>
              </w:rPr>
            </w:pPr>
          </w:p>
        </w:tc>
        <w:tc>
          <w:tcPr>
            <w:tcW w:w="1960" w:type="dxa"/>
            <w:vAlign w:val="bottom"/>
            <w:tcBorders>
              <w:top w:val="single" w:sz="8" w:color="02568A"/>
            </w:tcBorders>
          </w:tcPr>
          <w:p>
            <w:pPr>
              <w:jc w:val="right"/>
              <w:ind w:right="172"/>
              <w:spacing w:after="0"/>
              <w:rPr>
                <w:sz w:val="20"/>
                <w:szCs w:val="20"/>
                <w:color w:val="auto"/>
              </w:rPr>
            </w:pPr>
            <w:r>
              <w:rPr>
                <w:rFonts w:ascii="Arial" w:cs="Arial" w:eastAsia="Arial" w:hAnsi="Arial"/>
                <w:sz w:val="18"/>
                <w:szCs w:val="18"/>
                <w:b w:val="1"/>
                <w:bCs w:val="1"/>
                <w:color w:val="02568A"/>
              </w:rPr>
              <w:t>Number of Shares</w:t>
            </w:r>
          </w:p>
        </w:tc>
        <w:tc>
          <w:tcPr>
            <w:tcW w:w="1580" w:type="dxa"/>
            <w:vAlign w:val="bottom"/>
            <w:tcBorders>
              <w:top w:val="single" w:sz="8" w:color="02568A"/>
            </w:tcBorders>
          </w:tcPr>
          <w:p>
            <w:pPr>
              <w:spacing w:after="0"/>
              <w:rPr>
                <w:sz w:val="18"/>
                <w:szCs w:val="18"/>
                <w:color w:val="auto"/>
              </w:rPr>
            </w:pPr>
          </w:p>
        </w:tc>
      </w:tr>
      <w:tr>
        <w:trPr>
          <w:trHeight w:val="229"/>
        </w:trPr>
        <w:tc>
          <w:tcPr>
            <w:tcW w:w="5440" w:type="dxa"/>
            <w:vAlign w:val="bottom"/>
            <w:tcBorders>
              <w:bottom w:val="single" w:sz="8" w:color="02568A"/>
            </w:tcBorders>
          </w:tcPr>
          <w:p>
            <w:pPr>
              <w:ind w:left="1140"/>
              <w:spacing w:after="0"/>
              <w:rPr>
                <w:sz w:val="20"/>
                <w:szCs w:val="20"/>
                <w:color w:val="auto"/>
              </w:rPr>
            </w:pPr>
            <w:r>
              <w:rPr>
                <w:rFonts w:ascii="Arial" w:cs="Arial" w:eastAsia="Arial" w:hAnsi="Arial"/>
                <w:sz w:val="18"/>
                <w:szCs w:val="18"/>
                <w:b w:val="1"/>
                <w:bCs w:val="1"/>
                <w:color w:val="02568A"/>
              </w:rPr>
              <w:t>Names and Addresses of Beneficial Owners(1)</w:t>
            </w:r>
          </w:p>
        </w:tc>
        <w:tc>
          <w:tcPr>
            <w:tcW w:w="1960" w:type="dxa"/>
            <w:vAlign w:val="bottom"/>
            <w:tcBorders>
              <w:bottom w:val="single" w:sz="8" w:color="02568A"/>
            </w:tcBorders>
          </w:tcPr>
          <w:p>
            <w:pPr>
              <w:jc w:val="right"/>
              <w:ind w:right="32"/>
              <w:spacing w:after="0"/>
              <w:rPr>
                <w:sz w:val="20"/>
                <w:szCs w:val="20"/>
                <w:color w:val="auto"/>
              </w:rPr>
            </w:pPr>
            <w:r>
              <w:rPr>
                <w:rFonts w:ascii="Arial" w:cs="Arial" w:eastAsia="Arial" w:hAnsi="Arial"/>
                <w:sz w:val="18"/>
                <w:szCs w:val="18"/>
                <w:b w:val="1"/>
                <w:bCs w:val="1"/>
                <w:color w:val="02568A"/>
                <w:w w:val="97"/>
              </w:rPr>
              <w:t>Beneficially Owned(2)</w:t>
            </w:r>
          </w:p>
        </w:tc>
        <w:tc>
          <w:tcPr>
            <w:tcW w:w="1580" w:type="dxa"/>
            <w:vAlign w:val="bottom"/>
            <w:tcBorders>
              <w:bottom w:val="single" w:sz="8" w:color="02568A"/>
            </w:tcBorders>
          </w:tcPr>
          <w:p>
            <w:pPr>
              <w:jc w:val="right"/>
              <w:ind w:right="192"/>
              <w:spacing w:after="0"/>
              <w:rPr>
                <w:sz w:val="20"/>
                <w:szCs w:val="20"/>
                <w:color w:val="auto"/>
              </w:rPr>
            </w:pPr>
            <w:r>
              <w:rPr>
                <w:rFonts w:ascii="Arial" w:cs="Arial" w:eastAsia="Arial" w:hAnsi="Arial"/>
                <w:sz w:val="18"/>
                <w:szCs w:val="18"/>
                <w:b w:val="1"/>
                <w:bCs w:val="1"/>
                <w:color w:val="02568A"/>
                <w:w w:val="90"/>
              </w:rPr>
              <w:t>Percent of Class</w:t>
            </w:r>
          </w:p>
        </w:tc>
      </w:tr>
      <w:tr>
        <w:trPr>
          <w:trHeight w:val="211"/>
        </w:trPr>
        <w:tc>
          <w:tcPr>
            <w:tcW w:w="544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The Vanguard Group, Inc.</w:t>
            </w:r>
          </w:p>
        </w:tc>
        <w:tc>
          <w:tcPr>
            <w:tcW w:w="1960" w:type="dxa"/>
            <w:vAlign w:val="bottom"/>
            <w:tcBorders>
              <w:bottom w:val="single" w:sz="8" w:color="D1D2D4"/>
            </w:tcBorders>
            <w:shd w:val="clear" w:color="auto" w:fill="CED8EA"/>
          </w:tcPr>
          <w:p>
            <w:pPr>
              <w:jc w:val="right"/>
              <w:ind w:right="12"/>
              <w:spacing w:after="0"/>
              <w:rPr>
                <w:sz w:val="20"/>
                <w:szCs w:val="20"/>
                <w:color w:val="auto"/>
              </w:rPr>
            </w:pPr>
            <w:r>
              <w:rPr>
                <w:rFonts w:ascii="Arial" w:cs="Arial" w:eastAsia="Arial" w:hAnsi="Arial"/>
                <w:sz w:val="18"/>
                <w:szCs w:val="18"/>
                <w:color w:val="02568A"/>
              </w:rPr>
              <w:t>18,909,311(3)</w:t>
            </w:r>
          </w:p>
        </w:tc>
        <w:tc>
          <w:tcPr>
            <w:tcW w:w="1580" w:type="dxa"/>
            <w:vAlign w:val="bottom"/>
            <w:tcBorders>
              <w:bottom w:val="single" w:sz="8" w:color="D1D2D4"/>
            </w:tcBorders>
            <w:shd w:val="clear" w:color="auto" w:fill="CED8EA"/>
          </w:tcPr>
          <w:p>
            <w:pPr>
              <w:jc w:val="right"/>
              <w:ind w:right="172"/>
              <w:spacing w:after="0"/>
              <w:rPr>
                <w:sz w:val="20"/>
                <w:szCs w:val="20"/>
                <w:color w:val="auto"/>
              </w:rPr>
            </w:pPr>
            <w:r>
              <w:rPr>
                <w:rFonts w:ascii="Arial" w:cs="Arial" w:eastAsia="Arial" w:hAnsi="Arial"/>
                <w:sz w:val="18"/>
                <w:szCs w:val="18"/>
                <w:color w:val="02568A"/>
              </w:rPr>
              <w:t>11.15%</w:t>
            </w:r>
          </w:p>
        </w:tc>
      </w:tr>
      <w:tr>
        <w:trPr>
          <w:trHeight w:val="209"/>
        </w:trPr>
        <w:tc>
          <w:tcPr>
            <w:tcW w:w="5440" w:type="dxa"/>
            <w:vAlign w:val="bottom"/>
            <w:tcBorders>
              <w:bottom w:val="single" w:sz="8" w:color="D1D2D4"/>
            </w:tcBorders>
          </w:tcPr>
          <w:p>
            <w:pPr>
              <w:ind w:left="280"/>
              <w:spacing w:after="0"/>
              <w:rPr>
                <w:sz w:val="20"/>
                <w:szCs w:val="20"/>
                <w:color w:val="auto"/>
              </w:rPr>
            </w:pPr>
            <w:r>
              <w:rPr>
                <w:rFonts w:ascii="Arial" w:cs="Arial" w:eastAsia="Arial" w:hAnsi="Arial"/>
                <w:sz w:val="18"/>
                <w:szCs w:val="18"/>
                <w:b w:val="1"/>
                <w:bCs w:val="1"/>
                <w:color w:val="02568A"/>
              </w:rPr>
              <w:t>BlackRock, Inc.</w:t>
            </w:r>
          </w:p>
        </w:tc>
        <w:tc>
          <w:tcPr>
            <w:tcW w:w="196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13,702,500(4)</w:t>
            </w:r>
          </w:p>
        </w:tc>
        <w:tc>
          <w:tcPr>
            <w:tcW w:w="1580" w:type="dxa"/>
            <w:vAlign w:val="bottom"/>
            <w:tcBorders>
              <w:bottom w:val="single" w:sz="8" w:color="D1D2D4"/>
            </w:tcBorders>
          </w:tcPr>
          <w:p>
            <w:pPr>
              <w:jc w:val="right"/>
              <w:ind w:right="172"/>
              <w:spacing w:after="0"/>
              <w:rPr>
                <w:sz w:val="20"/>
                <w:szCs w:val="20"/>
                <w:color w:val="auto"/>
              </w:rPr>
            </w:pPr>
            <w:r>
              <w:rPr>
                <w:rFonts w:ascii="Arial" w:cs="Arial" w:eastAsia="Arial" w:hAnsi="Arial"/>
                <w:sz w:val="18"/>
                <w:szCs w:val="18"/>
                <w:color w:val="02568A"/>
              </w:rPr>
              <w:t>8.08%</w:t>
            </w:r>
          </w:p>
        </w:tc>
      </w:tr>
      <w:tr>
        <w:trPr>
          <w:trHeight w:val="209"/>
        </w:trPr>
        <w:tc>
          <w:tcPr>
            <w:tcW w:w="544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Capital Research Global Investors</w:t>
            </w:r>
          </w:p>
        </w:tc>
        <w:tc>
          <w:tcPr>
            <w:tcW w:w="1960" w:type="dxa"/>
            <w:vAlign w:val="bottom"/>
            <w:tcBorders>
              <w:bottom w:val="single" w:sz="8" w:color="D1D2D4"/>
            </w:tcBorders>
            <w:shd w:val="clear" w:color="auto" w:fill="CED8EA"/>
          </w:tcPr>
          <w:p>
            <w:pPr>
              <w:jc w:val="right"/>
              <w:ind w:right="12"/>
              <w:spacing w:after="0"/>
              <w:rPr>
                <w:sz w:val="20"/>
                <w:szCs w:val="20"/>
                <w:color w:val="auto"/>
              </w:rPr>
            </w:pPr>
            <w:r>
              <w:rPr>
                <w:rFonts w:ascii="Arial" w:cs="Arial" w:eastAsia="Arial" w:hAnsi="Arial"/>
                <w:sz w:val="18"/>
                <w:szCs w:val="18"/>
                <w:color w:val="02568A"/>
              </w:rPr>
              <w:t>8,802,918(5)</w:t>
            </w:r>
          </w:p>
        </w:tc>
        <w:tc>
          <w:tcPr>
            <w:tcW w:w="1580" w:type="dxa"/>
            <w:vAlign w:val="bottom"/>
            <w:tcBorders>
              <w:bottom w:val="single" w:sz="8" w:color="D1D2D4"/>
            </w:tcBorders>
            <w:shd w:val="clear" w:color="auto" w:fill="CED8EA"/>
          </w:tcPr>
          <w:p>
            <w:pPr>
              <w:jc w:val="right"/>
              <w:ind w:right="172"/>
              <w:spacing w:after="0"/>
              <w:rPr>
                <w:sz w:val="20"/>
                <w:szCs w:val="20"/>
                <w:color w:val="auto"/>
              </w:rPr>
            </w:pPr>
            <w:r>
              <w:rPr>
                <w:rFonts w:ascii="Arial" w:cs="Arial" w:eastAsia="Arial" w:hAnsi="Arial"/>
                <w:sz w:val="18"/>
                <w:szCs w:val="18"/>
                <w:color w:val="02568A"/>
              </w:rPr>
              <w:t>5.19%</w:t>
            </w:r>
          </w:p>
        </w:tc>
      </w:tr>
      <w:tr>
        <w:trPr>
          <w:trHeight w:val="210"/>
        </w:trPr>
        <w:tc>
          <w:tcPr>
            <w:tcW w:w="5440" w:type="dxa"/>
            <w:vAlign w:val="bottom"/>
            <w:tcBorders>
              <w:bottom w:val="single" w:sz="8" w:color="D1D2D4"/>
            </w:tcBorders>
          </w:tcPr>
          <w:p>
            <w:pPr>
              <w:ind w:left="280"/>
              <w:spacing w:after="0"/>
              <w:rPr>
                <w:sz w:val="20"/>
                <w:szCs w:val="20"/>
                <w:color w:val="auto"/>
              </w:rPr>
            </w:pPr>
            <w:r>
              <w:rPr>
                <w:rFonts w:ascii="Arial" w:cs="Arial" w:eastAsia="Arial" w:hAnsi="Arial"/>
                <w:sz w:val="18"/>
                <w:szCs w:val="18"/>
                <w:b w:val="1"/>
                <w:bCs w:val="1"/>
                <w:color w:val="02568A"/>
              </w:rPr>
              <w:t>David J. Aldrich</w:t>
            </w:r>
          </w:p>
        </w:tc>
        <w:tc>
          <w:tcPr>
            <w:tcW w:w="196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170,872(6)</w:t>
            </w:r>
          </w:p>
        </w:tc>
        <w:tc>
          <w:tcPr>
            <w:tcW w:w="1580" w:type="dxa"/>
            <w:vAlign w:val="bottom"/>
            <w:tcBorders>
              <w:bottom w:val="single" w:sz="8" w:color="D1D2D4"/>
            </w:tcBorders>
          </w:tcPr>
          <w:p>
            <w:pPr>
              <w:jc w:val="right"/>
              <w:ind w:right="172"/>
              <w:spacing w:after="0"/>
              <w:rPr>
                <w:sz w:val="20"/>
                <w:szCs w:val="20"/>
                <w:color w:val="auto"/>
              </w:rPr>
            </w:pPr>
            <w:r>
              <w:rPr>
                <w:rFonts w:ascii="Arial" w:cs="Arial" w:eastAsia="Arial" w:hAnsi="Arial"/>
                <w:sz w:val="18"/>
                <w:szCs w:val="18"/>
                <w:color w:val="02568A"/>
              </w:rPr>
              <w:t>(*)</w:t>
            </w:r>
          </w:p>
        </w:tc>
      </w:tr>
      <w:tr>
        <w:trPr>
          <w:trHeight w:val="209"/>
        </w:trPr>
        <w:tc>
          <w:tcPr>
            <w:tcW w:w="544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Alan S. Batey</w:t>
            </w:r>
          </w:p>
        </w:tc>
        <w:tc>
          <w:tcPr>
            <w:tcW w:w="1960" w:type="dxa"/>
            <w:vAlign w:val="bottom"/>
            <w:tcBorders>
              <w:bottom w:val="single" w:sz="8" w:color="D1D2D4"/>
            </w:tcBorders>
            <w:shd w:val="clear" w:color="auto" w:fill="CED8EA"/>
          </w:tcPr>
          <w:p>
            <w:pPr>
              <w:jc w:val="right"/>
              <w:ind w:right="12"/>
              <w:spacing w:after="0"/>
              <w:rPr>
                <w:sz w:val="20"/>
                <w:szCs w:val="20"/>
                <w:color w:val="auto"/>
              </w:rPr>
            </w:pPr>
            <w:r>
              <w:rPr>
                <w:rFonts w:ascii="Arial" w:cs="Arial" w:eastAsia="Arial" w:hAnsi="Arial"/>
                <w:sz w:val="18"/>
                <w:szCs w:val="18"/>
                <w:color w:val="02568A"/>
              </w:rPr>
              <w:t>—</w:t>
            </w:r>
          </w:p>
        </w:tc>
        <w:tc>
          <w:tcPr>
            <w:tcW w:w="1580" w:type="dxa"/>
            <w:vAlign w:val="bottom"/>
            <w:tcBorders>
              <w:bottom w:val="single" w:sz="8" w:color="D1D2D4"/>
            </w:tcBorders>
            <w:shd w:val="clear" w:color="auto" w:fill="CED8EA"/>
          </w:tcPr>
          <w:p>
            <w:pPr>
              <w:jc w:val="right"/>
              <w:ind w:right="172"/>
              <w:spacing w:after="0"/>
              <w:rPr>
                <w:sz w:val="20"/>
                <w:szCs w:val="20"/>
                <w:color w:val="auto"/>
              </w:rPr>
            </w:pPr>
            <w:r>
              <w:rPr>
                <w:rFonts w:ascii="Arial" w:cs="Arial" w:eastAsia="Arial" w:hAnsi="Arial"/>
                <w:sz w:val="18"/>
                <w:szCs w:val="18"/>
                <w:color w:val="02568A"/>
              </w:rPr>
              <w:t>(*)</w:t>
            </w:r>
          </w:p>
        </w:tc>
      </w:tr>
      <w:tr>
        <w:trPr>
          <w:trHeight w:val="210"/>
        </w:trPr>
        <w:tc>
          <w:tcPr>
            <w:tcW w:w="5440" w:type="dxa"/>
            <w:vAlign w:val="bottom"/>
            <w:tcBorders>
              <w:bottom w:val="single" w:sz="8" w:color="D1D2D4"/>
            </w:tcBorders>
          </w:tcPr>
          <w:p>
            <w:pPr>
              <w:ind w:left="280"/>
              <w:spacing w:after="0"/>
              <w:rPr>
                <w:sz w:val="20"/>
                <w:szCs w:val="20"/>
                <w:color w:val="auto"/>
              </w:rPr>
            </w:pPr>
            <w:r>
              <w:rPr>
                <w:rFonts w:ascii="Arial" w:cs="Arial" w:eastAsia="Arial" w:hAnsi="Arial"/>
                <w:sz w:val="18"/>
                <w:szCs w:val="18"/>
                <w:b w:val="1"/>
                <w:bCs w:val="1"/>
                <w:color w:val="02568A"/>
              </w:rPr>
              <w:t>Kevin L. Beebe</w:t>
            </w:r>
          </w:p>
        </w:tc>
        <w:tc>
          <w:tcPr>
            <w:tcW w:w="196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57,567</w:t>
            </w:r>
          </w:p>
        </w:tc>
        <w:tc>
          <w:tcPr>
            <w:tcW w:w="1580" w:type="dxa"/>
            <w:vAlign w:val="bottom"/>
            <w:tcBorders>
              <w:bottom w:val="single" w:sz="8" w:color="D1D2D4"/>
            </w:tcBorders>
          </w:tcPr>
          <w:p>
            <w:pPr>
              <w:jc w:val="right"/>
              <w:ind w:right="172"/>
              <w:spacing w:after="0"/>
              <w:rPr>
                <w:sz w:val="20"/>
                <w:szCs w:val="20"/>
                <w:color w:val="auto"/>
              </w:rPr>
            </w:pPr>
            <w:r>
              <w:rPr>
                <w:rFonts w:ascii="Arial" w:cs="Arial" w:eastAsia="Arial" w:hAnsi="Arial"/>
                <w:sz w:val="18"/>
                <w:szCs w:val="18"/>
                <w:color w:val="02568A"/>
              </w:rPr>
              <w:t>(*)</w:t>
            </w:r>
          </w:p>
        </w:tc>
      </w:tr>
      <w:tr>
        <w:trPr>
          <w:trHeight w:val="209"/>
        </w:trPr>
        <w:tc>
          <w:tcPr>
            <w:tcW w:w="544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Carlos S. Bori</w:t>
            </w:r>
          </w:p>
        </w:tc>
        <w:tc>
          <w:tcPr>
            <w:tcW w:w="1960" w:type="dxa"/>
            <w:vAlign w:val="bottom"/>
            <w:tcBorders>
              <w:bottom w:val="single" w:sz="8" w:color="D1D2D4"/>
            </w:tcBorders>
            <w:shd w:val="clear" w:color="auto" w:fill="CED8EA"/>
          </w:tcPr>
          <w:p>
            <w:pPr>
              <w:jc w:val="right"/>
              <w:ind w:right="12"/>
              <w:spacing w:after="0"/>
              <w:rPr>
                <w:sz w:val="20"/>
                <w:szCs w:val="20"/>
                <w:color w:val="auto"/>
              </w:rPr>
            </w:pPr>
            <w:r>
              <w:rPr>
                <w:rFonts w:ascii="Arial" w:cs="Arial" w:eastAsia="Arial" w:hAnsi="Arial"/>
                <w:sz w:val="18"/>
                <w:szCs w:val="18"/>
                <w:color w:val="02568A"/>
              </w:rPr>
              <w:t>42,463(6)</w:t>
            </w:r>
          </w:p>
        </w:tc>
        <w:tc>
          <w:tcPr>
            <w:tcW w:w="1580" w:type="dxa"/>
            <w:vAlign w:val="bottom"/>
            <w:tcBorders>
              <w:bottom w:val="single" w:sz="8" w:color="D1D2D4"/>
            </w:tcBorders>
            <w:shd w:val="clear" w:color="auto" w:fill="CED8EA"/>
          </w:tcPr>
          <w:p>
            <w:pPr>
              <w:jc w:val="right"/>
              <w:ind w:right="172"/>
              <w:spacing w:after="0"/>
              <w:rPr>
                <w:sz w:val="20"/>
                <w:szCs w:val="20"/>
                <w:color w:val="auto"/>
              </w:rPr>
            </w:pPr>
            <w:r>
              <w:rPr>
                <w:rFonts w:ascii="Arial" w:cs="Arial" w:eastAsia="Arial" w:hAnsi="Arial"/>
                <w:sz w:val="18"/>
                <w:szCs w:val="18"/>
                <w:color w:val="02568A"/>
              </w:rPr>
              <w:t>(*)</w:t>
            </w:r>
          </w:p>
        </w:tc>
      </w:tr>
      <w:tr>
        <w:trPr>
          <w:trHeight w:val="209"/>
        </w:trPr>
        <w:tc>
          <w:tcPr>
            <w:tcW w:w="5440" w:type="dxa"/>
            <w:vAlign w:val="bottom"/>
            <w:tcBorders>
              <w:bottom w:val="single" w:sz="8" w:color="D1D2D4"/>
            </w:tcBorders>
          </w:tcPr>
          <w:p>
            <w:pPr>
              <w:ind w:left="280"/>
              <w:spacing w:after="0"/>
              <w:rPr>
                <w:sz w:val="20"/>
                <w:szCs w:val="20"/>
                <w:color w:val="auto"/>
              </w:rPr>
            </w:pPr>
            <w:r>
              <w:rPr>
                <w:rFonts w:ascii="Arial" w:cs="Arial" w:eastAsia="Arial" w:hAnsi="Arial"/>
                <w:sz w:val="18"/>
                <w:szCs w:val="18"/>
                <w:b w:val="1"/>
                <w:bCs w:val="1"/>
                <w:color w:val="02568A"/>
              </w:rPr>
              <w:t>Timothy R. Furey</w:t>
            </w:r>
          </w:p>
        </w:tc>
        <w:tc>
          <w:tcPr>
            <w:tcW w:w="196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21,118</w:t>
            </w:r>
          </w:p>
        </w:tc>
        <w:tc>
          <w:tcPr>
            <w:tcW w:w="1580" w:type="dxa"/>
            <w:vAlign w:val="bottom"/>
            <w:tcBorders>
              <w:bottom w:val="single" w:sz="8" w:color="D1D2D4"/>
            </w:tcBorders>
          </w:tcPr>
          <w:p>
            <w:pPr>
              <w:jc w:val="right"/>
              <w:ind w:right="172"/>
              <w:spacing w:after="0"/>
              <w:rPr>
                <w:sz w:val="20"/>
                <w:szCs w:val="20"/>
                <w:color w:val="auto"/>
              </w:rPr>
            </w:pPr>
            <w:r>
              <w:rPr>
                <w:rFonts w:ascii="Arial" w:cs="Arial" w:eastAsia="Arial" w:hAnsi="Arial"/>
                <w:sz w:val="18"/>
                <w:szCs w:val="18"/>
                <w:color w:val="02568A"/>
              </w:rPr>
              <w:t>(*)</w:t>
            </w:r>
          </w:p>
        </w:tc>
      </w:tr>
      <w:tr>
        <w:trPr>
          <w:trHeight w:val="210"/>
        </w:trPr>
        <w:tc>
          <w:tcPr>
            <w:tcW w:w="544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Peter L. Gammel</w:t>
            </w:r>
          </w:p>
        </w:tc>
        <w:tc>
          <w:tcPr>
            <w:tcW w:w="1960" w:type="dxa"/>
            <w:vAlign w:val="bottom"/>
            <w:tcBorders>
              <w:bottom w:val="single" w:sz="8" w:color="D1D2D4"/>
            </w:tcBorders>
            <w:shd w:val="clear" w:color="auto" w:fill="CED8EA"/>
          </w:tcPr>
          <w:p>
            <w:pPr>
              <w:jc w:val="right"/>
              <w:ind w:right="12"/>
              <w:spacing w:after="0"/>
              <w:rPr>
                <w:sz w:val="20"/>
                <w:szCs w:val="20"/>
                <w:color w:val="auto"/>
              </w:rPr>
            </w:pPr>
            <w:r>
              <w:rPr>
                <w:rFonts w:ascii="Arial" w:cs="Arial" w:eastAsia="Arial" w:hAnsi="Arial"/>
                <w:sz w:val="18"/>
                <w:szCs w:val="18"/>
                <w:color w:val="02568A"/>
              </w:rPr>
              <w:t>—</w:t>
            </w:r>
          </w:p>
        </w:tc>
        <w:tc>
          <w:tcPr>
            <w:tcW w:w="1580" w:type="dxa"/>
            <w:vAlign w:val="bottom"/>
            <w:tcBorders>
              <w:bottom w:val="single" w:sz="8" w:color="D1D2D4"/>
            </w:tcBorders>
            <w:shd w:val="clear" w:color="auto" w:fill="CED8EA"/>
          </w:tcPr>
          <w:p>
            <w:pPr>
              <w:jc w:val="right"/>
              <w:ind w:right="172"/>
              <w:spacing w:after="0"/>
              <w:rPr>
                <w:sz w:val="20"/>
                <w:szCs w:val="20"/>
                <w:color w:val="auto"/>
              </w:rPr>
            </w:pPr>
            <w:r>
              <w:rPr>
                <w:rFonts w:ascii="Arial" w:cs="Arial" w:eastAsia="Arial" w:hAnsi="Arial"/>
                <w:sz w:val="18"/>
                <w:szCs w:val="18"/>
                <w:color w:val="02568A"/>
              </w:rPr>
              <w:t>(*)</w:t>
            </w:r>
          </w:p>
        </w:tc>
      </w:tr>
      <w:tr>
        <w:trPr>
          <w:trHeight w:val="210"/>
        </w:trPr>
        <w:tc>
          <w:tcPr>
            <w:tcW w:w="5440" w:type="dxa"/>
            <w:vAlign w:val="bottom"/>
            <w:tcBorders>
              <w:bottom w:val="single" w:sz="8" w:color="D1D2D4"/>
            </w:tcBorders>
          </w:tcPr>
          <w:p>
            <w:pPr>
              <w:ind w:left="280"/>
              <w:spacing w:after="0"/>
              <w:rPr>
                <w:sz w:val="20"/>
                <w:szCs w:val="20"/>
                <w:color w:val="auto"/>
              </w:rPr>
            </w:pPr>
            <w:r>
              <w:rPr>
                <w:rFonts w:ascii="Arial" w:cs="Arial" w:eastAsia="Arial" w:hAnsi="Arial"/>
                <w:sz w:val="18"/>
                <w:szCs w:val="18"/>
                <w:b w:val="1"/>
                <w:bCs w:val="1"/>
                <w:color w:val="02568A"/>
              </w:rPr>
              <w:t>Liam K. Griffin</w:t>
            </w:r>
          </w:p>
        </w:tc>
        <w:tc>
          <w:tcPr>
            <w:tcW w:w="196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101,884(6)</w:t>
            </w:r>
          </w:p>
        </w:tc>
        <w:tc>
          <w:tcPr>
            <w:tcW w:w="1580" w:type="dxa"/>
            <w:vAlign w:val="bottom"/>
            <w:tcBorders>
              <w:bottom w:val="single" w:sz="8" w:color="D1D2D4"/>
            </w:tcBorders>
          </w:tcPr>
          <w:p>
            <w:pPr>
              <w:jc w:val="right"/>
              <w:ind w:right="172"/>
              <w:spacing w:after="0"/>
              <w:rPr>
                <w:sz w:val="20"/>
                <w:szCs w:val="20"/>
                <w:color w:val="auto"/>
              </w:rPr>
            </w:pPr>
            <w:r>
              <w:rPr>
                <w:rFonts w:ascii="Arial" w:cs="Arial" w:eastAsia="Arial" w:hAnsi="Arial"/>
                <w:sz w:val="18"/>
                <w:szCs w:val="18"/>
                <w:color w:val="02568A"/>
              </w:rPr>
              <w:t>(*)</w:t>
            </w:r>
          </w:p>
        </w:tc>
      </w:tr>
      <w:tr>
        <w:trPr>
          <w:trHeight w:val="210"/>
        </w:trPr>
        <w:tc>
          <w:tcPr>
            <w:tcW w:w="544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Balakrishnan S. Iyer</w:t>
            </w:r>
          </w:p>
        </w:tc>
        <w:tc>
          <w:tcPr>
            <w:tcW w:w="1960" w:type="dxa"/>
            <w:vAlign w:val="bottom"/>
            <w:tcBorders>
              <w:bottom w:val="single" w:sz="8" w:color="D1D2D4"/>
            </w:tcBorders>
            <w:shd w:val="clear" w:color="auto" w:fill="CED8EA"/>
          </w:tcPr>
          <w:p>
            <w:pPr>
              <w:jc w:val="right"/>
              <w:ind w:right="12"/>
              <w:spacing w:after="0"/>
              <w:rPr>
                <w:sz w:val="20"/>
                <w:szCs w:val="20"/>
                <w:color w:val="auto"/>
              </w:rPr>
            </w:pPr>
            <w:r>
              <w:rPr>
                <w:rFonts w:ascii="Arial" w:cs="Arial" w:eastAsia="Arial" w:hAnsi="Arial"/>
                <w:sz w:val="18"/>
                <w:szCs w:val="18"/>
                <w:color w:val="02568A"/>
              </w:rPr>
              <w:t>22,726</w:t>
            </w:r>
          </w:p>
        </w:tc>
        <w:tc>
          <w:tcPr>
            <w:tcW w:w="1580" w:type="dxa"/>
            <w:vAlign w:val="bottom"/>
            <w:tcBorders>
              <w:bottom w:val="single" w:sz="8" w:color="D1D2D4"/>
            </w:tcBorders>
            <w:shd w:val="clear" w:color="auto" w:fill="CED8EA"/>
          </w:tcPr>
          <w:p>
            <w:pPr>
              <w:jc w:val="right"/>
              <w:ind w:right="172"/>
              <w:spacing w:after="0"/>
              <w:rPr>
                <w:sz w:val="20"/>
                <w:szCs w:val="20"/>
                <w:color w:val="auto"/>
              </w:rPr>
            </w:pPr>
            <w:r>
              <w:rPr>
                <w:rFonts w:ascii="Arial" w:cs="Arial" w:eastAsia="Arial" w:hAnsi="Arial"/>
                <w:sz w:val="18"/>
                <w:szCs w:val="18"/>
                <w:color w:val="02568A"/>
              </w:rPr>
              <w:t>(*)</w:t>
            </w:r>
          </w:p>
        </w:tc>
      </w:tr>
      <w:tr>
        <w:trPr>
          <w:trHeight w:val="210"/>
        </w:trPr>
        <w:tc>
          <w:tcPr>
            <w:tcW w:w="5440" w:type="dxa"/>
            <w:vAlign w:val="bottom"/>
            <w:tcBorders>
              <w:bottom w:val="single" w:sz="8" w:color="D1D2D4"/>
            </w:tcBorders>
          </w:tcPr>
          <w:p>
            <w:pPr>
              <w:ind w:left="280"/>
              <w:spacing w:after="0"/>
              <w:rPr>
                <w:sz w:val="20"/>
                <w:szCs w:val="20"/>
                <w:color w:val="auto"/>
              </w:rPr>
            </w:pPr>
            <w:r>
              <w:rPr>
                <w:rFonts w:ascii="Arial" w:cs="Arial" w:eastAsia="Arial" w:hAnsi="Arial"/>
                <w:sz w:val="18"/>
                <w:szCs w:val="18"/>
                <w:b w:val="1"/>
                <w:bCs w:val="1"/>
                <w:color w:val="02568A"/>
              </w:rPr>
              <w:t>Christine King</w:t>
            </w:r>
          </w:p>
        </w:tc>
        <w:tc>
          <w:tcPr>
            <w:tcW w:w="196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19,332</w:t>
            </w:r>
          </w:p>
        </w:tc>
        <w:tc>
          <w:tcPr>
            <w:tcW w:w="1580" w:type="dxa"/>
            <w:vAlign w:val="bottom"/>
            <w:tcBorders>
              <w:bottom w:val="single" w:sz="8" w:color="D1D2D4"/>
            </w:tcBorders>
          </w:tcPr>
          <w:p>
            <w:pPr>
              <w:jc w:val="right"/>
              <w:ind w:right="172"/>
              <w:spacing w:after="0"/>
              <w:rPr>
                <w:sz w:val="20"/>
                <w:szCs w:val="20"/>
                <w:color w:val="auto"/>
              </w:rPr>
            </w:pPr>
            <w:r>
              <w:rPr>
                <w:rFonts w:ascii="Arial" w:cs="Arial" w:eastAsia="Arial" w:hAnsi="Arial"/>
                <w:sz w:val="18"/>
                <w:szCs w:val="18"/>
                <w:color w:val="02568A"/>
              </w:rPr>
              <w:t>(*)</w:t>
            </w:r>
          </w:p>
        </w:tc>
      </w:tr>
      <w:tr>
        <w:trPr>
          <w:trHeight w:val="209"/>
        </w:trPr>
        <w:tc>
          <w:tcPr>
            <w:tcW w:w="544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David P. McGlade</w:t>
            </w:r>
          </w:p>
        </w:tc>
        <w:tc>
          <w:tcPr>
            <w:tcW w:w="1960" w:type="dxa"/>
            <w:vAlign w:val="bottom"/>
            <w:tcBorders>
              <w:bottom w:val="single" w:sz="8" w:color="D1D2D4"/>
            </w:tcBorders>
            <w:shd w:val="clear" w:color="auto" w:fill="CED8EA"/>
          </w:tcPr>
          <w:p>
            <w:pPr>
              <w:jc w:val="right"/>
              <w:ind w:right="12"/>
              <w:spacing w:after="0"/>
              <w:rPr>
                <w:sz w:val="20"/>
                <w:szCs w:val="20"/>
                <w:color w:val="auto"/>
              </w:rPr>
            </w:pPr>
            <w:r>
              <w:rPr>
                <w:rFonts w:ascii="Arial" w:cs="Arial" w:eastAsia="Arial" w:hAnsi="Arial"/>
                <w:sz w:val="18"/>
                <w:szCs w:val="18"/>
                <w:color w:val="02568A"/>
              </w:rPr>
              <w:t>72,092</w:t>
            </w:r>
          </w:p>
        </w:tc>
        <w:tc>
          <w:tcPr>
            <w:tcW w:w="1580" w:type="dxa"/>
            <w:vAlign w:val="bottom"/>
            <w:tcBorders>
              <w:bottom w:val="single" w:sz="8" w:color="D1D2D4"/>
            </w:tcBorders>
            <w:shd w:val="clear" w:color="auto" w:fill="CED8EA"/>
          </w:tcPr>
          <w:p>
            <w:pPr>
              <w:jc w:val="right"/>
              <w:ind w:right="172"/>
              <w:spacing w:after="0"/>
              <w:rPr>
                <w:sz w:val="20"/>
                <w:szCs w:val="20"/>
                <w:color w:val="auto"/>
              </w:rPr>
            </w:pPr>
            <w:r>
              <w:rPr>
                <w:rFonts w:ascii="Arial" w:cs="Arial" w:eastAsia="Arial" w:hAnsi="Arial"/>
                <w:sz w:val="18"/>
                <w:szCs w:val="18"/>
                <w:color w:val="02568A"/>
              </w:rPr>
              <w:t>(*)</w:t>
            </w:r>
          </w:p>
        </w:tc>
      </w:tr>
      <w:tr>
        <w:trPr>
          <w:trHeight w:val="210"/>
        </w:trPr>
        <w:tc>
          <w:tcPr>
            <w:tcW w:w="5440" w:type="dxa"/>
            <w:vAlign w:val="bottom"/>
            <w:tcBorders>
              <w:bottom w:val="single" w:sz="8" w:color="D1D2D4"/>
            </w:tcBorders>
          </w:tcPr>
          <w:p>
            <w:pPr>
              <w:ind w:left="280"/>
              <w:spacing w:after="0"/>
              <w:rPr>
                <w:sz w:val="20"/>
                <w:szCs w:val="20"/>
                <w:color w:val="auto"/>
              </w:rPr>
            </w:pPr>
            <w:r>
              <w:rPr>
                <w:rFonts w:ascii="Arial" w:cs="Arial" w:eastAsia="Arial" w:hAnsi="Arial"/>
                <w:sz w:val="18"/>
                <w:szCs w:val="18"/>
                <w:b w:val="1"/>
                <w:bCs w:val="1"/>
                <w:color w:val="02568A"/>
              </w:rPr>
              <w:t>Robert A. Schriesheim</w:t>
            </w:r>
          </w:p>
        </w:tc>
        <w:tc>
          <w:tcPr>
            <w:tcW w:w="196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76,167</w:t>
            </w:r>
          </w:p>
        </w:tc>
        <w:tc>
          <w:tcPr>
            <w:tcW w:w="1580" w:type="dxa"/>
            <w:vAlign w:val="bottom"/>
            <w:tcBorders>
              <w:bottom w:val="single" w:sz="8" w:color="D1D2D4"/>
            </w:tcBorders>
          </w:tcPr>
          <w:p>
            <w:pPr>
              <w:jc w:val="right"/>
              <w:ind w:right="172"/>
              <w:spacing w:after="0"/>
              <w:rPr>
                <w:sz w:val="20"/>
                <w:szCs w:val="20"/>
                <w:color w:val="auto"/>
              </w:rPr>
            </w:pPr>
            <w:r>
              <w:rPr>
                <w:rFonts w:ascii="Arial" w:cs="Arial" w:eastAsia="Arial" w:hAnsi="Arial"/>
                <w:sz w:val="18"/>
                <w:szCs w:val="18"/>
                <w:color w:val="02568A"/>
              </w:rPr>
              <w:t>(*)</w:t>
            </w:r>
          </w:p>
        </w:tc>
      </w:tr>
      <w:tr>
        <w:trPr>
          <w:trHeight w:val="210"/>
        </w:trPr>
        <w:tc>
          <w:tcPr>
            <w:tcW w:w="544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Kris Sennesael</w:t>
            </w:r>
          </w:p>
        </w:tc>
        <w:tc>
          <w:tcPr>
            <w:tcW w:w="1960" w:type="dxa"/>
            <w:vAlign w:val="bottom"/>
            <w:tcBorders>
              <w:bottom w:val="single" w:sz="8" w:color="D1D2D4"/>
            </w:tcBorders>
            <w:shd w:val="clear" w:color="auto" w:fill="CED8EA"/>
          </w:tcPr>
          <w:p>
            <w:pPr>
              <w:jc w:val="right"/>
              <w:ind w:right="12"/>
              <w:spacing w:after="0"/>
              <w:rPr>
                <w:sz w:val="20"/>
                <w:szCs w:val="20"/>
                <w:color w:val="auto"/>
              </w:rPr>
            </w:pPr>
            <w:r>
              <w:rPr>
                <w:rFonts w:ascii="Arial" w:cs="Arial" w:eastAsia="Arial" w:hAnsi="Arial"/>
                <w:sz w:val="18"/>
                <w:szCs w:val="18"/>
                <w:color w:val="02568A"/>
              </w:rPr>
              <w:t>72,679</w:t>
            </w:r>
          </w:p>
        </w:tc>
        <w:tc>
          <w:tcPr>
            <w:tcW w:w="1580" w:type="dxa"/>
            <w:vAlign w:val="bottom"/>
            <w:tcBorders>
              <w:bottom w:val="single" w:sz="8" w:color="D1D2D4"/>
            </w:tcBorders>
            <w:shd w:val="clear" w:color="auto" w:fill="CED8EA"/>
          </w:tcPr>
          <w:p>
            <w:pPr>
              <w:jc w:val="right"/>
              <w:ind w:right="172"/>
              <w:spacing w:after="0"/>
              <w:rPr>
                <w:sz w:val="20"/>
                <w:szCs w:val="20"/>
                <w:color w:val="auto"/>
              </w:rPr>
            </w:pPr>
            <w:r>
              <w:rPr>
                <w:rFonts w:ascii="Arial" w:cs="Arial" w:eastAsia="Arial" w:hAnsi="Arial"/>
                <w:sz w:val="18"/>
                <w:szCs w:val="18"/>
                <w:color w:val="02568A"/>
              </w:rPr>
              <w:t>(*)</w:t>
            </w:r>
          </w:p>
        </w:tc>
      </w:tr>
      <w:tr>
        <w:trPr>
          <w:trHeight w:val="210"/>
        </w:trPr>
        <w:tc>
          <w:tcPr>
            <w:tcW w:w="5440" w:type="dxa"/>
            <w:vAlign w:val="bottom"/>
            <w:tcBorders>
              <w:bottom w:val="single" w:sz="8" w:color="D1D2D4"/>
            </w:tcBorders>
          </w:tcPr>
          <w:p>
            <w:pPr>
              <w:ind w:left="280"/>
              <w:spacing w:after="0"/>
              <w:rPr>
                <w:sz w:val="20"/>
                <w:szCs w:val="20"/>
                <w:color w:val="auto"/>
              </w:rPr>
            </w:pPr>
            <w:r>
              <w:rPr>
                <w:rFonts w:ascii="Arial" w:cs="Arial" w:eastAsia="Arial" w:hAnsi="Arial"/>
                <w:sz w:val="18"/>
                <w:szCs w:val="18"/>
                <w:b w:val="1"/>
                <w:bCs w:val="1"/>
                <w:color w:val="02568A"/>
              </w:rPr>
              <w:t>Kimberly S. Stevenson</w:t>
            </w:r>
          </w:p>
        </w:tc>
        <w:tc>
          <w:tcPr>
            <w:tcW w:w="196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2,967</w:t>
            </w:r>
          </w:p>
        </w:tc>
        <w:tc>
          <w:tcPr>
            <w:tcW w:w="1580" w:type="dxa"/>
            <w:vAlign w:val="bottom"/>
            <w:tcBorders>
              <w:bottom w:val="single" w:sz="8" w:color="D1D2D4"/>
            </w:tcBorders>
          </w:tcPr>
          <w:p>
            <w:pPr>
              <w:jc w:val="right"/>
              <w:ind w:right="172"/>
              <w:spacing w:after="0"/>
              <w:rPr>
                <w:sz w:val="20"/>
                <w:szCs w:val="20"/>
                <w:color w:val="auto"/>
              </w:rPr>
            </w:pPr>
            <w:r>
              <w:rPr>
                <w:rFonts w:ascii="Arial" w:cs="Arial" w:eastAsia="Arial" w:hAnsi="Arial"/>
                <w:sz w:val="18"/>
                <w:szCs w:val="18"/>
                <w:color w:val="02568A"/>
              </w:rPr>
              <w:t>(*)</w:t>
            </w:r>
          </w:p>
        </w:tc>
      </w:tr>
      <w:tr>
        <w:trPr>
          <w:trHeight w:val="209"/>
        </w:trPr>
        <w:tc>
          <w:tcPr>
            <w:tcW w:w="5440" w:type="dxa"/>
            <w:vAlign w:val="bottom"/>
            <w:tcBorders>
              <w:bottom w:val="single" w:sz="8" w:color="D1D2D4"/>
            </w:tcBorders>
            <w:shd w:val="clear" w:color="auto" w:fill="CED8EA"/>
          </w:tcPr>
          <w:p>
            <w:pPr>
              <w:ind w:left="280"/>
              <w:spacing w:after="0"/>
              <w:rPr>
                <w:sz w:val="20"/>
                <w:szCs w:val="20"/>
                <w:color w:val="auto"/>
              </w:rPr>
            </w:pPr>
            <w:r>
              <w:rPr>
                <w:rFonts w:ascii="Arial" w:cs="Arial" w:eastAsia="Arial" w:hAnsi="Arial"/>
                <w:sz w:val="18"/>
                <w:szCs w:val="18"/>
                <w:b w:val="1"/>
                <w:bCs w:val="1"/>
                <w:color w:val="02568A"/>
              </w:rPr>
              <w:t>Robert J. Terry</w:t>
            </w:r>
          </w:p>
        </w:tc>
        <w:tc>
          <w:tcPr>
            <w:tcW w:w="1960" w:type="dxa"/>
            <w:vAlign w:val="bottom"/>
            <w:tcBorders>
              <w:bottom w:val="single" w:sz="8" w:color="D1D2D4"/>
            </w:tcBorders>
            <w:shd w:val="clear" w:color="auto" w:fill="CED8EA"/>
          </w:tcPr>
          <w:p>
            <w:pPr>
              <w:jc w:val="right"/>
              <w:ind w:right="12"/>
              <w:spacing w:after="0"/>
              <w:rPr>
                <w:sz w:val="20"/>
                <w:szCs w:val="20"/>
                <w:color w:val="auto"/>
              </w:rPr>
            </w:pPr>
            <w:r>
              <w:rPr>
                <w:rFonts w:ascii="Arial" w:cs="Arial" w:eastAsia="Arial" w:hAnsi="Arial"/>
                <w:sz w:val="18"/>
                <w:szCs w:val="18"/>
                <w:color w:val="02568A"/>
              </w:rPr>
              <w:t>15,812(6)</w:t>
            </w:r>
          </w:p>
        </w:tc>
        <w:tc>
          <w:tcPr>
            <w:tcW w:w="1580" w:type="dxa"/>
            <w:vAlign w:val="bottom"/>
            <w:tcBorders>
              <w:bottom w:val="single" w:sz="8" w:color="D1D2D4"/>
            </w:tcBorders>
            <w:shd w:val="clear" w:color="auto" w:fill="CED8EA"/>
          </w:tcPr>
          <w:p>
            <w:pPr>
              <w:jc w:val="right"/>
              <w:ind w:right="172"/>
              <w:spacing w:after="0"/>
              <w:rPr>
                <w:sz w:val="20"/>
                <w:szCs w:val="20"/>
                <w:color w:val="auto"/>
              </w:rPr>
            </w:pPr>
            <w:r>
              <w:rPr>
                <w:rFonts w:ascii="Arial" w:cs="Arial" w:eastAsia="Arial" w:hAnsi="Arial"/>
                <w:sz w:val="18"/>
                <w:szCs w:val="18"/>
                <w:color w:val="02568A"/>
              </w:rPr>
              <w:t>(*)</w:t>
            </w:r>
          </w:p>
        </w:tc>
      </w:tr>
      <w:tr>
        <w:trPr>
          <w:trHeight w:val="210"/>
        </w:trPr>
        <w:tc>
          <w:tcPr>
            <w:tcW w:w="5440" w:type="dxa"/>
            <w:vAlign w:val="bottom"/>
            <w:tcBorders>
              <w:bottom w:val="single" w:sz="8" w:color="D1D2D4"/>
            </w:tcBorders>
          </w:tcPr>
          <w:p>
            <w:pPr>
              <w:ind w:left="280"/>
              <w:spacing w:after="0"/>
              <w:rPr>
                <w:sz w:val="20"/>
                <w:szCs w:val="20"/>
                <w:color w:val="auto"/>
              </w:rPr>
            </w:pPr>
            <w:r>
              <w:rPr>
                <w:rFonts w:ascii="Arial" w:cs="Arial" w:eastAsia="Arial" w:hAnsi="Arial"/>
                <w:sz w:val="18"/>
                <w:szCs w:val="18"/>
                <w:b w:val="1"/>
                <w:bCs w:val="1"/>
                <w:color w:val="02568A"/>
                <w:w w:val="89"/>
              </w:rPr>
              <w:t>All current directors and executive officers as a group (14 persons)</w:t>
            </w:r>
          </w:p>
        </w:tc>
        <w:tc>
          <w:tcPr>
            <w:tcW w:w="1960" w:type="dxa"/>
            <w:vAlign w:val="bottom"/>
            <w:tcBorders>
              <w:bottom w:val="single" w:sz="8" w:color="D1D2D4"/>
            </w:tcBorders>
          </w:tcPr>
          <w:p>
            <w:pPr>
              <w:jc w:val="right"/>
              <w:ind w:right="12"/>
              <w:spacing w:after="0"/>
              <w:rPr>
                <w:sz w:val="20"/>
                <w:szCs w:val="20"/>
                <w:color w:val="auto"/>
              </w:rPr>
            </w:pPr>
            <w:r>
              <w:rPr>
                <w:rFonts w:ascii="Arial" w:cs="Arial" w:eastAsia="Arial" w:hAnsi="Arial"/>
                <w:sz w:val="18"/>
                <w:szCs w:val="18"/>
                <w:color w:val="02568A"/>
              </w:rPr>
              <w:t>685,917(6)</w:t>
            </w:r>
          </w:p>
        </w:tc>
        <w:tc>
          <w:tcPr>
            <w:tcW w:w="1580" w:type="dxa"/>
            <w:vAlign w:val="bottom"/>
            <w:tcBorders>
              <w:bottom w:val="single" w:sz="8" w:color="D1D2D4"/>
            </w:tcBorders>
          </w:tcPr>
          <w:p>
            <w:pPr>
              <w:jc w:val="right"/>
              <w:ind w:right="172"/>
              <w:spacing w:after="0"/>
              <w:rPr>
                <w:sz w:val="20"/>
                <w:szCs w:val="20"/>
                <w:color w:val="auto"/>
              </w:rPr>
            </w:pPr>
            <w:r>
              <w:rPr>
                <w:rFonts w:ascii="Arial" w:cs="Arial" w:eastAsia="Arial" w:hAnsi="Arial"/>
                <w:sz w:val="18"/>
                <w:szCs w:val="18"/>
                <w:color w:val="02568A"/>
              </w:rPr>
              <w:t>(*)</w:t>
            </w:r>
          </w:p>
        </w:tc>
      </w:tr>
    </w:tbl>
    <w:p>
      <w:pPr>
        <w:spacing w:after="0" w:line="221" w:lineRule="exact"/>
        <w:rPr>
          <w:sz w:val="20"/>
          <w:szCs w:val="20"/>
          <w:color w:val="auto"/>
        </w:rPr>
      </w:pPr>
    </w:p>
    <w:p>
      <w:pPr>
        <w:ind w:left="1680" w:hanging="549"/>
        <w:spacing w:after="0"/>
        <w:tabs>
          <w:tab w:leader="none" w:pos="1680" w:val="left"/>
        </w:tabs>
        <w:numPr>
          <w:ilvl w:val="0"/>
          <w:numId w:val="74"/>
        </w:numPr>
        <w:rPr>
          <w:rFonts w:ascii="Arial" w:cs="Arial" w:eastAsia="Arial" w:hAnsi="Arial"/>
          <w:sz w:val="18"/>
          <w:szCs w:val="18"/>
          <w:color w:val="191919"/>
        </w:rPr>
      </w:pPr>
      <w:r>
        <w:rPr>
          <w:rFonts w:ascii="Arial" w:cs="Arial" w:eastAsia="Arial" w:hAnsi="Arial"/>
          <w:sz w:val="18"/>
          <w:szCs w:val="18"/>
          <w:color w:val="191919"/>
        </w:rPr>
        <w:t>Less than 1%</w:t>
      </w:r>
    </w:p>
    <w:p>
      <w:pPr>
        <w:spacing w:after="0" w:line="36" w:lineRule="exact"/>
        <w:rPr>
          <w:sz w:val="20"/>
          <w:szCs w:val="20"/>
          <w:color w:val="auto"/>
        </w:rPr>
      </w:pPr>
    </w:p>
    <w:p>
      <w:pPr>
        <w:ind w:left="1680" w:right="200" w:hanging="549"/>
        <w:spacing w:after="0" w:line="331" w:lineRule="auto"/>
        <w:tabs>
          <w:tab w:leader="none" w:pos="1680" w:val="left"/>
        </w:tabs>
        <w:numPr>
          <w:ilvl w:val="0"/>
          <w:numId w:val="75"/>
        </w:numPr>
        <w:rPr>
          <w:rFonts w:ascii="Arial" w:cs="Arial" w:eastAsia="Arial" w:hAnsi="Arial"/>
          <w:sz w:val="16"/>
          <w:szCs w:val="16"/>
          <w:color w:val="191919"/>
        </w:rPr>
      </w:pPr>
      <w:r>
        <w:rPr>
          <w:rFonts w:ascii="Arial" w:cs="Arial" w:eastAsia="Arial" w:hAnsi="Arial"/>
          <w:sz w:val="16"/>
          <w:szCs w:val="16"/>
          <w:color w:val="191919"/>
        </w:rPr>
        <w:t>Unless otherwise set forth in the following notes, each person’s address is the address of the Company’s principal executive offices at Skyworks Solutions, Inc., 20 Sylvan Road, Woburn, MA 01801, and stockholders have sole voting</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613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line="268" w:lineRule="auto"/>
        <w:rPr>
          <w:sz w:val="20"/>
          <w:szCs w:val="20"/>
          <w:color w:val="auto"/>
        </w:rPr>
      </w:pPr>
      <w:r>
        <w:rPr>
          <w:rFonts w:ascii="Arial" w:cs="Arial" w:eastAsia="Arial" w:hAnsi="Arial"/>
          <w:sz w:val="18"/>
          <w:szCs w:val="18"/>
          <w:color w:val="191919"/>
        </w:rPr>
        <w:t>and sole investment power with respect to the shares, except to the extent such power may be shared by a spouse or otherwise subject to applicable community property laws.</w:t>
      </w:r>
    </w:p>
    <w:p>
      <w:pPr>
        <w:spacing w:after="0" w:line="199" w:lineRule="exact"/>
        <w:rPr>
          <w:sz w:val="20"/>
          <w:szCs w:val="20"/>
          <w:color w:val="auto"/>
        </w:rPr>
      </w:pPr>
    </w:p>
    <w:p>
      <w:pPr>
        <w:ind w:left="1680" w:right="60" w:hanging="549"/>
        <w:spacing w:after="0" w:line="287" w:lineRule="auto"/>
        <w:tabs>
          <w:tab w:leader="none" w:pos="1680" w:val="left"/>
        </w:tabs>
        <w:numPr>
          <w:ilvl w:val="0"/>
          <w:numId w:val="76"/>
        </w:numPr>
        <w:rPr>
          <w:rFonts w:ascii="Arial" w:cs="Arial" w:eastAsia="Arial" w:hAnsi="Arial"/>
          <w:sz w:val="16"/>
          <w:szCs w:val="16"/>
          <w:color w:val="191919"/>
        </w:rPr>
      </w:pPr>
      <w:r>
        <w:rPr>
          <w:rFonts w:ascii="Arial" w:cs="Arial" w:eastAsia="Arial" w:hAnsi="Arial"/>
          <w:sz w:val="16"/>
          <w:szCs w:val="16"/>
          <w:color w:val="191919"/>
        </w:rPr>
        <w:t>Includes the number of shares of Company common stock subject to stock options held by that person that are currently exercisable or will become exercisable within sixty (60) days of March 12, 2020 (the “Current Options”), as follows: Mr. Bori—12,856 shares under Current Options; Mr. Griffin—18,250 shares under Current Options; Mr. Sennesael—39,578 shares under Current Options; current directors and executive officers as a group (14 persons)—70,684 shares under Current Options. Also includes the number of shares of Company common stock to be issued upon the vesting of restricted stock units within sixty (60) days of March 12, 2020 (the “Vesting RSUs”), as follows: Mr. Aldrich—2,294 shares under Vesting RSUs; Mr. Beebe—2,294 shares under Vesting RSUs; Mr. Furey—2,294 shares under Vesting RSUs; Mr. Griffin—6,500 shares under Vesting RSUs; Mr. Iyer—2,294 shares under Vesting RSUs; Ms. King— 2,294 shares under Vesting RSUs; Mr. McGlade—2,294 shares under Vesting RSUs; Mr. Schriesheim—2,294 shares under Vesting RSUs; Ms. Stevenson—2,294 shares under Vesting RSUs; current directors and executive officers as a group (14 persons)—29,278 shares under Vesting RSUs.</w:t>
      </w:r>
    </w:p>
    <w:p>
      <w:pPr>
        <w:spacing w:after="0" w:line="175" w:lineRule="exact"/>
        <w:rPr>
          <w:rFonts w:ascii="Arial" w:cs="Arial" w:eastAsia="Arial" w:hAnsi="Arial"/>
          <w:sz w:val="16"/>
          <w:szCs w:val="16"/>
          <w:color w:val="191919"/>
        </w:rPr>
      </w:pPr>
    </w:p>
    <w:p>
      <w:pPr>
        <w:jc w:val="both"/>
        <w:ind w:left="1680" w:right="80"/>
        <w:spacing w:after="0" w:line="294" w:lineRule="auto"/>
        <w:rPr>
          <w:rFonts w:ascii="Arial" w:cs="Arial" w:eastAsia="Arial" w:hAnsi="Arial"/>
          <w:sz w:val="16"/>
          <w:szCs w:val="16"/>
          <w:color w:val="191919"/>
        </w:rPr>
      </w:pPr>
      <w:r>
        <w:rPr>
          <w:rFonts w:ascii="Arial" w:cs="Arial" w:eastAsia="Arial" w:hAnsi="Arial"/>
          <w:sz w:val="16"/>
          <w:szCs w:val="16"/>
          <w:color w:val="191919"/>
        </w:rPr>
        <w:t>The table does not reflect the number of shares of Company common stock to be issued pursuant to unvested restricted stock units (the “Unvested RSUs”) that are not scheduled to vest within sixty (60) days of March 12, 2020, as follows: Mr. Batey—2,521 shares under Unvested RSUs; Mr. Bori—41,152 shares under Unvested RSUs; Mr. Griffin—93,068 shares under Unvested RSUs; Mr. Sennesael— 51,848 shares under Unvested RSUs; Ms. Stevenson—1,344 shares under Unvested RSUs; Mr. Terry—32,216 shares under Unvested RSUs; current directors and executive officers as a group (14 persons)—250,390 shares under Unvested RSUs.</w:t>
      </w:r>
    </w:p>
    <w:p>
      <w:pPr>
        <w:spacing w:after="0" w:line="196" w:lineRule="exact"/>
        <w:rPr>
          <w:rFonts w:ascii="Arial" w:cs="Arial" w:eastAsia="Arial" w:hAnsi="Arial"/>
          <w:sz w:val="16"/>
          <w:szCs w:val="16"/>
          <w:color w:val="191919"/>
        </w:rPr>
      </w:pPr>
    </w:p>
    <w:p>
      <w:pPr>
        <w:ind w:left="1680" w:right="20" w:hanging="549"/>
        <w:spacing w:after="0" w:line="282" w:lineRule="auto"/>
        <w:tabs>
          <w:tab w:leader="none" w:pos="1680" w:val="left"/>
        </w:tabs>
        <w:numPr>
          <w:ilvl w:val="0"/>
          <w:numId w:val="76"/>
        </w:numPr>
        <w:rPr>
          <w:rFonts w:ascii="Arial" w:cs="Arial" w:eastAsia="Arial" w:hAnsi="Arial"/>
          <w:sz w:val="16"/>
          <w:szCs w:val="16"/>
          <w:color w:val="191919"/>
        </w:rPr>
      </w:pPr>
      <w:r>
        <w:rPr>
          <w:rFonts w:ascii="Arial" w:cs="Arial" w:eastAsia="Arial" w:hAnsi="Arial"/>
          <w:sz w:val="16"/>
          <w:szCs w:val="16"/>
          <w:color w:val="191919"/>
        </w:rPr>
        <w:t>Consists of shares beneficially owned by The Vanguard Group, Inc. (“Vanguard”), which has sole voting power with respect to 252,011 shares, shared voting power with respect to 45,766 shares, sole dispositive power with respect to 18,624,467 shares and shared dispositive power with respect to 284,844 shares. Vanguard Fiduciary Trust Company, a wholly owned subsidiary of Vanguard, is the beneficial owner of 193,126 shares as a result of its serving as investment manager of collective trust accounts. Vanguard Investments Australia, Ltd., a wholly owned subsidiary of Vanguard, is the beneficial owner of 147,691 shares as a result of its serving as investment manager of Australian investment offerings. With respect to the information relating to Vanguard, the Company has relied on information supplied by Vanguard on a Schedule 13G/A filed with the SEC on February 12, 2020. The address of Vanguard is 100 Vanguard Blvd., Malvern, PA 19355.</w:t>
      </w:r>
    </w:p>
    <w:p>
      <w:pPr>
        <w:spacing w:after="0" w:line="12" w:lineRule="exact"/>
        <w:rPr>
          <w:rFonts w:ascii="Arial" w:cs="Arial" w:eastAsia="Arial" w:hAnsi="Arial"/>
          <w:sz w:val="16"/>
          <w:szCs w:val="16"/>
          <w:color w:val="191919"/>
        </w:rPr>
      </w:pPr>
    </w:p>
    <w:p>
      <w:pPr>
        <w:ind w:left="1680" w:right="140" w:hanging="549"/>
        <w:spacing w:after="0" w:line="282" w:lineRule="auto"/>
        <w:tabs>
          <w:tab w:leader="none" w:pos="1680" w:val="left"/>
        </w:tabs>
        <w:numPr>
          <w:ilvl w:val="0"/>
          <w:numId w:val="76"/>
        </w:numPr>
        <w:rPr>
          <w:rFonts w:ascii="Arial" w:cs="Arial" w:eastAsia="Arial" w:hAnsi="Arial"/>
          <w:sz w:val="16"/>
          <w:szCs w:val="16"/>
          <w:color w:val="191919"/>
        </w:rPr>
      </w:pPr>
      <w:r>
        <w:rPr>
          <w:rFonts w:ascii="Arial" w:cs="Arial" w:eastAsia="Arial" w:hAnsi="Arial"/>
          <w:sz w:val="16"/>
          <w:szCs w:val="16"/>
          <w:color w:val="191919"/>
        </w:rPr>
        <w:t>Consists of shares beneficially owned by BlackRock, Inc. (“BlackRock”), in its capacity as a parent holding company of various subsidiaries under Rule 13d-1(b)(1)(ii)(G). In its capacity as a parent holding company or control person, BlackRock has sole voting power with respect to 11,762,673 shares and sole dispositive power with respect to 13,702,500 shares which are held by the following of its subsidiaries: BlackRock Life Limited, BlackRock International Limited, BlackRock Advisors, LLC,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Asset Management Deutschland AG, BlackRock (Luxembourg) S.A., BlackRock Investment Management (Australia) Limited, BlackRock Advisors (UK) Limited, BlackRock Fund Advisors, BlackRock Asset Management North Asia Limited, BlackRock (Singapore) Limited, and BlackRock Fund Managers Ltd. With respect to the information relating to BlackRock and its affiliated entities, the Company has relied on information supplied by BlackRock on a Schedule 13G/A filed with the SEC on February 6, 2020. The address of BlackRock is 55 East 52nd Street, New York, NY 10055.</w:t>
      </w:r>
    </w:p>
    <w:p>
      <w:pPr>
        <w:spacing w:after="0" w:line="11" w:lineRule="exact"/>
        <w:rPr>
          <w:rFonts w:ascii="Arial" w:cs="Arial" w:eastAsia="Arial" w:hAnsi="Arial"/>
          <w:sz w:val="16"/>
          <w:szCs w:val="16"/>
          <w:color w:val="191919"/>
        </w:rPr>
      </w:pPr>
    </w:p>
    <w:p>
      <w:pPr>
        <w:ind w:left="1680" w:right="20" w:hanging="549"/>
        <w:spacing w:after="0" w:line="251" w:lineRule="auto"/>
        <w:tabs>
          <w:tab w:leader="none" w:pos="1680" w:val="left"/>
        </w:tabs>
        <w:numPr>
          <w:ilvl w:val="0"/>
          <w:numId w:val="76"/>
        </w:numPr>
        <w:rPr>
          <w:rFonts w:ascii="Arial" w:cs="Arial" w:eastAsia="Arial" w:hAnsi="Arial"/>
          <w:sz w:val="18"/>
          <w:szCs w:val="18"/>
          <w:color w:val="191919"/>
        </w:rPr>
      </w:pPr>
      <w:r>
        <w:rPr>
          <w:rFonts w:ascii="Arial" w:cs="Arial" w:eastAsia="Arial" w:hAnsi="Arial"/>
          <w:sz w:val="18"/>
          <w:szCs w:val="18"/>
          <w:color w:val="191919"/>
        </w:rPr>
        <w:t>Consists of shares beneficially owned by Capital Research Global Investors (“Capital Research”), a division of Capital Research and Management Company. Capital Research has sole voting power and sole dispositive power with respect to 8,802,918 shares. With respect to the information relating to Capital Research, the Company has relied on information supplied by Capital Research on a Schedule 13G/A filed with the SEC on February 14, 2019. The address of Capital Research is 333 South Hope Street, Los Angeles, CA 90071.</w:t>
      </w:r>
    </w:p>
    <w:p>
      <w:pPr>
        <w:spacing w:after="0" w:line="24" w:lineRule="exact"/>
        <w:rPr>
          <w:rFonts w:ascii="Arial" w:cs="Arial" w:eastAsia="Arial" w:hAnsi="Arial"/>
          <w:sz w:val="18"/>
          <w:szCs w:val="18"/>
          <w:color w:val="191919"/>
        </w:rPr>
      </w:pPr>
    </w:p>
    <w:p>
      <w:pPr>
        <w:ind w:left="1680" w:hanging="549"/>
        <w:spacing w:after="0"/>
        <w:tabs>
          <w:tab w:leader="none" w:pos="1680" w:val="left"/>
        </w:tabs>
        <w:numPr>
          <w:ilvl w:val="0"/>
          <w:numId w:val="76"/>
        </w:numPr>
        <w:rPr>
          <w:rFonts w:ascii="Arial" w:cs="Arial" w:eastAsia="Arial" w:hAnsi="Arial"/>
          <w:sz w:val="18"/>
          <w:szCs w:val="18"/>
          <w:color w:val="191919"/>
        </w:rPr>
      </w:pPr>
      <w:r>
        <w:rPr>
          <w:rFonts w:ascii="Arial" w:cs="Arial" w:eastAsia="Arial" w:hAnsi="Arial"/>
          <w:sz w:val="18"/>
          <w:szCs w:val="18"/>
          <w:color w:val="191919"/>
        </w:rPr>
        <w:t>Includes shares held in the Company’s 401(k) Savings and Investment Plan as of March 12, 2020.</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80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6130"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16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FFFFFE"/>
        </w:rPr>
        <w:t>Other Proposed Action</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191919"/>
        </w:rPr>
        <w:t>As of the date of this Proxy Statement, the directors know of no other business that is expected to come before the Annual Meeting. However, if any other business should be properly presented to the Annual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191919"/>
        </w:rPr>
        <w:t>Meeting, the persons named as proxies will vote in accordance with their judgment with respect to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397510</wp:posOffset>
            </wp:positionV>
            <wp:extent cx="7132320" cy="4546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spacing w:after="0" w:line="441" w:lineRule="exact"/>
        <w:rPr>
          <w:sz w:val="20"/>
          <w:szCs w:val="20"/>
          <w:color w:val="auto"/>
        </w:rPr>
      </w:pPr>
    </w:p>
    <w:p>
      <w:pPr>
        <w:sectPr>
          <w:pgSz w:w="11900" w:h="16838" w:orient="portrait"/>
          <w:cols w:equalWidth="0" w:num="2">
            <w:col w:w="5240" w:space="720"/>
            <w:col w:w="5280"/>
          </w:cols>
          <w:pgMar w:left="320" w:top="131" w:right="339" w:bottom="1440" w:gutter="0" w:footer="0" w:header="0"/>
          <w:type w:val="continuous"/>
        </w:sect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30"/>
          <w:szCs w:val="30"/>
          <w:b w:val="1"/>
          <w:bCs w:val="1"/>
          <w:color w:val="FFFFFE"/>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02568A"/>
        </w:rPr>
        <w:t>Delinquent Section 16(a) Reports</w:t>
      </w:r>
    </w:p>
    <w:p>
      <w:pPr>
        <w:spacing w:after="0" w:line="200" w:lineRule="exact"/>
        <w:rPr>
          <w:sz w:val="20"/>
          <w:szCs w:val="20"/>
          <w:color w:val="auto"/>
        </w:rPr>
      </w:pPr>
    </w:p>
    <w:p>
      <w:pPr>
        <w:spacing w:after="0" w:line="261" w:lineRule="exact"/>
        <w:rPr>
          <w:sz w:val="20"/>
          <w:szCs w:val="20"/>
          <w:color w:val="auto"/>
        </w:rPr>
      </w:pPr>
    </w:p>
    <w:p>
      <w:pPr>
        <w:spacing w:after="0" w:line="290" w:lineRule="auto"/>
        <w:rPr>
          <w:sz w:val="20"/>
          <w:szCs w:val="20"/>
          <w:color w:val="auto"/>
        </w:rPr>
      </w:pPr>
      <w:r>
        <w:rPr>
          <w:rFonts w:ascii="Arial" w:cs="Arial" w:eastAsia="Arial" w:hAnsi="Arial"/>
          <w:sz w:val="16"/>
          <w:szCs w:val="16"/>
          <w:color w:val="191919"/>
        </w:rPr>
        <w:t>Section 16(a) of the Exchange Act requires our directors, executive officers and beneficial owners of more than 10% of our equity securities to file reports of holdings and transactions in securities of Skyworks with the SEC. Based solely on a review of Forms 3, 4, and 5, and any amendments thereto furnished to us, and written representations provided to us, with respect to fiscal year 2019, we believe that all Section 16(a) filing requirements applicable to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91" w:lineRule="auto"/>
        <w:rPr>
          <w:sz w:val="20"/>
          <w:szCs w:val="20"/>
          <w:color w:val="auto"/>
        </w:rPr>
      </w:pPr>
      <w:r>
        <w:rPr>
          <w:rFonts w:ascii="Arial" w:cs="Arial" w:eastAsia="Arial" w:hAnsi="Arial"/>
          <w:sz w:val="16"/>
          <w:szCs w:val="16"/>
          <w:color w:val="191919"/>
        </w:rPr>
        <w:t>directors, executive officers and beneficial owners of more than 10% of the Company’s common stock with respect to such fiscal year were timely made, with the exception of two late Form 4 filings made by Mr. Furey: the first on June 18, 2019, to report a transaction dated as of June 13, 2019, and the second on September 17, 2019, to report a transaction dated as of September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389890</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7" w:lineRule="exact"/>
        <w:rPr>
          <w:sz w:val="20"/>
          <w:szCs w:val="20"/>
          <w:color w:val="auto"/>
        </w:rPr>
      </w:pPr>
    </w:p>
    <w:p>
      <w:pPr>
        <w:sectPr>
          <w:pgSz w:w="11900" w:h="16838" w:orient="portrait"/>
          <w:cols w:equalWidth="0" w:num="2">
            <w:col w:w="5260" w:space="700"/>
            <w:col w:w="5280"/>
          </w:cols>
          <w:pgMar w:left="320" w:top="131" w:right="339"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32"/>
          <w:szCs w:val="32"/>
          <w:b w:val="1"/>
          <w:bCs w:val="1"/>
          <w:color w:val="02568A"/>
        </w:rPr>
        <w:t>Solicitation Expenses</w:t>
      </w:r>
    </w:p>
    <w:p>
      <w:pPr>
        <w:spacing w:after="0" w:line="200" w:lineRule="exact"/>
        <w:rPr>
          <w:sz w:val="20"/>
          <w:szCs w:val="20"/>
          <w:color w:val="auto"/>
        </w:rPr>
      </w:pPr>
    </w:p>
    <w:p>
      <w:pPr>
        <w:spacing w:after="0" w:line="261" w:lineRule="exact"/>
        <w:rPr>
          <w:sz w:val="20"/>
          <w:szCs w:val="20"/>
          <w:color w:val="auto"/>
        </w:rPr>
      </w:pPr>
    </w:p>
    <w:p>
      <w:pPr>
        <w:spacing w:after="0" w:line="291" w:lineRule="auto"/>
        <w:rPr>
          <w:sz w:val="20"/>
          <w:szCs w:val="20"/>
          <w:color w:val="auto"/>
        </w:rPr>
      </w:pPr>
      <w:r>
        <w:rPr>
          <w:rFonts w:ascii="Arial" w:cs="Arial" w:eastAsia="Arial" w:hAnsi="Arial"/>
          <w:sz w:val="16"/>
          <w:szCs w:val="16"/>
          <w:color w:val="191919"/>
        </w:rPr>
        <w:t>Skyworks will bear the expenses of the preparation of the proxy materials and the solicitation by the Board of Directors of proxies. Proxies may be solicited on behalf of the Company in person or by telephone, e-mail, facsimile, or other electronic means by directors, officers, or employees of the Company, who will receive no additional compensation for any such services. We have retained D.F. King &amp; Co. to assist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191919"/>
        </w:rPr>
        <w:t>the solicitation of proxies, at a total cost to the Company of approximately $30,000 to $40,000. This increase in expense from prior years results from the Company’s decision to solicit stockholder votes for the Annual Meeting more actively than it has done so in the past, as described above under “</w:t>
      </w:r>
      <w:r>
        <w:rPr>
          <w:rFonts w:ascii="Arial" w:cs="Arial" w:eastAsia="Arial" w:hAnsi="Arial"/>
          <w:sz w:val="16"/>
          <w:szCs w:val="16"/>
          <w:i w:val="1"/>
          <w:iCs w:val="1"/>
          <w:color w:val="191919"/>
        </w:rPr>
        <w:t>Introduction to Proposals 5-8: Elimination of Supermajority Vote</w:t>
      </w:r>
      <w:r>
        <w:rPr>
          <w:rFonts w:ascii="Arial" w:cs="Arial" w:eastAsia="Arial" w:hAnsi="Arial"/>
          <w:sz w:val="16"/>
          <w:szCs w:val="16"/>
          <w:color w:val="191919"/>
        </w:rPr>
        <w:t xml:space="preserve"> </w:t>
      </w:r>
      <w:r>
        <w:rPr>
          <w:rFonts w:ascii="Arial" w:cs="Arial" w:eastAsia="Arial" w:hAnsi="Arial"/>
          <w:sz w:val="16"/>
          <w:szCs w:val="16"/>
          <w:i w:val="1"/>
          <w:iCs w:val="1"/>
          <w:color w:val="191919"/>
        </w:rPr>
        <w:t>Provisions from Our Charter</w:t>
      </w:r>
      <w:r>
        <w:rPr>
          <w:rFonts w:ascii="Arial" w:cs="Arial" w:eastAsia="Arial" w:hAnsi="Arial"/>
          <w:sz w:val="16"/>
          <w:szCs w:val="16"/>
          <w:color w:val="19191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252730</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280"/>
          </w:cols>
          <w:pgMar w:left="320" w:top="131" w:right="33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02568A"/>
        </w:rPr>
        <w:t>Electronic Delivery of Proxy Materials</w:t>
      </w:r>
    </w:p>
    <w:p>
      <w:pPr>
        <w:spacing w:after="0" w:line="200" w:lineRule="exact"/>
        <w:rPr>
          <w:sz w:val="20"/>
          <w:szCs w:val="20"/>
          <w:color w:val="auto"/>
        </w:rPr>
      </w:pPr>
    </w:p>
    <w:p>
      <w:pPr>
        <w:spacing w:after="0" w:line="2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191919"/>
        </w:rPr>
        <w:t>We are able to distribute our Annual Report and this Proxy Statement to our stockholders in a fast and efficient manner via the Internet. This reduces the amount of paper delivered to a stockholder’s address. Stockholders may elect to view all future annual reports, proxy statements, and notices on the Internet instead of receiving them by mail. You may make this election when voting your proxy this year. Simply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525145</wp:posOffset>
            </wp:positionV>
            <wp:extent cx="71361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94" w:lineRule="auto"/>
        <w:rPr>
          <w:sz w:val="20"/>
          <w:szCs w:val="20"/>
          <w:color w:val="auto"/>
        </w:rPr>
      </w:pPr>
      <w:r>
        <w:rPr>
          <w:rFonts w:ascii="Arial" w:cs="Arial" w:eastAsia="Arial" w:hAnsi="Arial"/>
          <w:sz w:val="16"/>
          <w:szCs w:val="16"/>
          <w:color w:val="191919"/>
        </w:rPr>
        <w:t>follow the instructions to vote via the Internet to register your consent. Your election to view proxy materials online is perpetual unless you revoke it later. Future proxy cards will contain the Internet website address and instructions to view the materials. You will continue to have the option to vote your shares by telephone, mail, or via the Internet.</w:t>
      </w: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Proxy Statement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81</w:t>
      </w:r>
    </w:p>
    <w:p>
      <w:pPr>
        <w:sectPr>
          <w:pgSz w:w="11900" w:h="16838" w:orient="portrait"/>
          <w:cols w:equalWidth="0" w:num="2">
            <w:col w:w="5340" w:space="620"/>
            <w:col w:w="5280"/>
          </w:cols>
          <w:pgMar w:left="320" w:top="131" w:right="3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02568A"/>
        </w:rPr>
        <w:t>Annual Report on Form 10-K and Stockholder List</w:t>
      </w:r>
    </w:p>
    <w:p>
      <w:pPr>
        <w:sectPr>
          <w:pgSz w:w="11900" w:h="16838" w:orient="portrait"/>
          <w:cols w:equalWidth="0" w:num="1">
            <w:col w:w="11180"/>
          </w:cols>
          <w:pgMar w:left="320" w:top="131" w:right="39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191919"/>
        </w:rPr>
        <w:t xml:space="preserve">A copy of our 2019 Annual Report accompanies this Proxy Statement. You also may obtain, free of charge, a copy of the Company’s Annual Report on Form 10-K for fiscal year 2019, as filed with the SEC, via the Company’s website at </w:t>
      </w:r>
      <w:r>
        <w:rPr>
          <w:rFonts w:ascii="Arial" w:cs="Arial" w:eastAsia="Arial" w:hAnsi="Arial"/>
          <w:sz w:val="16"/>
          <w:szCs w:val="16"/>
          <w:color w:val="275F90"/>
        </w:rPr>
        <w:t>www.skyworksinc.com</w:t>
      </w:r>
      <w:r>
        <w:rPr>
          <w:rFonts w:ascii="Arial" w:cs="Arial" w:eastAsia="Arial" w:hAnsi="Arial"/>
          <w:sz w:val="16"/>
          <w:szCs w:val="16"/>
          <w:color w:val="191919"/>
        </w:rPr>
        <w:t>, or upon written request addressed to Investor Relations: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191919"/>
        </w:rPr>
        <w:t>Skyworks Solutions,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191919"/>
        </w:rPr>
        <w:t>5221 California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91919"/>
        </w:rPr>
        <w:t>Irvine, CA 92617</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8"/>
          <w:szCs w:val="18"/>
          <w:color w:val="191919"/>
        </w:rPr>
        <w:t>A list of stockholders of record as of March 12, 2020, will be available for inspection during ordinary business hours at our executive offices in Irvine, CA, from April 24, 2020, to May 6, 2020, as well as online during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267335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220"/>
          </w:cols>
          <w:pgMar w:left="320" w:top="131" w:right="39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32"/>
          <w:szCs w:val="32"/>
          <w:b w:val="1"/>
          <w:bCs w:val="1"/>
          <w:color w:val="02568A"/>
        </w:rPr>
        <w:t>Stockholder Proposals</w:t>
      </w:r>
    </w:p>
    <w:p>
      <w:pPr>
        <w:spacing w:after="0" w:line="200" w:lineRule="exact"/>
        <w:rPr>
          <w:sz w:val="20"/>
          <w:szCs w:val="20"/>
          <w:color w:val="auto"/>
        </w:rPr>
      </w:pPr>
    </w:p>
    <w:p>
      <w:pPr>
        <w:spacing w:after="0" w:line="26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191919"/>
        </w:rPr>
        <w:t>Proposals to be considered for inclusion in the proxy materials for the Company’s 2021 Annual Meeting of Stockholders pursuant to Rule 14a-8 under the Exchange Act must meet the requirements of Rule 14a-8 and be delivered in writing to the General Counsel and Secretary of the Company at its executive offices at 5221 California Avenue, Irvine, CA 92617, no later than November 27, 2020. The submission of a stockholder proposal does not guarantee that it will be included in the proxy materials for the Company’s 2021 Annual Meeting.</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color w:val="191919"/>
        </w:rPr>
        <w:t>According to the applicable provisions of our By-laws, if a stockholder wishes to present a proposal at our 2021 Annual Meeting outside the processes of Rule 14a-8, with such proposal not to be considered for inclusion in the proxy materials for such meeting, then the stockholder must give written notice to the Secretary of the Company at the address noted above no earlier than the close of business on January 6, 2021, and no later than the close of business on February 5, 2021. In the event that the 2021 Annual Meeting is held more than thirty (30) days before or after the first anniversary of the Company’s 2020 Annual Meeting, then the required notice must be delivered in writing to the Secretary of the Company at the address above no earlier than 120 days prior to the date of the 2021 Annual Meeting and no later than the later of 90 days prior to the 2021 Annual Meeting or the 10th day following the day on which the public announcement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191919"/>
        </w:rPr>
        <w:t>of the date of the 2021 Annual Meeting is first made by the Company. A proposal that is submitted outside of these time periods will not be considered to be timely and, pursuant to Rule 14a-4(c)(1) under the Exchange Act and if a stockholder properly brings the proposal before the meeting, the proxies that management solicits for that meeting will have “discretionary” authority to vote on the stockholder’s proposal. Even if a stockholder makes timely notification, the proxies may still exercise “discretionary” authority in accordance with the SEC’s proxy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3351530" cy="24257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51530" cy="242570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both"/>
        <w:ind w:left="180" w:right="240"/>
        <w:spacing w:after="0" w:line="306" w:lineRule="auto"/>
        <w:rPr>
          <w:sz w:val="20"/>
          <w:szCs w:val="20"/>
          <w:color w:val="auto"/>
        </w:rPr>
      </w:pPr>
      <w:r>
        <w:rPr>
          <w:rFonts w:ascii="Arial" w:cs="Arial" w:eastAsia="Arial" w:hAnsi="Arial"/>
          <w:sz w:val="16"/>
          <w:szCs w:val="16"/>
          <w:color w:val="02568A"/>
        </w:rPr>
        <w:t>Our board of directors encourages stockholders to attend the Annual Meeting online. Whether or not you plan to attend, you are urged to submit a proxy promptly in one of the following ways:</w:t>
      </w:r>
    </w:p>
    <w:p>
      <w:pPr>
        <w:spacing w:after="0" w:line="187" w:lineRule="exact"/>
        <w:rPr>
          <w:sz w:val="20"/>
          <w:szCs w:val="20"/>
          <w:color w:val="auto"/>
        </w:rPr>
      </w:pPr>
    </w:p>
    <w:p>
      <w:pPr>
        <w:ind w:left="720" w:right="200" w:hanging="539"/>
        <w:spacing w:after="0" w:line="252" w:lineRule="auto"/>
        <w:tabs>
          <w:tab w:leader="none" w:pos="720" w:val="left"/>
        </w:tabs>
        <w:numPr>
          <w:ilvl w:val="0"/>
          <w:numId w:val="77"/>
        </w:numPr>
        <w:rPr>
          <w:rFonts w:ascii="Arial" w:cs="Arial" w:eastAsia="Arial" w:hAnsi="Arial"/>
          <w:sz w:val="18"/>
          <w:szCs w:val="18"/>
          <w:color w:val="02568A"/>
        </w:rPr>
      </w:pPr>
      <w:r>
        <w:rPr>
          <w:rFonts w:ascii="Arial" w:cs="Arial" w:eastAsia="Arial" w:hAnsi="Arial"/>
          <w:sz w:val="18"/>
          <w:szCs w:val="18"/>
          <w:color w:val="02568A"/>
        </w:rPr>
        <w:t>by completing, signing, and dating the proxy card and returning it in the postage-prepaid envelope provided for that purpose;</w:t>
      </w:r>
    </w:p>
    <w:p>
      <w:pPr>
        <w:spacing w:after="0" w:line="9" w:lineRule="exact"/>
        <w:rPr>
          <w:rFonts w:ascii="Arial" w:cs="Arial" w:eastAsia="Arial" w:hAnsi="Arial"/>
          <w:sz w:val="18"/>
          <w:szCs w:val="18"/>
          <w:color w:val="02568A"/>
        </w:rPr>
      </w:pPr>
    </w:p>
    <w:p>
      <w:pPr>
        <w:ind w:left="720" w:right="280" w:hanging="539"/>
        <w:spacing w:after="0" w:line="285" w:lineRule="auto"/>
        <w:tabs>
          <w:tab w:leader="none" w:pos="720" w:val="left"/>
        </w:tabs>
        <w:numPr>
          <w:ilvl w:val="0"/>
          <w:numId w:val="77"/>
        </w:numPr>
        <w:rPr>
          <w:rFonts w:ascii="Arial" w:cs="Arial" w:eastAsia="Arial" w:hAnsi="Arial"/>
          <w:sz w:val="16"/>
          <w:szCs w:val="16"/>
          <w:color w:val="02568A"/>
        </w:rPr>
      </w:pPr>
      <w:r>
        <w:rPr>
          <w:rFonts w:ascii="Arial" w:cs="Arial" w:eastAsia="Arial" w:hAnsi="Arial"/>
          <w:sz w:val="16"/>
          <w:szCs w:val="16"/>
          <w:color w:val="02568A"/>
        </w:rPr>
        <w:t>by completing and submitting your proxy using the toll-free telephone number listed on the proxy card; or</w:t>
      </w:r>
    </w:p>
    <w:p>
      <w:pPr>
        <w:spacing w:after="0" w:line="8" w:lineRule="exact"/>
        <w:rPr>
          <w:rFonts w:ascii="Arial" w:cs="Arial" w:eastAsia="Arial" w:hAnsi="Arial"/>
          <w:sz w:val="16"/>
          <w:szCs w:val="16"/>
          <w:color w:val="02568A"/>
        </w:rPr>
      </w:pPr>
    </w:p>
    <w:p>
      <w:pPr>
        <w:ind w:left="720" w:right="260" w:hanging="539"/>
        <w:spacing w:after="0" w:line="331" w:lineRule="auto"/>
        <w:tabs>
          <w:tab w:leader="none" w:pos="720" w:val="left"/>
        </w:tabs>
        <w:numPr>
          <w:ilvl w:val="0"/>
          <w:numId w:val="77"/>
        </w:numPr>
        <w:rPr>
          <w:rFonts w:ascii="Arial" w:cs="Arial" w:eastAsia="Arial" w:hAnsi="Arial"/>
          <w:sz w:val="16"/>
          <w:szCs w:val="16"/>
          <w:color w:val="02568A"/>
        </w:rPr>
      </w:pPr>
      <w:r>
        <w:rPr>
          <w:rFonts w:ascii="Arial" w:cs="Arial" w:eastAsia="Arial" w:hAnsi="Arial"/>
          <w:sz w:val="16"/>
          <w:szCs w:val="16"/>
          <w:color w:val="02568A"/>
        </w:rPr>
        <w:t>by completing and submitting your proxy via the Internet by visiting the website address listed on the proxy card.</w:t>
      </w:r>
    </w:p>
    <w:p>
      <w:pPr>
        <w:spacing w:after="0" w:line="141" w:lineRule="exact"/>
        <w:rPr>
          <w:sz w:val="20"/>
          <w:szCs w:val="20"/>
          <w:color w:val="auto"/>
        </w:rPr>
      </w:pPr>
    </w:p>
    <w:p>
      <w:pPr>
        <w:ind w:left="180" w:right="720"/>
        <w:spacing w:after="0" w:line="331" w:lineRule="auto"/>
        <w:rPr>
          <w:sz w:val="20"/>
          <w:szCs w:val="20"/>
          <w:color w:val="auto"/>
        </w:rPr>
      </w:pPr>
      <w:r>
        <w:rPr>
          <w:rFonts w:ascii="Arial" w:cs="Arial" w:eastAsia="Arial" w:hAnsi="Arial"/>
          <w:sz w:val="16"/>
          <w:szCs w:val="16"/>
          <w:color w:val="02568A"/>
        </w:rPr>
        <w:t>A prompt response will greatly facilitate arrangements for the meeting and your cooperation will be appreciated.</w:t>
      </w:r>
    </w:p>
    <w:p>
      <w:pPr>
        <w:spacing w:after="0" w:line="200" w:lineRule="exact"/>
        <w:rPr>
          <w:sz w:val="20"/>
          <w:szCs w:val="20"/>
          <w:color w:val="auto"/>
        </w:rPr>
      </w:pPr>
    </w:p>
    <w:p>
      <w:pPr>
        <w:sectPr>
          <w:pgSz w:w="11900" w:h="16838" w:orient="portrait"/>
          <w:cols w:equalWidth="0" w:num="2">
            <w:col w:w="5240" w:space="720"/>
            <w:col w:w="5220"/>
          </w:cols>
          <w:pgMar w:left="320" w:top="131" w:right="399" w:bottom="1440" w:gutter="0" w:footer="0" w:header="0"/>
          <w:type w:val="continuous"/>
        </w:sect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000001"/>
        </w:rPr>
        <w:t xml:space="preserve">Page 82 </w:t>
      </w:r>
      <w:r>
        <w:rPr>
          <w:rFonts w:ascii="Arial" w:cs="Arial" w:eastAsia="Arial" w:hAnsi="Arial"/>
          <w:sz w:val="15"/>
          <w:szCs w:val="15"/>
          <w:b w:val="1"/>
          <w:bCs w:val="1"/>
          <w:color w:val="000001"/>
        </w:rPr>
        <w:t>|</w:t>
      </w:r>
      <w:r>
        <w:rPr>
          <w:rFonts w:ascii="Arial" w:cs="Arial" w:eastAsia="Arial" w:hAnsi="Arial"/>
          <w:sz w:val="16"/>
          <w:szCs w:val="16"/>
          <w:b w:val="1"/>
          <w:bCs w:val="1"/>
          <w:color w:val="000001"/>
        </w:rPr>
        <w:t xml:space="preserve"> </w:t>
      </w:r>
      <w:r>
        <w:rPr>
          <w:rFonts w:ascii="Arial" w:cs="Arial" w:eastAsia="Arial" w:hAnsi="Arial"/>
          <w:sz w:val="16"/>
          <w:szCs w:val="16"/>
          <w:color w:val="000001"/>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7136130"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ind w:left="60"/>
        <w:spacing w:after="0"/>
        <w:rPr>
          <w:sz w:val="20"/>
          <w:szCs w:val="20"/>
          <w:color w:val="auto"/>
        </w:rPr>
      </w:pPr>
      <w:r>
        <w:rPr>
          <w:rFonts w:ascii="Arial" w:cs="Arial" w:eastAsia="Arial" w:hAnsi="Arial"/>
          <w:sz w:val="24"/>
          <w:szCs w:val="24"/>
          <w:b w:val="1"/>
          <w:bCs w:val="1"/>
          <w:color w:val="02568A"/>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175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FFFFFE"/>
        </w:rPr>
        <w:t>Provisions of Charter Subject to Potential Amendment</w:t>
      </w:r>
    </w:p>
    <w:p>
      <w:pPr>
        <w:spacing w:after="0" w:line="31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191919"/>
        </w:rPr>
        <w:t xml:space="preserve">The following provisions of our Charter are those implicated by Proposals 5-8. In this </w:t>
      </w:r>
      <w:r>
        <w:rPr>
          <w:rFonts w:ascii="Arial" w:cs="Arial" w:eastAsia="Arial" w:hAnsi="Arial"/>
          <w:sz w:val="18"/>
          <w:szCs w:val="18"/>
          <w:i w:val="1"/>
          <w:iCs w:val="1"/>
          <w:color w:val="191919"/>
        </w:rPr>
        <w:t>Appendix A</w:t>
      </w:r>
      <w:r>
        <w:rPr>
          <w:rFonts w:ascii="Arial" w:cs="Arial" w:eastAsia="Arial" w:hAnsi="Arial"/>
          <w:sz w:val="18"/>
          <w:szCs w:val="18"/>
          <w:color w:val="191919"/>
        </w:rPr>
        <w:t>, deletions and additions that would be effected by the proposed amendments are indicated by strikethroughs and underlining,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SEVENTH</w:t>
      </w:r>
      <w:r>
        <w:rPr>
          <w:rFonts w:ascii="Arial" w:cs="Arial" w:eastAsia="Arial" w:hAnsi="Arial"/>
          <w:sz w:val="22"/>
          <w:szCs w:val="22"/>
          <w:color w:val="191919"/>
        </w:rPr>
        <w:t>:</w:t>
      </w:r>
    </w:p>
    <w:p>
      <w:pPr>
        <w:spacing w:after="0" w:line="225" w:lineRule="exact"/>
        <w:rPr>
          <w:sz w:val="20"/>
          <w:szCs w:val="20"/>
          <w:color w:val="auto"/>
        </w:rPr>
      </w:pPr>
    </w:p>
    <w:p>
      <w:pPr>
        <w:jc w:val="both"/>
        <w:ind w:right="160" w:firstLine="8"/>
        <w:spacing w:after="0" w:line="306" w:lineRule="auto"/>
        <w:tabs>
          <w:tab w:leader="none" w:pos="348" w:val="left"/>
        </w:tabs>
        <w:numPr>
          <w:ilvl w:val="0"/>
          <w:numId w:val="78"/>
        </w:numPr>
        <w:rPr>
          <w:rFonts w:ascii="Arial" w:cs="Arial" w:eastAsia="Arial" w:hAnsi="Arial"/>
          <w:sz w:val="16"/>
          <w:szCs w:val="16"/>
          <w:color w:val="191919"/>
        </w:rPr>
      </w:pPr>
      <w:r>
        <w:rPr>
          <w:rFonts w:ascii="Arial" w:cs="Arial" w:eastAsia="Arial" w:hAnsi="Arial"/>
          <w:sz w:val="16"/>
          <w:szCs w:val="16"/>
          <w:color w:val="191919"/>
        </w:rPr>
        <w:t>The business and affairs of the Corporation shall be managed by or under the direction of the Board of Directors. The number of directors shall be fixed from time to time exclusively by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160" w:lineRule="exact"/>
        <w:rPr>
          <w:rFonts w:ascii="Arial" w:cs="Arial" w:eastAsia="Arial" w:hAnsi="Arial"/>
          <w:sz w:val="16"/>
          <w:szCs w:val="16"/>
          <w:color w:val="191919"/>
        </w:rPr>
      </w:pPr>
    </w:p>
    <w:p>
      <w:pPr>
        <w:ind w:right="40" w:firstLine="8"/>
        <w:spacing w:after="0" w:line="288" w:lineRule="auto"/>
        <w:tabs>
          <w:tab w:leader="none" w:pos="351" w:val="left"/>
        </w:tabs>
        <w:numPr>
          <w:ilvl w:val="0"/>
          <w:numId w:val="78"/>
        </w:numPr>
        <w:rPr>
          <w:rFonts w:ascii="Arial" w:cs="Arial" w:eastAsia="Arial" w:hAnsi="Arial"/>
          <w:sz w:val="16"/>
          <w:szCs w:val="16"/>
          <w:color w:val="191919"/>
        </w:rPr>
      </w:pPr>
      <w:r>
        <w:rPr>
          <w:rFonts w:ascii="Arial" w:cs="Arial" w:eastAsia="Arial" w:hAnsi="Arial"/>
          <w:sz w:val="16"/>
          <w:szCs w:val="16"/>
          <w:color w:val="191919"/>
        </w:rPr>
        <w:t>Except as otherwise provided by law and except as hereinafter otherwise provided for filling vacancies, the directors of the Corporation shall be elected at each annual meeting of stockholders. Each director so elected shall hold office until the annual meeting of stockholders following the annual meeting at which such director was elected and until a successor is duly elected and qualified, or until such director’s earlier death, resignation or removal. The terms of office of each director serving the Corporation as of immediately prior to the effectiveness of the filing of this Certificate of Amendment under the General Corporation Law of the State of Delaware (the “Effective Time”) whose term of office did not expire at the 2011 annual meeting of stockholders of the Corporation shall nonetheless expire at the Effective Time, such that the directors elected at the 2011 annual meeting of stockholders of the Corporation effective upon the Effective Time to succeed such directors shall commence their term of office at the Effective Time, for a term expiring at the next annual meeting of stockholders, with each such director to hold office until his or her successor shall have been duly elected and qualified.</w:t>
      </w:r>
    </w:p>
    <w:p>
      <w:pPr>
        <w:spacing w:after="0" w:line="177" w:lineRule="exact"/>
        <w:rPr>
          <w:rFonts w:ascii="Arial" w:cs="Arial" w:eastAsia="Arial" w:hAnsi="Arial"/>
          <w:sz w:val="16"/>
          <w:szCs w:val="16"/>
          <w:color w:val="191919"/>
        </w:rPr>
      </w:pPr>
    </w:p>
    <w:p>
      <w:pPr>
        <w:ind w:right="80" w:firstLine="8"/>
        <w:spacing w:after="0" w:line="298" w:lineRule="auto"/>
        <w:tabs>
          <w:tab w:leader="none" w:pos="348" w:val="left"/>
        </w:tabs>
        <w:numPr>
          <w:ilvl w:val="0"/>
          <w:numId w:val="78"/>
        </w:numPr>
        <w:rPr>
          <w:rFonts w:ascii="Arial" w:cs="Arial" w:eastAsia="Arial" w:hAnsi="Arial"/>
          <w:sz w:val="16"/>
          <w:szCs w:val="16"/>
          <w:color w:val="191919"/>
        </w:rPr>
      </w:pPr>
      <w:r>
        <w:rPr>
          <w:rFonts w:ascii="Arial" w:cs="Arial" w:eastAsia="Arial" w:hAnsi="Arial"/>
          <w:sz w:val="16"/>
          <w:szCs w:val="16"/>
          <w:color w:val="191919"/>
        </w:rPr>
        <w:t>Vacancies resulting from any increase in the authorized number of directors or any vacancies in the Board of Directors resulting from death, resignation, retirement, disqualification, removal from office or other cause may be filled only by a majority vote of the directors then in office, though less than a quorum, or by a sole remaining director and directors so chosen shall hold office for a term expiring at the next annual meeting of stockholders to occur following their election. No decrease in the number of authorized directors shall shorten the term of any incumbent director.</w:t>
      </w:r>
    </w:p>
    <w:p>
      <w:pPr>
        <w:spacing w:after="0" w:line="166" w:lineRule="exact"/>
        <w:rPr>
          <w:rFonts w:ascii="Arial" w:cs="Arial" w:eastAsia="Arial" w:hAnsi="Arial"/>
          <w:sz w:val="16"/>
          <w:szCs w:val="16"/>
          <w:color w:val="191919"/>
        </w:rPr>
      </w:pPr>
    </w:p>
    <w:p>
      <w:pPr>
        <w:ind w:right="420" w:firstLine="8"/>
        <w:spacing w:after="0" w:line="256" w:lineRule="auto"/>
        <w:tabs>
          <w:tab w:leader="none" w:pos="351" w:val="left"/>
        </w:tabs>
        <w:numPr>
          <w:ilvl w:val="0"/>
          <w:numId w:val="78"/>
        </w:numPr>
        <w:rPr>
          <w:rFonts w:ascii="Arial" w:cs="Arial" w:eastAsia="Arial" w:hAnsi="Arial"/>
          <w:sz w:val="18"/>
          <w:szCs w:val="18"/>
          <w:color w:val="191919"/>
        </w:rPr>
      </w:pPr>
      <w:r>
        <w:rPr>
          <w:rFonts w:ascii="Arial" w:cs="Arial" w:eastAsia="Arial" w:hAnsi="Arial"/>
          <w:sz w:val="18"/>
          <w:szCs w:val="18"/>
          <w:color w:val="191919"/>
        </w:rPr>
        <w:t>Subject to the rights of the holders of any series of Preferred Stock or any other series or class of stock, as provided herein or in any Preferred Stock Designation, to elect additional directors under specific circumstances, any director may be removed from office at any time, with or without cause by the affirmative vote of the holders of at least a majority of the shares of all classes of stock of the Corporation entitled to vote for the election of directors, considered for the purposes of this Article Seventh as one class of stock.</w:t>
      </w:r>
    </w:p>
    <w:p>
      <w:pPr>
        <w:spacing w:after="0" w:line="196" w:lineRule="exact"/>
        <w:rPr>
          <w:rFonts w:ascii="Arial" w:cs="Arial" w:eastAsia="Arial" w:hAnsi="Arial"/>
          <w:sz w:val="18"/>
          <w:szCs w:val="18"/>
          <w:color w:val="191919"/>
        </w:rPr>
      </w:pPr>
    </w:p>
    <w:p>
      <w:pPr>
        <w:jc w:val="both"/>
        <w:ind w:right="20" w:firstLine="8"/>
        <w:spacing w:after="0" w:line="306" w:lineRule="auto"/>
        <w:tabs>
          <w:tab w:leader="none" w:pos="351" w:val="left"/>
        </w:tabs>
        <w:numPr>
          <w:ilvl w:val="0"/>
          <w:numId w:val="78"/>
        </w:numPr>
        <w:rPr>
          <w:rFonts w:ascii="Arial" w:cs="Arial" w:eastAsia="Arial" w:hAnsi="Arial"/>
          <w:sz w:val="16"/>
          <w:szCs w:val="16"/>
          <w:color w:val="191919"/>
        </w:rPr>
      </w:pPr>
      <w:r>
        <w:rPr>
          <w:rFonts w:ascii="Arial" w:cs="Arial" w:eastAsia="Arial" w:hAnsi="Arial"/>
          <w:sz w:val="16"/>
          <w:szCs w:val="16"/>
          <w:color w:val="191919"/>
        </w:rPr>
        <w:t>No director of the Corporation shall be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Appendix A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8"/>
        <w:spacing w:after="0" w:line="306" w:lineRule="auto"/>
        <w:tabs>
          <w:tab w:leader="none" w:pos="297" w:val="left"/>
        </w:tabs>
        <w:numPr>
          <w:ilvl w:val="0"/>
          <w:numId w:val="79"/>
        </w:numPr>
        <w:rPr>
          <w:rFonts w:ascii="Arial" w:cs="Arial" w:eastAsia="Arial" w:hAnsi="Arial"/>
          <w:sz w:val="16"/>
          <w:szCs w:val="16"/>
          <w:color w:val="191919"/>
        </w:rPr>
      </w:pPr>
      <w:r>
        <w:rPr>
          <w:rFonts w:ascii="Arial" w:cs="Arial" w:eastAsia="Arial" w:hAnsi="Arial"/>
          <w:sz w:val="16"/>
          <w:szCs w:val="16"/>
          <w:color w:val="191919"/>
        </w:rPr>
        <w:t>for any transaction from which the director derived an improper personal benefit. No repeal or modification of this paragraph, directly or by adoption of an inconsistent provision of this Certificate of Incorporation, by the stockholders of the Corporation shall be effective with respect to any cause of action, suit, claim or other matter that, but for this paragraph, would accrue or arise prior to such repeal or modification.</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TENTH</w:t>
      </w:r>
      <w:r>
        <w:rPr>
          <w:rFonts w:ascii="Arial" w:cs="Arial" w:eastAsia="Arial" w:hAnsi="Arial"/>
          <w:sz w:val="22"/>
          <w:szCs w:val="22"/>
          <w:color w:val="191919"/>
        </w:rPr>
        <w:t>:</w:t>
      </w:r>
    </w:p>
    <w:p>
      <w:pPr>
        <w:spacing w:after="0" w:line="225" w:lineRule="exact"/>
        <w:rPr>
          <w:sz w:val="20"/>
          <w:szCs w:val="20"/>
          <w:color w:val="auto"/>
        </w:rPr>
      </w:pPr>
    </w:p>
    <w:p>
      <w:pPr>
        <w:ind w:right="100" w:firstLine="8"/>
        <w:spacing w:after="0" w:line="331" w:lineRule="auto"/>
        <w:tabs>
          <w:tab w:leader="none" w:pos="341" w:val="left"/>
        </w:tabs>
        <w:numPr>
          <w:ilvl w:val="0"/>
          <w:numId w:val="80"/>
        </w:numPr>
        <w:rPr>
          <w:rFonts w:ascii="Arial" w:cs="Arial" w:eastAsia="Arial" w:hAnsi="Arial"/>
          <w:sz w:val="16"/>
          <w:szCs w:val="16"/>
          <w:color w:val="191919"/>
        </w:rPr>
      </w:pPr>
      <w:r>
        <w:rPr>
          <w:rFonts w:ascii="Arial" w:cs="Arial" w:eastAsia="Arial" w:hAnsi="Arial"/>
          <w:sz w:val="16"/>
          <w:szCs w:val="16"/>
          <w:color w:val="191919"/>
        </w:rPr>
        <w:t>AMENDMENT OF CERTIFICATE OF INCORPORATION. The corporation reserves the right to amend, alter, change or repeal any provision contained in this Certificate of Incorporation, in the manner hereafter set forth, and all rights conferred upon stockholders herein are granted subject to this reservation.</w:t>
      </w:r>
    </w:p>
    <w:p>
      <w:pPr>
        <w:spacing w:after="0" w:line="154" w:lineRule="exact"/>
        <w:rPr>
          <w:rFonts w:ascii="Arial" w:cs="Arial" w:eastAsia="Arial" w:hAnsi="Arial"/>
          <w:sz w:val="16"/>
          <w:szCs w:val="16"/>
          <w:color w:val="191919"/>
        </w:rPr>
      </w:pPr>
    </w:p>
    <w:p>
      <w:pPr>
        <w:ind w:left="1080" w:right="260" w:hanging="532"/>
        <w:spacing w:after="0" w:line="331" w:lineRule="auto"/>
        <w:tabs>
          <w:tab w:leader="none" w:pos="1080" w:val="left"/>
        </w:tabs>
        <w:numPr>
          <w:ilvl w:val="1"/>
          <w:numId w:val="80"/>
        </w:numPr>
        <w:rPr>
          <w:rFonts w:ascii="Arial" w:cs="Arial" w:eastAsia="Arial" w:hAnsi="Arial"/>
          <w:sz w:val="16"/>
          <w:szCs w:val="16"/>
          <w:color w:val="191919"/>
        </w:rPr>
      </w:pPr>
      <w:r>
        <w:rPr>
          <w:rFonts w:ascii="Arial" w:cs="Arial" w:eastAsia="Arial" w:hAnsi="Arial"/>
          <w:sz w:val="16"/>
          <w:szCs w:val="16"/>
          <w:color w:val="191919"/>
        </w:rPr>
        <w:t>Except as provided in paragraphs 1(B) and (2) of this Article Tenth and in Article Eleventh, any provision of this Certificate of Incorporation may be amended, altered, changed or repealed in the manner now or hereafter prescribed by the statutes of the State of Delaware.</w:t>
      </w:r>
    </w:p>
    <w:p>
      <w:pPr>
        <w:spacing w:after="0" w:line="167" w:lineRule="exact"/>
        <w:rPr>
          <w:rFonts w:ascii="Arial" w:cs="Arial" w:eastAsia="Arial" w:hAnsi="Arial"/>
          <w:sz w:val="16"/>
          <w:szCs w:val="16"/>
          <w:color w:val="191919"/>
        </w:rPr>
      </w:pPr>
    </w:p>
    <w:p>
      <w:pPr>
        <w:ind w:left="1080" w:right="60" w:hanging="532"/>
        <w:spacing w:after="0" w:line="294" w:lineRule="auto"/>
        <w:tabs>
          <w:tab w:leader="none" w:pos="1080" w:val="left"/>
        </w:tabs>
        <w:numPr>
          <w:ilvl w:val="1"/>
          <w:numId w:val="80"/>
        </w:numPr>
        <w:rPr>
          <w:rFonts w:ascii="Arial" w:cs="Arial" w:eastAsia="Arial" w:hAnsi="Arial"/>
          <w:sz w:val="16"/>
          <w:szCs w:val="16"/>
          <w:color w:val="191919"/>
        </w:rPr>
      </w:pPr>
      <w:r>
        <w:rPr>
          <w:rFonts w:ascii="Arial" w:cs="Arial" w:eastAsia="Arial" w:hAnsi="Arial"/>
          <w:sz w:val="16"/>
          <w:szCs w:val="16"/>
          <w:color w:val="191919"/>
        </w:rPr>
        <w:t>Notwithstanding any of the provisions of this Certificate of Incorporation or any provision of law which might otherwise permit a lesser vote or no vote, but in addition to any affirmative vote of holders of any particular class or series of stock of the Corporation required by law or this Certificate of Incorporation, the affirmative vote of the holders of at least the following percentages of the shares of all classes of stock of the Corporation entitled to vote for the election of directors, considered for this purpose as one class of stock, shall be required to amend, alter, change or repeal, or to adopt any provisions inconsistent with, the indicated provisions of this Certificate of Incorporation:</w:t>
      </w:r>
    </w:p>
    <w:p>
      <w:pPr>
        <w:spacing w:after="0" w:line="378" w:lineRule="exact"/>
        <w:rPr>
          <w:rFonts w:ascii="Arial" w:cs="Arial" w:eastAsia="Arial" w:hAnsi="Arial"/>
          <w:sz w:val="16"/>
          <w:szCs w:val="16"/>
          <w:color w:val="191919"/>
        </w:rPr>
      </w:pPr>
    </w:p>
    <w:p>
      <w:pPr>
        <w:ind w:left="1620" w:hanging="532"/>
        <w:spacing w:after="0"/>
        <w:tabs>
          <w:tab w:leader="none" w:pos="1620" w:val="left"/>
        </w:tabs>
        <w:numPr>
          <w:ilvl w:val="2"/>
          <w:numId w:val="80"/>
        </w:numPr>
        <w:rPr>
          <w:rFonts w:ascii="Arial" w:cs="Arial" w:eastAsia="Arial" w:hAnsi="Arial"/>
          <w:sz w:val="35"/>
          <w:szCs w:val="35"/>
          <w:color w:val="191919"/>
          <w:vertAlign w:val="superscript"/>
        </w:rPr>
      </w:pPr>
      <w:r>
        <w:rPr>
          <w:rFonts w:ascii="Arial" w:cs="Arial" w:eastAsia="Arial" w:hAnsi="Arial"/>
          <w:sz w:val="18"/>
          <w:szCs w:val="18"/>
          <w:color w:val="191919"/>
          <w:strike w:val="1"/>
        </w:rPr>
        <w:t>80%</w:t>
      </w:r>
      <w:r>
        <w:rPr>
          <w:rFonts w:ascii="Arial" w:cs="Arial" w:eastAsia="Arial" w:hAnsi="Arial"/>
          <w:sz w:val="18"/>
          <w:szCs w:val="18"/>
          <w:color w:val="191919"/>
        </w:rPr>
        <w:t xml:space="preserve"> </w:t>
      </w:r>
      <w:r>
        <w:rPr>
          <w:rFonts w:ascii="Arial" w:cs="Arial" w:eastAsia="Arial" w:hAnsi="Arial"/>
          <w:sz w:val="29"/>
          <w:szCs w:val="29"/>
          <w:color w:val="191919"/>
          <w:vertAlign w:val="superscript"/>
        </w:rPr>
        <w:t>(1)</w:t>
      </w:r>
      <w:r>
        <w:rPr>
          <w:rFonts w:ascii="Arial" w:cs="Arial" w:eastAsia="Arial" w:hAnsi="Arial"/>
          <w:sz w:val="18"/>
          <w:szCs w:val="18"/>
          <w:color w:val="191919"/>
        </w:rPr>
        <w:t xml:space="preserve"> in the case of Article Seventh </w:t>
      </w:r>
      <w:r>
        <w:rPr>
          <w:rFonts w:ascii="Arial" w:cs="Arial" w:eastAsia="Arial" w:hAnsi="Arial"/>
          <w:sz w:val="18"/>
          <w:szCs w:val="18"/>
          <w:color w:val="191919"/>
          <w:strike w:val="1"/>
        </w:rPr>
        <w:t>or</w:t>
      </w:r>
      <w:r>
        <w:rPr>
          <w:rFonts w:ascii="Arial" w:cs="Arial" w:eastAsia="Arial" w:hAnsi="Arial"/>
          <w:sz w:val="18"/>
          <w:szCs w:val="18"/>
          <w:u w:val="single" w:color="auto"/>
          <w:color w:val="191919"/>
        </w:rPr>
        <w:t>and</w:t>
      </w:r>
      <w:r>
        <w:rPr>
          <w:rFonts w:ascii="Arial" w:cs="Arial" w:eastAsia="Arial" w:hAnsi="Arial"/>
          <w:sz w:val="18"/>
          <w:szCs w:val="18"/>
          <w:color w:val="191919"/>
        </w:rPr>
        <w:t xml:space="preserve"> </w:t>
      </w:r>
      <w:r>
        <w:rPr>
          <w:rFonts w:ascii="Arial" w:cs="Arial" w:eastAsia="Arial" w:hAnsi="Arial"/>
          <w:sz w:val="29"/>
          <w:szCs w:val="29"/>
          <w:color w:val="191919"/>
          <w:vertAlign w:val="superscript"/>
        </w:rPr>
        <w:t>(2)</w:t>
      </w:r>
      <w:r>
        <w:rPr>
          <w:rFonts w:ascii="Arial" w:cs="Arial" w:eastAsia="Arial" w:hAnsi="Arial"/>
          <w:sz w:val="18"/>
          <w:szCs w:val="18"/>
          <w:color w:val="191919"/>
        </w:rPr>
        <w:t xml:space="preserve"> in the case of Article Thirteenth; and</w:t>
      </w:r>
    </w:p>
    <w:p>
      <w:pPr>
        <w:spacing w:after="0" w:line="83" w:lineRule="exact"/>
        <w:rPr>
          <w:rFonts w:ascii="Arial" w:cs="Arial" w:eastAsia="Arial" w:hAnsi="Arial"/>
          <w:sz w:val="35"/>
          <w:szCs w:val="35"/>
          <w:color w:val="191919"/>
          <w:vertAlign w:val="superscript"/>
        </w:rPr>
      </w:pPr>
    </w:p>
    <w:p>
      <w:pPr>
        <w:ind w:left="1620" w:hanging="532"/>
        <w:spacing w:after="0"/>
        <w:tabs>
          <w:tab w:leader="none" w:pos="1620" w:val="left"/>
        </w:tabs>
        <w:numPr>
          <w:ilvl w:val="2"/>
          <w:numId w:val="80"/>
        </w:numPr>
        <w:rPr>
          <w:rFonts w:ascii="Arial" w:cs="Arial" w:eastAsia="Arial" w:hAnsi="Arial"/>
          <w:sz w:val="35"/>
          <w:szCs w:val="35"/>
          <w:color w:val="191919"/>
          <w:vertAlign w:val="superscript"/>
        </w:rPr>
      </w:pPr>
      <w:r>
        <w:rPr>
          <w:rFonts w:ascii="Arial" w:cs="Arial" w:eastAsia="Arial" w:hAnsi="Arial"/>
          <w:sz w:val="18"/>
          <w:szCs w:val="18"/>
          <w:color w:val="191919"/>
          <w:strike w:val="1"/>
        </w:rPr>
        <w:t>90%</w:t>
      </w:r>
      <w:r>
        <w:rPr>
          <w:rFonts w:ascii="Arial" w:cs="Arial" w:eastAsia="Arial" w:hAnsi="Arial"/>
          <w:sz w:val="18"/>
          <w:szCs w:val="18"/>
          <w:color w:val="191919"/>
        </w:rPr>
        <w:t xml:space="preserve"> </w:t>
      </w:r>
      <w:r>
        <w:rPr>
          <w:rFonts w:ascii="Arial" w:cs="Arial" w:eastAsia="Arial" w:hAnsi="Arial"/>
          <w:sz w:val="29"/>
          <w:szCs w:val="29"/>
          <w:color w:val="191919"/>
          <w:vertAlign w:val="superscript"/>
        </w:rPr>
        <w:t>(3)</w:t>
      </w:r>
      <w:r>
        <w:rPr>
          <w:rFonts w:ascii="Arial" w:cs="Arial" w:eastAsia="Arial" w:hAnsi="Arial"/>
          <w:sz w:val="18"/>
          <w:szCs w:val="18"/>
          <w:color w:val="191919"/>
        </w:rPr>
        <w:t xml:space="preserve"> in the case of Article Twelfth.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1238250</wp:posOffset>
            </wp:positionH>
            <wp:positionV relativeFrom="paragraph">
              <wp:posOffset>-408305</wp:posOffset>
            </wp:positionV>
            <wp:extent cx="279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-408305</wp:posOffset>
            </wp:positionV>
            <wp:extent cx="6191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19125" cy="8255"/>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-99695</wp:posOffset>
            </wp:positionV>
            <wp:extent cx="279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7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191919"/>
        </w:rPr>
        <w:t>The foregoing paragraphs 1(B)(i) and (ii) of this Article Tenth may not be amended so as to alter the stockholder vote required by either such paragraph or to adopt any provisions inconsistent with these provisions, except by an amendment that is itself approved by the affirmative vote of the holders of at least the percentage of all shares of all classes of stock of the Corporation as is required to amend the provision or provisions of this Certificate of Incorporation to which such amendment relates.</w:t>
      </w:r>
    </w:p>
    <w:p>
      <w:pPr>
        <w:spacing w:after="0" w:line="197" w:lineRule="exact"/>
        <w:rPr>
          <w:sz w:val="20"/>
          <w:szCs w:val="20"/>
          <w:color w:val="auto"/>
        </w:rPr>
      </w:pPr>
    </w:p>
    <w:p>
      <w:pPr>
        <w:ind w:firstLine="8"/>
        <w:spacing w:after="0" w:line="288" w:lineRule="auto"/>
        <w:tabs>
          <w:tab w:leader="none" w:pos="351" w:val="left"/>
        </w:tabs>
        <w:numPr>
          <w:ilvl w:val="0"/>
          <w:numId w:val="81"/>
        </w:numPr>
        <w:rPr>
          <w:rFonts w:ascii="Arial" w:cs="Arial" w:eastAsia="Arial" w:hAnsi="Arial"/>
          <w:sz w:val="16"/>
          <w:szCs w:val="16"/>
          <w:color w:val="191919"/>
        </w:rPr>
      </w:pPr>
      <w:r>
        <w:rPr>
          <w:rFonts w:ascii="Arial" w:cs="Arial" w:eastAsia="Arial" w:hAnsi="Arial"/>
          <w:sz w:val="16"/>
          <w:szCs w:val="16"/>
          <w:color w:val="191919"/>
        </w:rPr>
        <w:t>BY-LAWS. The Board of Directors is expressly authorized to adopt, alter, amend and repeal the By-laws of the Corporation, in any manner not inconsistent with the laws of the State of Delaware or of the Certificate of Incorporation of the Corporation, subject to the power of the holders of capital stock of the Corporation to adopt, alter or repeal the By-laws made by the Board of Directors; provided, that any such adoption, amendment or repeal by stockholders shall require the affirmative vote of the holders of at least a majority of the shares of all classes of stock of the Corporation entitled to vote for the election of directors, considered for this purpose as one class of stock. This paragraph 2 of Article Tenth may not be amended so as to alter the stockholder vote specified hereby, nor may any provisions inconsistent with these provisions be adopted, except by an amendment that is itself approved by the affirmative vote of the holders of at least a majority of the shares of all classes of stock of the Corporation entitled to vote for the election of directors, considered for this purpose as one class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15855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540" w:hanging="532"/>
        <w:spacing w:after="0"/>
        <w:tabs>
          <w:tab w:leader="none" w:pos="540" w:val="left"/>
        </w:tabs>
        <w:numPr>
          <w:ilvl w:val="0"/>
          <w:numId w:val="82"/>
        </w:numPr>
        <w:rPr>
          <w:rFonts w:ascii="Arial" w:cs="Arial" w:eastAsia="Arial" w:hAnsi="Arial"/>
          <w:sz w:val="29"/>
          <w:szCs w:val="29"/>
          <w:color w:val="191919"/>
          <w:vertAlign w:val="superscript"/>
        </w:rPr>
      </w:pPr>
      <w:r>
        <w:rPr>
          <w:rFonts w:ascii="Arial" w:cs="Arial" w:eastAsia="Arial" w:hAnsi="Arial"/>
          <w:sz w:val="18"/>
          <w:szCs w:val="18"/>
          <w:color w:val="191919"/>
        </w:rPr>
        <w:t>If Proposal 7 is approved, insert “a majority”; otherwise retain current threshold of 80%.</w:t>
      </w:r>
    </w:p>
    <w:p>
      <w:pPr>
        <w:spacing w:after="0" w:line="7" w:lineRule="exact"/>
        <w:rPr>
          <w:rFonts w:ascii="Arial" w:cs="Arial" w:eastAsia="Arial" w:hAnsi="Arial"/>
          <w:sz w:val="29"/>
          <w:szCs w:val="29"/>
          <w:color w:val="191919"/>
          <w:vertAlign w:val="superscript"/>
        </w:rPr>
      </w:pPr>
    </w:p>
    <w:p>
      <w:pPr>
        <w:ind w:left="540" w:hanging="532"/>
        <w:spacing w:after="0" w:line="181" w:lineRule="auto"/>
        <w:tabs>
          <w:tab w:leader="none" w:pos="540" w:val="left"/>
        </w:tabs>
        <w:numPr>
          <w:ilvl w:val="0"/>
          <w:numId w:val="82"/>
        </w:numPr>
        <w:rPr>
          <w:rFonts w:ascii="Arial" w:cs="Arial" w:eastAsia="Arial" w:hAnsi="Arial"/>
          <w:sz w:val="24"/>
          <w:szCs w:val="24"/>
          <w:color w:val="191919"/>
          <w:vertAlign w:val="superscript"/>
        </w:rPr>
      </w:pPr>
      <w:r>
        <w:rPr>
          <w:rFonts w:ascii="Arial" w:cs="Arial" w:eastAsia="Arial" w:hAnsi="Arial"/>
          <w:sz w:val="15"/>
          <w:szCs w:val="15"/>
          <w:color w:val="191919"/>
        </w:rPr>
        <w:t>If Proposal 8 is approved, insert “a majority”; otherwise retain current threshold of 80%.</w:t>
      </w:r>
    </w:p>
    <w:p>
      <w:pPr>
        <w:spacing w:after="0" w:line="7" w:lineRule="exact"/>
        <w:rPr>
          <w:rFonts w:ascii="Arial" w:cs="Arial" w:eastAsia="Arial" w:hAnsi="Arial"/>
          <w:sz w:val="24"/>
          <w:szCs w:val="24"/>
          <w:color w:val="191919"/>
          <w:vertAlign w:val="superscript"/>
        </w:rPr>
      </w:pPr>
    </w:p>
    <w:p>
      <w:pPr>
        <w:ind w:left="540" w:hanging="532"/>
        <w:spacing w:after="0" w:line="181" w:lineRule="auto"/>
        <w:tabs>
          <w:tab w:leader="none" w:pos="540" w:val="left"/>
        </w:tabs>
        <w:numPr>
          <w:ilvl w:val="0"/>
          <w:numId w:val="82"/>
        </w:numPr>
        <w:rPr>
          <w:rFonts w:ascii="Arial" w:cs="Arial" w:eastAsia="Arial" w:hAnsi="Arial"/>
          <w:sz w:val="24"/>
          <w:szCs w:val="24"/>
          <w:color w:val="191919"/>
          <w:vertAlign w:val="superscript"/>
        </w:rPr>
      </w:pPr>
      <w:r>
        <w:rPr>
          <w:rFonts w:ascii="Arial" w:cs="Arial" w:eastAsia="Arial" w:hAnsi="Arial"/>
          <w:sz w:val="15"/>
          <w:szCs w:val="15"/>
          <w:color w:val="191919"/>
        </w:rPr>
        <w:t>If Proposal 6 is approved, insert “a majority”; otherwise retain current threshold of 90%.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84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ELEVENTH</w:t>
      </w:r>
      <w:r>
        <w:rPr>
          <w:rFonts w:ascii="Arial" w:cs="Arial" w:eastAsia="Arial" w:hAnsi="Arial"/>
          <w:sz w:val="22"/>
          <w:szCs w:val="22"/>
          <w:color w:val="191919"/>
        </w:rPr>
        <w:t>:</w:t>
      </w:r>
    </w:p>
    <w:p>
      <w:pPr>
        <w:spacing w:after="0" w:line="225" w:lineRule="exact"/>
        <w:rPr>
          <w:sz w:val="20"/>
          <w:szCs w:val="20"/>
          <w:color w:val="auto"/>
        </w:rPr>
      </w:pPr>
    </w:p>
    <w:p>
      <w:pPr>
        <w:ind w:left="360" w:hanging="352"/>
        <w:spacing w:after="0"/>
        <w:tabs>
          <w:tab w:leader="none" w:pos="360" w:val="left"/>
        </w:tabs>
        <w:numPr>
          <w:ilvl w:val="0"/>
          <w:numId w:val="83"/>
        </w:numPr>
        <w:rPr>
          <w:rFonts w:ascii="Arial" w:cs="Arial" w:eastAsia="Arial" w:hAnsi="Arial"/>
          <w:sz w:val="16"/>
          <w:szCs w:val="16"/>
          <w:color w:val="191919"/>
        </w:rPr>
      </w:pPr>
      <w:r>
        <w:rPr>
          <w:rFonts w:ascii="Arial" w:cs="Arial" w:eastAsia="Arial" w:hAnsi="Arial"/>
          <w:sz w:val="16"/>
          <w:szCs w:val="16"/>
          <w:color w:val="191919"/>
        </w:rPr>
        <w:t xml:space="preserve">Except as set forth in paragraph 2 of this Article Eleventh, the affirmative vote or consent of the holders of </w:t>
      </w:r>
      <w:r>
        <w:rPr>
          <w:rFonts w:ascii="Arial" w:cs="Arial" w:eastAsia="Arial" w:hAnsi="Arial"/>
          <w:sz w:val="16"/>
          <w:szCs w:val="16"/>
          <w:color w:val="191919"/>
          <w:strike w:val="1"/>
        </w:rPr>
        <w:t>80%</w:t>
      </w:r>
      <w:r>
        <w:rPr>
          <w:rFonts w:ascii="Arial" w:cs="Arial" w:eastAsia="Arial" w:hAnsi="Arial"/>
          <w:sz w:val="16"/>
          <w:szCs w:val="16"/>
          <w:u w:val="single" w:color="auto"/>
          <w:color w:val="191919"/>
        </w:rPr>
        <w:t>at least a majority</w:t>
      </w:r>
      <w:r>
        <w:rPr>
          <w:rFonts w:ascii="Arial" w:cs="Arial" w:eastAsia="Arial" w:hAnsi="Arial"/>
          <w:sz w:val="16"/>
          <w:szCs w:val="16"/>
          <w:color w:val="191919"/>
        </w:rPr>
        <w:t xml:space="preserve"> of the shares of all</w:t>
      </w:r>
    </w:p>
    <w:p>
      <w:pPr>
        <w:spacing w:after="0" w:line="38" w:lineRule="exact"/>
        <w:rPr>
          <w:rFonts w:ascii="Arial" w:cs="Arial" w:eastAsia="Arial" w:hAnsi="Arial"/>
          <w:sz w:val="16"/>
          <w:szCs w:val="16"/>
          <w:color w:val="191919"/>
        </w:rPr>
      </w:pPr>
    </w:p>
    <w:p>
      <w:pPr>
        <w:ind w:right="20"/>
        <w:spacing w:after="0" w:line="288" w:lineRule="auto"/>
        <w:rPr>
          <w:rFonts w:ascii="Arial" w:cs="Arial" w:eastAsia="Arial" w:hAnsi="Arial"/>
          <w:sz w:val="16"/>
          <w:szCs w:val="16"/>
          <w:color w:val="191919"/>
        </w:rPr>
      </w:pPr>
      <w:r>
        <w:rPr>
          <w:rFonts w:ascii="Arial" w:cs="Arial" w:eastAsia="Arial" w:hAnsi="Arial"/>
          <w:sz w:val="16"/>
          <w:szCs w:val="16"/>
          <w:color w:val="191919"/>
        </w:rPr>
        <w:t>classes of stock of the Corporation entitled to vote for the election of directors, considered for the purposes of this Article as one class, shall be required (a) for the adoption of any agreement for the merger or consolidation of the Corporation with or into any Other Corporation (as hereinafter defined), or (b) to authorize any sale, lease, exchange, mortgage, pledge or other disposition of all, or substantially all of the assets of the Corporation or any Subsidiary (as hereinafter defined) to any Other Corporation, or (c) to authorize the issuance or transfer by the Corporation of any Substantial Amount (as hereinafter defined) of securities of the Corporation in exchange for the securities or assets of any Other Corporation. Such affirmative vote or consent shall be in addition to the vote or consent of the holders of the stock of the Corporation otherwise required by law, the Certificate of Incorporation of the Corporation or any agreement or contract to which the Corporation is a party.</w:t>
      </w:r>
    </w:p>
    <w:p>
      <w:pPr>
        <w:spacing w:after="0" w:line="176" w:lineRule="exact"/>
        <w:rPr>
          <w:rFonts w:ascii="Arial" w:cs="Arial" w:eastAsia="Arial" w:hAnsi="Arial"/>
          <w:sz w:val="16"/>
          <w:szCs w:val="16"/>
          <w:color w:val="191919"/>
        </w:rPr>
      </w:pPr>
    </w:p>
    <w:p>
      <w:pPr>
        <w:ind w:right="20" w:firstLine="8"/>
        <w:spacing w:after="0" w:line="298" w:lineRule="auto"/>
        <w:tabs>
          <w:tab w:leader="none" w:pos="348" w:val="left"/>
        </w:tabs>
        <w:numPr>
          <w:ilvl w:val="0"/>
          <w:numId w:val="83"/>
        </w:numPr>
        <w:rPr>
          <w:rFonts w:ascii="Arial" w:cs="Arial" w:eastAsia="Arial" w:hAnsi="Arial"/>
          <w:sz w:val="16"/>
          <w:szCs w:val="16"/>
          <w:color w:val="191919"/>
        </w:rPr>
      </w:pPr>
      <w:r>
        <w:rPr>
          <w:rFonts w:ascii="Arial" w:cs="Arial" w:eastAsia="Arial" w:hAnsi="Arial"/>
          <w:sz w:val="16"/>
          <w:szCs w:val="16"/>
          <w:color w:val="191919"/>
        </w:rPr>
        <w:t>The provisions of paragraph 1 of this Article Eleventh shall not be applicable to any transaction described therein if such transaction is approved by resolution of the Board of Directors of the Corporation; provided that a majority of the members of the Board of Directors voting for the approval of such transaction were duly elected and acting members of the Board of Directors prior to the time any such Other Corporation may have become a Beneficial Owner (as hereinafter defined) of 5% or more of the shares of stock of the Corporation entitled to vote for the election of directors.</w:t>
      </w:r>
    </w:p>
    <w:p>
      <w:pPr>
        <w:spacing w:after="0" w:line="166" w:lineRule="exact"/>
        <w:rPr>
          <w:rFonts w:ascii="Arial" w:cs="Arial" w:eastAsia="Arial" w:hAnsi="Arial"/>
          <w:sz w:val="16"/>
          <w:szCs w:val="16"/>
          <w:color w:val="191919"/>
        </w:rPr>
      </w:pPr>
    </w:p>
    <w:p>
      <w:pPr>
        <w:ind w:right="140" w:firstLine="8"/>
        <w:spacing w:after="0" w:line="256" w:lineRule="auto"/>
        <w:tabs>
          <w:tab w:leader="none" w:pos="351" w:val="left"/>
        </w:tabs>
        <w:numPr>
          <w:ilvl w:val="0"/>
          <w:numId w:val="83"/>
        </w:numPr>
        <w:rPr>
          <w:rFonts w:ascii="Arial" w:cs="Arial" w:eastAsia="Arial" w:hAnsi="Arial"/>
          <w:sz w:val="18"/>
          <w:szCs w:val="18"/>
          <w:color w:val="191919"/>
        </w:rPr>
      </w:pPr>
      <w:r>
        <w:rPr>
          <w:rFonts w:ascii="Arial" w:cs="Arial" w:eastAsia="Arial" w:hAnsi="Arial"/>
          <w:sz w:val="18"/>
          <w:szCs w:val="18"/>
          <w:color w:val="191919"/>
        </w:rPr>
        <w:t>For the purposes of paragraph 2 of this Article, the Board of Directors shall have the power and duty to determine for the purposes of this Article Eleventh, on the basis of information known to such Board, if and when any Other Corporation is the Beneficial Owner of 5% or more of the outstanding shares of stock of the Corporation entitled to vote for the election of directors. Any such determination shall be conclusive and binding for all purposes of this Article Eleventh.</w:t>
      </w:r>
    </w:p>
    <w:p>
      <w:pPr>
        <w:spacing w:after="0" w:line="196" w:lineRule="exact"/>
        <w:rPr>
          <w:rFonts w:ascii="Arial" w:cs="Arial" w:eastAsia="Arial" w:hAnsi="Arial"/>
          <w:sz w:val="18"/>
          <w:szCs w:val="18"/>
          <w:color w:val="191919"/>
        </w:rPr>
      </w:pPr>
    </w:p>
    <w:p>
      <w:pPr>
        <w:ind w:left="340" w:hanging="332"/>
        <w:spacing w:after="0"/>
        <w:tabs>
          <w:tab w:leader="none" w:pos="340" w:val="left"/>
        </w:tabs>
        <w:numPr>
          <w:ilvl w:val="0"/>
          <w:numId w:val="83"/>
        </w:numPr>
        <w:rPr>
          <w:rFonts w:ascii="Arial" w:cs="Arial" w:eastAsia="Arial" w:hAnsi="Arial"/>
          <w:sz w:val="18"/>
          <w:szCs w:val="18"/>
          <w:color w:val="191919"/>
        </w:rPr>
      </w:pPr>
      <w:r>
        <w:rPr>
          <w:rFonts w:ascii="Arial" w:cs="Arial" w:eastAsia="Arial" w:hAnsi="Arial"/>
          <w:sz w:val="18"/>
          <w:szCs w:val="18"/>
          <w:color w:val="191919"/>
        </w:rPr>
        <w:t>As used in this Article Eleventh, the following terms shall have the meanings indicated:</w:t>
      </w:r>
    </w:p>
    <w:p>
      <w:pPr>
        <w:spacing w:after="0" w:line="225" w:lineRule="exact"/>
        <w:rPr>
          <w:rFonts w:ascii="Arial" w:cs="Arial" w:eastAsia="Arial" w:hAnsi="Arial"/>
          <w:sz w:val="18"/>
          <w:szCs w:val="18"/>
          <w:color w:val="191919"/>
        </w:rPr>
      </w:pPr>
    </w:p>
    <w:p>
      <w:pPr>
        <w:ind w:left="360"/>
        <w:spacing w:after="0"/>
        <w:rPr>
          <w:rFonts w:ascii="Arial" w:cs="Arial" w:eastAsia="Arial" w:hAnsi="Arial"/>
          <w:sz w:val="18"/>
          <w:szCs w:val="18"/>
          <w:color w:val="191919"/>
        </w:rPr>
      </w:pPr>
      <w:r>
        <w:rPr>
          <w:rFonts w:ascii="Arial" w:cs="Arial" w:eastAsia="Arial" w:hAnsi="Arial"/>
          <w:sz w:val="18"/>
          <w:szCs w:val="18"/>
          <w:color w:val="191919"/>
        </w:rPr>
        <w:t>“Other Corporation” means any person, firm, corporation or other entity, other than a subsidiary of the Corporation.</w:t>
      </w:r>
    </w:p>
    <w:p>
      <w:pPr>
        <w:spacing w:after="0" w:line="225" w:lineRule="exact"/>
        <w:rPr>
          <w:rFonts w:ascii="Arial" w:cs="Arial" w:eastAsia="Arial" w:hAnsi="Arial"/>
          <w:sz w:val="18"/>
          <w:szCs w:val="18"/>
          <w:color w:val="191919"/>
        </w:rPr>
      </w:pPr>
    </w:p>
    <w:p>
      <w:pPr>
        <w:ind w:left="360" w:right="1740"/>
        <w:spacing w:after="0" w:line="563" w:lineRule="auto"/>
        <w:rPr>
          <w:rFonts w:ascii="Arial" w:cs="Arial" w:eastAsia="Arial" w:hAnsi="Arial"/>
          <w:sz w:val="18"/>
          <w:szCs w:val="18"/>
          <w:color w:val="191919"/>
        </w:rPr>
      </w:pPr>
      <w:r>
        <w:rPr>
          <w:rFonts w:ascii="Arial" w:cs="Arial" w:eastAsia="Arial" w:hAnsi="Arial"/>
          <w:sz w:val="16"/>
          <w:szCs w:val="16"/>
          <w:color w:val="191919"/>
        </w:rPr>
        <w:t>“Subsidiary” means any corporation in which the Corporation owns, directly or indirectly, more than 50% of the voting securities. “Substantial Amount” means any securities of the Corporation having a then fair market value of more than $500,000.</w:t>
      </w:r>
    </w:p>
    <w:p>
      <w:pPr>
        <w:spacing w:after="0" w:line="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191919"/>
        </w:rPr>
        <w:t>An Other Corporation (as defined above) shall be deemed to be the “Beneficial Owner” of stock if such Other Corporation or any “affiliate” or “associate” of such Other Corporation (as those terms are defined in Rule 12b-2 promulgated under the Securities Exchange Act of 1934 (15 U.S.C. 78 aaa et seq.), as amended from time to time), directly or indirectly, controls the voting of such stock or has any options, warrants, conversion or other rights to acquire such stock.</w:t>
      </w:r>
    </w:p>
    <w:p>
      <w:pPr>
        <w:spacing w:after="0" w:line="197" w:lineRule="exact"/>
        <w:rPr>
          <w:sz w:val="20"/>
          <w:szCs w:val="20"/>
          <w:color w:val="auto"/>
        </w:rPr>
      </w:pPr>
    </w:p>
    <w:p>
      <w:pPr>
        <w:ind w:right="80" w:firstLine="8"/>
        <w:spacing w:after="0" w:line="259" w:lineRule="auto"/>
        <w:tabs>
          <w:tab w:leader="none" w:pos="348" w:val="left"/>
        </w:tabs>
        <w:numPr>
          <w:ilvl w:val="0"/>
          <w:numId w:val="84"/>
        </w:numPr>
        <w:rPr>
          <w:rFonts w:ascii="Arial" w:cs="Arial" w:eastAsia="Arial" w:hAnsi="Arial"/>
          <w:sz w:val="18"/>
          <w:szCs w:val="18"/>
          <w:color w:val="191919"/>
        </w:rPr>
      </w:pPr>
      <w:r>
        <w:rPr>
          <w:rFonts w:ascii="Arial" w:cs="Arial" w:eastAsia="Arial" w:hAnsi="Arial"/>
          <w:sz w:val="18"/>
          <w:szCs w:val="18"/>
          <w:color w:val="191919"/>
        </w:rPr>
        <w:t xml:space="preserve">This Article Eleventh may not be amended, revised or revoked, in whole or in part, except by the affirmative vote or consent of the holders of </w:t>
      </w:r>
      <w:r>
        <w:rPr>
          <w:rFonts w:ascii="Arial" w:cs="Arial" w:eastAsia="Arial" w:hAnsi="Arial"/>
          <w:sz w:val="18"/>
          <w:szCs w:val="18"/>
          <w:color w:val="191919"/>
          <w:strike w:val="1"/>
        </w:rPr>
        <w:t>80%</w:t>
      </w:r>
      <w:r>
        <w:rPr>
          <w:rFonts w:ascii="Arial" w:cs="Arial" w:eastAsia="Arial" w:hAnsi="Arial"/>
          <w:sz w:val="18"/>
          <w:szCs w:val="18"/>
          <w:u w:val="single" w:color="auto"/>
          <w:color w:val="191919"/>
        </w:rPr>
        <w:t>at least</w:t>
      </w:r>
      <w:r>
        <w:rPr>
          <w:rFonts w:ascii="Arial" w:cs="Arial" w:eastAsia="Arial" w:hAnsi="Arial"/>
          <w:sz w:val="18"/>
          <w:szCs w:val="18"/>
          <w:color w:val="191919"/>
        </w:rPr>
        <w:t xml:space="preserve"> </w:t>
      </w:r>
      <w:r>
        <w:rPr>
          <w:rFonts w:ascii="Arial" w:cs="Arial" w:eastAsia="Arial" w:hAnsi="Arial"/>
          <w:sz w:val="18"/>
          <w:szCs w:val="18"/>
          <w:u w:val="single" w:color="auto"/>
          <w:color w:val="191919"/>
        </w:rPr>
        <w:t>a majority</w:t>
      </w:r>
      <w:r>
        <w:rPr>
          <w:rFonts w:ascii="Arial" w:cs="Arial" w:eastAsia="Arial" w:hAnsi="Arial"/>
          <w:sz w:val="18"/>
          <w:szCs w:val="18"/>
          <w:color w:val="191919"/>
        </w:rPr>
        <w:t xml:space="preserve"> of the shares of all classes of stock of the Corporation entitled to vote for the election of directors, considered for the purposes of this Article Eleventh as one class of stock.</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Appendix A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TWELFTH</w:t>
      </w:r>
      <w:r>
        <w:rPr>
          <w:rFonts w:ascii="Arial" w:cs="Arial" w:eastAsia="Arial" w:hAnsi="Arial"/>
          <w:sz w:val="22"/>
          <w:szCs w:val="22"/>
          <w:color w:val="191919"/>
        </w:rPr>
        <w:t>:</w:t>
      </w:r>
    </w:p>
    <w:p>
      <w:pPr>
        <w:spacing w:after="0" w:line="225" w:lineRule="exact"/>
        <w:rPr>
          <w:sz w:val="20"/>
          <w:szCs w:val="20"/>
          <w:color w:val="auto"/>
        </w:rPr>
      </w:pPr>
    </w:p>
    <w:p>
      <w:pPr>
        <w:ind w:left="360" w:hanging="352"/>
        <w:spacing w:after="0"/>
        <w:tabs>
          <w:tab w:leader="none" w:pos="360" w:val="left"/>
        </w:tabs>
        <w:numPr>
          <w:ilvl w:val="0"/>
          <w:numId w:val="85"/>
        </w:numPr>
        <w:rPr>
          <w:rFonts w:ascii="Arial" w:cs="Arial" w:eastAsia="Arial" w:hAnsi="Arial"/>
          <w:sz w:val="18"/>
          <w:szCs w:val="18"/>
          <w:color w:val="191919"/>
        </w:rPr>
      </w:pPr>
      <w:r>
        <w:rPr>
          <w:rFonts w:ascii="Arial" w:cs="Arial" w:eastAsia="Arial" w:hAnsi="Arial"/>
          <w:sz w:val="18"/>
          <w:szCs w:val="18"/>
          <w:color w:val="191919"/>
        </w:rPr>
        <w:t>The following definitions shall apply for the purpose of this Article Twelfth only:</w:t>
      </w:r>
    </w:p>
    <w:p>
      <w:pPr>
        <w:spacing w:after="0" w:line="238" w:lineRule="exact"/>
        <w:rPr>
          <w:rFonts w:ascii="Arial" w:cs="Arial" w:eastAsia="Arial" w:hAnsi="Arial"/>
          <w:sz w:val="18"/>
          <w:szCs w:val="18"/>
          <w:color w:val="191919"/>
        </w:rPr>
      </w:pPr>
    </w:p>
    <w:p>
      <w:pPr>
        <w:ind w:left="1080" w:hanging="532"/>
        <w:spacing w:after="0"/>
        <w:tabs>
          <w:tab w:leader="none" w:pos="1080" w:val="left"/>
        </w:tabs>
        <w:numPr>
          <w:ilvl w:val="1"/>
          <w:numId w:val="85"/>
        </w:numPr>
        <w:rPr>
          <w:rFonts w:ascii="Arial" w:cs="Arial" w:eastAsia="Arial" w:hAnsi="Arial"/>
          <w:sz w:val="18"/>
          <w:szCs w:val="18"/>
          <w:color w:val="191919"/>
        </w:rPr>
      </w:pPr>
      <w:r>
        <w:rPr>
          <w:rFonts w:ascii="Arial" w:cs="Arial" w:eastAsia="Arial" w:hAnsi="Arial"/>
          <w:sz w:val="18"/>
          <w:szCs w:val="18"/>
          <w:color w:val="191919"/>
        </w:rPr>
        <w:t>“Announcement Date” shall mean the date of first public announcement of the proposal of a Business Combination.</w:t>
      </w:r>
    </w:p>
    <w:p>
      <w:pPr>
        <w:spacing w:after="0" w:line="252" w:lineRule="exact"/>
        <w:rPr>
          <w:rFonts w:ascii="Arial" w:cs="Arial" w:eastAsia="Arial" w:hAnsi="Arial"/>
          <w:sz w:val="18"/>
          <w:szCs w:val="18"/>
          <w:color w:val="191919"/>
        </w:rPr>
      </w:pPr>
    </w:p>
    <w:p>
      <w:pPr>
        <w:ind w:left="1080" w:hanging="532"/>
        <w:spacing w:after="0"/>
        <w:tabs>
          <w:tab w:leader="none" w:pos="1080" w:val="left"/>
        </w:tabs>
        <w:numPr>
          <w:ilvl w:val="1"/>
          <w:numId w:val="85"/>
        </w:numPr>
        <w:rPr>
          <w:rFonts w:ascii="Arial" w:cs="Arial" w:eastAsia="Arial" w:hAnsi="Arial"/>
          <w:sz w:val="18"/>
          <w:szCs w:val="18"/>
          <w:color w:val="191919"/>
        </w:rPr>
      </w:pPr>
      <w:r>
        <w:rPr>
          <w:rFonts w:ascii="Arial" w:cs="Arial" w:eastAsia="Arial" w:hAnsi="Arial"/>
          <w:sz w:val="18"/>
          <w:szCs w:val="18"/>
          <w:color w:val="191919"/>
        </w:rPr>
        <w:t>“Business Combination” shall mean:</w:t>
      </w:r>
    </w:p>
    <w:p>
      <w:pPr>
        <w:spacing w:after="0" w:line="200" w:lineRule="exact"/>
        <w:rPr>
          <w:rFonts w:ascii="Arial" w:cs="Arial" w:eastAsia="Arial" w:hAnsi="Arial"/>
          <w:sz w:val="18"/>
          <w:szCs w:val="18"/>
          <w:color w:val="191919"/>
        </w:rPr>
      </w:pPr>
    </w:p>
    <w:p>
      <w:pPr>
        <w:spacing w:after="0" w:line="254" w:lineRule="exact"/>
        <w:rPr>
          <w:rFonts w:ascii="Arial" w:cs="Arial" w:eastAsia="Arial" w:hAnsi="Arial"/>
          <w:sz w:val="18"/>
          <w:szCs w:val="18"/>
          <w:color w:val="191919"/>
        </w:rPr>
      </w:pPr>
    </w:p>
    <w:p>
      <w:pPr>
        <w:ind w:left="1620" w:right="140" w:hanging="532"/>
        <w:spacing w:after="0" w:line="331" w:lineRule="auto"/>
        <w:tabs>
          <w:tab w:leader="none" w:pos="1620" w:val="left"/>
        </w:tabs>
        <w:numPr>
          <w:ilvl w:val="2"/>
          <w:numId w:val="85"/>
        </w:numPr>
        <w:rPr>
          <w:rFonts w:ascii="Arial" w:cs="Arial" w:eastAsia="Arial" w:hAnsi="Arial"/>
          <w:sz w:val="16"/>
          <w:szCs w:val="16"/>
          <w:color w:val="191919"/>
        </w:rPr>
      </w:pPr>
      <w:r>
        <w:rPr>
          <w:rFonts w:ascii="Arial" w:cs="Arial" w:eastAsia="Arial" w:hAnsi="Arial"/>
          <w:sz w:val="16"/>
          <w:szCs w:val="16"/>
          <w:color w:val="191919"/>
        </w:rPr>
        <w:t>any merger or consolidation of the Corporation or any Subsidiary with (a) any Related Person, or (b) any other corporation (whether or not itself a Related Person) which is, or after such merger or consolidation would be, an Affiliate of a Related Person; or</w:t>
      </w:r>
    </w:p>
    <w:p>
      <w:pPr>
        <w:spacing w:after="0" w:line="154" w:lineRule="exact"/>
        <w:rPr>
          <w:rFonts w:ascii="Arial" w:cs="Arial" w:eastAsia="Arial" w:hAnsi="Arial"/>
          <w:sz w:val="16"/>
          <w:szCs w:val="16"/>
          <w:color w:val="191919"/>
        </w:rPr>
      </w:pPr>
    </w:p>
    <w:p>
      <w:pPr>
        <w:ind w:left="1620" w:right="260" w:hanging="532"/>
        <w:spacing w:after="0" w:line="259" w:lineRule="auto"/>
        <w:tabs>
          <w:tab w:leader="none" w:pos="1620" w:val="left"/>
        </w:tabs>
        <w:numPr>
          <w:ilvl w:val="2"/>
          <w:numId w:val="85"/>
        </w:numPr>
        <w:rPr>
          <w:rFonts w:ascii="Arial" w:cs="Arial" w:eastAsia="Arial" w:hAnsi="Arial"/>
          <w:sz w:val="18"/>
          <w:szCs w:val="18"/>
          <w:color w:val="191919"/>
        </w:rPr>
      </w:pPr>
      <w:r>
        <w:rPr>
          <w:rFonts w:ascii="Arial" w:cs="Arial" w:eastAsia="Arial" w:hAnsi="Arial"/>
          <w:sz w:val="18"/>
          <w:szCs w:val="18"/>
          <w:color w:val="191919"/>
        </w:rPr>
        <w:t>any sale, lease, exchange, mortgage, pledge, transfer or other disposition (in one transaction or a series of transactions) to or with any Related Person or any Affiliate of any Related Person of any assets of the Corporation or any Subsidiary having an aggregate Fair Market Value of $500,000 or more; or</w:t>
      </w:r>
    </w:p>
    <w:p>
      <w:pPr>
        <w:spacing w:after="0" w:line="220" w:lineRule="exact"/>
        <w:rPr>
          <w:rFonts w:ascii="Arial" w:cs="Arial" w:eastAsia="Arial" w:hAnsi="Arial"/>
          <w:sz w:val="18"/>
          <w:szCs w:val="18"/>
          <w:color w:val="191919"/>
        </w:rPr>
      </w:pPr>
    </w:p>
    <w:p>
      <w:pPr>
        <w:ind w:left="1620" w:right="360" w:hanging="532"/>
        <w:spacing w:after="0" w:line="306" w:lineRule="auto"/>
        <w:tabs>
          <w:tab w:leader="none" w:pos="1620" w:val="left"/>
        </w:tabs>
        <w:numPr>
          <w:ilvl w:val="2"/>
          <w:numId w:val="85"/>
        </w:numPr>
        <w:rPr>
          <w:rFonts w:ascii="Arial" w:cs="Arial" w:eastAsia="Arial" w:hAnsi="Arial"/>
          <w:sz w:val="16"/>
          <w:szCs w:val="16"/>
          <w:color w:val="191919"/>
        </w:rPr>
      </w:pPr>
      <w:r>
        <w:rPr>
          <w:rFonts w:ascii="Arial" w:cs="Arial" w:eastAsia="Arial" w:hAnsi="Arial"/>
          <w:sz w:val="16"/>
          <w:szCs w:val="16"/>
          <w:color w:val="191919"/>
        </w:rPr>
        <w:t>the issuance or transfer by the Corporation or any Subsidiary (in one transaction or a series of transactions) of any securities of the Corporation or any Subsidiary to any Related Person or any Affiliate of any Related Person in exchange for cash, securities or other property (or a combination thereof) having an aggregate Fair Market Value of $500,000 or more; or</w:t>
      </w:r>
    </w:p>
    <w:p>
      <w:pPr>
        <w:spacing w:after="0" w:line="173" w:lineRule="exact"/>
        <w:rPr>
          <w:rFonts w:ascii="Arial" w:cs="Arial" w:eastAsia="Arial" w:hAnsi="Arial"/>
          <w:sz w:val="16"/>
          <w:szCs w:val="16"/>
          <w:color w:val="191919"/>
        </w:rPr>
      </w:pPr>
    </w:p>
    <w:p>
      <w:pPr>
        <w:ind w:left="1620" w:right="20" w:hanging="532"/>
        <w:spacing w:after="0" w:line="268" w:lineRule="auto"/>
        <w:tabs>
          <w:tab w:leader="none" w:pos="1620" w:val="left"/>
        </w:tabs>
        <w:numPr>
          <w:ilvl w:val="2"/>
          <w:numId w:val="85"/>
        </w:numPr>
        <w:rPr>
          <w:rFonts w:ascii="Arial" w:cs="Arial" w:eastAsia="Arial" w:hAnsi="Arial"/>
          <w:sz w:val="18"/>
          <w:szCs w:val="18"/>
          <w:color w:val="191919"/>
        </w:rPr>
      </w:pPr>
      <w:r>
        <w:rPr>
          <w:rFonts w:ascii="Arial" w:cs="Arial" w:eastAsia="Arial" w:hAnsi="Arial"/>
          <w:sz w:val="18"/>
          <w:szCs w:val="18"/>
          <w:color w:val="191919"/>
        </w:rPr>
        <w:t>the adoption of any plan or proposal for the liquidation or dissolution of the Corporation proposed by or on behalf of any Related Person or any Affiliate of any Related Person; or</w:t>
      </w:r>
    </w:p>
    <w:p>
      <w:pPr>
        <w:spacing w:after="0" w:line="199" w:lineRule="exact"/>
        <w:rPr>
          <w:rFonts w:ascii="Arial" w:cs="Arial" w:eastAsia="Arial" w:hAnsi="Arial"/>
          <w:sz w:val="18"/>
          <w:szCs w:val="18"/>
          <w:color w:val="191919"/>
        </w:rPr>
      </w:pPr>
    </w:p>
    <w:p>
      <w:pPr>
        <w:ind w:left="1620" w:right="40" w:hanging="532"/>
        <w:spacing w:after="0" w:line="254" w:lineRule="auto"/>
        <w:tabs>
          <w:tab w:leader="none" w:pos="1620" w:val="left"/>
        </w:tabs>
        <w:numPr>
          <w:ilvl w:val="2"/>
          <w:numId w:val="85"/>
        </w:numPr>
        <w:rPr>
          <w:rFonts w:ascii="Arial" w:cs="Arial" w:eastAsia="Arial" w:hAnsi="Arial"/>
          <w:sz w:val="18"/>
          <w:szCs w:val="18"/>
          <w:color w:val="191919"/>
        </w:rPr>
      </w:pPr>
      <w:r>
        <w:rPr>
          <w:rFonts w:ascii="Arial" w:cs="Arial" w:eastAsia="Arial" w:hAnsi="Arial"/>
          <w:sz w:val="18"/>
          <w:szCs w:val="18"/>
          <w:color w:val="191919"/>
        </w:rPr>
        <w:t>any reclassification of securities (including any reverse stock split), or recapitalization of the Corporation, or any merger or consolidation of the Corporation with any of its Subsidiaries or any other transaction (whether or not with or into or otherwise involving the Related Person) which has the effect, directly or indirectly, of increasing the proportionate share of the outstanding shares of any class of equity or convertible securities of the Corporation or any Subsidiary which is directly or indirectly owned by any Related Person or any Affiliate of any Related Person.</w:t>
      </w:r>
    </w:p>
    <w:p>
      <w:pPr>
        <w:spacing w:after="0" w:line="200" w:lineRule="exact"/>
        <w:rPr>
          <w:rFonts w:ascii="Arial" w:cs="Arial" w:eastAsia="Arial" w:hAnsi="Arial"/>
          <w:sz w:val="18"/>
          <w:szCs w:val="18"/>
          <w:color w:val="191919"/>
        </w:rPr>
      </w:pPr>
    </w:p>
    <w:p>
      <w:pPr>
        <w:spacing w:after="0" w:line="243" w:lineRule="exact"/>
        <w:rPr>
          <w:rFonts w:ascii="Arial" w:cs="Arial" w:eastAsia="Arial" w:hAnsi="Arial"/>
          <w:sz w:val="18"/>
          <w:szCs w:val="18"/>
          <w:color w:val="191919"/>
        </w:rPr>
      </w:pPr>
    </w:p>
    <w:p>
      <w:pPr>
        <w:ind w:left="1080" w:hanging="532"/>
        <w:spacing w:after="0" w:line="306" w:lineRule="auto"/>
        <w:tabs>
          <w:tab w:leader="none" w:pos="1080" w:val="left"/>
        </w:tabs>
        <w:numPr>
          <w:ilvl w:val="1"/>
          <w:numId w:val="85"/>
        </w:numPr>
        <w:rPr>
          <w:rFonts w:ascii="Arial" w:cs="Arial" w:eastAsia="Arial" w:hAnsi="Arial"/>
          <w:sz w:val="16"/>
          <w:szCs w:val="16"/>
          <w:color w:val="191919"/>
        </w:rPr>
      </w:pPr>
      <w:r>
        <w:rPr>
          <w:rFonts w:ascii="Arial" w:cs="Arial" w:eastAsia="Arial" w:hAnsi="Arial"/>
          <w:sz w:val="16"/>
          <w:szCs w:val="16"/>
          <w:color w:val="191919"/>
        </w:rPr>
        <w:t>“Consideration Received” shall mean the amount of cash and the Fair Market Value, as of the Consummation Date, of consideration other than cash received by the stockholder. In the event of any Business Combination in which the Corporation survives, the consideration other than cash shall include shares of any class of outstanding Voting Stock retained by the holders of such shares.</w:t>
      </w:r>
    </w:p>
    <w:p>
      <w:pPr>
        <w:spacing w:after="0" w:line="173" w:lineRule="exact"/>
        <w:rPr>
          <w:rFonts w:ascii="Arial" w:cs="Arial" w:eastAsia="Arial" w:hAnsi="Arial"/>
          <w:sz w:val="16"/>
          <w:szCs w:val="16"/>
          <w:color w:val="191919"/>
        </w:rPr>
      </w:pPr>
    </w:p>
    <w:p>
      <w:pPr>
        <w:ind w:left="1080" w:hanging="532"/>
        <w:spacing w:after="0"/>
        <w:tabs>
          <w:tab w:leader="none" w:pos="1080" w:val="left"/>
        </w:tabs>
        <w:numPr>
          <w:ilvl w:val="1"/>
          <w:numId w:val="85"/>
        </w:numPr>
        <w:rPr>
          <w:rFonts w:ascii="Arial" w:cs="Arial" w:eastAsia="Arial" w:hAnsi="Arial"/>
          <w:sz w:val="18"/>
          <w:szCs w:val="18"/>
          <w:color w:val="191919"/>
        </w:rPr>
      </w:pPr>
      <w:r>
        <w:rPr>
          <w:rFonts w:ascii="Arial" w:cs="Arial" w:eastAsia="Arial" w:hAnsi="Arial"/>
          <w:sz w:val="18"/>
          <w:szCs w:val="18"/>
          <w:color w:val="191919"/>
        </w:rPr>
        <w:t>“Consummation Date” shall mean the date upon which the Business Combination is consummated.</w:t>
      </w:r>
    </w:p>
    <w:p>
      <w:pPr>
        <w:spacing w:after="0" w:line="238" w:lineRule="exact"/>
        <w:rPr>
          <w:rFonts w:ascii="Arial" w:cs="Arial" w:eastAsia="Arial" w:hAnsi="Arial"/>
          <w:sz w:val="18"/>
          <w:szCs w:val="18"/>
          <w:color w:val="191919"/>
        </w:rPr>
      </w:pPr>
    </w:p>
    <w:p>
      <w:pPr>
        <w:ind w:left="1080" w:right="340" w:hanging="532"/>
        <w:spacing w:after="0" w:line="256" w:lineRule="auto"/>
        <w:tabs>
          <w:tab w:leader="none" w:pos="1080" w:val="left"/>
        </w:tabs>
        <w:numPr>
          <w:ilvl w:val="1"/>
          <w:numId w:val="85"/>
        </w:numPr>
        <w:rPr>
          <w:rFonts w:ascii="Arial" w:cs="Arial" w:eastAsia="Arial" w:hAnsi="Arial"/>
          <w:sz w:val="18"/>
          <w:szCs w:val="18"/>
          <w:color w:val="191919"/>
        </w:rPr>
      </w:pPr>
      <w:r>
        <w:rPr>
          <w:rFonts w:ascii="Arial" w:cs="Arial" w:eastAsia="Arial" w:hAnsi="Arial"/>
          <w:sz w:val="18"/>
          <w:szCs w:val="18"/>
          <w:color w:val="191919"/>
        </w:rPr>
        <w:t>“Continuing Director” shall mean any member of the Board of Directors of the Corporation who is unaffiliated with the Related Person and who was a member of the Board of Directors prior to the time that the Related Person became a Related Person, and any successor of a Continuing Director who is unaffiliated with the Related Person and is recommended to succeed a Continuing Director by a majority of the Continuing Directors then on the Board of Directors.</w:t>
      </w:r>
    </w:p>
    <w:p>
      <w:pPr>
        <w:spacing w:after="0" w:line="223" w:lineRule="exact"/>
        <w:rPr>
          <w:rFonts w:ascii="Arial" w:cs="Arial" w:eastAsia="Arial" w:hAnsi="Arial"/>
          <w:sz w:val="18"/>
          <w:szCs w:val="18"/>
          <w:color w:val="191919"/>
        </w:rPr>
      </w:pPr>
    </w:p>
    <w:p>
      <w:pPr>
        <w:ind w:left="1080" w:hanging="532"/>
        <w:spacing w:after="0"/>
        <w:tabs>
          <w:tab w:leader="none" w:pos="1080" w:val="left"/>
        </w:tabs>
        <w:numPr>
          <w:ilvl w:val="1"/>
          <w:numId w:val="85"/>
        </w:numPr>
        <w:rPr>
          <w:rFonts w:ascii="Arial" w:cs="Arial" w:eastAsia="Arial" w:hAnsi="Arial"/>
          <w:sz w:val="18"/>
          <w:szCs w:val="18"/>
          <w:color w:val="191919"/>
        </w:rPr>
      </w:pPr>
      <w:r>
        <w:rPr>
          <w:rFonts w:ascii="Arial" w:cs="Arial" w:eastAsia="Arial" w:hAnsi="Arial"/>
          <w:sz w:val="18"/>
          <w:szCs w:val="18"/>
          <w:color w:val="191919"/>
        </w:rPr>
        <w:t>“Determination Date” shall mean the date upon which a Related Person became a Related Person.</w:t>
      </w:r>
    </w:p>
    <w:p>
      <w:pPr>
        <w:spacing w:after="0" w:line="238" w:lineRule="exact"/>
        <w:rPr>
          <w:rFonts w:ascii="Arial" w:cs="Arial" w:eastAsia="Arial" w:hAnsi="Arial"/>
          <w:sz w:val="18"/>
          <w:szCs w:val="18"/>
          <w:color w:val="191919"/>
        </w:rPr>
      </w:pPr>
    </w:p>
    <w:p>
      <w:pPr>
        <w:ind w:left="1080" w:hanging="532"/>
        <w:spacing w:after="0"/>
        <w:tabs>
          <w:tab w:leader="none" w:pos="1080" w:val="left"/>
        </w:tabs>
        <w:numPr>
          <w:ilvl w:val="1"/>
          <w:numId w:val="85"/>
        </w:numPr>
        <w:rPr>
          <w:rFonts w:ascii="Arial" w:cs="Arial" w:eastAsia="Arial" w:hAnsi="Arial"/>
          <w:sz w:val="18"/>
          <w:szCs w:val="18"/>
          <w:color w:val="191919"/>
        </w:rPr>
      </w:pPr>
      <w:r>
        <w:rPr>
          <w:rFonts w:ascii="Arial" w:cs="Arial" w:eastAsia="Arial" w:hAnsi="Arial"/>
          <w:sz w:val="18"/>
          <w:szCs w:val="18"/>
          <w:color w:val="191919"/>
        </w:rPr>
        <w:t>“Exchange Act” shall mean the Securities Exchange Act of 1934 as in effect on May 1, 1983.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86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90" w:lineRule="auto"/>
        <w:tabs>
          <w:tab w:leader="none" w:pos="1080" w:val="left"/>
        </w:tabs>
        <w:numPr>
          <w:ilvl w:val="1"/>
          <w:numId w:val="86"/>
        </w:numPr>
        <w:rPr>
          <w:rFonts w:ascii="Arial" w:cs="Arial" w:eastAsia="Arial" w:hAnsi="Arial"/>
          <w:sz w:val="16"/>
          <w:szCs w:val="16"/>
          <w:color w:val="191919"/>
        </w:rPr>
      </w:pPr>
      <w:r>
        <w:rPr>
          <w:rFonts w:ascii="Arial" w:cs="Arial" w:eastAsia="Arial" w:hAnsi="Arial"/>
          <w:sz w:val="16"/>
          <w:szCs w:val="16"/>
          <w:color w:val="191919"/>
        </w:rPr>
        <w:t>“Fair Market Value” shall mean: (i) in the case of stock, the highest closing sale price during the 30-day period immediately preceding the date in question of a share of such stock on the principal United States securities exchange registered under the Exchange Act on which such stock is listed, or, if such stock is not listed on any such exchange, the highest closing bid quotation with respect to a share of such stock during the 30-day period preceding the date in question on the National Association of Securities Dealers, Inc. Automated Quotations System or any system then in use or, if no such quotations are available, the fair market value on the date in question of a share of such stock as determined by the Board of Directors in good faith; and (ii) in the case of property other than cash or stock, the fair market value of such property on the date in question as determined by the Board of Directors in good faith.</w:t>
      </w:r>
    </w:p>
    <w:p>
      <w:pPr>
        <w:spacing w:after="0" w:line="198" w:lineRule="exact"/>
        <w:rPr>
          <w:rFonts w:ascii="Arial" w:cs="Arial" w:eastAsia="Arial" w:hAnsi="Arial"/>
          <w:sz w:val="16"/>
          <w:szCs w:val="16"/>
          <w:color w:val="191919"/>
        </w:rPr>
      </w:pPr>
    </w:p>
    <w:p>
      <w:pPr>
        <w:ind w:left="1080" w:right="20" w:hanging="532"/>
        <w:spacing w:after="0" w:line="291" w:lineRule="auto"/>
        <w:tabs>
          <w:tab w:leader="none" w:pos="1080" w:val="left"/>
        </w:tabs>
        <w:numPr>
          <w:ilvl w:val="1"/>
          <w:numId w:val="86"/>
        </w:numPr>
        <w:rPr>
          <w:rFonts w:ascii="Arial" w:cs="Arial" w:eastAsia="Arial" w:hAnsi="Arial"/>
          <w:sz w:val="16"/>
          <w:szCs w:val="16"/>
          <w:color w:val="191919"/>
        </w:rPr>
      </w:pPr>
      <w:r>
        <w:rPr>
          <w:rFonts w:ascii="Arial" w:cs="Arial" w:eastAsia="Arial" w:hAnsi="Arial"/>
          <w:sz w:val="16"/>
          <w:szCs w:val="16"/>
          <w:color w:val="191919"/>
        </w:rPr>
        <w:t>“Related Person” shall mean any individual, firm, corporation or other entity (other than the Corporation or any Subsidiary) which, together with its Affiliates and Associates (as such terms are defined in Rule 12b-2 under the Exchange Act) and with any other individual, firm, corporation or other entity (other than the Corporation or any Subsidiary) with which it or they have any agreement, arrangement or understanding with respect to acquiring, holding or disposing of Voting Stock, beneficially owns (as defined in Rule 13d-3 of the Exchange Act, except that such term shall include any Voting Stock which such person has the right to acquire, whether or not such right may be exercised within 60 days), directly or indirectly, more than twenty percent of the voting power of the outstanding Voting Stock.</w:t>
      </w:r>
    </w:p>
    <w:p>
      <w:pPr>
        <w:spacing w:after="0" w:line="187" w:lineRule="exact"/>
        <w:rPr>
          <w:rFonts w:ascii="Arial" w:cs="Arial" w:eastAsia="Arial" w:hAnsi="Arial"/>
          <w:sz w:val="16"/>
          <w:szCs w:val="16"/>
          <w:color w:val="191919"/>
        </w:rPr>
      </w:pPr>
    </w:p>
    <w:p>
      <w:pPr>
        <w:ind w:left="1080" w:right="120" w:hanging="532"/>
        <w:spacing w:after="0" w:line="268" w:lineRule="auto"/>
        <w:tabs>
          <w:tab w:leader="none" w:pos="1080" w:val="left"/>
        </w:tabs>
        <w:numPr>
          <w:ilvl w:val="1"/>
          <w:numId w:val="86"/>
        </w:numPr>
        <w:rPr>
          <w:rFonts w:ascii="Arial" w:cs="Arial" w:eastAsia="Arial" w:hAnsi="Arial"/>
          <w:sz w:val="18"/>
          <w:szCs w:val="18"/>
          <w:color w:val="191919"/>
        </w:rPr>
      </w:pPr>
      <w:r>
        <w:rPr>
          <w:rFonts w:ascii="Arial" w:cs="Arial" w:eastAsia="Arial" w:hAnsi="Arial"/>
          <w:sz w:val="18"/>
          <w:szCs w:val="18"/>
          <w:color w:val="191919"/>
        </w:rPr>
        <w:t>“Subsidiary” shall mean any corporation in which a majority of the capital stock entitled to vote generally in the election of directors is owned, directly or indirectly, by the Corporation.</w:t>
      </w:r>
    </w:p>
    <w:p>
      <w:pPr>
        <w:spacing w:after="0" w:line="199" w:lineRule="exact"/>
        <w:rPr>
          <w:rFonts w:ascii="Arial" w:cs="Arial" w:eastAsia="Arial" w:hAnsi="Arial"/>
          <w:sz w:val="18"/>
          <w:szCs w:val="18"/>
          <w:color w:val="191919"/>
        </w:rPr>
      </w:pPr>
    </w:p>
    <w:p>
      <w:pPr>
        <w:ind w:left="1080" w:right="200" w:hanging="532"/>
        <w:spacing w:after="0" w:line="268" w:lineRule="auto"/>
        <w:tabs>
          <w:tab w:leader="none" w:pos="1080" w:val="left"/>
        </w:tabs>
        <w:numPr>
          <w:ilvl w:val="1"/>
          <w:numId w:val="86"/>
        </w:numPr>
        <w:rPr>
          <w:rFonts w:ascii="Arial" w:cs="Arial" w:eastAsia="Arial" w:hAnsi="Arial"/>
          <w:sz w:val="18"/>
          <w:szCs w:val="18"/>
          <w:color w:val="191919"/>
        </w:rPr>
      </w:pPr>
      <w:r>
        <w:rPr>
          <w:rFonts w:ascii="Arial" w:cs="Arial" w:eastAsia="Arial" w:hAnsi="Arial"/>
          <w:sz w:val="18"/>
          <w:szCs w:val="18"/>
          <w:color w:val="191919"/>
        </w:rPr>
        <w:t>“Voting Stock” shall mean all of the then outstanding shares of the capital stock of the Corporation entitled to vote generally in the election of directors.</w:t>
      </w:r>
    </w:p>
    <w:p>
      <w:pPr>
        <w:spacing w:after="0" w:line="185" w:lineRule="exact"/>
        <w:rPr>
          <w:rFonts w:ascii="Arial" w:cs="Arial" w:eastAsia="Arial" w:hAnsi="Arial"/>
          <w:sz w:val="18"/>
          <w:szCs w:val="18"/>
          <w:color w:val="191919"/>
        </w:rPr>
      </w:pPr>
    </w:p>
    <w:p>
      <w:pPr>
        <w:ind w:left="360" w:hanging="352"/>
        <w:spacing w:after="0"/>
        <w:tabs>
          <w:tab w:leader="none" w:pos="360" w:val="left"/>
        </w:tabs>
        <w:numPr>
          <w:ilvl w:val="0"/>
          <w:numId w:val="87"/>
        </w:numPr>
        <w:rPr>
          <w:rFonts w:ascii="Arial" w:cs="Arial" w:eastAsia="Arial" w:hAnsi="Arial"/>
          <w:sz w:val="16"/>
          <w:szCs w:val="16"/>
          <w:color w:val="191919"/>
        </w:rPr>
      </w:pPr>
      <w:r>
        <w:rPr>
          <w:rFonts w:ascii="Arial" w:cs="Arial" w:eastAsia="Arial" w:hAnsi="Arial"/>
          <w:sz w:val="16"/>
          <w:szCs w:val="16"/>
          <w:color w:val="191919"/>
        </w:rPr>
        <w:t>In addition to the affirmative vote otherwise required by law or any provision of this Certificate of Incorporation (including without limitation Article</w:t>
      </w:r>
    </w:p>
    <w:p>
      <w:pPr>
        <w:spacing w:after="0" w:line="38" w:lineRule="exact"/>
        <w:rPr>
          <w:rFonts w:ascii="Arial" w:cs="Arial" w:eastAsia="Arial" w:hAnsi="Arial"/>
          <w:sz w:val="16"/>
          <w:szCs w:val="16"/>
          <w:color w:val="191919"/>
        </w:rPr>
      </w:pPr>
    </w:p>
    <w:p>
      <w:pPr>
        <w:ind w:right="40"/>
        <w:spacing w:after="0" w:line="260" w:lineRule="auto"/>
        <w:rPr>
          <w:rFonts w:ascii="Arial" w:cs="Arial" w:eastAsia="Arial" w:hAnsi="Arial"/>
          <w:sz w:val="16"/>
          <w:szCs w:val="16"/>
          <w:color w:val="191919"/>
        </w:rPr>
      </w:pPr>
      <w:r>
        <w:rPr>
          <w:rFonts w:ascii="Arial" w:cs="Arial" w:eastAsia="Arial" w:hAnsi="Arial"/>
          <w:sz w:val="18"/>
          <w:szCs w:val="18"/>
          <w:color w:val="191919"/>
        </w:rPr>
        <w:t xml:space="preserve">Eleventh), except as otherwise provided in paragraph 3, any Business Combination shall require the affirmative vote of the holders of </w:t>
      </w:r>
      <w:r>
        <w:rPr>
          <w:rFonts w:ascii="Arial" w:cs="Arial" w:eastAsia="Arial" w:hAnsi="Arial"/>
          <w:sz w:val="18"/>
          <w:szCs w:val="18"/>
          <w:color w:val="191919"/>
          <w:strike w:val="1"/>
        </w:rPr>
        <w:t>90%</w:t>
      </w:r>
      <w:r>
        <w:rPr>
          <w:rFonts w:ascii="Arial" w:cs="Arial" w:eastAsia="Arial" w:hAnsi="Arial"/>
          <w:sz w:val="18"/>
          <w:szCs w:val="18"/>
          <w:u w:val="single" w:color="auto"/>
          <w:color w:val="191919"/>
        </w:rPr>
        <w:t>at least a majority</w:t>
      </w:r>
      <w:r>
        <w:rPr>
          <w:rFonts w:ascii="Arial" w:cs="Arial" w:eastAsia="Arial" w:hAnsi="Arial"/>
          <w:sz w:val="18"/>
          <w:szCs w:val="18"/>
          <w:color w:val="191919"/>
        </w:rPr>
        <w:t xml:space="preserve"> of all Voting Stock, voting together as a single class.</w:t>
      </w:r>
    </w:p>
    <w:p>
      <w:pPr>
        <w:spacing w:after="0" w:line="193"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191919"/>
        </w:rPr>
        <w:t>Such affirmative vote shall be required notwithstanding any other provision of this Certificate of Incorporation or any provision of law or of any agreement with any national securities exchange which might otherwise permit a lesser vote or no vote, and such affirmative vote shall be required in addition to any affirmative vote of the holders of any particular class or series of the Voting Stock required by law or by this Certificate of Incorporation.</w:t>
      </w:r>
    </w:p>
    <w:p>
      <w:pPr>
        <w:spacing w:after="0" w:line="160" w:lineRule="exact"/>
        <w:rPr>
          <w:sz w:val="20"/>
          <w:szCs w:val="20"/>
          <w:color w:val="auto"/>
        </w:rPr>
      </w:pPr>
    </w:p>
    <w:p>
      <w:pPr>
        <w:ind w:right="20" w:firstLine="8"/>
        <w:spacing w:after="0" w:line="256" w:lineRule="auto"/>
        <w:tabs>
          <w:tab w:leader="none" w:pos="348" w:val="left"/>
        </w:tabs>
        <w:numPr>
          <w:ilvl w:val="0"/>
          <w:numId w:val="88"/>
        </w:numPr>
        <w:rPr>
          <w:rFonts w:ascii="Arial" w:cs="Arial" w:eastAsia="Arial" w:hAnsi="Arial"/>
          <w:sz w:val="18"/>
          <w:szCs w:val="18"/>
          <w:color w:val="191919"/>
        </w:rPr>
      </w:pPr>
      <w:r>
        <w:rPr>
          <w:rFonts w:ascii="Arial" w:cs="Arial" w:eastAsia="Arial" w:hAnsi="Arial"/>
          <w:sz w:val="18"/>
          <w:szCs w:val="18"/>
          <w:color w:val="191919"/>
        </w:rPr>
        <w:t>The provisions of paragraph 2 of this Article Twelfth shall not be applicable to any particular Business Combination, and such Business Combination shall require only such affirmative vote as is required by law, any other provision of this Certificate of Incorporation (including Article Eleventh), or any agreement with any national securities exchange, if, in the case of a Business Combination that does not involve any Consideration Received by the stockholders of the Corporation, solely in their respective capacities as stockholders of the</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Appendix A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191919"/>
        </w:rPr>
        <w:t>Corporation, the condition specified in the following paragraph A is met, or, in the case of any other Business Combination, the conditions specified in either of the following paragraphs A and B are met:</w:t>
      </w:r>
    </w:p>
    <w:p>
      <w:pPr>
        <w:spacing w:after="0" w:line="199" w:lineRule="exact"/>
        <w:rPr>
          <w:sz w:val="20"/>
          <w:szCs w:val="20"/>
          <w:color w:val="auto"/>
        </w:rPr>
      </w:pPr>
    </w:p>
    <w:p>
      <w:pPr>
        <w:ind w:left="1080" w:right="60" w:hanging="532"/>
        <w:spacing w:after="0" w:line="268" w:lineRule="auto"/>
        <w:tabs>
          <w:tab w:leader="none" w:pos="1080" w:val="left"/>
        </w:tabs>
        <w:numPr>
          <w:ilvl w:val="0"/>
          <w:numId w:val="89"/>
        </w:numPr>
        <w:rPr>
          <w:rFonts w:ascii="Arial" w:cs="Arial" w:eastAsia="Arial" w:hAnsi="Arial"/>
          <w:sz w:val="18"/>
          <w:szCs w:val="18"/>
          <w:color w:val="191919"/>
        </w:rPr>
      </w:pPr>
      <w:r>
        <w:rPr>
          <w:rFonts w:ascii="Arial" w:cs="Arial" w:eastAsia="Arial" w:hAnsi="Arial"/>
          <w:sz w:val="18"/>
          <w:szCs w:val="18"/>
          <w:color w:val="191919"/>
        </w:rPr>
        <w:t>The Business Combination shall have been approved by a majority of the Continuing Directors, it being understood that this condition shall not be capable of satisfaction unless there is at least one Continuing Director.</w:t>
      </w:r>
    </w:p>
    <w:p>
      <w:pPr>
        <w:spacing w:after="0" w:line="212" w:lineRule="exact"/>
        <w:rPr>
          <w:rFonts w:ascii="Arial" w:cs="Arial" w:eastAsia="Arial" w:hAnsi="Arial"/>
          <w:sz w:val="18"/>
          <w:szCs w:val="18"/>
          <w:color w:val="191919"/>
        </w:rPr>
      </w:pPr>
    </w:p>
    <w:p>
      <w:pPr>
        <w:ind w:left="1080" w:hanging="532"/>
        <w:spacing w:after="0"/>
        <w:tabs>
          <w:tab w:leader="none" w:pos="1080" w:val="left"/>
        </w:tabs>
        <w:numPr>
          <w:ilvl w:val="0"/>
          <w:numId w:val="89"/>
        </w:numPr>
        <w:rPr>
          <w:rFonts w:ascii="Arial" w:cs="Arial" w:eastAsia="Arial" w:hAnsi="Arial"/>
          <w:sz w:val="18"/>
          <w:szCs w:val="18"/>
          <w:color w:val="191919"/>
        </w:rPr>
      </w:pPr>
      <w:r>
        <w:rPr>
          <w:rFonts w:ascii="Arial" w:cs="Arial" w:eastAsia="Arial" w:hAnsi="Arial"/>
          <w:sz w:val="18"/>
          <w:szCs w:val="18"/>
          <w:color w:val="191919"/>
        </w:rPr>
        <w:t>All of the following conditions shall have been met:</w:t>
      </w:r>
    </w:p>
    <w:p>
      <w:pPr>
        <w:spacing w:after="0" w:line="200" w:lineRule="exact"/>
        <w:rPr>
          <w:rFonts w:ascii="Arial" w:cs="Arial" w:eastAsia="Arial" w:hAnsi="Arial"/>
          <w:sz w:val="18"/>
          <w:szCs w:val="18"/>
          <w:color w:val="191919"/>
        </w:rPr>
      </w:pPr>
    </w:p>
    <w:p>
      <w:pPr>
        <w:spacing w:after="0" w:line="254" w:lineRule="exact"/>
        <w:rPr>
          <w:rFonts w:ascii="Arial" w:cs="Arial" w:eastAsia="Arial" w:hAnsi="Arial"/>
          <w:sz w:val="18"/>
          <w:szCs w:val="18"/>
          <w:color w:val="191919"/>
        </w:rPr>
      </w:pPr>
    </w:p>
    <w:p>
      <w:pPr>
        <w:ind w:left="1620" w:right="20" w:hanging="532"/>
        <w:spacing w:after="0" w:line="254" w:lineRule="auto"/>
        <w:tabs>
          <w:tab w:leader="none" w:pos="1620" w:val="left"/>
        </w:tabs>
        <w:numPr>
          <w:ilvl w:val="1"/>
          <w:numId w:val="89"/>
        </w:numPr>
        <w:rPr>
          <w:rFonts w:ascii="Arial" w:cs="Arial" w:eastAsia="Arial" w:hAnsi="Arial"/>
          <w:sz w:val="18"/>
          <w:szCs w:val="18"/>
          <w:color w:val="191919"/>
        </w:rPr>
      </w:pPr>
      <w:r>
        <w:rPr>
          <w:rFonts w:ascii="Arial" w:cs="Arial" w:eastAsia="Arial" w:hAnsi="Arial"/>
          <w:sz w:val="18"/>
          <w:szCs w:val="18"/>
          <w:color w:val="191919"/>
        </w:rPr>
        <w:t>The form of the Consideration Received by holders of shares of a particular class of outstanding Voting Stock shall be in cash or in the same form as the Related Person has paid for shares of such class of Voting Stock within the two-year period ending on and including the Determination Date. If, within such two-year period, the Related Person has paid for shares of any class of Voting Stock with varying forms of consideration, the form of Consideration Received per share by holders of shares of such class of Voting Stock shall be either cash or the form used to acquire the largest number of shares of such class of Voting Stock acquired by the Related Person within such two-year period.</w:t>
      </w:r>
    </w:p>
    <w:p>
      <w:pPr>
        <w:spacing w:after="0" w:line="211" w:lineRule="exact"/>
        <w:rPr>
          <w:rFonts w:ascii="Arial" w:cs="Arial" w:eastAsia="Arial" w:hAnsi="Arial"/>
          <w:sz w:val="18"/>
          <w:szCs w:val="18"/>
          <w:color w:val="191919"/>
        </w:rPr>
      </w:pPr>
    </w:p>
    <w:p>
      <w:pPr>
        <w:ind w:left="1620" w:right="20" w:hanging="532"/>
        <w:spacing w:after="0" w:line="256" w:lineRule="auto"/>
        <w:tabs>
          <w:tab w:leader="none" w:pos="1620" w:val="left"/>
        </w:tabs>
        <w:numPr>
          <w:ilvl w:val="1"/>
          <w:numId w:val="89"/>
        </w:numPr>
        <w:rPr>
          <w:rFonts w:ascii="Arial" w:cs="Arial" w:eastAsia="Arial" w:hAnsi="Arial"/>
          <w:sz w:val="18"/>
          <w:szCs w:val="18"/>
          <w:color w:val="191919"/>
        </w:rPr>
      </w:pPr>
      <w:r>
        <w:rPr>
          <w:rFonts w:ascii="Arial" w:cs="Arial" w:eastAsia="Arial" w:hAnsi="Arial"/>
          <w:sz w:val="18"/>
          <w:szCs w:val="18"/>
          <w:color w:val="191919"/>
        </w:rPr>
        <w:t>The aggregate amount of Consideration Received per share by holders of each class of Voting Stock in such Business Combination shall be at least equal to the higher of the following (it being intended that the requirements of this paragraph B(ii) shall be required to be met with respect to every such class of Voting Stock outstanding, whether or not the Related Person has previously acquired any shares of that particular class of Voting Stock):</w:t>
      </w:r>
    </w:p>
    <w:p>
      <w:pPr>
        <w:spacing w:after="0" w:line="200" w:lineRule="exact"/>
        <w:rPr>
          <w:rFonts w:ascii="Arial" w:cs="Arial" w:eastAsia="Arial" w:hAnsi="Arial"/>
          <w:sz w:val="18"/>
          <w:szCs w:val="18"/>
          <w:color w:val="191919"/>
        </w:rPr>
      </w:pPr>
    </w:p>
    <w:p>
      <w:pPr>
        <w:spacing w:after="0" w:line="239" w:lineRule="exact"/>
        <w:rPr>
          <w:rFonts w:ascii="Arial" w:cs="Arial" w:eastAsia="Arial" w:hAnsi="Arial"/>
          <w:sz w:val="18"/>
          <w:szCs w:val="18"/>
          <w:color w:val="191919"/>
        </w:rPr>
      </w:pPr>
    </w:p>
    <w:p>
      <w:pPr>
        <w:jc w:val="both"/>
        <w:ind w:left="2160" w:right="60" w:hanging="532"/>
        <w:spacing w:after="0" w:line="306" w:lineRule="auto"/>
        <w:tabs>
          <w:tab w:leader="none" w:pos="2160" w:val="left"/>
        </w:tabs>
        <w:numPr>
          <w:ilvl w:val="2"/>
          <w:numId w:val="89"/>
        </w:numPr>
        <w:rPr>
          <w:rFonts w:ascii="Arial" w:cs="Arial" w:eastAsia="Arial" w:hAnsi="Arial"/>
          <w:sz w:val="16"/>
          <w:szCs w:val="16"/>
          <w:color w:val="191919"/>
        </w:rPr>
      </w:pPr>
      <w:r>
        <w:rPr>
          <w:rFonts w:ascii="Arial" w:cs="Arial" w:eastAsia="Arial" w:hAnsi="Arial"/>
          <w:sz w:val="16"/>
          <w:szCs w:val="16"/>
          <w:color w:val="191919"/>
        </w:rPr>
        <w:t>(if applicable) the highest per share price (including any brokerage commissions, transfer taxes and soliciting dealers’ fees) paid by the Related Person for any shares of that class of Voting Stock acquired by it within the two-year period immediately prior to the Announcement Date or in the transaction in which it became a Related Person, whichever is higher; or</w:t>
      </w:r>
    </w:p>
    <w:p>
      <w:pPr>
        <w:spacing w:after="0" w:line="173" w:lineRule="exact"/>
        <w:rPr>
          <w:rFonts w:ascii="Arial" w:cs="Arial" w:eastAsia="Arial" w:hAnsi="Arial"/>
          <w:sz w:val="16"/>
          <w:szCs w:val="16"/>
          <w:color w:val="191919"/>
        </w:rPr>
      </w:pPr>
    </w:p>
    <w:p>
      <w:pPr>
        <w:ind w:left="2160" w:hanging="532"/>
        <w:spacing w:after="0"/>
        <w:tabs>
          <w:tab w:leader="none" w:pos="2160" w:val="left"/>
        </w:tabs>
        <w:numPr>
          <w:ilvl w:val="2"/>
          <w:numId w:val="89"/>
        </w:numPr>
        <w:rPr>
          <w:rFonts w:ascii="Arial" w:cs="Arial" w:eastAsia="Arial" w:hAnsi="Arial"/>
          <w:sz w:val="18"/>
          <w:szCs w:val="18"/>
          <w:color w:val="191919"/>
        </w:rPr>
      </w:pPr>
      <w:r>
        <w:rPr>
          <w:rFonts w:ascii="Arial" w:cs="Arial" w:eastAsia="Arial" w:hAnsi="Arial"/>
          <w:sz w:val="18"/>
          <w:szCs w:val="18"/>
          <w:color w:val="191919"/>
        </w:rPr>
        <w:t>the Fair Market Value per share of such class of Voting Stock on the Announcement Date; or</w:t>
      </w:r>
    </w:p>
    <w:p>
      <w:pPr>
        <w:spacing w:after="0" w:line="238" w:lineRule="exact"/>
        <w:rPr>
          <w:rFonts w:ascii="Arial" w:cs="Arial" w:eastAsia="Arial" w:hAnsi="Arial"/>
          <w:sz w:val="18"/>
          <w:szCs w:val="18"/>
          <w:color w:val="191919"/>
        </w:rPr>
      </w:pPr>
    </w:p>
    <w:p>
      <w:pPr>
        <w:ind w:left="2160" w:right="100" w:hanging="532"/>
        <w:spacing w:after="0" w:line="259" w:lineRule="auto"/>
        <w:tabs>
          <w:tab w:leader="none" w:pos="2160" w:val="left"/>
        </w:tabs>
        <w:numPr>
          <w:ilvl w:val="2"/>
          <w:numId w:val="89"/>
        </w:numPr>
        <w:rPr>
          <w:rFonts w:ascii="Arial" w:cs="Arial" w:eastAsia="Arial" w:hAnsi="Arial"/>
          <w:sz w:val="18"/>
          <w:szCs w:val="18"/>
          <w:color w:val="191919"/>
        </w:rPr>
      </w:pPr>
      <w:r>
        <w:rPr>
          <w:rFonts w:ascii="Arial" w:cs="Arial" w:eastAsia="Arial" w:hAnsi="Arial"/>
          <w:sz w:val="18"/>
          <w:szCs w:val="18"/>
          <w:color w:val="191919"/>
        </w:rPr>
        <w:t>in the case of any class of preferred stock, the highest preferential amount per share to which the holders of shares of such class of Voting Stock are entitled in the event of any voluntary or involuntary liquidation, dissolution or winding up of the Corporation.</w:t>
      </w:r>
    </w:p>
    <w:p>
      <w:pPr>
        <w:spacing w:after="0" w:line="200" w:lineRule="exact"/>
        <w:rPr>
          <w:rFonts w:ascii="Arial" w:cs="Arial" w:eastAsia="Arial" w:hAnsi="Arial"/>
          <w:sz w:val="18"/>
          <w:szCs w:val="18"/>
          <w:color w:val="191919"/>
        </w:rPr>
      </w:pPr>
    </w:p>
    <w:p>
      <w:pPr>
        <w:spacing w:after="0" w:line="236" w:lineRule="exact"/>
        <w:rPr>
          <w:rFonts w:ascii="Arial" w:cs="Arial" w:eastAsia="Arial" w:hAnsi="Arial"/>
          <w:sz w:val="18"/>
          <w:szCs w:val="18"/>
          <w:color w:val="191919"/>
        </w:rPr>
      </w:pPr>
    </w:p>
    <w:p>
      <w:pPr>
        <w:ind w:left="1620" w:right="20" w:hanging="532"/>
        <w:spacing w:after="0" w:line="287" w:lineRule="auto"/>
        <w:tabs>
          <w:tab w:leader="none" w:pos="1620" w:val="left"/>
        </w:tabs>
        <w:numPr>
          <w:ilvl w:val="1"/>
          <w:numId w:val="89"/>
        </w:numPr>
        <w:rPr>
          <w:rFonts w:ascii="Arial" w:cs="Arial" w:eastAsia="Arial" w:hAnsi="Arial"/>
          <w:sz w:val="16"/>
          <w:szCs w:val="16"/>
          <w:color w:val="191919"/>
        </w:rPr>
      </w:pPr>
      <w:r>
        <w:rPr>
          <w:rFonts w:ascii="Arial" w:cs="Arial" w:eastAsia="Arial" w:hAnsi="Arial"/>
          <w:sz w:val="16"/>
          <w:szCs w:val="16"/>
          <w:color w:val="191919"/>
        </w:rPr>
        <w:t>After such Related Person has become a Related Person and prior to the consummation of such Business Combination: (a) except as approved by a majority of the Continuing Directors, there shall have been no failure to declare and pay at the regular date therefor any full quarterly dividends (whether or not cumulative) on any outstanding preferred stock; (b) there shall have been (I) no reduction in the annual rate of dividends paid on the Common Stock (except as necessary to reflect any subdivision of the Common Stock), except as approved by a majority of the Continuing Directors, and (II) an increase in such annual rate of dividends as necessary to reflect any reclassification (including any reverse stock split), recapitalization, reorganization or any similar transaction which has the effect of reducing the number of outstanding shares of the Common Stock, unless the failure so to increase such annual rate is approved by a majority of the Continuing Directors; and (c) such Related Person shall have not become the beneficial owner of any newly issued share of Voting Stock directly or indirectly from the Corporation except as part of the transaction which results in such Related Person becoming a Related Person.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88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61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20" w:right="200" w:hanging="532"/>
        <w:spacing w:after="0" w:line="298" w:lineRule="auto"/>
        <w:tabs>
          <w:tab w:leader="none" w:pos="1620" w:val="left"/>
        </w:tabs>
        <w:numPr>
          <w:ilvl w:val="1"/>
          <w:numId w:val="90"/>
        </w:numPr>
        <w:rPr>
          <w:rFonts w:ascii="Arial" w:cs="Arial" w:eastAsia="Arial" w:hAnsi="Arial"/>
          <w:sz w:val="16"/>
          <w:szCs w:val="16"/>
          <w:color w:val="191919"/>
        </w:rPr>
      </w:pPr>
      <w:r>
        <w:rPr>
          <w:rFonts w:ascii="Arial" w:cs="Arial" w:eastAsia="Arial" w:hAnsi="Arial"/>
          <w:sz w:val="16"/>
          <w:szCs w:val="16"/>
          <w:color w:val="191919"/>
        </w:rPr>
        <w:t>After such Related Person has become a Related Person, such Related Person shall not have received the benefit, directly or indirectly (except proportionately, solely in such Related Person’s capacity as a stockholder of the Corporation), of any loans, advances, guarantees, pledges or other financial assistance or any tax credits or other tax advantages provided by the Corporation, whether in anticipation of or in connection with such Business Combination or otherwise.</w:t>
      </w:r>
    </w:p>
    <w:p>
      <w:pPr>
        <w:spacing w:after="0" w:line="193" w:lineRule="exact"/>
        <w:rPr>
          <w:rFonts w:ascii="Arial" w:cs="Arial" w:eastAsia="Arial" w:hAnsi="Arial"/>
          <w:sz w:val="16"/>
          <w:szCs w:val="16"/>
          <w:color w:val="191919"/>
        </w:rPr>
      </w:pPr>
    </w:p>
    <w:p>
      <w:pPr>
        <w:ind w:left="1620" w:right="40" w:hanging="532"/>
        <w:spacing w:after="0" w:line="314" w:lineRule="auto"/>
        <w:tabs>
          <w:tab w:leader="none" w:pos="1620" w:val="left"/>
        </w:tabs>
        <w:numPr>
          <w:ilvl w:val="1"/>
          <w:numId w:val="90"/>
        </w:numPr>
        <w:rPr>
          <w:rFonts w:ascii="Arial" w:cs="Arial" w:eastAsia="Arial" w:hAnsi="Arial"/>
          <w:sz w:val="15"/>
          <w:szCs w:val="15"/>
          <w:color w:val="191919"/>
        </w:rPr>
      </w:pPr>
      <w:r>
        <w:rPr>
          <w:rFonts w:ascii="Arial" w:cs="Arial" w:eastAsia="Arial" w:hAnsi="Arial"/>
          <w:sz w:val="15"/>
          <w:szCs w:val="15"/>
          <w:color w:val="191919"/>
        </w:rPr>
        <w:t>A proxy or information statement describing the proposed Business Combination and complying with the requirements of the Exchange Act and the rules and regulations thereunder (or any subsequent provisions replacing such act, rules or regulations) shall be mailed to all stockholders of the Corporation at least 30 days prior to the consummation of such Business Combination (whether or not such proxy or information statement is required to be mailed pursuant to the Exchange Act or subsequent provisions). Such proxy or information statement shall contain on the front thereof, prominently displayed, any recommendation as to the advisability or inadvisability of the Business Combination which the Continuing Directors, or any of them, may have furnished in writing to the Board of Directors.</w:t>
      </w:r>
    </w:p>
    <w:p>
      <w:pPr>
        <w:spacing w:after="0" w:line="158" w:lineRule="exact"/>
        <w:rPr>
          <w:rFonts w:ascii="Arial" w:cs="Arial" w:eastAsia="Arial" w:hAnsi="Arial"/>
          <w:sz w:val="15"/>
          <w:szCs w:val="15"/>
          <w:color w:val="191919"/>
        </w:rPr>
      </w:pPr>
    </w:p>
    <w:p>
      <w:pPr>
        <w:ind w:left="340" w:hanging="332"/>
        <w:spacing w:after="0"/>
        <w:tabs>
          <w:tab w:leader="none" w:pos="340" w:val="left"/>
        </w:tabs>
        <w:numPr>
          <w:ilvl w:val="0"/>
          <w:numId w:val="91"/>
        </w:numPr>
        <w:rPr>
          <w:rFonts w:ascii="Arial" w:cs="Arial" w:eastAsia="Arial" w:hAnsi="Arial"/>
          <w:sz w:val="16"/>
          <w:szCs w:val="16"/>
          <w:color w:val="191919"/>
        </w:rPr>
      </w:pPr>
      <w:r>
        <w:rPr>
          <w:rFonts w:ascii="Arial" w:cs="Arial" w:eastAsia="Arial" w:hAnsi="Arial"/>
          <w:sz w:val="16"/>
          <w:szCs w:val="16"/>
          <w:color w:val="191919"/>
        </w:rPr>
        <w:t>A majority of the total number of authorized directors (whether or not there exist any vacancies in previously authorized directorships at the time any</w:t>
      </w:r>
    </w:p>
    <w:p>
      <w:pPr>
        <w:spacing w:after="0" w:line="38" w:lineRule="exact"/>
        <w:rPr>
          <w:rFonts w:ascii="Arial" w:cs="Arial" w:eastAsia="Arial" w:hAnsi="Arial"/>
          <w:sz w:val="16"/>
          <w:szCs w:val="16"/>
          <w:color w:val="191919"/>
        </w:rPr>
      </w:pPr>
    </w:p>
    <w:p>
      <w:pPr>
        <w:ind w:right="80"/>
        <w:spacing w:after="0" w:line="252" w:lineRule="auto"/>
        <w:rPr>
          <w:rFonts w:ascii="Arial" w:cs="Arial" w:eastAsia="Arial" w:hAnsi="Arial"/>
          <w:sz w:val="16"/>
          <w:szCs w:val="16"/>
          <w:color w:val="191919"/>
        </w:rPr>
      </w:pPr>
      <w:r>
        <w:rPr>
          <w:rFonts w:ascii="Arial" w:cs="Arial" w:eastAsia="Arial" w:hAnsi="Arial"/>
          <w:sz w:val="18"/>
          <w:szCs w:val="18"/>
          <w:color w:val="191919"/>
        </w:rPr>
        <w:t>determination is to be made by the Board of Directors) shall have the power and duty to determine, on the basis of information known to them after reasonable inquiry, all facts necessary to determine compliance with this Article Twelfth including, without limitation, (1) whether a person is a Related Person, (2) the number of shares of Voting Stock beneficially owned by any person, (3) whether the applicable conditions set forth in paragraph (2) of Section C have been met with respect to any Business Combination, and (4) whether the assets which are the subject of any Business Combination or the Consideration Received for the issuance or transfer of securities by the Corporation or any Subsidiary in any Business Combination have an aggregate Fair Market Value of $500,000 or more.</w:t>
      </w:r>
    </w:p>
    <w:p>
      <w:pPr>
        <w:spacing w:after="0" w:line="201" w:lineRule="exact"/>
        <w:rPr>
          <w:rFonts w:ascii="Arial" w:cs="Arial" w:eastAsia="Arial" w:hAnsi="Arial"/>
          <w:sz w:val="16"/>
          <w:szCs w:val="16"/>
          <w:color w:val="191919"/>
        </w:rPr>
      </w:pPr>
    </w:p>
    <w:p>
      <w:pPr>
        <w:ind w:left="360" w:hanging="352"/>
        <w:spacing w:after="0"/>
        <w:tabs>
          <w:tab w:leader="none" w:pos="360" w:val="left"/>
        </w:tabs>
        <w:numPr>
          <w:ilvl w:val="0"/>
          <w:numId w:val="91"/>
        </w:numPr>
        <w:rPr>
          <w:rFonts w:ascii="Arial" w:cs="Arial" w:eastAsia="Arial" w:hAnsi="Arial"/>
          <w:sz w:val="18"/>
          <w:szCs w:val="18"/>
          <w:color w:val="191919"/>
        </w:rPr>
      </w:pPr>
      <w:r>
        <w:rPr>
          <w:rFonts w:ascii="Arial" w:cs="Arial" w:eastAsia="Arial" w:hAnsi="Arial"/>
          <w:sz w:val="18"/>
          <w:szCs w:val="18"/>
          <w:color w:val="191919"/>
        </w:rPr>
        <w:t>Nothing contained in this Article Twelfth shall be construed to relieve any Related Person from any fiduciary obligation imposed by law.</w:t>
      </w:r>
    </w:p>
    <w:p>
      <w:pPr>
        <w:spacing w:after="0" w:line="206" w:lineRule="exact"/>
        <w:rPr>
          <w:sz w:val="20"/>
          <w:szCs w:val="20"/>
          <w:color w:val="auto"/>
        </w:rPr>
      </w:pPr>
    </w:p>
    <w:p>
      <w:pPr>
        <w:ind w:right="60"/>
        <w:spacing w:after="0" w:line="229" w:lineRule="auto"/>
        <w:rPr>
          <w:sz w:val="20"/>
          <w:szCs w:val="20"/>
          <w:color w:val="auto"/>
        </w:rPr>
      </w:pPr>
      <w:r>
        <w:rPr>
          <w:rFonts w:ascii="Arial" w:cs="Arial" w:eastAsia="Arial" w:hAnsi="Arial"/>
          <w:sz w:val="22"/>
          <w:szCs w:val="22"/>
          <w:b w:val="1"/>
          <w:bCs w:val="1"/>
          <w:color w:val="191919"/>
        </w:rPr>
        <w:t xml:space="preserve">THIRTEENTH: </w:t>
      </w:r>
      <w:r>
        <w:rPr>
          <w:rFonts w:ascii="Arial" w:cs="Arial" w:eastAsia="Arial" w:hAnsi="Arial"/>
          <w:sz w:val="17"/>
          <w:szCs w:val="17"/>
          <w:color w:val="191919"/>
        </w:rPr>
        <w:t>Any action required or permitted to be taken by the stockholders of the Corporation must be effected at an annual or special meeting of</w:t>
      </w:r>
      <w:r>
        <w:rPr>
          <w:rFonts w:ascii="Arial" w:cs="Arial" w:eastAsia="Arial" w:hAnsi="Arial"/>
          <w:sz w:val="22"/>
          <w:szCs w:val="22"/>
          <w:b w:val="1"/>
          <w:bCs w:val="1"/>
          <w:color w:val="191919"/>
        </w:rPr>
        <w:t xml:space="preserve"> </w:t>
      </w:r>
      <w:r>
        <w:rPr>
          <w:rFonts w:ascii="Arial" w:cs="Arial" w:eastAsia="Arial" w:hAnsi="Arial"/>
          <w:sz w:val="17"/>
          <w:szCs w:val="17"/>
          <w:color w:val="191919"/>
        </w:rPr>
        <w:t>stockholders of the Corporation and may not be effected by any consent in writing by such stockholders.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Appendix A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61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ind w:left="60"/>
        <w:spacing w:after="0"/>
        <w:rPr>
          <w:sz w:val="20"/>
          <w:szCs w:val="20"/>
          <w:color w:val="auto"/>
        </w:rPr>
      </w:pPr>
      <w:r>
        <w:rPr>
          <w:rFonts w:ascii="Arial" w:cs="Arial" w:eastAsia="Arial" w:hAnsi="Arial"/>
          <w:sz w:val="24"/>
          <w:szCs w:val="24"/>
          <w:b w:val="1"/>
          <w:bCs w:val="1"/>
          <w:color w:val="02568A"/>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175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FFFFFE"/>
        </w:rPr>
        <w:t>Unaudited Reconciliations of Non-GAAP Financial Measures</w:t>
      </w:r>
    </w:p>
    <w:p>
      <w:pPr>
        <w:spacing w:after="0" w:line="301" w:lineRule="exact"/>
        <w:rPr>
          <w:sz w:val="20"/>
          <w:szCs w:val="20"/>
          <w:color w:val="auto"/>
        </w:rPr>
      </w:pPr>
    </w:p>
    <w:tbl>
      <w:tblPr>
        <w:tblLayout w:type="fixed"/>
        <w:tblInd w:w="1120" w:type="dxa"/>
        <w:tblCellMar>
          <w:top w:w="0" w:type="dxa"/>
          <w:left w:w="0" w:type="dxa"/>
          <w:bottom w:w="0" w:type="dxa"/>
          <w:right w:w="0" w:type="dxa"/>
        </w:tblCellMar>
      </w:tblPr>
      <w:tr>
        <w:trPr>
          <w:trHeight w:val="229"/>
        </w:trPr>
        <w:tc>
          <w:tcPr>
            <w:tcW w:w="4960" w:type="dxa"/>
            <w:vAlign w:val="bottom"/>
            <w:tcBorders>
              <w:top w:val="single" w:sz="8" w:color="02568A"/>
            </w:tcBorders>
          </w:tcPr>
          <w:p>
            <w:pPr>
              <w:spacing w:after="0"/>
              <w:rPr>
                <w:sz w:val="19"/>
                <w:szCs w:val="19"/>
                <w:color w:val="auto"/>
              </w:rPr>
            </w:pPr>
          </w:p>
        </w:tc>
        <w:tc>
          <w:tcPr>
            <w:tcW w:w="4020" w:type="dxa"/>
            <w:vAlign w:val="bottom"/>
            <w:tcBorders>
              <w:top w:val="single" w:sz="8" w:color="02568A"/>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88"/>
              </w:rPr>
              <w:t>Year Ended</w:t>
            </w:r>
          </w:p>
        </w:tc>
        <w:tc>
          <w:tcPr>
            <w:tcW w:w="20" w:type="dxa"/>
            <w:vAlign w:val="bottom"/>
          </w:tcPr>
          <w:p>
            <w:pPr>
              <w:spacing w:after="0"/>
              <w:rPr>
                <w:sz w:val="19"/>
                <w:szCs w:val="19"/>
                <w:color w:val="auto"/>
              </w:rPr>
            </w:pPr>
          </w:p>
        </w:tc>
      </w:tr>
      <w:tr>
        <w:trPr>
          <w:trHeight w:val="210"/>
        </w:trPr>
        <w:tc>
          <w:tcPr>
            <w:tcW w:w="4960" w:type="dxa"/>
            <w:vAlign w:val="bottom"/>
          </w:tcPr>
          <w:p>
            <w:pPr>
              <w:spacing w:after="0"/>
              <w:rPr>
                <w:sz w:val="18"/>
                <w:szCs w:val="18"/>
                <w:color w:val="auto"/>
              </w:rPr>
            </w:pPr>
          </w:p>
        </w:tc>
        <w:tc>
          <w:tcPr>
            <w:tcW w:w="4020" w:type="dxa"/>
            <w:vAlign w:val="bottom"/>
            <w:tcBorders>
              <w:bottom w:val="single" w:sz="8" w:color="02568A"/>
            </w:tcBorders>
          </w:tcPr>
          <w:p>
            <w:pPr>
              <w:jc w:val="center"/>
              <w:spacing w:after="0"/>
              <w:rPr>
                <w:sz w:val="20"/>
                <w:szCs w:val="20"/>
                <w:color w:val="auto"/>
              </w:rPr>
            </w:pPr>
            <w:r>
              <w:rPr>
                <w:rFonts w:ascii="Arial" w:cs="Arial" w:eastAsia="Arial" w:hAnsi="Arial"/>
                <w:sz w:val="18"/>
                <w:szCs w:val="18"/>
                <w:b w:val="1"/>
                <w:bCs w:val="1"/>
                <w:color w:val="02568A"/>
                <w:w w:val="87"/>
              </w:rPr>
              <w:t>Sept. 27, 2019</w:t>
            </w:r>
          </w:p>
        </w:tc>
        <w:tc>
          <w:tcPr>
            <w:tcW w:w="20" w:type="dxa"/>
            <w:vAlign w:val="bottom"/>
          </w:tcPr>
          <w:p>
            <w:pPr>
              <w:spacing w:after="0"/>
              <w:rPr>
                <w:sz w:val="18"/>
                <w:szCs w:val="18"/>
                <w:color w:val="auto"/>
              </w:rPr>
            </w:pPr>
          </w:p>
        </w:tc>
      </w:tr>
      <w:tr>
        <w:trPr>
          <w:trHeight w:val="209"/>
        </w:trPr>
        <w:tc>
          <w:tcPr>
            <w:tcW w:w="496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Arial" w:cs="Arial" w:eastAsia="Arial" w:hAnsi="Arial"/>
                <w:sz w:val="18"/>
                <w:szCs w:val="18"/>
                <w:b w:val="1"/>
                <w:bCs w:val="1"/>
                <w:color w:val="02568A"/>
                <w:w w:val="87"/>
              </w:rPr>
              <w:t>(In millions, except per share amounts)</w:t>
            </w:r>
          </w:p>
        </w:tc>
        <w:tc>
          <w:tcPr>
            <w:tcW w:w="20" w:type="dxa"/>
            <w:vAlign w:val="bottom"/>
          </w:tcPr>
          <w:p>
            <w:pPr>
              <w:spacing w:after="0"/>
              <w:rPr>
                <w:sz w:val="18"/>
                <w:szCs w:val="18"/>
                <w:color w:val="auto"/>
              </w:rPr>
            </w:pPr>
          </w:p>
        </w:tc>
      </w:tr>
      <w:tr>
        <w:trPr>
          <w:trHeight w:val="216"/>
        </w:trPr>
        <w:tc>
          <w:tcPr>
            <w:tcW w:w="4960" w:type="dxa"/>
            <w:vAlign w:val="bottom"/>
            <w:tcBorders>
              <w:bottom w:val="single" w:sz="8" w:color="D1D2D4"/>
            </w:tcBorders>
            <w:shd w:val="clear" w:color="auto" w:fill="CED8EA"/>
          </w:tcPr>
          <w:p>
            <w:pPr>
              <w:ind w:left="20"/>
              <w:spacing w:after="0"/>
              <w:rPr>
                <w:sz w:val="20"/>
                <w:szCs w:val="20"/>
                <w:color w:val="auto"/>
              </w:rPr>
            </w:pPr>
            <w:r>
              <w:rPr>
                <w:rFonts w:ascii="Arial" w:cs="Arial" w:eastAsia="Arial" w:hAnsi="Arial"/>
                <w:sz w:val="18"/>
                <w:szCs w:val="18"/>
                <w:b w:val="1"/>
                <w:bCs w:val="1"/>
                <w:color w:val="02568A"/>
              </w:rPr>
              <w:t>GAAP operating income</w:t>
            </w:r>
          </w:p>
        </w:tc>
        <w:tc>
          <w:tcPr>
            <w:tcW w:w="402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$952.0</w:t>
            </w:r>
          </w:p>
        </w:tc>
        <w:tc>
          <w:tcPr>
            <w:tcW w:w="20" w:type="dxa"/>
            <w:vAlign w:val="bottom"/>
          </w:tcPr>
          <w:p>
            <w:pPr>
              <w:spacing w:after="0"/>
              <w:rPr>
                <w:sz w:val="18"/>
                <w:szCs w:val="18"/>
                <w:color w:val="auto"/>
              </w:rPr>
            </w:pPr>
          </w:p>
        </w:tc>
      </w:tr>
      <w:tr>
        <w:trPr>
          <w:trHeight w:val="210"/>
        </w:trPr>
        <w:tc>
          <w:tcPr>
            <w:tcW w:w="4960" w:type="dxa"/>
            <w:vAlign w:val="bottom"/>
            <w:tcBorders>
              <w:bottom w:val="single" w:sz="8" w:color="D1D2D4"/>
            </w:tcBorders>
          </w:tcPr>
          <w:p>
            <w:pPr>
              <w:ind w:left="20"/>
              <w:spacing w:after="0"/>
              <w:rPr>
                <w:sz w:val="20"/>
                <w:szCs w:val="20"/>
                <w:color w:val="auto"/>
              </w:rPr>
            </w:pPr>
            <w:r>
              <w:rPr>
                <w:rFonts w:ascii="Arial" w:cs="Arial" w:eastAsia="Arial" w:hAnsi="Arial"/>
                <w:sz w:val="18"/>
                <w:szCs w:val="18"/>
                <w:b w:val="1"/>
                <w:bCs w:val="1"/>
                <w:color w:val="02568A"/>
              </w:rPr>
              <w:t>Share-based compensation expense</w:t>
            </w:r>
          </w:p>
        </w:tc>
        <w:tc>
          <w:tcPr>
            <w:tcW w:w="40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80.1</w:t>
            </w:r>
          </w:p>
        </w:tc>
        <w:tc>
          <w:tcPr>
            <w:tcW w:w="20" w:type="dxa"/>
            <w:vAlign w:val="bottom"/>
            <w:tcBorders>
              <w:bottom w:val="single" w:sz="8" w:color="D1D2D4"/>
            </w:tcBorders>
          </w:tcPr>
          <w:p>
            <w:pPr>
              <w:spacing w:after="0"/>
              <w:rPr>
                <w:sz w:val="18"/>
                <w:szCs w:val="18"/>
                <w:color w:val="auto"/>
              </w:rPr>
            </w:pPr>
          </w:p>
        </w:tc>
      </w:tr>
      <w:tr>
        <w:trPr>
          <w:trHeight w:val="209"/>
        </w:trPr>
        <w:tc>
          <w:tcPr>
            <w:tcW w:w="4960" w:type="dxa"/>
            <w:vAlign w:val="bottom"/>
            <w:tcBorders>
              <w:bottom w:val="single" w:sz="8" w:color="D1D2D4"/>
            </w:tcBorders>
            <w:shd w:val="clear" w:color="auto" w:fill="CED8EA"/>
          </w:tcPr>
          <w:p>
            <w:pPr>
              <w:ind w:left="20"/>
              <w:spacing w:after="0"/>
              <w:rPr>
                <w:sz w:val="20"/>
                <w:szCs w:val="20"/>
                <w:color w:val="auto"/>
              </w:rPr>
            </w:pPr>
            <w:r>
              <w:rPr>
                <w:rFonts w:ascii="Arial" w:cs="Arial" w:eastAsia="Arial" w:hAnsi="Arial"/>
                <w:sz w:val="18"/>
                <w:szCs w:val="18"/>
                <w:b w:val="1"/>
                <w:bCs w:val="1"/>
                <w:color w:val="02568A"/>
              </w:rPr>
              <w:t>Acquisition-related expenses(a)</w:t>
            </w:r>
          </w:p>
        </w:tc>
        <w:tc>
          <w:tcPr>
            <w:tcW w:w="402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2.1</w:t>
            </w:r>
          </w:p>
        </w:tc>
        <w:tc>
          <w:tcPr>
            <w:tcW w:w="20" w:type="dxa"/>
            <w:vAlign w:val="bottom"/>
          </w:tcPr>
          <w:p>
            <w:pPr>
              <w:spacing w:after="0"/>
              <w:rPr>
                <w:sz w:val="18"/>
                <w:szCs w:val="18"/>
                <w:color w:val="auto"/>
              </w:rPr>
            </w:pPr>
          </w:p>
        </w:tc>
      </w:tr>
      <w:tr>
        <w:trPr>
          <w:trHeight w:val="209"/>
        </w:trPr>
        <w:tc>
          <w:tcPr>
            <w:tcW w:w="4960" w:type="dxa"/>
            <w:vAlign w:val="bottom"/>
            <w:tcBorders>
              <w:bottom w:val="single" w:sz="8" w:color="D1D2D4"/>
            </w:tcBorders>
          </w:tcPr>
          <w:p>
            <w:pPr>
              <w:ind w:left="20"/>
              <w:spacing w:after="0"/>
              <w:rPr>
                <w:sz w:val="20"/>
                <w:szCs w:val="20"/>
                <w:color w:val="auto"/>
              </w:rPr>
            </w:pPr>
            <w:r>
              <w:rPr>
                <w:rFonts w:ascii="Arial" w:cs="Arial" w:eastAsia="Arial" w:hAnsi="Arial"/>
                <w:sz w:val="18"/>
                <w:szCs w:val="18"/>
                <w:b w:val="1"/>
                <w:bCs w:val="1"/>
                <w:color w:val="02568A"/>
              </w:rPr>
              <w:t>Amortization of acquisition-related intangibles</w:t>
            </w:r>
          </w:p>
        </w:tc>
        <w:tc>
          <w:tcPr>
            <w:tcW w:w="40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43.7</w:t>
            </w:r>
          </w:p>
        </w:tc>
        <w:tc>
          <w:tcPr>
            <w:tcW w:w="20" w:type="dxa"/>
            <w:vAlign w:val="bottom"/>
            <w:tcBorders>
              <w:bottom w:val="single" w:sz="8" w:color="D1D2D4"/>
            </w:tcBorders>
          </w:tcPr>
          <w:p>
            <w:pPr>
              <w:spacing w:after="0"/>
              <w:rPr>
                <w:sz w:val="18"/>
                <w:szCs w:val="18"/>
                <w:color w:val="auto"/>
              </w:rPr>
            </w:pPr>
          </w:p>
        </w:tc>
      </w:tr>
      <w:tr>
        <w:trPr>
          <w:trHeight w:val="210"/>
        </w:trPr>
        <w:tc>
          <w:tcPr>
            <w:tcW w:w="4960" w:type="dxa"/>
            <w:vAlign w:val="bottom"/>
            <w:tcBorders>
              <w:bottom w:val="single" w:sz="8" w:color="D1D2D4"/>
            </w:tcBorders>
            <w:shd w:val="clear" w:color="auto" w:fill="CED8EA"/>
          </w:tcPr>
          <w:p>
            <w:pPr>
              <w:ind w:left="20"/>
              <w:spacing w:after="0"/>
              <w:rPr>
                <w:sz w:val="20"/>
                <w:szCs w:val="20"/>
                <w:color w:val="auto"/>
              </w:rPr>
            </w:pPr>
            <w:r>
              <w:rPr>
                <w:rFonts w:ascii="Arial" w:cs="Arial" w:eastAsia="Arial" w:hAnsi="Arial"/>
                <w:sz w:val="18"/>
                <w:szCs w:val="18"/>
                <w:b w:val="1"/>
                <w:bCs w:val="1"/>
                <w:color w:val="02568A"/>
              </w:rPr>
              <w:t>Settlements, gains, losses and impairments(b)</w:t>
            </w:r>
          </w:p>
        </w:tc>
        <w:tc>
          <w:tcPr>
            <w:tcW w:w="402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80.7</w:t>
            </w:r>
          </w:p>
        </w:tc>
        <w:tc>
          <w:tcPr>
            <w:tcW w:w="20" w:type="dxa"/>
            <w:vAlign w:val="bottom"/>
          </w:tcPr>
          <w:p>
            <w:pPr>
              <w:spacing w:after="0"/>
              <w:rPr>
                <w:sz w:val="18"/>
                <w:szCs w:val="18"/>
                <w:color w:val="auto"/>
              </w:rPr>
            </w:pPr>
          </w:p>
        </w:tc>
      </w:tr>
      <w:tr>
        <w:trPr>
          <w:trHeight w:val="209"/>
        </w:trPr>
        <w:tc>
          <w:tcPr>
            <w:tcW w:w="4960" w:type="dxa"/>
            <w:vAlign w:val="bottom"/>
            <w:tcBorders>
              <w:bottom w:val="single" w:sz="8" w:color="D1D2D4"/>
            </w:tcBorders>
          </w:tcPr>
          <w:p>
            <w:pPr>
              <w:ind w:left="20"/>
              <w:spacing w:after="0"/>
              <w:rPr>
                <w:sz w:val="20"/>
                <w:szCs w:val="20"/>
                <w:color w:val="auto"/>
              </w:rPr>
            </w:pPr>
            <w:r>
              <w:rPr>
                <w:rFonts w:ascii="Arial" w:cs="Arial" w:eastAsia="Arial" w:hAnsi="Arial"/>
                <w:sz w:val="18"/>
                <w:szCs w:val="18"/>
                <w:b w:val="1"/>
                <w:bCs w:val="1"/>
                <w:color w:val="02568A"/>
              </w:rPr>
              <w:t>Restructuring and other charges</w:t>
            </w:r>
          </w:p>
        </w:tc>
        <w:tc>
          <w:tcPr>
            <w:tcW w:w="40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7.3</w:t>
            </w:r>
          </w:p>
        </w:tc>
        <w:tc>
          <w:tcPr>
            <w:tcW w:w="20" w:type="dxa"/>
            <w:vAlign w:val="bottom"/>
            <w:tcBorders>
              <w:bottom w:val="single" w:sz="8" w:color="D1D2D4"/>
            </w:tcBorders>
          </w:tcPr>
          <w:p>
            <w:pPr>
              <w:spacing w:after="0"/>
              <w:rPr>
                <w:sz w:val="18"/>
                <w:szCs w:val="18"/>
                <w:color w:val="auto"/>
              </w:rPr>
            </w:pPr>
          </w:p>
        </w:tc>
      </w:tr>
      <w:tr>
        <w:trPr>
          <w:trHeight w:val="210"/>
        </w:trPr>
        <w:tc>
          <w:tcPr>
            <w:tcW w:w="4960" w:type="dxa"/>
            <w:vAlign w:val="bottom"/>
            <w:shd w:val="clear" w:color="auto" w:fill="CED8EA"/>
          </w:tcPr>
          <w:p>
            <w:pPr>
              <w:ind w:left="20"/>
              <w:spacing w:after="0"/>
              <w:rPr>
                <w:sz w:val="20"/>
                <w:szCs w:val="20"/>
                <w:color w:val="auto"/>
              </w:rPr>
            </w:pPr>
            <w:r>
              <w:rPr>
                <w:rFonts w:ascii="Arial" w:cs="Arial" w:eastAsia="Arial" w:hAnsi="Arial"/>
                <w:sz w:val="18"/>
                <w:szCs w:val="18"/>
                <w:b w:val="1"/>
                <w:bCs w:val="1"/>
                <w:color w:val="02568A"/>
              </w:rPr>
              <w:t>Deferred executive compensation</w:t>
            </w:r>
          </w:p>
        </w:tc>
        <w:tc>
          <w:tcPr>
            <w:tcW w:w="4020" w:type="dxa"/>
            <w:vAlign w:val="bottom"/>
            <w:tcBorders>
              <w:bottom w:val="single" w:sz="8" w:color="02568A"/>
            </w:tcBorders>
            <w:shd w:val="clear" w:color="auto" w:fill="CED8EA"/>
          </w:tcPr>
          <w:p>
            <w:pPr>
              <w:jc w:val="right"/>
              <w:spacing w:after="0"/>
              <w:rPr>
                <w:sz w:val="20"/>
                <w:szCs w:val="20"/>
                <w:color w:val="auto"/>
              </w:rPr>
            </w:pPr>
            <w:r>
              <w:rPr>
                <w:rFonts w:ascii="Arial" w:cs="Arial" w:eastAsia="Arial" w:hAnsi="Arial"/>
                <w:sz w:val="18"/>
                <w:szCs w:val="18"/>
                <w:color w:val="02568A"/>
              </w:rPr>
              <w:t>(0.1)</w:t>
            </w:r>
          </w:p>
        </w:tc>
        <w:tc>
          <w:tcPr>
            <w:tcW w:w="20" w:type="dxa"/>
            <w:vAlign w:val="bottom"/>
          </w:tcPr>
          <w:p>
            <w:pPr>
              <w:spacing w:after="0"/>
              <w:rPr>
                <w:sz w:val="18"/>
                <w:szCs w:val="18"/>
                <w:color w:val="auto"/>
              </w:rPr>
            </w:pPr>
          </w:p>
        </w:tc>
      </w:tr>
      <w:tr>
        <w:trPr>
          <w:trHeight w:val="209"/>
        </w:trPr>
        <w:tc>
          <w:tcPr>
            <w:tcW w:w="4960" w:type="dxa"/>
            <w:vAlign w:val="bottom"/>
          </w:tcPr>
          <w:p>
            <w:pPr>
              <w:ind w:left="20"/>
              <w:spacing w:after="0"/>
              <w:rPr>
                <w:sz w:val="20"/>
                <w:szCs w:val="20"/>
                <w:color w:val="auto"/>
              </w:rPr>
            </w:pPr>
            <w:r>
              <w:rPr>
                <w:rFonts w:ascii="Arial" w:cs="Arial" w:eastAsia="Arial" w:hAnsi="Arial"/>
                <w:sz w:val="18"/>
                <w:szCs w:val="18"/>
                <w:b w:val="1"/>
                <w:bCs w:val="1"/>
                <w:color w:val="02568A"/>
              </w:rPr>
              <w:t>Non-GAAP operating income</w:t>
            </w:r>
          </w:p>
        </w:tc>
        <w:tc>
          <w:tcPr>
            <w:tcW w:w="4020" w:type="dxa"/>
            <w:vAlign w:val="bottom"/>
            <w:tcBorders>
              <w:bottom w:val="single" w:sz="8" w:color="02568A"/>
            </w:tcBorders>
          </w:tcPr>
          <w:p>
            <w:pPr>
              <w:jc w:val="right"/>
              <w:spacing w:after="0"/>
              <w:rPr>
                <w:sz w:val="20"/>
                <w:szCs w:val="20"/>
                <w:color w:val="auto"/>
              </w:rPr>
            </w:pPr>
            <w:r>
              <w:rPr>
                <w:rFonts w:ascii="Arial" w:cs="Arial" w:eastAsia="Arial" w:hAnsi="Arial"/>
                <w:sz w:val="18"/>
                <w:szCs w:val="18"/>
                <w:color w:val="02568A"/>
              </w:rPr>
              <w:t>$1,165.8</w:t>
            </w:r>
          </w:p>
        </w:tc>
        <w:tc>
          <w:tcPr>
            <w:tcW w:w="20" w:type="dxa"/>
            <w:vAlign w:val="bottom"/>
            <w:tcBorders>
              <w:bottom w:val="single" w:sz="8" w:color="02568A"/>
            </w:tcBorders>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r>
      <w:tr>
        <w:trPr>
          <w:trHeight w:val="197"/>
        </w:trPr>
        <w:tc>
          <w:tcPr>
            <w:tcW w:w="4960" w:type="dxa"/>
            <w:vAlign w:val="bottom"/>
            <w:tcBorders>
              <w:bottom w:val="single" w:sz="8" w:color="D1D2D4"/>
            </w:tcBorders>
            <w:shd w:val="clear" w:color="auto" w:fill="CED8EA"/>
          </w:tcPr>
          <w:p>
            <w:pPr>
              <w:ind w:left="20"/>
              <w:spacing w:after="0" w:line="196" w:lineRule="exact"/>
              <w:rPr>
                <w:sz w:val="20"/>
                <w:szCs w:val="20"/>
                <w:color w:val="auto"/>
              </w:rPr>
            </w:pPr>
            <w:r>
              <w:rPr>
                <w:rFonts w:ascii="Arial" w:cs="Arial" w:eastAsia="Arial" w:hAnsi="Arial"/>
                <w:sz w:val="18"/>
                <w:szCs w:val="18"/>
                <w:b w:val="1"/>
                <w:bCs w:val="1"/>
                <w:color w:val="02568A"/>
              </w:rPr>
              <w:t>GAAP operating margin %</w:t>
            </w:r>
          </w:p>
        </w:tc>
        <w:tc>
          <w:tcPr>
            <w:tcW w:w="4020" w:type="dxa"/>
            <w:vAlign w:val="bottom"/>
            <w:tcBorders>
              <w:top w:val="single" w:sz="8" w:color="02568A"/>
              <w:bottom w:val="single" w:sz="8" w:color="D1D2D4"/>
            </w:tcBorders>
            <w:shd w:val="clear" w:color="auto" w:fill="CED8EA"/>
          </w:tcPr>
          <w:p>
            <w:pPr>
              <w:jc w:val="right"/>
              <w:spacing w:after="0" w:line="196" w:lineRule="exact"/>
              <w:rPr>
                <w:sz w:val="20"/>
                <w:szCs w:val="20"/>
                <w:color w:val="auto"/>
              </w:rPr>
            </w:pPr>
            <w:r>
              <w:rPr>
                <w:rFonts w:ascii="Arial" w:cs="Arial" w:eastAsia="Arial" w:hAnsi="Arial"/>
                <w:sz w:val="18"/>
                <w:szCs w:val="18"/>
                <w:color w:val="02568A"/>
              </w:rPr>
              <w:t>28.2%</w:t>
            </w:r>
          </w:p>
        </w:tc>
        <w:tc>
          <w:tcPr>
            <w:tcW w:w="20" w:type="dxa"/>
            <w:vAlign w:val="bottom"/>
          </w:tcPr>
          <w:p>
            <w:pPr>
              <w:spacing w:after="0"/>
              <w:rPr>
                <w:sz w:val="17"/>
                <w:szCs w:val="17"/>
                <w:color w:val="auto"/>
              </w:rPr>
            </w:pPr>
          </w:p>
        </w:tc>
      </w:tr>
      <w:tr>
        <w:trPr>
          <w:trHeight w:val="222"/>
        </w:trPr>
        <w:tc>
          <w:tcPr>
            <w:tcW w:w="4960" w:type="dxa"/>
            <w:vAlign w:val="bottom"/>
          </w:tcPr>
          <w:p>
            <w:pPr>
              <w:ind w:left="20"/>
              <w:spacing w:after="0"/>
              <w:rPr>
                <w:sz w:val="20"/>
                <w:szCs w:val="20"/>
                <w:color w:val="auto"/>
              </w:rPr>
            </w:pPr>
            <w:r>
              <w:rPr>
                <w:rFonts w:ascii="Arial" w:cs="Arial" w:eastAsia="Arial" w:hAnsi="Arial"/>
                <w:sz w:val="18"/>
                <w:szCs w:val="18"/>
                <w:b w:val="1"/>
                <w:bCs w:val="1"/>
                <w:color w:val="02568A"/>
              </w:rPr>
              <w:t>Non-GAAP operating margin %</w:t>
            </w:r>
          </w:p>
        </w:tc>
        <w:tc>
          <w:tcPr>
            <w:tcW w:w="4020" w:type="dxa"/>
            <w:vAlign w:val="bottom"/>
          </w:tcPr>
          <w:p>
            <w:pPr>
              <w:jc w:val="right"/>
              <w:spacing w:after="0"/>
              <w:rPr>
                <w:sz w:val="20"/>
                <w:szCs w:val="20"/>
                <w:color w:val="auto"/>
              </w:rPr>
            </w:pPr>
            <w:r>
              <w:rPr>
                <w:rFonts w:ascii="Arial" w:cs="Arial" w:eastAsia="Arial" w:hAnsi="Arial"/>
                <w:sz w:val="18"/>
                <w:szCs w:val="18"/>
                <w:color w:val="02568A"/>
              </w:rPr>
              <w:t>34.5%</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1120" w:type="dxa"/>
        <w:tblCellMar>
          <w:top w:w="0" w:type="dxa"/>
          <w:left w:w="0" w:type="dxa"/>
          <w:bottom w:w="0" w:type="dxa"/>
          <w:right w:w="0" w:type="dxa"/>
        </w:tblCellMar>
      </w:tblPr>
      <w:tr>
        <w:trPr>
          <w:trHeight w:val="229"/>
        </w:trPr>
        <w:tc>
          <w:tcPr>
            <w:tcW w:w="6400" w:type="dxa"/>
            <w:vAlign w:val="bottom"/>
            <w:tcBorders>
              <w:top w:val="single" w:sz="8" w:color="02568A"/>
            </w:tcBorders>
          </w:tcPr>
          <w:p>
            <w:pPr>
              <w:spacing w:after="0"/>
              <w:rPr>
                <w:sz w:val="19"/>
                <w:szCs w:val="19"/>
                <w:color w:val="auto"/>
              </w:rPr>
            </w:pPr>
          </w:p>
        </w:tc>
        <w:tc>
          <w:tcPr>
            <w:tcW w:w="660" w:type="dxa"/>
            <w:vAlign w:val="bottom"/>
            <w:tcBorders>
              <w:top w:val="single" w:sz="8" w:color="02568A"/>
              <w:bottom w:val="single" w:sz="8" w:color="02568A"/>
            </w:tcBorders>
          </w:tcPr>
          <w:p>
            <w:pPr>
              <w:spacing w:after="0"/>
              <w:rPr>
                <w:sz w:val="19"/>
                <w:szCs w:val="19"/>
                <w:color w:val="auto"/>
              </w:rPr>
            </w:pPr>
          </w:p>
        </w:tc>
        <w:tc>
          <w:tcPr>
            <w:tcW w:w="20" w:type="dxa"/>
            <w:vAlign w:val="bottom"/>
            <w:tcBorders>
              <w:top w:val="single" w:sz="8" w:color="02568A"/>
              <w:bottom w:val="single" w:sz="8" w:color="02568A"/>
            </w:tcBorders>
          </w:tcPr>
          <w:p>
            <w:pPr>
              <w:spacing w:after="0"/>
              <w:rPr>
                <w:sz w:val="19"/>
                <w:szCs w:val="19"/>
                <w:color w:val="auto"/>
              </w:rPr>
            </w:pPr>
          </w:p>
        </w:tc>
        <w:tc>
          <w:tcPr>
            <w:tcW w:w="1320" w:type="dxa"/>
            <w:vAlign w:val="bottom"/>
            <w:tcBorders>
              <w:top w:val="single" w:sz="8" w:color="02568A"/>
              <w:bottom w:val="single" w:sz="8" w:color="02568A"/>
            </w:tcBorders>
            <w:gridSpan w:val="3"/>
          </w:tcPr>
          <w:p>
            <w:pPr>
              <w:jc w:val="center"/>
              <w:spacing w:after="0"/>
              <w:rPr>
                <w:sz w:val="20"/>
                <w:szCs w:val="20"/>
                <w:color w:val="auto"/>
              </w:rPr>
            </w:pPr>
            <w:r>
              <w:rPr>
                <w:rFonts w:ascii="Arial" w:cs="Arial" w:eastAsia="Arial" w:hAnsi="Arial"/>
                <w:sz w:val="18"/>
                <w:szCs w:val="18"/>
                <w:b w:val="1"/>
                <w:bCs w:val="1"/>
                <w:color w:val="02568A"/>
                <w:w w:val="88"/>
              </w:rPr>
              <w:t>Year Ended</w:t>
            </w:r>
          </w:p>
        </w:tc>
        <w:tc>
          <w:tcPr>
            <w:tcW w:w="700" w:type="dxa"/>
            <w:vAlign w:val="bottom"/>
            <w:tcBorders>
              <w:top w:val="single" w:sz="8" w:color="02568A"/>
              <w:bottom w:val="single" w:sz="8" w:color="02568A"/>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6400" w:type="dxa"/>
            <w:vAlign w:val="bottom"/>
          </w:tcPr>
          <w:p>
            <w:pPr>
              <w:spacing w:after="0"/>
              <w:rPr>
                <w:sz w:val="16"/>
                <w:szCs w:val="16"/>
                <w:color w:val="auto"/>
              </w:rPr>
            </w:pPr>
          </w:p>
        </w:tc>
        <w:tc>
          <w:tcPr>
            <w:tcW w:w="680" w:type="dxa"/>
            <w:vAlign w:val="bottom"/>
            <w:gridSpan w:val="2"/>
          </w:tcPr>
          <w:p>
            <w:pPr>
              <w:jc w:val="right"/>
              <w:ind w:right="20"/>
              <w:spacing w:after="0" w:line="195" w:lineRule="exact"/>
              <w:rPr>
                <w:sz w:val="20"/>
                <w:szCs w:val="20"/>
                <w:color w:val="auto"/>
              </w:rPr>
            </w:pPr>
            <w:r>
              <w:rPr>
                <w:rFonts w:ascii="Arial" w:cs="Arial" w:eastAsia="Arial" w:hAnsi="Arial"/>
                <w:sz w:val="18"/>
                <w:szCs w:val="18"/>
                <w:b w:val="1"/>
                <w:bCs w:val="1"/>
                <w:color w:val="02568A"/>
                <w:w w:val="86"/>
              </w:rPr>
              <w:t>Sept. 27,</w:t>
            </w:r>
          </w:p>
        </w:tc>
        <w:tc>
          <w:tcPr>
            <w:tcW w:w="320" w:type="dxa"/>
            <w:vAlign w:val="bottom"/>
          </w:tcPr>
          <w:p>
            <w:pPr>
              <w:spacing w:after="0"/>
              <w:rPr>
                <w:sz w:val="16"/>
                <w:szCs w:val="16"/>
                <w:color w:val="auto"/>
              </w:rPr>
            </w:pPr>
          </w:p>
        </w:tc>
        <w:tc>
          <w:tcPr>
            <w:tcW w:w="1000" w:type="dxa"/>
            <w:vAlign w:val="bottom"/>
            <w:gridSpan w:val="2"/>
          </w:tcPr>
          <w:p>
            <w:pPr>
              <w:jc w:val="center"/>
              <w:ind w:right="320"/>
              <w:spacing w:after="0" w:line="195" w:lineRule="exact"/>
              <w:rPr>
                <w:sz w:val="20"/>
                <w:szCs w:val="20"/>
                <w:color w:val="auto"/>
              </w:rPr>
            </w:pPr>
            <w:r>
              <w:rPr>
                <w:rFonts w:ascii="Arial" w:cs="Arial" w:eastAsia="Arial" w:hAnsi="Arial"/>
                <w:sz w:val="18"/>
                <w:szCs w:val="18"/>
                <w:b w:val="1"/>
                <w:bCs w:val="1"/>
                <w:color w:val="02568A"/>
                <w:w w:val="86"/>
              </w:rPr>
              <w:t>Sept. 30,</w:t>
            </w:r>
          </w:p>
        </w:tc>
        <w:tc>
          <w:tcPr>
            <w:tcW w:w="700" w:type="dxa"/>
            <w:vAlign w:val="bottom"/>
          </w:tcPr>
          <w:p>
            <w:pPr>
              <w:jc w:val="right"/>
              <w:spacing w:after="0" w:line="195" w:lineRule="exact"/>
              <w:rPr>
                <w:sz w:val="20"/>
                <w:szCs w:val="20"/>
                <w:color w:val="auto"/>
              </w:rPr>
            </w:pPr>
            <w:r>
              <w:rPr>
                <w:rFonts w:ascii="Arial" w:cs="Arial" w:eastAsia="Arial" w:hAnsi="Arial"/>
                <w:sz w:val="18"/>
                <w:szCs w:val="18"/>
                <w:b w:val="1"/>
                <w:bCs w:val="1"/>
                <w:color w:val="02568A"/>
                <w:w w:val="86"/>
              </w:rPr>
              <w:t>Sept. 27,</w:t>
            </w:r>
          </w:p>
        </w:tc>
        <w:tc>
          <w:tcPr>
            <w:tcW w:w="20" w:type="dxa"/>
            <w:vAlign w:val="bottom"/>
          </w:tcPr>
          <w:p>
            <w:pPr>
              <w:spacing w:after="0"/>
              <w:rPr>
                <w:sz w:val="16"/>
                <w:szCs w:val="16"/>
                <w:color w:val="auto"/>
              </w:rPr>
            </w:pPr>
          </w:p>
        </w:tc>
      </w:tr>
      <w:tr>
        <w:trPr>
          <w:trHeight w:val="228"/>
        </w:trPr>
        <w:tc>
          <w:tcPr>
            <w:tcW w:w="6400" w:type="dxa"/>
            <w:vAlign w:val="bottom"/>
          </w:tcPr>
          <w:p>
            <w:pPr>
              <w:spacing w:after="0"/>
              <w:rPr>
                <w:sz w:val="19"/>
                <w:szCs w:val="19"/>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b w:val="1"/>
                <w:bCs w:val="1"/>
                <w:color w:val="02568A"/>
              </w:rPr>
              <w:t>2019</w:t>
            </w:r>
          </w:p>
        </w:tc>
        <w:tc>
          <w:tcPr>
            <w:tcW w:w="20" w:type="dxa"/>
            <w:vAlign w:val="bottom"/>
          </w:tcPr>
          <w:p>
            <w:pPr>
              <w:spacing w:after="0"/>
              <w:rPr>
                <w:sz w:val="19"/>
                <w:szCs w:val="19"/>
                <w:color w:val="auto"/>
              </w:rPr>
            </w:pPr>
          </w:p>
        </w:tc>
        <w:tc>
          <w:tcPr>
            <w:tcW w:w="980" w:type="dxa"/>
            <w:vAlign w:val="bottom"/>
            <w:gridSpan w:val="2"/>
          </w:tcPr>
          <w:p>
            <w:pPr>
              <w:jc w:val="center"/>
              <w:ind w:left="232"/>
              <w:spacing w:after="0"/>
              <w:rPr>
                <w:sz w:val="20"/>
                <w:szCs w:val="20"/>
                <w:color w:val="auto"/>
              </w:rPr>
            </w:pPr>
            <w:r>
              <w:rPr>
                <w:rFonts w:ascii="Arial" w:cs="Arial" w:eastAsia="Arial" w:hAnsi="Arial"/>
                <w:sz w:val="18"/>
                <w:szCs w:val="18"/>
                <w:b w:val="1"/>
                <w:bCs w:val="1"/>
                <w:color w:val="02568A"/>
                <w:w w:val="84"/>
              </w:rPr>
              <w:t>2016</w:t>
            </w:r>
          </w:p>
        </w:tc>
        <w:tc>
          <w:tcPr>
            <w:tcW w:w="34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02568A"/>
              </w:rPr>
              <w:t>2013</w:t>
            </w:r>
          </w:p>
        </w:tc>
        <w:tc>
          <w:tcPr>
            <w:tcW w:w="20" w:type="dxa"/>
            <w:vAlign w:val="bottom"/>
          </w:tcPr>
          <w:p>
            <w:pPr>
              <w:spacing w:after="0"/>
              <w:rPr>
                <w:sz w:val="19"/>
                <w:szCs w:val="19"/>
                <w:color w:val="auto"/>
              </w:rPr>
            </w:pPr>
          </w:p>
        </w:tc>
      </w:tr>
      <w:tr>
        <w:trPr>
          <w:trHeight w:val="212"/>
        </w:trPr>
        <w:tc>
          <w:tcPr>
            <w:tcW w:w="6400" w:type="dxa"/>
            <w:vAlign w:val="bottom"/>
            <w:tcBorders>
              <w:bottom w:val="single" w:sz="8" w:color="D1D2D4"/>
            </w:tcBorders>
            <w:shd w:val="clear" w:color="auto" w:fill="CED8EA"/>
          </w:tcPr>
          <w:p>
            <w:pPr>
              <w:ind w:left="20"/>
              <w:spacing w:after="0"/>
              <w:rPr>
                <w:sz w:val="20"/>
                <w:szCs w:val="20"/>
                <w:color w:val="auto"/>
              </w:rPr>
            </w:pPr>
            <w:r>
              <w:rPr>
                <w:rFonts w:ascii="Arial" w:cs="Arial" w:eastAsia="Arial" w:hAnsi="Arial"/>
                <w:sz w:val="18"/>
                <w:szCs w:val="18"/>
                <w:b w:val="1"/>
                <w:bCs w:val="1"/>
                <w:color w:val="02568A"/>
              </w:rPr>
              <w:t>GAAP net income per share, diluted</w:t>
            </w:r>
          </w:p>
        </w:tc>
        <w:tc>
          <w:tcPr>
            <w:tcW w:w="660" w:type="dxa"/>
            <w:vAlign w:val="bottom"/>
            <w:tcBorders>
              <w:top w:val="single" w:sz="8" w:color="02568A"/>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$4.89</w:t>
            </w:r>
          </w:p>
        </w:tc>
        <w:tc>
          <w:tcPr>
            <w:tcW w:w="20" w:type="dxa"/>
            <w:vAlign w:val="bottom"/>
            <w:tcBorders>
              <w:bottom w:val="single" w:sz="8" w:color="D1D2D4"/>
            </w:tcBorders>
            <w:shd w:val="clear" w:color="auto" w:fill="CED8EA"/>
          </w:tcPr>
          <w:p>
            <w:pPr>
              <w:spacing w:after="0"/>
              <w:rPr>
                <w:sz w:val="18"/>
                <w:szCs w:val="18"/>
                <w:color w:val="auto"/>
              </w:rPr>
            </w:pPr>
          </w:p>
        </w:tc>
        <w:tc>
          <w:tcPr>
            <w:tcW w:w="320" w:type="dxa"/>
            <w:vAlign w:val="bottom"/>
            <w:tcBorders>
              <w:bottom w:val="single" w:sz="8" w:color="D1D2D4"/>
            </w:tcBorders>
            <w:shd w:val="clear" w:color="auto" w:fill="CED8EA"/>
          </w:tcPr>
          <w:p>
            <w:pPr>
              <w:spacing w:after="0"/>
              <w:rPr>
                <w:sz w:val="18"/>
                <w:szCs w:val="18"/>
                <w:color w:val="auto"/>
              </w:rPr>
            </w:pPr>
          </w:p>
        </w:tc>
        <w:tc>
          <w:tcPr>
            <w:tcW w:w="660" w:type="dxa"/>
            <w:vAlign w:val="bottom"/>
            <w:tcBorders>
              <w:top w:val="single" w:sz="8" w:color="02568A"/>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$5.18</w:t>
            </w:r>
          </w:p>
        </w:tc>
        <w:tc>
          <w:tcPr>
            <w:tcW w:w="340" w:type="dxa"/>
            <w:vAlign w:val="bottom"/>
            <w:tcBorders>
              <w:bottom w:val="single" w:sz="8" w:color="D1D2D4"/>
            </w:tcBorders>
            <w:shd w:val="clear" w:color="auto" w:fill="CED8EA"/>
          </w:tcPr>
          <w:p>
            <w:pPr>
              <w:spacing w:after="0"/>
              <w:rPr>
                <w:sz w:val="18"/>
                <w:szCs w:val="18"/>
                <w:color w:val="auto"/>
              </w:rPr>
            </w:pPr>
          </w:p>
        </w:tc>
        <w:tc>
          <w:tcPr>
            <w:tcW w:w="700" w:type="dxa"/>
            <w:vAlign w:val="bottom"/>
            <w:tcBorders>
              <w:top w:val="single" w:sz="8" w:color="02568A"/>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$1.45</w:t>
            </w:r>
          </w:p>
        </w:tc>
        <w:tc>
          <w:tcPr>
            <w:tcW w:w="20" w:type="dxa"/>
            <w:vAlign w:val="bottom"/>
          </w:tcPr>
          <w:p>
            <w:pPr>
              <w:spacing w:after="0"/>
              <w:rPr>
                <w:sz w:val="18"/>
                <w:szCs w:val="18"/>
                <w:color w:val="auto"/>
              </w:rPr>
            </w:pPr>
          </w:p>
        </w:tc>
      </w:tr>
      <w:tr>
        <w:trPr>
          <w:trHeight w:val="209"/>
        </w:trPr>
        <w:tc>
          <w:tcPr>
            <w:tcW w:w="6400" w:type="dxa"/>
            <w:vAlign w:val="bottom"/>
            <w:tcBorders>
              <w:bottom w:val="single" w:sz="8" w:color="D1D2D4"/>
            </w:tcBorders>
          </w:tcPr>
          <w:p>
            <w:pPr>
              <w:ind w:left="20"/>
              <w:spacing w:after="0"/>
              <w:rPr>
                <w:sz w:val="20"/>
                <w:szCs w:val="20"/>
                <w:color w:val="auto"/>
              </w:rPr>
            </w:pPr>
            <w:r>
              <w:rPr>
                <w:rFonts w:ascii="Arial" w:cs="Arial" w:eastAsia="Arial" w:hAnsi="Arial"/>
                <w:sz w:val="18"/>
                <w:szCs w:val="18"/>
                <w:b w:val="1"/>
                <w:bCs w:val="1"/>
                <w:color w:val="02568A"/>
              </w:rPr>
              <w:t>Share-based compensation expense</w:t>
            </w:r>
          </w:p>
        </w:tc>
        <w:tc>
          <w:tcPr>
            <w:tcW w:w="680" w:type="dxa"/>
            <w:vAlign w:val="bottom"/>
            <w:tcBorders>
              <w:bottom w:val="single" w:sz="8" w:color="D1D2D4"/>
            </w:tcBorders>
            <w:gridSpan w:val="2"/>
          </w:tcPr>
          <w:p>
            <w:pPr>
              <w:jc w:val="right"/>
              <w:spacing w:after="0"/>
              <w:rPr>
                <w:sz w:val="20"/>
                <w:szCs w:val="20"/>
                <w:color w:val="auto"/>
              </w:rPr>
            </w:pPr>
            <w:r>
              <w:rPr>
                <w:rFonts w:ascii="Arial" w:cs="Arial" w:eastAsia="Arial" w:hAnsi="Arial"/>
                <w:sz w:val="18"/>
                <w:szCs w:val="18"/>
                <w:color w:val="02568A"/>
              </w:rPr>
              <w:t>0.46</w:t>
            </w:r>
          </w:p>
        </w:tc>
        <w:tc>
          <w:tcPr>
            <w:tcW w:w="1320" w:type="dxa"/>
            <w:vAlign w:val="bottom"/>
            <w:tcBorders>
              <w:bottom w:val="single" w:sz="8" w:color="D1D2D4"/>
            </w:tcBorders>
            <w:gridSpan w:val="3"/>
          </w:tcPr>
          <w:p>
            <w:pPr>
              <w:jc w:val="right"/>
              <w:ind w:right="320"/>
              <w:spacing w:after="0"/>
              <w:rPr>
                <w:sz w:val="20"/>
                <w:szCs w:val="20"/>
                <w:color w:val="auto"/>
              </w:rPr>
            </w:pPr>
            <w:r>
              <w:rPr>
                <w:rFonts w:ascii="Arial" w:cs="Arial" w:eastAsia="Arial" w:hAnsi="Arial"/>
                <w:sz w:val="18"/>
                <w:szCs w:val="18"/>
                <w:color w:val="02568A"/>
              </w:rPr>
              <w:t>0.41</w:t>
            </w:r>
          </w:p>
        </w:tc>
        <w:tc>
          <w:tcPr>
            <w:tcW w:w="7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0.37</w:t>
            </w:r>
          </w:p>
        </w:tc>
        <w:tc>
          <w:tcPr>
            <w:tcW w:w="20" w:type="dxa"/>
            <w:vAlign w:val="bottom"/>
            <w:tcBorders>
              <w:bottom w:val="single" w:sz="8" w:color="D1D2D4"/>
            </w:tcBorders>
          </w:tcPr>
          <w:p>
            <w:pPr>
              <w:spacing w:after="0"/>
              <w:rPr>
                <w:sz w:val="18"/>
                <w:szCs w:val="18"/>
                <w:color w:val="auto"/>
              </w:rPr>
            </w:pPr>
          </w:p>
        </w:tc>
      </w:tr>
      <w:tr>
        <w:trPr>
          <w:trHeight w:val="210"/>
        </w:trPr>
        <w:tc>
          <w:tcPr>
            <w:tcW w:w="6400" w:type="dxa"/>
            <w:vAlign w:val="bottom"/>
            <w:tcBorders>
              <w:bottom w:val="single" w:sz="8" w:color="D1D2D4"/>
            </w:tcBorders>
            <w:shd w:val="clear" w:color="auto" w:fill="CED8EA"/>
          </w:tcPr>
          <w:p>
            <w:pPr>
              <w:ind w:left="20"/>
              <w:spacing w:after="0"/>
              <w:rPr>
                <w:sz w:val="20"/>
                <w:szCs w:val="20"/>
                <w:color w:val="auto"/>
              </w:rPr>
            </w:pPr>
            <w:r>
              <w:rPr>
                <w:rFonts w:ascii="Arial" w:cs="Arial" w:eastAsia="Arial" w:hAnsi="Arial"/>
                <w:sz w:val="18"/>
                <w:szCs w:val="18"/>
                <w:b w:val="1"/>
                <w:bCs w:val="1"/>
                <w:color w:val="02568A"/>
              </w:rPr>
              <w:t>Acquisition-related expenses(a)</w:t>
            </w:r>
          </w:p>
        </w:tc>
        <w:tc>
          <w:tcPr>
            <w:tcW w:w="680" w:type="dxa"/>
            <w:vAlign w:val="bottom"/>
            <w:tcBorders>
              <w:bottom w:val="single" w:sz="8" w:color="D1D2D4"/>
            </w:tcBorders>
            <w:gridSpan w:val="2"/>
            <w:shd w:val="clear" w:color="auto" w:fill="CED8EA"/>
          </w:tcPr>
          <w:p>
            <w:pPr>
              <w:jc w:val="right"/>
              <w:spacing w:after="0"/>
              <w:rPr>
                <w:sz w:val="20"/>
                <w:szCs w:val="20"/>
                <w:color w:val="auto"/>
              </w:rPr>
            </w:pPr>
            <w:r>
              <w:rPr>
                <w:rFonts w:ascii="Arial" w:cs="Arial" w:eastAsia="Arial" w:hAnsi="Arial"/>
                <w:sz w:val="18"/>
                <w:szCs w:val="18"/>
                <w:color w:val="02568A"/>
              </w:rPr>
              <w:t>0.01</w:t>
            </w:r>
          </w:p>
        </w:tc>
        <w:tc>
          <w:tcPr>
            <w:tcW w:w="1320" w:type="dxa"/>
            <w:vAlign w:val="bottom"/>
            <w:tcBorders>
              <w:bottom w:val="single" w:sz="8" w:color="D1D2D4"/>
            </w:tcBorders>
            <w:gridSpan w:val="3"/>
            <w:shd w:val="clear" w:color="auto" w:fill="CED8EA"/>
          </w:tcPr>
          <w:p>
            <w:pPr>
              <w:jc w:val="right"/>
              <w:ind w:right="320"/>
              <w:spacing w:after="0"/>
              <w:rPr>
                <w:sz w:val="20"/>
                <w:szCs w:val="20"/>
                <w:color w:val="auto"/>
              </w:rPr>
            </w:pPr>
            <w:r>
              <w:rPr>
                <w:rFonts w:ascii="Arial" w:cs="Arial" w:eastAsia="Arial" w:hAnsi="Arial"/>
                <w:sz w:val="18"/>
                <w:szCs w:val="18"/>
                <w:color w:val="02568A"/>
              </w:rPr>
              <w:t>0.04</w:t>
            </w:r>
          </w:p>
        </w:tc>
        <w:tc>
          <w:tcPr>
            <w:tcW w:w="70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0.01</w:t>
            </w:r>
          </w:p>
        </w:tc>
        <w:tc>
          <w:tcPr>
            <w:tcW w:w="20" w:type="dxa"/>
            <w:vAlign w:val="bottom"/>
          </w:tcPr>
          <w:p>
            <w:pPr>
              <w:spacing w:after="0"/>
              <w:rPr>
                <w:sz w:val="18"/>
                <w:szCs w:val="18"/>
                <w:color w:val="auto"/>
              </w:rPr>
            </w:pPr>
          </w:p>
        </w:tc>
      </w:tr>
      <w:tr>
        <w:trPr>
          <w:trHeight w:val="210"/>
        </w:trPr>
        <w:tc>
          <w:tcPr>
            <w:tcW w:w="6400" w:type="dxa"/>
            <w:vAlign w:val="bottom"/>
            <w:tcBorders>
              <w:bottom w:val="single" w:sz="8" w:color="D1D2D4"/>
            </w:tcBorders>
          </w:tcPr>
          <w:p>
            <w:pPr>
              <w:ind w:left="20"/>
              <w:spacing w:after="0"/>
              <w:rPr>
                <w:sz w:val="20"/>
                <w:szCs w:val="20"/>
                <w:color w:val="auto"/>
              </w:rPr>
            </w:pPr>
            <w:r>
              <w:rPr>
                <w:rFonts w:ascii="Arial" w:cs="Arial" w:eastAsia="Arial" w:hAnsi="Arial"/>
                <w:sz w:val="18"/>
                <w:szCs w:val="18"/>
                <w:b w:val="1"/>
                <w:bCs w:val="1"/>
                <w:color w:val="02568A"/>
              </w:rPr>
              <w:t>Amortization of acquisition-related intangibles</w:t>
            </w:r>
          </w:p>
        </w:tc>
        <w:tc>
          <w:tcPr>
            <w:tcW w:w="680" w:type="dxa"/>
            <w:vAlign w:val="bottom"/>
            <w:tcBorders>
              <w:bottom w:val="single" w:sz="8" w:color="D1D2D4"/>
            </w:tcBorders>
            <w:gridSpan w:val="2"/>
          </w:tcPr>
          <w:p>
            <w:pPr>
              <w:jc w:val="right"/>
              <w:spacing w:after="0"/>
              <w:rPr>
                <w:sz w:val="20"/>
                <w:szCs w:val="20"/>
                <w:color w:val="auto"/>
              </w:rPr>
            </w:pPr>
            <w:r>
              <w:rPr>
                <w:rFonts w:ascii="Arial" w:cs="Arial" w:eastAsia="Arial" w:hAnsi="Arial"/>
                <w:sz w:val="18"/>
                <w:szCs w:val="18"/>
                <w:color w:val="02568A"/>
              </w:rPr>
              <w:t>0.25</w:t>
            </w:r>
          </w:p>
        </w:tc>
        <w:tc>
          <w:tcPr>
            <w:tcW w:w="1320" w:type="dxa"/>
            <w:vAlign w:val="bottom"/>
            <w:tcBorders>
              <w:bottom w:val="single" w:sz="8" w:color="D1D2D4"/>
            </w:tcBorders>
            <w:gridSpan w:val="3"/>
          </w:tcPr>
          <w:p>
            <w:pPr>
              <w:jc w:val="right"/>
              <w:ind w:right="320"/>
              <w:spacing w:after="0"/>
              <w:rPr>
                <w:sz w:val="20"/>
                <w:szCs w:val="20"/>
                <w:color w:val="auto"/>
              </w:rPr>
            </w:pPr>
            <w:r>
              <w:rPr>
                <w:rFonts w:ascii="Arial" w:cs="Arial" w:eastAsia="Arial" w:hAnsi="Arial"/>
                <w:sz w:val="18"/>
                <w:szCs w:val="18"/>
                <w:color w:val="02568A"/>
              </w:rPr>
              <w:t>0.17</w:t>
            </w:r>
          </w:p>
        </w:tc>
        <w:tc>
          <w:tcPr>
            <w:tcW w:w="7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0.15</w:t>
            </w:r>
          </w:p>
        </w:tc>
        <w:tc>
          <w:tcPr>
            <w:tcW w:w="20" w:type="dxa"/>
            <w:vAlign w:val="bottom"/>
            <w:tcBorders>
              <w:bottom w:val="single" w:sz="8" w:color="D1D2D4"/>
            </w:tcBorders>
          </w:tcPr>
          <w:p>
            <w:pPr>
              <w:spacing w:after="0"/>
              <w:rPr>
                <w:sz w:val="18"/>
                <w:szCs w:val="18"/>
                <w:color w:val="auto"/>
              </w:rPr>
            </w:pPr>
          </w:p>
        </w:tc>
      </w:tr>
      <w:tr>
        <w:trPr>
          <w:trHeight w:val="210"/>
        </w:trPr>
        <w:tc>
          <w:tcPr>
            <w:tcW w:w="6400" w:type="dxa"/>
            <w:vAlign w:val="bottom"/>
            <w:tcBorders>
              <w:bottom w:val="single" w:sz="8" w:color="D1D2D4"/>
            </w:tcBorders>
            <w:shd w:val="clear" w:color="auto" w:fill="CED8EA"/>
          </w:tcPr>
          <w:p>
            <w:pPr>
              <w:ind w:left="20"/>
              <w:spacing w:after="0"/>
              <w:rPr>
                <w:sz w:val="20"/>
                <w:szCs w:val="20"/>
                <w:color w:val="auto"/>
              </w:rPr>
            </w:pPr>
            <w:r>
              <w:rPr>
                <w:rFonts w:ascii="Arial" w:cs="Arial" w:eastAsia="Arial" w:hAnsi="Arial"/>
                <w:sz w:val="18"/>
                <w:szCs w:val="18"/>
                <w:b w:val="1"/>
                <w:bCs w:val="1"/>
                <w:color w:val="02568A"/>
              </w:rPr>
              <w:t>Settlements, gains, losses and impairments(b)</w:t>
            </w:r>
          </w:p>
        </w:tc>
        <w:tc>
          <w:tcPr>
            <w:tcW w:w="680" w:type="dxa"/>
            <w:vAlign w:val="bottom"/>
            <w:tcBorders>
              <w:bottom w:val="single" w:sz="8" w:color="D1D2D4"/>
            </w:tcBorders>
            <w:gridSpan w:val="2"/>
            <w:shd w:val="clear" w:color="auto" w:fill="CED8EA"/>
          </w:tcPr>
          <w:p>
            <w:pPr>
              <w:jc w:val="right"/>
              <w:spacing w:after="0"/>
              <w:rPr>
                <w:sz w:val="20"/>
                <w:szCs w:val="20"/>
                <w:color w:val="auto"/>
              </w:rPr>
            </w:pPr>
            <w:r>
              <w:rPr>
                <w:rFonts w:ascii="Arial" w:cs="Arial" w:eastAsia="Arial" w:hAnsi="Arial"/>
                <w:sz w:val="18"/>
                <w:szCs w:val="18"/>
                <w:color w:val="02568A"/>
              </w:rPr>
              <w:t>0.48</w:t>
            </w:r>
          </w:p>
        </w:tc>
        <w:tc>
          <w:tcPr>
            <w:tcW w:w="1320" w:type="dxa"/>
            <w:vAlign w:val="bottom"/>
            <w:tcBorders>
              <w:bottom w:val="single" w:sz="8" w:color="D1D2D4"/>
            </w:tcBorders>
            <w:gridSpan w:val="3"/>
            <w:shd w:val="clear" w:color="auto" w:fill="CED8EA"/>
          </w:tcPr>
          <w:p>
            <w:pPr>
              <w:jc w:val="right"/>
              <w:ind w:right="320"/>
              <w:spacing w:after="0"/>
              <w:rPr>
                <w:sz w:val="20"/>
                <w:szCs w:val="20"/>
                <w:color w:val="auto"/>
              </w:rPr>
            </w:pPr>
            <w:r>
              <w:rPr>
                <w:rFonts w:ascii="Arial" w:cs="Arial" w:eastAsia="Arial" w:hAnsi="Arial"/>
                <w:sz w:val="18"/>
                <w:szCs w:val="18"/>
                <w:color w:val="02568A"/>
              </w:rPr>
              <w:t>0.01</w:t>
            </w:r>
          </w:p>
        </w:tc>
        <w:tc>
          <w:tcPr>
            <w:tcW w:w="70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0.01</w:t>
            </w:r>
          </w:p>
        </w:tc>
        <w:tc>
          <w:tcPr>
            <w:tcW w:w="20" w:type="dxa"/>
            <w:vAlign w:val="bottom"/>
          </w:tcPr>
          <w:p>
            <w:pPr>
              <w:spacing w:after="0"/>
              <w:rPr>
                <w:sz w:val="18"/>
                <w:szCs w:val="18"/>
                <w:color w:val="auto"/>
              </w:rPr>
            </w:pPr>
          </w:p>
        </w:tc>
      </w:tr>
      <w:tr>
        <w:trPr>
          <w:trHeight w:val="210"/>
        </w:trPr>
        <w:tc>
          <w:tcPr>
            <w:tcW w:w="6400" w:type="dxa"/>
            <w:vAlign w:val="bottom"/>
            <w:tcBorders>
              <w:bottom w:val="single" w:sz="8" w:color="D1D2D4"/>
            </w:tcBorders>
          </w:tcPr>
          <w:p>
            <w:pPr>
              <w:ind w:left="20"/>
              <w:spacing w:after="0"/>
              <w:rPr>
                <w:sz w:val="20"/>
                <w:szCs w:val="20"/>
                <w:color w:val="auto"/>
              </w:rPr>
            </w:pPr>
            <w:r>
              <w:rPr>
                <w:rFonts w:ascii="Arial" w:cs="Arial" w:eastAsia="Arial" w:hAnsi="Arial"/>
                <w:sz w:val="18"/>
                <w:szCs w:val="18"/>
                <w:b w:val="1"/>
                <w:bCs w:val="1"/>
                <w:color w:val="02568A"/>
              </w:rPr>
              <w:t>Restructuring and other charges</w:t>
            </w:r>
          </w:p>
        </w:tc>
        <w:tc>
          <w:tcPr>
            <w:tcW w:w="680" w:type="dxa"/>
            <w:vAlign w:val="bottom"/>
            <w:tcBorders>
              <w:bottom w:val="single" w:sz="8" w:color="D1D2D4"/>
            </w:tcBorders>
            <w:gridSpan w:val="2"/>
          </w:tcPr>
          <w:p>
            <w:pPr>
              <w:jc w:val="right"/>
              <w:spacing w:after="0"/>
              <w:rPr>
                <w:sz w:val="20"/>
                <w:szCs w:val="20"/>
                <w:color w:val="auto"/>
              </w:rPr>
            </w:pPr>
            <w:r>
              <w:rPr>
                <w:rFonts w:ascii="Arial" w:cs="Arial" w:eastAsia="Arial" w:hAnsi="Arial"/>
                <w:sz w:val="18"/>
                <w:szCs w:val="18"/>
                <w:color w:val="02568A"/>
              </w:rPr>
              <w:t>0.04</w:t>
            </w:r>
          </w:p>
        </w:tc>
        <w:tc>
          <w:tcPr>
            <w:tcW w:w="1320" w:type="dxa"/>
            <w:vAlign w:val="bottom"/>
            <w:tcBorders>
              <w:bottom w:val="single" w:sz="8" w:color="D1D2D4"/>
            </w:tcBorders>
            <w:gridSpan w:val="3"/>
          </w:tcPr>
          <w:p>
            <w:pPr>
              <w:jc w:val="right"/>
              <w:ind w:right="320"/>
              <w:spacing w:after="0"/>
              <w:rPr>
                <w:sz w:val="20"/>
                <w:szCs w:val="20"/>
                <w:color w:val="auto"/>
              </w:rPr>
            </w:pPr>
            <w:r>
              <w:rPr>
                <w:rFonts w:ascii="Arial" w:cs="Arial" w:eastAsia="Arial" w:hAnsi="Arial"/>
                <w:sz w:val="18"/>
                <w:szCs w:val="18"/>
                <w:color w:val="02568A"/>
              </w:rPr>
              <w:t>0.02</w:t>
            </w:r>
          </w:p>
        </w:tc>
        <w:tc>
          <w:tcPr>
            <w:tcW w:w="7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0.03</w:t>
            </w:r>
          </w:p>
        </w:tc>
        <w:tc>
          <w:tcPr>
            <w:tcW w:w="20" w:type="dxa"/>
            <w:vAlign w:val="bottom"/>
            <w:tcBorders>
              <w:bottom w:val="single" w:sz="8" w:color="D1D2D4"/>
            </w:tcBorders>
          </w:tcPr>
          <w:p>
            <w:pPr>
              <w:spacing w:after="0"/>
              <w:rPr>
                <w:sz w:val="18"/>
                <w:szCs w:val="18"/>
                <w:color w:val="auto"/>
              </w:rPr>
            </w:pPr>
          </w:p>
        </w:tc>
      </w:tr>
      <w:tr>
        <w:trPr>
          <w:trHeight w:val="209"/>
        </w:trPr>
        <w:tc>
          <w:tcPr>
            <w:tcW w:w="6400" w:type="dxa"/>
            <w:vAlign w:val="bottom"/>
            <w:tcBorders>
              <w:bottom w:val="single" w:sz="8" w:color="D1D2D4"/>
            </w:tcBorders>
            <w:shd w:val="clear" w:color="auto" w:fill="CED8EA"/>
          </w:tcPr>
          <w:p>
            <w:pPr>
              <w:ind w:left="20"/>
              <w:spacing w:after="0"/>
              <w:rPr>
                <w:sz w:val="20"/>
                <w:szCs w:val="20"/>
                <w:color w:val="auto"/>
              </w:rPr>
            </w:pPr>
            <w:r>
              <w:rPr>
                <w:rFonts w:ascii="Arial" w:cs="Arial" w:eastAsia="Arial" w:hAnsi="Arial"/>
                <w:sz w:val="18"/>
                <w:szCs w:val="18"/>
                <w:b w:val="1"/>
                <w:bCs w:val="1"/>
                <w:color w:val="02568A"/>
              </w:rPr>
              <w:t>Deferred executive compensation</w:t>
            </w:r>
          </w:p>
        </w:tc>
        <w:tc>
          <w:tcPr>
            <w:tcW w:w="680" w:type="dxa"/>
            <w:vAlign w:val="bottom"/>
            <w:tcBorders>
              <w:bottom w:val="single" w:sz="8" w:color="D1D2D4"/>
            </w:tcBorders>
            <w:gridSpan w:val="2"/>
            <w:shd w:val="clear" w:color="auto" w:fill="CED8EA"/>
          </w:tcPr>
          <w:p>
            <w:pPr>
              <w:jc w:val="right"/>
              <w:spacing w:after="0"/>
              <w:rPr>
                <w:sz w:val="20"/>
                <w:szCs w:val="20"/>
                <w:color w:val="auto"/>
              </w:rPr>
            </w:pPr>
            <w:r>
              <w:rPr>
                <w:rFonts w:ascii="Arial" w:cs="Arial" w:eastAsia="Arial" w:hAnsi="Arial"/>
                <w:sz w:val="18"/>
                <w:szCs w:val="18"/>
                <w:color w:val="02568A"/>
              </w:rPr>
              <w:t>—</w:t>
            </w:r>
          </w:p>
        </w:tc>
        <w:tc>
          <w:tcPr>
            <w:tcW w:w="1320" w:type="dxa"/>
            <w:vAlign w:val="bottom"/>
            <w:tcBorders>
              <w:bottom w:val="single" w:sz="8" w:color="D1D2D4"/>
            </w:tcBorders>
            <w:gridSpan w:val="3"/>
            <w:shd w:val="clear" w:color="auto" w:fill="CED8EA"/>
          </w:tcPr>
          <w:p>
            <w:pPr>
              <w:jc w:val="right"/>
              <w:ind w:right="320"/>
              <w:spacing w:after="0"/>
              <w:rPr>
                <w:sz w:val="20"/>
                <w:szCs w:val="20"/>
                <w:color w:val="auto"/>
              </w:rPr>
            </w:pPr>
            <w:r>
              <w:rPr>
                <w:rFonts w:ascii="Arial" w:cs="Arial" w:eastAsia="Arial" w:hAnsi="Arial"/>
                <w:sz w:val="18"/>
                <w:szCs w:val="18"/>
                <w:color w:val="02568A"/>
              </w:rPr>
              <w:t>0.01</w:t>
            </w:r>
          </w:p>
        </w:tc>
        <w:tc>
          <w:tcPr>
            <w:tcW w:w="70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w:t>
            </w:r>
          </w:p>
        </w:tc>
        <w:tc>
          <w:tcPr>
            <w:tcW w:w="20" w:type="dxa"/>
            <w:vAlign w:val="bottom"/>
          </w:tcPr>
          <w:p>
            <w:pPr>
              <w:spacing w:after="0"/>
              <w:rPr>
                <w:sz w:val="18"/>
                <w:szCs w:val="18"/>
                <w:color w:val="auto"/>
              </w:rPr>
            </w:pPr>
          </w:p>
        </w:tc>
      </w:tr>
      <w:tr>
        <w:trPr>
          <w:trHeight w:val="210"/>
        </w:trPr>
        <w:tc>
          <w:tcPr>
            <w:tcW w:w="6400" w:type="dxa"/>
            <w:vAlign w:val="bottom"/>
            <w:tcBorders>
              <w:bottom w:val="single" w:sz="8" w:color="D1D2D4"/>
            </w:tcBorders>
          </w:tcPr>
          <w:p>
            <w:pPr>
              <w:ind w:left="20"/>
              <w:spacing w:after="0"/>
              <w:rPr>
                <w:sz w:val="20"/>
                <w:szCs w:val="20"/>
                <w:color w:val="auto"/>
              </w:rPr>
            </w:pPr>
            <w:r>
              <w:rPr>
                <w:rFonts w:ascii="Arial" w:cs="Arial" w:eastAsia="Arial" w:hAnsi="Arial"/>
                <w:sz w:val="18"/>
                <w:szCs w:val="18"/>
                <w:b w:val="1"/>
                <w:bCs w:val="1"/>
                <w:color w:val="02568A"/>
              </w:rPr>
              <w:t>PMC-Sierra merger termination fee</w:t>
            </w:r>
          </w:p>
        </w:tc>
        <w:tc>
          <w:tcPr>
            <w:tcW w:w="680" w:type="dxa"/>
            <w:vAlign w:val="bottom"/>
            <w:tcBorders>
              <w:bottom w:val="single" w:sz="8" w:color="D1D2D4"/>
            </w:tcBorders>
            <w:gridSpan w:val="2"/>
          </w:tcPr>
          <w:p>
            <w:pPr>
              <w:jc w:val="right"/>
              <w:spacing w:after="0"/>
              <w:rPr>
                <w:sz w:val="20"/>
                <w:szCs w:val="20"/>
                <w:color w:val="auto"/>
              </w:rPr>
            </w:pPr>
            <w:r>
              <w:rPr>
                <w:rFonts w:ascii="Arial" w:cs="Arial" w:eastAsia="Arial" w:hAnsi="Arial"/>
                <w:sz w:val="18"/>
                <w:szCs w:val="18"/>
                <w:color w:val="02568A"/>
              </w:rPr>
              <w:t>—</w:t>
            </w:r>
          </w:p>
        </w:tc>
        <w:tc>
          <w:tcPr>
            <w:tcW w:w="1320" w:type="dxa"/>
            <w:vAlign w:val="bottom"/>
            <w:tcBorders>
              <w:bottom w:val="single" w:sz="8" w:color="D1D2D4"/>
            </w:tcBorders>
            <w:gridSpan w:val="3"/>
          </w:tcPr>
          <w:p>
            <w:pPr>
              <w:jc w:val="right"/>
              <w:ind w:right="320"/>
              <w:spacing w:after="0"/>
              <w:rPr>
                <w:sz w:val="20"/>
                <w:szCs w:val="20"/>
                <w:color w:val="auto"/>
              </w:rPr>
            </w:pPr>
            <w:r>
              <w:rPr>
                <w:rFonts w:ascii="Arial" w:cs="Arial" w:eastAsia="Arial" w:hAnsi="Arial"/>
                <w:sz w:val="18"/>
                <w:szCs w:val="18"/>
                <w:color w:val="02568A"/>
              </w:rPr>
              <w:t>(0.46)</w:t>
            </w:r>
          </w:p>
        </w:tc>
        <w:tc>
          <w:tcPr>
            <w:tcW w:w="7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02568A"/>
              </w:rPr>
              <w:t>—</w:t>
            </w:r>
          </w:p>
        </w:tc>
        <w:tc>
          <w:tcPr>
            <w:tcW w:w="20" w:type="dxa"/>
            <w:vAlign w:val="bottom"/>
            <w:tcBorders>
              <w:bottom w:val="single" w:sz="8" w:color="D1D2D4"/>
            </w:tcBorders>
          </w:tcPr>
          <w:p>
            <w:pPr>
              <w:spacing w:after="0"/>
              <w:rPr>
                <w:sz w:val="18"/>
                <w:szCs w:val="18"/>
                <w:color w:val="auto"/>
              </w:rPr>
            </w:pPr>
          </w:p>
        </w:tc>
      </w:tr>
      <w:tr>
        <w:trPr>
          <w:trHeight w:val="210"/>
        </w:trPr>
        <w:tc>
          <w:tcPr>
            <w:tcW w:w="6400" w:type="dxa"/>
            <w:vAlign w:val="bottom"/>
            <w:tcBorders>
              <w:bottom w:val="single" w:sz="8" w:color="D1D2D4"/>
            </w:tcBorders>
            <w:shd w:val="clear" w:color="auto" w:fill="CED8EA"/>
          </w:tcPr>
          <w:p>
            <w:pPr>
              <w:ind w:left="20"/>
              <w:spacing w:after="0"/>
              <w:rPr>
                <w:sz w:val="20"/>
                <w:szCs w:val="20"/>
                <w:color w:val="auto"/>
              </w:rPr>
            </w:pPr>
            <w:r>
              <w:rPr>
                <w:rFonts w:ascii="Arial" w:cs="Arial" w:eastAsia="Arial" w:hAnsi="Arial"/>
                <w:sz w:val="18"/>
                <w:szCs w:val="18"/>
                <w:b w:val="1"/>
                <w:bCs w:val="1"/>
                <w:color w:val="02568A"/>
              </w:rPr>
              <w:t>Interest expense on seller-financed debt(c)</w:t>
            </w:r>
          </w:p>
        </w:tc>
        <w:tc>
          <w:tcPr>
            <w:tcW w:w="680" w:type="dxa"/>
            <w:vAlign w:val="bottom"/>
            <w:tcBorders>
              <w:bottom w:val="single" w:sz="8" w:color="D1D2D4"/>
            </w:tcBorders>
            <w:gridSpan w:val="2"/>
            <w:shd w:val="clear" w:color="auto" w:fill="CED8EA"/>
          </w:tcPr>
          <w:p>
            <w:pPr>
              <w:jc w:val="right"/>
              <w:spacing w:after="0"/>
              <w:rPr>
                <w:sz w:val="20"/>
                <w:szCs w:val="20"/>
                <w:color w:val="auto"/>
              </w:rPr>
            </w:pPr>
            <w:r>
              <w:rPr>
                <w:rFonts w:ascii="Arial" w:cs="Arial" w:eastAsia="Arial" w:hAnsi="Arial"/>
                <w:sz w:val="18"/>
                <w:szCs w:val="18"/>
                <w:color w:val="02568A"/>
              </w:rPr>
              <w:t>—</w:t>
            </w:r>
          </w:p>
        </w:tc>
        <w:tc>
          <w:tcPr>
            <w:tcW w:w="1320" w:type="dxa"/>
            <w:vAlign w:val="bottom"/>
            <w:tcBorders>
              <w:bottom w:val="single" w:sz="8" w:color="D1D2D4"/>
            </w:tcBorders>
            <w:gridSpan w:val="3"/>
            <w:shd w:val="clear" w:color="auto" w:fill="CED8EA"/>
          </w:tcPr>
          <w:p>
            <w:pPr>
              <w:jc w:val="right"/>
              <w:ind w:right="320"/>
              <w:spacing w:after="0"/>
              <w:rPr>
                <w:sz w:val="20"/>
                <w:szCs w:val="20"/>
                <w:color w:val="auto"/>
              </w:rPr>
            </w:pPr>
            <w:r>
              <w:rPr>
                <w:rFonts w:ascii="Arial" w:cs="Arial" w:eastAsia="Arial" w:hAnsi="Arial"/>
                <w:sz w:val="18"/>
                <w:szCs w:val="18"/>
                <w:color w:val="02568A"/>
              </w:rPr>
              <w:t>0.01</w:t>
            </w:r>
          </w:p>
        </w:tc>
        <w:tc>
          <w:tcPr>
            <w:tcW w:w="70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w:t>
            </w:r>
          </w:p>
        </w:tc>
        <w:tc>
          <w:tcPr>
            <w:tcW w:w="20" w:type="dxa"/>
            <w:vAlign w:val="bottom"/>
          </w:tcPr>
          <w:p>
            <w:pPr>
              <w:spacing w:after="0"/>
              <w:rPr>
                <w:sz w:val="18"/>
                <w:szCs w:val="18"/>
                <w:color w:val="auto"/>
              </w:rPr>
            </w:pPr>
          </w:p>
        </w:tc>
      </w:tr>
      <w:tr>
        <w:trPr>
          <w:trHeight w:val="210"/>
        </w:trPr>
        <w:tc>
          <w:tcPr>
            <w:tcW w:w="6400" w:type="dxa"/>
            <w:vAlign w:val="bottom"/>
          </w:tcPr>
          <w:p>
            <w:pPr>
              <w:ind w:left="20"/>
              <w:spacing w:after="0"/>
              <w:rPr>
                <w:sz w:val="20"/>
                <w:szCs w:val="20"/>
                <w:color w:val="auto"/>
              </w:rPr>
            </w:pPr>
            <w:r>
              <w:rPr>
                <w:rFonts w:ascii="Arial" w:cs="Arial" w:eastAsia="Arial" w:hAnsi="Arial"/>
                <w:sz w:val="18"/>
                <w:szCs w:val="18"/>
                <w:b w:val="1"/>
                <w:bCs w:val="1"/>
                <w:color w:val="02568A"/>
              </w:rPr>
              <w:t>Tax adjustments(d)</w:t>
            </w:r>
          </w:p>
        </w:tc>
        <w:tc>
          <w:tcPr>
            <w:tcW w:w="680" w:type="dxa"/>
            <w:vAlign w:val="bottom"/>
            <w:gridSpan w:val="2"/>
          </w:tcPr>
          <w:p>
            <w:pPr>
              <w:jc w:val="right"/>
              <w:spacing w:after="0"/>
              <w:rPr>
                <w:sz w:val="20"/>
                <w:szCs w:val="20"/>
                <w:color w:val="auto"/>
              </w:rPr>
            </w:pPr>
            <w:r>
              <w:rPr>
                <w:rFonts w:ascii="Arial" w:cs="Arial" w:eastAsia="Arial" w:hAnsi="Arial"/>
                <w:sz w:val="18"/>
                <w:szCs w:val="18"/>
                <w:color w:val="02568A"/>
              </w:rPr>
              <w:t>0.04</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02568A"/>
              </w:rPr>
              <w:t>0.18</w:t>
            </w:r>
          </w:p>
        </w:tc>
        <w:tc>
          <w:tcPr>
            <w:tcW w:w="700" w:type="dxa"/>
            <w:vAlign w:val="bottom"/>
          </w:tcPr>
          <w:p>
            <w:pPr>
              <w:jc w:val="right"/>
              <w:spacing w:after="0"/>
              <w:rPr>
                <w:sz w:val="20"/>
                <w:szCs w:val="20"/>
                <w:color w:val="auto"/>
              </w:rPr>
            </w:pPr>
            <w:r>
              <w:rPr>
                <w:rFonts w:ascii="Arial" w:cs="Arial" w:eastAsia="Arial" w:hAnsi="Arial"/>
                <w:sz w:val="18"/>
                <w:szCs w:val="18"/>
                <w:color w:val="02568A"/>
              </w:rPr>
              <w:t>0.18</w:t>
            </w:r>
          </w:p>
        </w:tc>
        <w:tc>
          <w:tcPr>
            <w:tcW w:w="20" w:type="dxa"/>
            <w:vAlign w:val="bottom"/>
          </w:tcPr>
          <w:p>
            <w:pPr>
              <w:spacing w:after="0"/>
              <w:rPr>
                <w:sz w:val="18"/>
                <w:szCs w:val="18"/>
                <w:color w:val="auto"/>
              </w:rPr>
            </w:pPr>
          </w:p>
        </w:tc>
      </w:tr>
      <w:tr>
        <w:trPr>
          <w:trHeight w:val="209"/>
        </w:trPr>
        <w:tc>
          <w:tcPr>
            <w:tcW w:w="6400" w:type="dxa"/>
            <w:vAlign w:val="bottom"/>
            <w:shd w:val="clear" w:color="auto" w:fill="CED8EA"/>
          </w:tcPr>
          <w:p>
            <w:pPr>
              <w:ind w:left="20"/>
              <w:spacing w:after="0"/>
              <w:rPr>
                <w:sz w:val="20"/>
                <w:szCs w:val="20"/>
                <w:color w:val="auto"/>
              </w:rPr>
            </w:pPr>
            <w:r>
              <w:rPr>
                <w:rFonts w:ascii="Arial" w:cs="Arial" w:eastAsia="Arial" w:hAnsi="Arial"/>
                <w:sz w:val="18"/>
                <w:szCs w:val="18"/>
                <w:b w:val="1"/>
                <w:bCs w:val="1"/>
                <w:color w:val="02568A"/>
              </w:rPr>
              <w:t>Non-GAAP net income per share, diluted</w:t>
            </w:r>
          </w:p>
        </w:tc>
        <w:tc>
          <w:tcPr>
            <w:tcW w:w="680" w:type="dxa"/>
            <w:vAlign w:val="bottom"/>
            <w:tcBorders>
              <w:top w:val="single" w:sz="8" w:color="02568A"/>
            </w:tcBorders>
            <w:gridSpan w:val="2"/>
            <w:shd w:val="clear" w:color="auto" w:fill="CED8EA"/>
          </w:tcPr>
          <w:p>
            <w:pPr>
              <w:jc w:val="right"/>
              <w:spacing w:after="0"/>
              <w:rPr>
                <w:sz w:val="20"/>
                <w:szCs w:val="20"/>
                <w:color w:val="auto"/>
              </w:rPr>
            </w:pPr>
            <w:r>
              <w:rPr>
                <w:rFonts w:ascii="Arial" w:cs="Arial" w:eastAsia="Arial" w:hAnsi="Arial"/>
                <w:sz w:val="18"/>
                <w:szCs w:val="18"/>
                <w:color w:val="02568A"/>
              </w:rPr>
              <w:t>$6.17</w:t>
            </w:r>
          </w:p>
        </w:tc>
        <w:tc>
          <w:tcPr>
            <w:tcW w:w="320" w:type="dxa"/>
            <w:vAlign w:val="bottom"/>
            <w:shd w:val="clear" w:color="auto" w:fill="CED8EA"/>
          </w:tcPr>
          <w:p>
            <w:pPr>
              <w:spacing w:after="0"/>
              <w:rPr>
                <w:sz w:val="18"/>
                <w:szCs w:val="18"/>
                <w:color w:val="auto"/>
              </w:rPr>
            </w:pPr>
          </w:p>
        </w:tc>
        <w:tc>
          <w:tcPr>
            <w:tcW w:w="660" w:type="dxa"/>
            <w:vAlign w:val="bottom"/>
            <w:tcBorders>
              <w:top w:val="single" w:sz="8" w:color="02568A"/>
            </w:tcBorders>
            <w:shd w:val="clear" w:color="auto" w:fill="CED8EA"/>
          </w:tcPr>
          <w:p>
            <w:pPr>
              <w:jc w:val="right"/>
              <w:spacing w:after="0"/>
              <w:rPr>
                <w:sz w:val="20"/>
                <w:szCs w:val="20"/>
                <w:color w:val="auto"/>
              </w:rPr>
            </w:pPr>
            <w:r>
              <w:rPr>
                <w:rFonts w:ascii="Arial" w:cs="Arial" w:eastAsia="Arial" w:hAnsi="Arial"/>
                <w:sz w:val="18"/>
                <w:szCs w:val="18"/>
                <w:color w:val="02568A"/>
              </w:rPr>
              <w:t>$5.57</w:t>
            </w:r>
          </w:p>
        </w:tc>
        <w:tc>
          <w:tcPr>
            <w:tcW w:w="340" w:type="dxa"/>
            <w:vAlign w:val="bottom"/>
            <w:shd w:val="clear" w:color="auto" w:fill="CED8EA"/>
          </w:tcPr>
          <w:p>
            <w:pPr>
              <w:spacing w:after="0"/>
              <w:rPr>
                <w:sz w:val="18"/>
                <w:szCs w:val="18"/>
                <w:color w:val="auto"/>
              </w:rPr>
            </w:pPr>
          </w:p>
        </w:tc>
        <w:tc>
          <w:tcPr>
            <w:tcW w:w="700" w:type="dxa"/>
            <w:vAlign w:val="bottom"/>
            <w:tcBorders>
              <w:top w:val="single" w:sz="8" w:color="02568A"/>
            </w:tcBorders>
            <w:shd w:val="clear" w:color="auto" w:fill="CED8EA"/>
          </w:tcPr>
          <w:p>
            <w:pPr>
              <w:jc w:val="right"/>
              <w:spacing w:after="0"/>
              <w:rPr>
                <w:sz w:val="20"/>
                <w:szCs w:val="20"/>
                <w:color w:val="auto"/>
              </w:rPr>
            </w:pPr>
            <w:r>
              <w:rPr>
                <w:rFonts w:ascii="Arial" w:cs="Arial" w:eastAsia="Arial" w:hAnsi="Arial"/>
                <w:sz w:val="18"/>
                <w:szCs w:val="18"/>
                <w:color w:val="02568A"/>
              </w:rPr>
              <w:t>$2.20</w:t>
            </w:r>
          </w:p>
        </w:tc>
        <w:tc>
          <w:tcPr>
            <w:tcW w:w="2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660" w:type="dxa"/>
            <w:vAlign w:val="bottom"/>
            <w:tcBorders>
              <w:top w:val="single" w:sz="8" w:color="02568A"/>
              <w:bottom w:val="single" w:sz="8" w:color="02568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2568A"/>
              <w:bottom w:val="single" w:sz="8" w:color="02568A"/>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02568A"/>
              <w:bottom w:val="single" w:sz="8" w:color="02568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120" w:type="dxa"/>
        <w:tblCellMar>
          <w:top w:w="0" w:type="dxa"/>
          <w:left w:w="0" w:type="dxa"/>
          <w:bottom w:w="0" w:type="dxa"/>
          <w:right w:w="0" w:type="dxa"/>
        </w:tblCellMar>
      </w:tblPr>
      <w:tr>
        <w:trPr>
          <w:trHeight w:val="229"/>
        </w:trPr>
        <w:tc>
          <w:tcPr>
            <w:tcW w:w="5340" w:type="dxa"/>
            <w:vAlign w:val="bottom"/>
            <w:tcBorders>
              <w:top w:val="single" w:sz="8" w:color="02568A"/>
            </w:tcBorders>
          </w:tcPr>
          <w:p>
            <w:pPr>
              <w:spacing w:after="0"/>
              <w:rPr>
                <w:sz w:val="19"/>
                <w:szCs w:val="19"/>
                <w:color w:val="auto"/>
              </w:rPr>
            </w:pPr>
          </w:p>
        </w:tc>
        <w:tc>
          <w:tcPr>
            <w:tcW w:w="680" w:type="dxa"/>
            <w:vAlign w:val="bottom"/>
            <w:tcBorders>
              <w:top w:val="single" w:sz="8" w:color="02568A"/>
              <w:bottom w:val="single" w:sz="8" w:color="02568A"/>
            </w:tcBorders>
          </w:tcPr>
          <w:p>
            <w:pPr>
              <w:spacing w:after="0"/>
              <w:rPr>
                <w:sz w:val="19"/>
                <w:szCs w:val="19"/>
                <w:color w:val="auto"/>
              </w:rPr>
            </w:pPr>
          </w:p>
        </w:tc>
        <w:tc>
          <w:tcPr>
            <w:tcW w:w="20" w:type="dxa"/>
            <w:vAlign w:val="bottom"/>
            <w:tcBorders>
              <w:top w:val="single" w:sz="8" w:color="02568A"/>
              <w:bottom w:val="single" w:sz="8" w:color="02568A"/>
            </w:tcBorders>
          </w:tcPr>
          <w:p>
            <w:pPr>
              <w:spacing w:after="0"/>
              <w:rPr>
                <w:sz w:val="19"/>
                <w:szCs w:val="19"/>
                <w:color w:val="auto"/>
              </w:rPr>
            </w:pPr>
          </w:p>
        </w:tc>
        <w:tc>
          <w:tcPr>
            <w:tcW w:w="320" w:type="dxa"/>
            <w:vAlign w:val="bottom"/>
            <w:tcBorders>
              <w:top w:val="single" w:sz="8" w:color="02568A"/>
              <w:bottom w:val="single" w:sz="8" w:color="02568A"/>
            </w:tcBorders>
          </w:tcPr>
          <w:p>
            <w:pPr>
              <w:spacing w:after="0"/>
              <w:rPr>
                <w:sz w:val="19"/>
                <w:szCs w:val="19"/>
                <w:color w:val="auto"/>
              </w:rPr>
            </w:pPr>
          </w:p>
        </w:tc>
        <w:tc>
          <w:tcPr>
            <w:tcW w:w="2020" w:type="dxa"/>
            <w:vAlign w:val="bottom"/>
            <w:tcBorders>
              <w:top w:val="single" w:sz="8" w:color="02568A"/>
              <w:bottom w:val="single" w:sz="8" w:color="02568A"/>
            </w:tcBorders>
            <w:gridSpan w:val="4"/>
          </w:tcPr>
          <w:p>
            <w:pPr>
              <w:ind w:left="420"/>
              <w:spacing w:after="0"/>
              <w:rPr>
                <w:sz w:val="20"/>
                <w:szCs w:val="20"/>
                <w:color w:val="auto"/>
              </w:rPr>
            </w:pPr>
            <w:r>
              <w:rPr>
                <w:rFonts w:ascii="Arial" w:cs="Arial" w:eastAsia="Arial" w:hAnsi="Arial"/>
                <w:sz w:val="18"/>
                <w:szCs w:val="18"/>
                <w:b w:val="1"/>
                <w:bCs w:val="1"/>
                <w:color w:val="02568A"/>
              </w:rPr>
              <w:t>Year Ended</w:t>
            </w:r>
          </w:p>
        </w:tc>
        <w:tc>
          <w:tcPr>
            <w:tcW w:w="720" w:type="dxa"/>
            <w:vAlign w:val="bottom"/>
            <w:tcBorders>
              <w:top w:val="single" w:sz="8" w:color="02568A"/>
              <w:bottom w:val="single" w:sz="8" w:color="02568A"/>
            </w:tcBorders>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5340" w:type="dxa"/>
            <w:vAlign w:val="bottom"/>
          </w:tcPr>
          <w:p>
            <w:pPr>
              <w:spacing w:after="0"/>
              <w:rPr>
                <w:sz w:val="16"/>
                <w:szCs w:val="16"/>
                <w:color w:val="auto"/>
              </w:rPr>
            </w:pPr>
          </w:p>
        </w:tc>
        <w:tc>
          <w:tcPr>
            <w:tcW w:w="1020" w:type="dxa"/>
            <w:vAlign w:val="bottom"/>
            <w:gridSpan w:val="3"/>
          </w:tcPr>
          <w:p>
            <w:pPr>
              <w:ind w:left="20"/>
              <w:spacing w:after="0" w:line="195" w:lineRule="exact"/>
              <w:rPr>
                <w:sz w:val="20"/>
                <w:szCs w:val="20"/>
                <w:color w:val="auto"/>
              </w:rPr>
            </w:pPr>
            <w:r>
              <w:rPr>
                <w:rFonts w:ascii="Arial" w:cs="Arial" w:eastAsia="Arial" w:hAnsi="Arial"/>
                <w:sz w:val="18"/>
                <w:szCs w:val="18"/>
                <w:b w:val="1"/>
                <w:bCs w:val="1"/>
                <w:color w:val="02568A"/>
              </w:rPr>
              <w:t>Sept. 27,</w:t>
            </w:r>
          </w:p>
        </w:tc>
        <w:tc>
          <w:tcPr>
            <w:tcW w:w="1000" w:type="dxa"/>
            <w:vAlign w:val="bottom"/>
            <w:gridSpan w:val="2"/>
          </w:tcPr>
          <w:p>
            <w:pPr>
              <w:jc w:val="right"/>
              <w:ind w:right="340"/>
              <w:spacing w:after="0" w:line="195" w:lineRule="exact"/>
              <w:rPr>
                <w:sz w:val="20"/>
                <w:szCs w:val="20"/>
                <w:color w:val="auto"/>
              </w:rPr>
            </w:pPr>
            <w:r>
              <w:rPr>
                <w:rFonts w:ascii="Arial" w:cs="Arial" w:eastAsia="Arial" w:hAnsi="Arial"/>
                <w:sz w:val="18"/>
                <w:szCs w:val="18"/>
                <w:b w:val="1"/>
                <w:bCs w:val="1"/>
                <w:color w:val="02568A"/>
                <w:w w:val="86"/>
              </w:rPr>
              <w:t>Sept. 28,</w:t>
            </w:r>
          </w:p>
        </w:tc>
        <w:tc>
          <w:tcPr>
            <w:tcW w:w="1020" w:type="dxa"/>
            <w:vAlign w:val="bottom"/>
            <w:gridSpan w:val="2"/>
          </w:tcPr>
          <w:p>
            <w:pPr>
              <w:ind w:left="40"/>
              <w:spacing w:after="0" w:line="195" w:lineRule="exact"/>
              <w:rPr>
                <w:sz w:val="20"/>
                <w:szCs w:val="20"/>
                <w:color w:val="auto"/>
              </w:rPr>
            </w:pPr>
            <w:r>
              <w:rPr>
                <w:rFonts w:ascii="Arial" w:cs="Arial" w:eastAsia="Arial" w:hAnsi="Arial"/>
                <w:sz w:val="18"/>
                <w:szCs w:val="18"/>
                <w:b w:val="1"/>
                <w:bCs w:val="1"/>
                <w:color w:val="02568A"/>
              </w:rPr>
              <w:t>Sept. 30,</w:t>
            </w:r>
          </w:p>
        </w:tc>
        <w:tc>
          <w:tcPr>
            <w:tcW w:w="720" w:type="dxa"/>
            <w:vAlign w:val="bottom"/>
          </w:tcPr>
          <w:p>
            <w:pPr>
              <w:jc w:val="right"/>
              <w:spacing w:after="0" w:line="195" w:lineRule="exact"/>
              <w:rPr>
                <w:sz w:val="20"/>
                <w:szCs w:val="20"/>
                <w:color w:val="auto"/>
              </w:rPr>
            </w:pPr>
            <w:r>
              <w:rPr>
                <w:rFonts w:ascii="Arial" w:cs="Arial" w:eastAsia="Arial" w:hAnsi="Arial"/>
                <w:sz w:val="18"/>
                <w:szCs w:val="18"/>
                <w:b w:val="1"/>
                <w:bCs w:val="1"/>
                <w:color w:val="02568A"/>
                <w:w w:val="89"/>
              </w:rPr>
              <w:t>Sept. 27,</w:t>
            </w:r>
          </w:p>
        </w:tc>
        <w:tc>
          <w:tcPr>
            <w:tcW w:w="20" w:type="dxa"/>
            <w:vAlign w:val="bottom"/>
          </w:tcPr>
          <w:p>
            <w:pPr>
              <w:spacing w:after="0"/>
              <w:rPr>
                <w:sz w:val="16"/>
                <w:szCs w:val="16"/>
                <w:color w:val="auto"/>
              </w:rPr>
            </w:pPr>
          </w:p>
        </w:tc>
      </w:tr>
      <w:tr>
        <w:trPr>
          <w:trHeight w:val="228"/>
        </w:trPr>
        <w:tc>
          <w:tcPr>
            <w:tcW w:w="5340" w:type="dxa"/>
            <w:vAlign w:val="bottom"/>
          </w:tcPr>
          <w:p>
            <w:pPr>
              <w:spacing w:after="0"/>
              <w:rPr>
                <w:sz w:val="19"/>
                <w:szCs w:val="19"/>
                <w:color w:val="auto"/>
              </w:rPr>
            </w:pPr>
          </w:p>
        </w:tc>
        <w:tc>
          <w:tcPr>
            <w:tcW w:w="680" w:type="dxa"/>
            <w:vAlign w:val="bottom"/>
            <w:tcBorders>
              <w:bottom w:val="single" w:sz="8" w:color="02568A"/>
            </w:tcBorders>
          </w:tcPr>
          <w:p>
            <w:pPr>
              <w:jc w:val="right"/>
              <w:ind w:right="72"/>
              <w:spacing w:after="0"/>
              <w:rPr>
                <w:sz w:val="20"/>
                <w:szCs w:val="20"/>
                <w:color w:val="auto"/>
              </w:rPr>
            </w:pPr>
            <w:r>
              <w:rPr>
                <w:rFonts w:ascii="Arial" w:cs="Arial" w:eastAsia="Arial" w:hAnsi="Arial"/>
                <w:sz w:val="18"/>
                <w:szCs w:val="18"/>
                <w:b w:val="1"/>
                <w:bCs w:val="1"/>
                <w:color w:val="02568A"/>
              </w:rPr>
              <w:t>2019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bottom w:val="single" w:sz="8" w:color="02568A"/>
            </w:tcBorders>
          </w:tcPr>
          <w:p>
            <w:pPr>
              <w:jc w:val="right"/>
              <w:ind w:right="72"/>
              <w:spacing w:after="0"/>
              <w:rPr>
                <w:sz w:val="20"/>
                <w:szCs w:val="20"/>
                <w:color w:val="auto"/>
              </w:rPr>
            </w:pPr>
            <w:r>
              <w:rPr>
                <w:rFonts w:ascii="Arial" w:cs="Arial" w:eastAsia="Arial" w:hAnsi="Arial"/>
                <w:sz w:val="18"/>
                <w:szCs w:val="18"/>
                <w:b w:val="1"/>
                <w:bCs w:val="1"/>
                <w:color w:val="02568A"/>
              </w:rPr>
              <w:t>2018</w:t>
            </w:r>
          </w:p>
        </w:tc>
        <w:tc>
          <w:tcPr>
            <w:tcW w:w="320" w:type="dxa"/>
            <w:vAlign w:val="bottom"/>
          </w:tcPr>
          <w:p>
            <w:pPr>
              <w:spacing w:after="0"/>
              <w:rPr>
                <w:sz w:val="19"/>
                <w:szCs w:val="19"/>
                <w:color w:val="auto"/>
              </w:rPr>
            </w:pPr>
          </w:p>
        </w:tc>
        <w:tc>
          <w:tcPr>
            <w:tcW w:w="700" w:type="dxa"/>
            <w:vAlign w:val="bottom"/>
            <w:tcBorders>
              <w:bottom w:val="single" w:sz="8" w:color="02568A"/>
            </w:tcBorders>
          </w:tcPr>
          <w:p>
            <w:pPr>
              <w:jc w:val="right"/>
              <w:ind w:right="92"/>
              <w:spacing w:after="0"/>
              <w:rPr>
                <w:sz w:val="20"/>
                <w:szCs w:val="20"/>
                <w:color w:val="auto"/>
              </w:rPr>
            </w:pPr>
            <w:r>
              <w:rPr>
                <w:rFonts w:ascii="Arial" w:cs="Arial" w:eastAsia="Arial" w:hAnsi="Arial"/>
                <w:sz w:val="18"/>
                <w:szCs w:val="18"/>
                <w:b w:val="1"/>
                <w:bCs w:val="1"/>
                <w:color w:val="02568A"/>
              </w:rPr>
              <w:t>2016</w:t>
            </w:r>
          </w:p>
        </w:tc>
        <w:tc>
          <w:tcPr>
            <w:tcW w:w="320" w:type="dxa"/>
            <w:vAlign w:val="bottom"/>
          </w:tcPr>
          <w:p>
            <w:pPr>
              <w:spacing w:after="0"/>
              <w:rPr>
                <w:sz w:val="19"/>
                <w:szCs w:val="19"/>
                <w:color w:val="auto"/>
              </w:rPr>
            </w:pPr>
          </w:p>
        </w:tc>
        <w:tc>
          <w:tcPr>
            <w:tcW w:w="720" w:type="dxa"/>
            <w:vAlign w:val="bottom"/>
            <w:tcBorders>
              <w:bottom w:val="single" w:sz="8" w:color="02568A"/>
            </w:tcBorders>
          </w:tcPr>
          <w:p>
            <w:pPr>
              <w:jc w:val="right"/>
              <w:ind w:right="92"/>
              <w:spacing w:after="0"/>
              <w:rPr>
                <w:sz w:val="20"/>
                <w:szCs w:val="20"/>
                <w:color w:val="auto"/>
              </w:rPr>
            </w:pPr>
            <w:r>
              <w:rPr>
                <w:rFonts w:ascii="Arial" w:cs="Arial" w:eastAsia="Arial" w:hAnsi="Arial"/>
                <w:sz w:val="18"/>
                <w:szCs w:val="18"/>
                <w:b w:val="1"/>
                <w:bCs w:val="1"/>
                <w:color w:val="02568A"/>
              </w:rPr>
              <w:t>2013</w:t>
            </w:r>
          </w:p>
        </w:tc>
        <w:tc>
          <w:tcPr>
            <w:tcW w:w="20" w:type="dxa"/>
            <w:vAlign w:val="bottom"/>
          </w:tcPr>
          <w:p>
            <w:pPr>
              <w:spacing w:after="0"/>
              <w:rPr>
                <w:sz w:val="19"/>
                <w:szCs w:val="19"/>
                <w:color w:val="auto"/>
              </w:rPr>
            </w:pPr>
          </w:p>
        </w:tc>
      </w:tr>
      <w:tr>
        <w:trPr>
          <w:trHeight w:val="211"/>
        </w:trPr>
        <w:tc>
          <w:tcPr>
            <w:tcW w:w="5340" w:type="dxa"/>
            <w:vAlign w:val="bottom"/>
            <w:tcBorders>
              <w:bottom w:val="single" w:sz="8" w:color="D1D2D4"/>
            </w:tcBorders>
            <w:shd w:val="clear" w:color="auto" w:fill="CED8EA"/>
          </w:tcPr>
          <w:p>
            <w:pPr>
              <w:ind w:left="20"/>
              <w:spacing w:after="0"/>
              <w:rPr>
                <w:sz w:val="20"/>
                <w:szCs w:val="20"/>
                <w:color w:val="auto"/>
              </w:rPr>
            </w:pPr>
            <w:r>
              <w:rPr>
                <w:rFonts w:ascii="Arial" w:cs="Arial" w:eastAsia="Arial" w:hAnsi="Arial"/>
                <w:sz w:val="18"/>
                <w:szCs w:val="18"/>
                <w:b w:val="1"/>
                <w:bCs w:val="1"/>
                <w:color w:val="02568A"/>
              </w:rPr>
              <w:t>GAAP net cash provided by operating activities</w:t>
            </w:r>
          </w:p>
        </w:tc>
        <w:tc>
          <w:tcPr>
            <w:tcW w:w="68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w w:val="94"/>
              </w:rPr>
              <w:t>$1,367.4</w:t>
            </w:r>
          </w:p>
        </w:tc>
        <w:tc>
          <w:tcPr>
            <w:tcW w:w="20" w:type="dxa"/>
            <w:vAlign w:val="bottom"/>
            <w:tcBorders>
              <w:bottom w:val="single" w:sz="8" w:color="D1D2D4"/>
            </w:tcBorders>
            <w:shd w:val="clear" w:color="auto" w:fill="CED8EA"/>
          </w:tcPr>
          <w:p>
            <w:pPr>
              <w:spacing w:after="0"/>
              <w:rPr>
                <w:sz w:val="18"/>
                <w:szCs w:val="18"/>
                <w:color w:val="auto"/>
              </w:rPr>
            </w:pPr>
          </w:p>
        </w:tc>
        <w:tc>
          <w:tcPr>
            <w:tcW w:w="320" w:type="dxa"/>
            <w:vAlign w:val="bottom"/>
            <w:tcBorders>
              <w:bottom w:val="single" w:sz="8" w:color="D1D2D4"/>
            </w:tcBorders>
            <w:shd w:val="clear" w:color="auto" w:fill="CED8EA"/>
          </w:tcPr>
          <w:p>
            <w:pPr>
              <w:spacing w:after="0"/>
              <w:rPr>
                <w:sz w:val="18"/>
                <w:szCs w:val="18"/>
                <w:color w:val="auto"/>
              </w:rPr>
            </w:pPr>
          </w:p>
        </w:tc>
        <w:tc>
          <w:tcPr>
            <w:tcW w:w="68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w w:val="94"/>
              </w:rPr>
              <w:t>$1,260.6</w:t>
            </w:r>
          </w:p>
        </w:tc>
        <w:tc>
          <w:tcPr>
            <w:tcW w:w="320" w:type="dxa"/>
            <w:vAlign w:val="bottom"/>
            <w:tcBorders>
              <w:bottom w:val="single" w:sz="8" w:color="D1D2D4"/>
            </w:tcBorders>
            <w:shd w:val="clear" w:color="auto" w:fill="CED8EA"/>
          </w:tcPr>
          <w:p>
            <w:pPr>
              <w:spacing w:after="0"/>
              <w:rPr>
                <w:sz w:val="18"/>
                <w:szCs w:val="18"/>
                <w:color w:val="auto"/>
              </w:rPr>
            </w:pPr>
          </w:p>
        </w:tc>
        <w:tc>
          <w:tcPr>
            <w:tcW w:w="70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w w:val="96"/>
              </w:rPr>
              <w:t>$1,095.7</w:t>
            </w:r>
          </w:p>
        </w:tc>
        <w:tc>
          <w:tcPr>
            <w:tcW w:w="320" w:type="dxa"/>
            <w:vAlign w:val="bottom"/>
            <w:tcBorders>
              <w:bottom w:val="single" w:sz="8" w:color="D1D2D4"/>
            </w:tcBorders>
            <w:shd w:val="clear" w:color="auto" w:fill="CED8EA"/>
          </w:tcPr>
          <w:p>
            <w:pPr>
              <w:spacing w:after="0"/>
              <w:rPr>
                <w:sz w:val="18"/>
                <w:szCs w:val="18"/>
                <w:color w:val="auto"/>
              </w:rPr>
            </w:pPr>
          </w:p>
        </w:tc>
        <w:tc>
          <w:tcPr>
            <w:tcW w:w="720" w:type="dxa"/>
            <w:vAlign w:val="bottom"/>
            <w:tcBorders>
              <w:bottom w:val="single" w:sz="8" w:color="D1D2D4"/>
            </w:tcBorders>
            <w:shd w:val="clear" w:color="auto" w:fill="CED8EA"/>
          </w:tcPr>
          <w:p>
            <w:pPr>
              <w:jc w:val="right"/>
              <w:spacing w:after="0"/>
              <w:rPr>
                <w:sz w:val="20"/>
                <w:szCs w:val="20"/>
                <w:color w:val="auto"/>
              </w:rPr>
            </w:pPr>
            <w:r>
              <w:rPr>
                <w:rFonts w:ascii="Arial" w:cs="Arial" w:eastAsia="Arial" w:hAnsi="Arial"/>
                <w:sz w:val="18"/>
                <w:szCs w:val="18"/>
                <w:color w:val="02568A"/>
              </w:rPr>
              <w:t>$499.7</w:t>
            </w:r>
          </w:p>
        </w:tc>
        <w:tc>
          <w:tcPr>
            <w:tcW w:w="20" w:type="dxa"/>
            <w:vAlign w:val="bottom"/>
          </w:tcPr>
          <w:p>
            <w:pPr>
              <w:spacing w:after="0"/>
              <w:rPr>
                <w:sz w:val="18"/>
                <w:szCs w:val="18"/>
                <w:color w:val="auto"/>
              </w:rPr>
            </w:pPr>
          </w:p>
        </w:tc>
      </w:tr>
      <w:tr>
        <w:trPr>
          <w:trHeight w:val="210"/>
        </w:trPr>
        <w:tc>
          <w:tcPr>
            <w:tcW w:w="5340" w:type="dxa"/>
            <w:vAlign w:val="bottom"/>
          </w:tcPr>
          <w:p>
            <w:pPr>
              <w:ind w:left="20"/>
              <w:spacing w:after="0"/>
              <w:rPr>
                <w:sz w:val="20"/>
                <w:szCs w:val="20"/>
                <w:color w:val="auto"/>
              </w:rPr>
            </w:pPr>
            <w:r>
              <w:rPr>
                <w:rFonts w:ascii="Arial" w:cs="Arial" w:eastAsia="Arial" w:hAnsi="Arial"/>
                <w:sz w:val="18"/>
                <w:szCs w:val="18"/>
                <w:b w:val="1"/>
                <w:bCs w:val="1"/>
                <w:color w:val="02568A"/>
              </w:rPr>
              <w:t>Capital expenditures</w:t>
            </w:r>
          </w:p>
        </w:tc>
        <w:tc>
          <w:tcPr>
            <w:tcW w:w="700" w:type="dxa"/>
            <w:vAlign w:val="bottom"/>
            <w:gridSpan w:val="2"/>
          </w:tcPr>
          <w:p>
            <w:pPr>
              <w:jc w:val="right"/>
              <w:spacing w:after="0"/>
              <w:rPr>
                <w:sz w:val="20"/>
                <w:szCs w:val="20"/>
                <w:color w:val="auto"/>
              </w:rPr>
            </w:pPr>
            <w:r>
              <w:rPr>
                <w:rFonts w:ascii="Arial" w:cs="Arial" w:eastAsia="Arial" w:hAnsi="Arial"/>
                <w:sz w:val="18"/>
                <w:szCs w:val="18"/>
                <w:color w:val="02568A"/>
              </w:rPr>
              <w:t>398.4</w:t>
            </w:r>
          </w:p>
        </w:tc>
        <w:tc>
          <w:tcPr>
            <w:tcW w:w="3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02568A"/>
              </w:rPr>
              <w:t>422.3</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02568A"/>
              </w:rPr>
              <w:t>189.3</w:t>
            </w:r>
          </w:p>
        </w:tc>
        <w:tc>
          <w:tcPr>
            <w:tcW w:w="720" w:type="dxa"/>
            <w:vAlign w:val="bottom"/>
          </w:tcPr>
          <w:p>
            <w:pPr>
              <w:jc w:val="right"/>
              <w:spacing w:after="0"/>
              <w:rPr>
                <w:sz w:val="20"/>
                <w:szCs w:val="20"/>
                <w:color w:val="auto"/>
              </w:rPr>
            </w:pPr>
            <w:r>
              <w:rPr>
                <w:rFonts w:ascii="Arial" w:cs="Arial" w:eastAsia="Arial" w:hAnsi="Arial"/>
                <w:sz w:val="18"/>
                <w:szCs w:val="18"/>
                <w:color w:val="02568A"/>
              </w:rPr>
              <w:t>123.8</w:t>
            </w:r>
          </w:p>
        </w:tc>
        <w:tc>
          <w:tcPr>
            <w:tcW w:w="20" w:type="dxa"/>
            <w:vAlign w:val="bottom"/>
          </w:tcPr>
          <w:p>
            <w:pPr>
              <w:spacing w:after="0"/>
              <w:rPr>
                <w:sz w:val="18"/>
                <w:szCs w:val="18"/>
                <w:color w:val="auto"/>
              </w:rPr>
            </w:pPr>
          </w:p>
        </w:tc>
      </w:tr>
      <w:tr>
        <w:trPr>
          <w:trHeight w:val="210"/>
        </w:trPr>
        <w:tc>
          <w:tcPr>
            <w:tcW w:w="5340" w:type="dxa"/>
            <w:vAlign w:val="bottom"/>
            <w:shd w:val="clear" w:color="auto" w:fill="CED8EA"/>
          </w:tcPr>
          <w:p>
            <w:pPr>
              <w:ind w:left="20"/>
              <w:spacing w:after="0"/>
              <w:rPr>
                <w:sz w:val="20"/>
                <w:szCs w:val="20"/>
                <w:color w:val="auto"/>
              </w:rPr>
            </w:pPr>
            <w:r>
              <w:rPr>
                <w:rFonts w:ascii="Arial" w:cs="Arial" w:eastAsia="Arial" w:hAnsi="Arial"/>
                <w:sz w:val="18"/>
                <w:szCs w:val="18"/>
                <w:b w:val="1"/>
                <w:bCs w:val="1"/>
                <w:color w:val="02568A"/>
              </w:rPr>
              <w:t>Free cash flow (Non-GAAP)</w:t>
            </w:r>
          </w:p>
        </w:tc>
        <w:tc>
          <w:tcPr>
            <w:tcW w:w="700" w:type="dxa"/>
            <w:vAlign w:val="bottom"/>
            <w:tcBorders>
              <w:top w:val="single" w:sz="8" w:color="02568A"/>
            </w:tcBorders>
            <w:gridSpan w:val="2"/>
            <w:shd w:val="clear" w:color="auto" w:fill="CED8EA"/>
          </w:tcPr>
          <w:p>
            <w:pPr>
              <w:jc w:val="right"/>
              <w:spacing w:after="0"/>
              <w:rPr>
                <w:sz w:val="20"/>
                <w:szCs w:val="20"/>
                <w:color w:val="auto"/>
              </w:rPr>
            </w:pPr>
            <w:r>
              <w:rPr>
                <w:rFonts w:ascii="Arial" w:cs="Arial" w:eastAsia="Arial" w:hAnsi="Arial"/>
                <w:sz w:val="18"/>
                <w:szCs w:val="18"/>
                <w:color w:val="02568A"/>
              </w:rPr>
              <w:t>969.0</w:t>
            </w:r>
          </w:p>
        </w:tc>
        <w:tc>
          <w:tcPr>
            <w:tcW w:w="320" w:type="dxa"/>
            <w:vAlign w:val="bottom"/>
            <w:shd w:val="clear" w:color="auto" w:fill="CED8EA"/>
          </w:tcPr>
          <w:p>
            <w:pPr>
              <w:spacing w:after="0"/>
              <w:rPr>
                <w:sz w:val="18"/>
                <w:szCs w:val="18"/>
                <w:color w:val="auto"/>
              </w:rPr>
            </w:pPr>
          </w:p>
        </w:tc>
        <w:tc>
          <w:tcPr>
            <w:tcW w:w="680" w:type="dxa"/>
            <w:vAlign w:val="bottom"/>
            <w:tcBorders>
              <w:top w:val="single" w:sz="8" w:color="02568A"/>
            </w:tcBorders>
            <w:shd w:val="clear" w:color="auto" w:fill="CED8EA"/>
          </w:tcPr>
          <w:p>
            <w:pPr>
              <w:jc w:val="right"/>
              <w:spacing w:after="0"/>
              <w:rPr>
                <w:sz w:val="20"/>
                <w:szCs w:val="20"/>
                <w:color w:val="auto"/>
              </w:rPr>
            </w:pPr>
            <w:r>
              <w:rPr>
                <w:rFonts w:ascii="Arial" w:cs="Arial" w:eastAsia="Arial" w:hAnsi="Arial"/>
                <w:sz w:val="18"/>
                <w:szCs w:val="18"/>
                <w:color w:val="02568A"/>
              </w:rPr>
              <w:t>838.3</w:t>
            </w:r>
          </w:p>
        </w:tc>
        <w:tc>
          <w:tcPr>
            <w:tcW w:w="320" w:type="dxa"/>
            <w:vAlign w:val="bottom"/>
            <w:shd w:val="clear" w:color="auto" w:fill="CED8EA"/>
          </w:tcPr>
          <w:p>
            <w:pPr>
              <w:spacing w:after="0"/>
              <w:rPr>
                <w:sz w:val="18"/>
                <w:szCs w:val="18"/>
                <w:color w:val="auto"/>
              </w:rPr>
            </w:pPr>
          </w:p>
        </w:tc>
        <w:tc>
          <w:tcPr>
            <w:tcW w:w="700" w:type="dxa"/>
            <w:vAlign w:val="bottom"/>
            <w:tcBorders>
              <w:top w:val="single" w:sz="8" w:color="02568A"/>
            </w:tcBorders>
            <w:shd w:val="clear" w:color="auto" w:fill="CED8EA"/>
          </w:tcPr>
          <w:p>
            <w:pPr>
              <w:jc w:val="right"/>
              <w:spacing w:after="0"/>
              <w:rPr>
                <w:sz w:val="20"/>
                <w:szCs w:val="20"/>
                <w:color w:val="auto"/>
              </w:rPr>
            </w:pPr>
            <w:r>
              <w:rPr>
                <w:rFonts w:ascii="Arial" w:cs="Arial" w:eastAsia="Arial" w:hAnsi="Arial"/>
                <w:sz w:val="18"/>
                <w:szCs w:val="18"/>
                <w:color w:val="02568A"/>
              </w:rPr>
              <w:t>906.4</w:t>
            </w:r>
          </w:p>
        </w:tc>
        <w:tc>
          <w:tcPr>
            <w:tcW w:w="320" w:type="dxa"/>
            <w:vAlign w:val="bottom"/>
            <w:shd w:val="clear" w:color="auto" w:fill="CED8EA"/>
          </w:tcPr>
          <w:p>
            <w:pPr>
              <w:spacing w:after="0"/>
              <w:rPr>
                <w:sz w:val="18"/>
                <w:szCs w:val="18"/>
                <w:color w:val="auto"/>
              </w:rPr>
            </w:pPr>
          </w:p>
        </w:tc>
        <w:tc>
          <w:tcPr>
            <w:tcW w:w="720" w:type="dxa"/>
            <w:vAlign w:val="bottom"/>
            <w:tcBorders>
              <w:top w:val="single" w:sz="8" w:color="02568A"/>
            </w:tcBorders>
            <w:shd w:val="clear" w:color="auto" w:fill="CED8EA"/>
          </w:tcPr>
          <w:p>
            <w:pPr>
              <w:jc w:val="right"/>
              <w:spacing w:after="0"/>
              <w:rPr>
                <w:sz w:val="20"/>
                <w:szCs w:val="20"/>
                <w:color w:val="auto"/>
              </w:rPr>
            </w:pPr>
            <w:r>
              <w:rPr>
                <w:rFonts w:ascii="Arial" w:cs="Arial" w:eastAsia="Arial" w:hAnsi="Arial"/>
                <w:sz w:val="18"/>
                <w:szCs w:val="18"/>
                <w:color w:val="02568A"/>
              </w:rPr>
              <w:t>375.9</w:t>
            </w:r>
          </w:p>
        </w:tc>
        <w:tc>
          <w:tcPr>
            <w:tcW w:w="2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680" w:type="dxa"/>
            <w:vAlign w:val="bottom"/>
            <w:tcBorders>
              <w:top w:val="single" w:sz="8" w:color="02568A"/>
              <w:bottom w:val="single" w:sz="8" w:color="02568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2568A"/>
              <w:bottom w:val="single" w:sz="8" w:color="02568A"/>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02568A"/>
              <w:bottom w:val="single" w:sz="8" w:color="02568A"/>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02568A"/>
              <w:bottom w:val="single" w:sz="8" w:color="02568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1" w:lineRule="exact"/>
        <w:rPr>
          <w:sz w:val="20"/>
          <w:szCs w:val="20"/>
          <w:color w:val="auto"/>
        </w:rPr>
      </w:pPr>
    </w:p>
    <w:p>
      <w:pPr>
        <w:ind w:left="540" w:hanging="532"/>
        <w:spacing w:after="0" w:line="331" w:lineRule="auto"/>
        <w:tabs>
          <w:tab w:leader="none" w:pos="540" w:val="left"/>
        </w:tabs>
        <w:numPr>
          <w:ilvl w:val="0"/>
          <w:numId w:val="92"/>
        </w:numPr>
        <w:rPr>
          <w:rFonts w:ascii="Arial" w:cs="Arial" w:eastAsia="Arial" w:hAnsi="Arial"/>
          <w:sz w:val="16"/>
          <w:szCs w:val="16"/>
          <w:color w:val="191919"/>
        </w:rPr>
      </w:pPr>
      <w:r>
        <w:rPr>
          <w:rFonts w:ascii="Arial" w:cs="Arial" w:eastAsia="Arial" w:hAnsi="Arial"/>
          <w:sz w:val="16"/>
          <w:szCs w:val="16"/>
          <w:color w:val="191919"/>
        </w:rPr>
        <w:t>Acquisition-related expenses represent charges associated with acquisitions completed or contemplated. The figures presented for the fiscal year ended September 27, 2019, include an offset of $3.1 million to record a benefit for fair value adjustments to reduce contingent consideration.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90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right="200" w:hanging="532"/>
        <w:spacing w:after="0" w:line="259" w:lineRule="auto"/>
        <w:tabs>
          <w:tab w:leader="none" w:pos="540" w:val="left"/>
        </w:tabs>
        <w:numPr>
          <w:ilvl w:val="0"/>
          <w:numId w:val="93"/>
        </w:numPr>
        <w:rPr>
          <w:rFonts w:ascii="Arial" w:cs="Arial" w:eastAsia="Arial" w:hAnsi="Arial"/>
          <w:sz w:val="18"/>
          <w:szCs w:val="18"/>
          <w:color w:val="191919"/>
        </w:rPr>
      </w:pPr>
      <w:r>
        <w:rPr>
          <w:rFonts w:ascii="Arial" w:cs="Arial" w:eastAsia="Arial" w:hAnsi="Arial"/>
          <w:sz w:val="18"/>
          <w:szCs w:val="18"/>
          <w:color w:val="191919"/>
        </w:rPr>
        <w:t>During the fiscal year ended September 27, 2019, the Company incurred $83.2 million in charges including $70.4 million consisting primarily of inventory-related charges due to lower expected demand as a result of the U.S. Bureau of Industry and Security of the U.S. Department of Commerce placing Huawei Technologies Co., Ltd. and certain of its affiliates on the Bureau’s Entity List.</w:t>
      </w:r>
    </w:p>
    <w:p>
      <w:pPr>
        <w:spacing w:after="0" w:line="220" w:lineRule="exact"/>
        <w:rPr>
          <w:rFonts w:ascii="Arial" w:cs="Arial" w:eastAsia="Arial" w:hAnsi="Arial"/>
          <w:sz w:val="18"/>
          <w:szCs w:val="18"/>
          <w:color w:val="191919"/>
        </w:rPr>
      </w:pPr>
    </w:p>
    <w:p>
      <w:pPr>
        <w:ind w:left="540" w:right="20" w:hanging="532"/>
        <w:spacing w:after="0" w:line="306" w:lineRule="auto"/>
        <w:tabs>
          <w:tab w:leader="none" w:pos="540" w:val="left"/>
        </w:tabs>
        <w:numPr>
          <w:ilvl w:val="0"/>
          <w:numId w:val="93"/>
        </w:numPr>
        <w:rPr>
          <w:rFonts w:ascii="Arial" w:cs="Arial" w:eastAsia="Arial" w:hAnsi="Arial"/>
          <w:sz w:val="16"/>
          <w:szCs w:val="16"/>
          <w:color w:val="191919"/>
        </w:rPr>
      </w:pPr>
      <w:r>
        <w:rPr>
          <w:rFonts w:ascii="Arial" w:cs="Arial" w:eastAsia="Arial" w:hAnsi="Arial"/>
          <w:sz w:val="16"/>
          <w:szCs w:val="16"/>
          <w:color w:val="191919"/>
        </w:rPr>
        <w:t>During the fiscal year ended September 30, 2016, the Company recognized $1.1 million in interest expense associated with the accretion of the present value of the $76.5 million liability related to the future purchase of the remaining 34% interest in the joint venture between the Company and Panasonic Corporation (“Panasonic”). The Company acquired the remaining 34% interest from Panasonic on August 1, 2016.</w:t>
      </w:r>
    </w:p>
    <w:p>
      <w:pPr>
        <w:spacing w:after="0" w:line="173" w:lineRule="exact"/>
        <w:rPr>
          <w:rFonts w:ascii="Arial" w:cs="Arial" w:eastAsia="Arial" w:hAnsi="Arial"/>
          <w:sz w:val="16"/>
          <w:szCs w:val="16"/>
          <w:color w:val="191919"/>
        </w:rPr>
      </w:pPr>
    </w:p>
    <w:p>
      <w:pPr>
        <w:ind w:left="540" w:right="60" w:hanging="532"/>
        <w:spacing w:after="0" w:line="256" w:lineRule="auto"/>
        <w:tabs>
          <w:tab w:leader="none" w:pos="540" w:val="left"/>
        </w:tabs>
        <w:numPr>
          <w:ilvl w:val="0"/>
          <w:numId w:val="93"/>
        </w:numPr>
        <w:rPr>
          <w:rFonts w:ascii="Arial" w:cs="Arial" w:eastAsia="Arial" w:hAnsi="Arial"/>
          <w:sz w:val="18"/>
          <w:szCs w:val="18"/>
          <w:color w:val="191919"/>
        </w:rPr>
      </w:pPr>
      <w:r>
        <w:rPr>
          <w:rFonts w:ascii="Arial" w:cs="Arial" w:eastAsia="Arial" w:hAnsi="Arial"/>
          <w:sz w:val="18"/>
          <w:szCs w:val="18"/>
          <w:color w:val="191919"/>
        </w:rPr>
        <w:t>Tax adjustments represent adjustments for the use of net operating losses, research and development tax credit carryforwards, deferred tax expenses not affecting taxes payable, charges and/or releases of uncertain tax positions, and tax-deductible share-based compensation expense in excess of GAAP share-based compensation expense. The figure presented for the fiscal year ended September 27, 2013, includes amounts related to the passage of new tax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b w:val="1"/>
          <w:bCs w:val="1"/>
          <w:color w:val="02568A"/>
        </w:rPr>
        <w:t>Discussion Regarding the Use of Non-GAAP Financial Measures</w:t>
      </w:r>
    </w:p>
    <w:p>
      <w:pPr>
        <w:spacing w:after="0" w:line="24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191919"/>
        </w:rPr>
        <w:t>Our annual report and this proxy statement contain some or all of the following financial measures that have not been calculated in accordance with United States Generally Accepted Accounting Principles (“GAAP”): (i) non-GAAP operating income and operating margin, (ii) non-GAAP diluted earnings per share, and (iii) non-GAAP free cash flow. As set forth in the “Unaudited Reconciliations of Non-GAAP Financial Measures” table found above, we derive such non-GAAP financial measures by excluding certain expenses and other items from the respective GAAP financial measure that is most directly comparable to each non-GAAP financial measure. Management uses these non-GAAP financial measures to evaluate our operating performance and compare it against past periods, make operating decisions, forecast for future periods, compare our operating performance against peer companies and determine payments under certain compensation programs. These non-GAAP financial measures provide management with additional means to understand and evaluate the operating results and trends in our ongoing business by eliminating certain non-recurring expenses and other items that management believes might otherwise make comparisons of our ongoing business with prior periods and competitors more difficult, obscure trends in ongoing operations or reduce management’s ability to make forecasts.</w:t>
      </w:r>
    </w:p>
    <w:p>
      <w:pPr>
        <w:spacing w:after="0" w:line="17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191919"/>
        </w:rPr>
        <w:t>We provide investors with non-GAAP operating income and operating margin and non-GAAP diluted earnings per share because we believe it is important for investors to be able to closely monitor and understand changes in our ability to generate income from ongoing business operations. We believe these non-GAAP financial measures give investors an additional method to evaluate historical operating performance and identify trends, an additional means of evaluating period-over-period operating performance and a method to facilitate certain comparisons of our operating results to those of our peer companies. We also believe that providing non-GAAP operating income and operating margin allows investors to assess the extent to which our ongoing operations impact our overall financial performance. We further believe that providing non-GAAP diluted earnings per share allows investors to assess the overall financial performance of our ongoing operations by eliminating the impact of share-based compensation expense, acquisition-related expenses, amortization of acquisition-related intangibles, settlements, gains, losses and impairments, restructuring-related charges, certain deferred executive compensation, merger termination fees, interest expense on seller-financed debt, and certain tax items which may not occur in each period presented and which may represent non-cash items unrelated to our ongoing operations. We believe that disclosing these non-GAAP financial measures contributes to enhanced financial reporting transparency and provides investors with added clarity about complex financial performance measures.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Appendix B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191919"/>
        </w:rPr>
        <w:t>We calculate non-GAAP operating income by excluding from GAAP operating income, share-based compensation expense, acquisition-related expenses, amortization of acquisition-related intangibles, settlements, gains, losses and impairments, restructuring-related charges, and certain deferred executive compensation. We calculate non-GAAP diluted earnings per share by excluding from GAAP diluted earnings per share, share-based compensation expense, acquisition-related expenses, amortization of acquisition-related intangibles, settlements, gains, losses and impairments, restructuring-related charges, certain deferred executive compensation, merger termination fees, interest expense on seller-financed debt, and certain tax items.</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191919"/>
        </w:rPr>
        <w:t>Free cash flow is a non-GAAP measure calculated by subtracting capital expenditures from the most directly comparable GAAP measure, cash flows from operating activities. We believe free cash flow provides insight into our liquidity, our cash-generating capability, and the amount of cash potentially available to return to stockholders, as well as our general financial performance.</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191919"/>
        </w:rPr>
        <w:t>We exclude the items identified above from the respective non-GAAP financial measure referenced above for the reasons set forth with respect to each such excluded item below:</w:t>
      </w:r>
    </w:p>
    <w:p>
      <w:pPr>
        <w:spacing w:after="0" w:line="18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i w:val="1"/>
          <w:iCs w:val="1"/>
          <w:color w:val="191919"/>
        </w:rPr>
        <w:t>Share-Based Compensation</w:t>
      </w:r>
      <w:r>
        <w:rPr>
          <w:rFonts w:ascii="Arial" w:cs="Arial" w:eastAsia="Arial" w:hAnsi="Arial"/>
          <w:sz w:val="18"/>
          <w:szCs w:val="18"/>
          <w:color w:val="191919"/>
        </w:rPr>
        <w:t>—because (1) the total amount of expense is partially outside of our control because it is based on factors such as stock price</w:t>
      </w:r>
      <w:r>
        <w:rPr>
          <w:rFonts w:ascii="Arial" w:cs="Arial" w:eastAsia="Arial" w:hAnsi="Arial"/>
          <w:sz w:val="18"/>
          <w:szCs w:val="18"/>
          <w:i w:val="1"/>
          <w:iCs w:val="1"/>
          <w:color w:val="191919"/>
        </w:rPr>
        <w:t xml:space="preserve"> </w:t>
      </w:r>
      <w:r>
        <w:rPr>
          <w:rFonts w:ascii="Arial" w:cs="Arial" w:eastAsia="Arial" w:hAnsi="Arial"/>
          <w:sz w:val="18"/>
          <w:szCs w:val="18"/>
          <w:color w:val="191919"/>
        </w:rPr>
        <w:t>volatility and interest rates, which may be unrelated to our performance during the period in which the expense is incurred, (2) it is an expense based upon a valuation methodology premised on assumptions that vary over time, and (3) the amount of the expense can vary significantly between companies due to factors that can be outside of the control of such companies.</w:t>
      </w:r>
    </w:p>
    <w:p>
      <w:pPr>
        <w:spacing w:after="0" w:line="197"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191919"/>
        </w:rPr>
        <w:t>Acquisition-Related Expenses</w:t>
      </w:r>
      <w:r>
        <w:rPr>
          <w:rFonts w:ascii="Arial" w:cs="Arial" w:eastAsia="Arial" w:hAnsi="Arial"/>
          <w:sz w:val="16"/>
          <w:szCs w:val="16"/>
          <w:color w:val="191919"/>
        </w:rPr>
        <w:t>—including such items as, when applicable, amortization of acquired intangible assets, fair value adjustments to contingent</w:t>
      </w:r>
      <w:r>
        <w:rPr>
          <w:rFonts w:ascii="Arial" w:cs="Arial" w:eastAsia="Arial" w:hAnsi="Arial"/>
          <w:sz w:val="16"/>
          <w:szCs w:val="16"/>
          <w:i w:val="1"/>
          <w:iCs w:val="1"/>
          <w:color w:val="191919"/>
        </w:rPr>
        <w:t xml:space="preserve"> </w:t>
      </w:r>
      <w:r>
        <w:rPr>
          <w:rFonts w:ascii="Arial" w:cs="Arial" w:eastAsia="Arial" w:hAnsi="Arial"/>
          <w:sz w:val="16"/>
          <w:szCs w:val="16"/>
          <w:color w:val="191919"/>
        </w:rPr>
        <w:t>consideration, fair value charges incurred upon the sale of acquired inventory, acquisition-related professional fees, deemed compensation expenses and interest expense on seller-financed debt, because they are not considered by management in making operating decisions and we believe that such expenses do not have a direct correlation to our future business operations and thereby including such charges does not necessarily reflect the performance of our ongoing operations for the period in which such charges or reversals are incurred.</w:t>
      </w:r>
    </w:p>
    <w:p>
      <w:pPr>
        <w:spacing w:after="0" w:line="16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191919"/>
        </w:rPr>
        <w:t>Settlements, Gains, Losses and Impairments</w:t>
      </w:r>
      <w:r>
        <w:rPr>
          <w:rFonts w:ascii="Arial" w:cs="Arial" w:eastAsia="Arial" w:hAnsi="Arial"/>
          <w:sz w:val="18"/>
          <w:szCs w:val="18"/>
          <w:color w:val="191919"/>
        </w:rPr>
        <w:t>—because such settlements, gains, losses and impairments (1) are not considered by management in making</w:t>
      </w:r>
      <w:r>
        <w:rPr>
          <w:rFonts w:ascii="Arial" w:cs="Arial" w:eastAsia="Arial" w:hAnsi="Arial"/>
          <w:sz w:val="18"/>
          <w:szCs w:val="18"/>
          <w:i w:val="1"/>
          <w:iCs w:val="1"/>
          <w:color w:val="191919"/>
        </w:rPr>
        <w:t xml:space="preserve"> </w:t>
      </w:r>
      <w:r>
        <w:rPr>
          <w:rFonts w:ascii="Arial" w:cs="Arial" w:eastAsia="Arial" w:hAnsi="Arial"/>
          <w:sz w:val="18"/>
          <w:szCs w:val="18"/>
          <w:color w:val="191919"/>
        </w:rPr>
        <w:t>operating decisions, (2) are infrequent in nature, (3) are generally not directly controlled by management, (4) do not necessarily reflect the performance of our ongoing operations for the period in which such charges are recognized and/or (5) can vary significantly in amount between companies and make comparisons less reliable.</w:t>
      </w:r>
    </w:p>
    <w:p>
      <w:pPr>
        <w:spacing w:after="0" w:line="197" w:lineRule="exact"/>
        <w:rPr>
          <w:sz w:val="20"/>
          <w:szCs w:val="20"/>
          <w:color w:val="auto"/>
        </w:rPr>
      </w:pPr>
    </w:p>
    <w:p>
      <w:pPr>
        <w:ind w:right="320"/>
        <w:spacing w:after="0" w:line="331" w:lineRule="auto"/>
        <w:rPr>
          <w:sz w:val="20"/>
          <w:szCs w:val="20"/>
          <w:color w:val="auto"/>
        </w:rPr>
      </w:pPr>
      <w:r>
        <w:rPr>
          <w:rFonts w:ascii="Arial" w:cs="Arial" w:eastAsia="Arial" w:hAnsi="Arial"/>
          <w:sz w:val="16"/>
          <w:szCs w:val="16"/>
          <w:i w:val="1"/>
          <w:iCs w:val="1"/>
          <w:color w:val="191919"/>
        </w:rPr>
        <w:t>Restructuring-Related Charges</w:t>
      </w:r>
      <w:r>
        <w:rPr>
          <w:rFonts w:ascii="Arial" w:cs="Arial" w:eastAsia="Arial" w:hAnsi="Arial"/>
          <w:sz w:val="16"/>
          <w:szCs w:val="16"/>
          <w:color w:val="191919"/>
        </w:rPr>
        <w:t>—these charges have no direct correlation to our future business operations and including such charges or reversals does not</w:t>
      </w:r>
      <w:r>
        <w:rPr>
          <w:rFonts w:ascii="Arial" w:cs="Arial" w:eastAsia="Arial" w:hAnsi="Arial"/>
          <w:sz w:val="16"/>
          <w:szCs w:val="16"/>
          <w:i w:val="1"/>
          <w:iCs w:val="1"/>
          <w:color w:val="191919"/>
        </w:rPr>
        <w:t xml:space="preserve"> </w:t>
      </w:r>
      <w:r>
        <w:rPr>
          <w:rFonts w:ascii="Arial" w:cs="Arial" w:eastAsia="Arial" w:hAnsi="Arial"/>
          <w:sz w:val="16"/>
          <w:szCs w:val="16"/>
          <w:color w:val="191919"/>
        </w:rPr>
        <w:t>necessarily reflect the performance of our ongoing operations for the period in which such charges or reversals are incurred.</w:t>
      </w:r>
    </w:p>
    <w:p>
      <w:pPr>
        <w:spacing w:after="0" w:line="14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191919"/>
        </w:rPr>
        <w:t>Deferred Executive Compensation</w:t>
      </w:r>
      <w:r>
        <w:rPr>
          <w:rFonts w:ascii="Arial" w:cs="Arial" w:eastAsia="Arial" w:hAnsi="Arial"/>
          <w:sz w:val="18"/>
          <w:szCs w:val="18"/>
          <w:color w:val="191919"/>
        </w:rPr>
        <w:t>—including charges related to any contingent obligation pursuant to an executive severance agreement, because that expense</w:t>
      </w:r>
      <w:r>
        <w:rPr>
          <w:rFonts w:ascii="Arial" w:cs="Arial" w:eastAsia="Arial" w:hAnsi="Arial"/>
          <w:sz w:val="18"/>
          <w:szCs w:val="18"/>
          <w:i w:val="1"/>
          <w:iCs w:val="1"/>
          <w:color w:val="191919"/>
        </w:rPr>
        <w:t xml:space="preserve"> </w:t>
      </w:r>
      <w:r>
        <w:rPr>
          <w:rFonts w:ascii="Arial" w:cs="Arial" w:eastAsia="Arial" w:hAnsi="Arial"/>
          <w:sz w:val="18"/>
          <w:szCs w:val="18"/>
          <w:color w:val="191919"/>
        </w:rPr>
        <w:t>has no direct correlation with our recurring business operations and including such expenses or reversals does not accurately reflect the compensation expense for the period in which incurred.</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191919"/>
        </w:rPr>
        <w:t>Merger Termination Fees</w:t>
      </w:r>
      <w:r>
        <w:rPr>
          <w:rFonts w:ascii="Arial" w:cs="Arial" w:eastAsia="Arial" w:hAnsi="Arial"/>
          <w:sz w:val="18"/>
          <w:szCs w:val="18"/>
          <w:color w:val="191919"/>
        </w:rPr>
        <w:t>—because we believe such non-recurring fees have no direct correlation to our business operations or performance during the period</w:t>
      </w:r>
      <w:r>
        <w:rPr>
          <w:rFonts w:ascii="Arial" w:cs="Arial" w:eastAsia="Arial" w:hAnsi="Arial"/>
          <w:sz w:val="18"/>
          <w:szCs w:val="18"/>
          <w:i w:val="1"/>
          <w:iCs w:val="1"/>
          <w:color w:val="191919"/>
        </w:rPr>
        <w:t xml:space="preserve"> </w:t>
      </w:r>
      <w:r>
        <w:rPr>
          <w:rFonts w:ascii="Arial" w:cs="Arial" w:eastAsia="Arial" w:hAnsi="Arial"/>
          <w:sz w:val="18"/>
          <w:szCs w:val="18"/>
          <w:color w:val="191919"/>
        </w:rPr>
        <w:t>in which they are received or for any future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92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31" w:lineRule="auto"/>
        <w:rPr>
          <w:sz w:val="20"/>
          <w:szCs w:val="20"/>
          <w:color w:val="auto"/>
        </w:rPr>
      </w:pPr>
      <w:r>
        <w:rPr>
          <w:rFonts w:ascii="Arial" w:cs="Arial" w:eastAsia="Arial" w:hAnsi="Arial"/>
          <w:sz w:val="16"/>
          <w:szCs w:val="16"/>
          <w:i w:val="1"/>
          <w:iCs w:val="1"/>
          <w:color w:val="191919"/>
        </w:rPr>
        <w:t>Certain Income Tax Items</w:t>
      </w:r>
      <w:r>
        <w:rPr>
          <w:rFonts w:ascii="Arial" w:cs="Arial" w:eastAsia="Arial" w:hAnsi="Arial"/>
          <w:sz w:val="16"/>
          <w:szCs w:val="16"/>
          <w:color w:val="191919"/>
        </w:rPr>
        <w:t>—including certain deferred tax charges and benefits that do not result in a current tax payment or tax refund and other adjustments,</w:t>
      </w:r>
      <w:r>
        <w:rPr>
          <w:rFonts w:ascii="Arial" w:cs="Arial" w:eastAsia="Arial" w:hAnsi="Arial"/>
          <w:sz w:val="16"/>
          <w:szCs w:val="16"/>
          <w:i w:val="1"/>
          <w:iCs w:val="1"/>
          <w:color w:val="191919"/>
        </w:rPr>
        <w:t xml:space="preserve"> </w:t>
      </w:r>
      <w:r>
        <w:rPr>
          <w:rFonts w:ascii="Arial" w:cs="Arial" w:eastAsia="Arial" w:hAnsi="Arial"/>
          <w:sz w:val="16"/>
          <w:szCs w:val="16"/>
          <w:color w:val="191919"/>
        </w:rPr>
        <w:t>including but not limited to, items unrelated to the current fiscal year or that are not indicative of our ongoing business operations.</w:t>
      </w:r>
    </w:p>
    <w:p>
      <w:pPr>
        <w:spacing w:after="0" w:line="141" w:lineRule="exact"/>
        <w:rPr>
          <w:sz w:val="20"/>
          <w:szCs w:val="20"/>
          <w:color w:val="auto"/>
        </w:rPr>
      </w:pPr>
    </w:p>
    <w:p>
      <w:pPr>
        <w:spacing w:after="0" w:line="288" w:lineRule="auto"/>
        <w:rPr>
          <w:sz w:val="20"/>
          <w:szCs w:val="20"/>
          <w:color w:val="auto"/>
        </w:rPr>
      </w:pPr>
      <w:r>
        <w:rPr>
          <w:rFonts w:ascii="Arial" w:cs="Arial" w:eastAsia="Arial" w:hAnsi="Arial"/>
          <w:sz w:val="16"/>
          <w:szCs w:val="16"/>
          <w:color w:val="191919"/>
        </w:rPr>
        <w:t>The non-GAAP financial measures presented in the table above should not be considered in isolation and are not an alternative for the respective GAAP financial measure that is most directly comparable to each such non-GAAP financial measure. Investors are cautioned against placing undue reliance on these non-GAAP financial measures and are urged to review and consider carefully the adjustments made by management to the most directly comparable GAAP financial measures to arrive at these non-GAAP financial measures. Non-GAAP financial measures may have limited value as analytical tools because they may exclude certain expenses that some investors consider important in evaluating our operating performance or ongoing business performance. Further, non-GAAP financial measures are likely to have limited value for purposes of drawing comparisons between companies as a result of different companies potentially calculating similarly titled non-GAAP financial measures in different ways because non-GAAP measures are not based on any comprehensive set of accounting rules or principles.</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Appendix B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ind w:left="60"/>
        <w:spacing w:after="0"/>
        <w:rPr>
          <w:sz w:val="20"/>
          <w:szCs w:val="20"/>
          <w:color w:val="auto"/>
        </w:rPr>
      </w:pPr>
      <w:r>
        <w:rPr>
          <w:rFonts w:ascii="Arial" w:cs="Arial" w:eastAsia="Arial" w:hAnsi="Arial"/>
          <w:sz w:val="24"/>
          <w:szCs w:val="24"/>
          <w:b w:val="1"/>
          <w:bCs w:val="1"/>
          <w:color w:val="02568A"/>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548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58" w:lineRule="exact"/>
        <w:rPr>
          <w:sz w:val="20"/>
          <w:szCs w:val="20"/>
          <w:color w:val="auto"/>
        </w:rPr>
      </w:pPr>
    </w:p>
    <w:p>
      <w:pPr>
        <w:ind w:left="120" w:right="140"/>
        <w:spacing w:after="0" w:line="272" w:lineRule="auto"/>
        <w:rPr>
          <w:sz w:val="20"/>
          <w:szCs w:val="20"/>
          <w:color w:val="auto"/>
        </w:rPr>
      </w:pPr>
      <w:r>
        <w:rPr>
          <w:rFonts w:ascii="Arial" w:cs="Arial" w:eastAsia="Arial" w:hAnsi="Arial"/>
          <w:sz w:val="32"/>
          <w:szCs w:val="32"/>
          <w:b w:val="1"/>
          <w:bCs w:val="1"/>
          <w:color w:val="FFFFFE"/>
        </w:rPr>
        <w:t>The Company’s 2002 Employee Stock Purchase Plan, as Amended, as Proposed to be Approved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191919"/>
        </w:rPr>
        <w:t>SKYWORKS SOLUTIONS, INC.</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191919"/>
        </w:rPr>
        <w:t>2002 EMPLOYEE STOCK PURCHASE PLAN, AS AMENDED</w:t>
      </w:r>
    </w:p>
    <w:p>
      <w:pPr>
        <w:spacing w:after="0" w:line="197" w:lineRule="exact"/>
        <w:rPr>
          <w:sz w:val="20"/>
          <w:szCs w:val="20"/>
          <w:color w:val="auto"/>
        </w:rPr>
      </w:pPr>
    </w:p>
    <w:p>
      <w:pPr>
        <w:ind w:left="380" w:hanging="372"/>
        <w:spacing w:after="0"/>
        <w:tabs>
          <w:tab w:leader="none" w:pos="380" w:val="left"/>
        </w:tabs>
        <w:numPr>
          <w:ilvl w:val="0"/>
          <w:numId w:val="94"/>
        </w:numPr>
        <w:rPr>
          <w:rFonts w:ascii="Arial" w:cs="Arial" w:eastAsia="Arial" w:hAnsi="Arial"/>
          <w:sz w:val="22"/>
          <w:szCs w:val="22"/>
          <w:b w:val="1"/>
          <w:bCs w:val="1"/>
          <w:color w:val="191919"/>
        </w:rPr>
      </w:pPr>
      <w:r>
        <w:rPr>
          <w:rFonts w:ascii="Arial" w:cs="Arial" w:eastAsia="Arial" w:hAnsi="Arial"/>
          <w:sz w:val="22"/>
          <w:szCs w:val="22"/>
          <w:b w:val="1"/>
          <w:bCs w:val="1"/>
          <w:color w:val="191919"/>
        </w:rPr>
        <w:t>Purpose</w:t>
      </w:r>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191919"/>
        </w:rPr>
        <w:t>The Skyworks Solutions, Inc. 2002 Employee Stock Purchase Plan (hereinafter the “Plan”) is intended to provide a method whereby employees of Skyworks Solutions, Inc. (the “Company”) and its participating subsidiaries (as defined in Article 18) will have an opportunity to acquire a proprietary interest in the Company through the purchase of shares of the Company’s Common Stock. It is the intention of the Company to have the Plan qualify as an “employee stock purchase plan” under Section 423 of the Internal Revenue Code of 1986, as amended (the “Internal Revenue Code”). The provisions of the Plan shall, accordingly, be construed so as to extend and limit participation in a manner consistent with the requirements of that Section of the Internal Revenue Code.</w:t>
      </w:r>
    </w:p>
    <w:p>
      <w:pPr>
        <w:spacing w:after="0" w:line="150" w:lineRule="exact"/>
        <w:rPr>
          <w:sz w:val="20"/>
          <w:szCs w:val="20"/>
          <w:color w:val="auto"/>
        </w:rPr>
      </w:pPr>
    </w:p>
    <w:p>
      <w:pPr>
        <w:ind w:left="380" w:hanging="372"/>
        <w:spacing w:after="0"/>
        <w:tabs>
          <w:tab w:leader="none" w:pos="380" w:val="left"/>
        </w:tabs>
        <w:numPr>
          <w:ilvl w:val="0"/>
          <w:numId w:val="95"/>
        </w:numPr>
        <w:rPr>
          <w:rFonts w:ascii="Arial" w:cs="Arial" w:eastAsia="Arial" w:hAnsi="Arial"/>
          <w:sz w:val="22"/>
          <w:szCs w:val="22"/>
          <w:b w:val="1"/>
          <w:bCs w:val="1"/>
          <w:color w:val="191919"/>
        </w:rPr>
      </w:pPr>
      <w:r>
        <w:rPr>
          <w:rFonts w:ascii="Arial" w:cs="Arial" w:eastAsia="Arial" w:hAnsi="Arial"/>
          <w:sz w:val="22"/>
          <w:szCs w:val="22"/>
          <w:b w:val="1"/>
          <w:bCs w:val="1"/>
          <w:color w:val="191919"/>
        </w:rPr>
        <w:t>Eligible Employees</w:t>
      </w:r>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191919"/>
        </w:rPr>
        <w:t>All employees of the Company or any of its participating subsidiaries who are employed by the Company at least ten (10) business days prior to the first day of the applicable Offering Period shall be eligible to receive options under this Plan to purchase the Company’s Common Stock. Except as otherwise provided herein, persons who become eligible employees after the first day of any Offering Period shall be eligible to receive options on the first day of the next succeeding Offering Period on which options are granted to eligible employees under the Plan. For the purpose of this Plan, the term employee shall not include an employee whose customary employment is less than twenty (20) hours per week or is for not more than five (5) months in any calendar year.</w:t>
      </w:r>
    </w:p>
    <w:p>
      <w:pPr>
        <w:spacing w:after="0" w:line="16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191919"/>
        </w:rPr>
        <w:t>In no event may an employee be granted an option if such employee, immediately after the option is granted, owns stock possessing five (5%) percent or more of the total combined voting power or value of all classes of stock of the Company or of its parent corporation or subsidiary corporation as the terms “parent corporation” and “subsidiary corporation” are defined in Section 424(e) and (f) of the Internal Revenue Code. For purposes of determining stock ownership under this paragraph, the rules of Section 424(d) of the Internal Revenue Code shall apply and stock which the employee may purchase under outstanding options shall be treated as stock owned by the employee.</w:t>
      </w:r>
    </w:p>
    <w:p>
      <w:pPr>
        <w:spacing w:after="0" w:line="182" w:lineRule="exact"/>
        <w:rPr>
          <w:sz w:val="20"/>
          <w:szCs w:val="20"/>
          <w:color w:val="auto"/>
        </w:rPr>
      </w:pPr>
    </w:p>
    <w:p>
      <w:pPr>
        <w:ind w:left="380" w:hanging="372"/>
        <w:spacing w:after="0"/>
        <w:tabs>
          <w:tab w:leader="none" w:pos="380" w:val="left"/>
        </w:tabs>
        <w:numPr>
          <w:ilvl w:val="0"/>
          <w:numId w:val="96"/>
        </w:numPr>
        <w:rPr>
          <w:rFonts w:ascii="Arial" w:cs="Arial" w:eastAsia="Arial" w:hAnsi="Arial"/>
          <w:sz w:val="22"/>
          <w:szCs w:val="22"/>
          <w:b w:val="1"/>
          <w:bCs w:val="1"/>
          <w:color w:val="191919"/>
        </w:rPr>
      </w:pPr>
      <w:r>
        <w:rPr>
          <w:rFonts w:ascii="Arial" w:cs="Arial" w:eastAsia="Arial" w:hAnsi="Arial"/>
          <w:sz w:val="22"/>
          <w:szCs w:val="22"/>
          <w:b w:val="1"/>
          <w:bCs w:val="1"/>
          <w:color w:val="191919"/>
        </w:rPr>
        <w:t>Stock Subject to the Plan</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191919"/>
        </w:rPr>
        <w:t>The stock subject to the options granted hereunder shall be shares of the Company’s authorized but unissued Common Stock or shares of Common Stock reacquired by the Company, including shares purchased in the open market. Subject to approval of the stockholders, the aggregate number of shares which may be issued pursuant to the Plan is 9,880,000 for all Offering Periods, subject to increase or decrease by reason of stock split-ups, reclassifications, stock dividends, changes in par value and the like. If any option granted under the Plan shall expire or terminate for any reason without having been exercised in full or shall cease for any reason to be exercisable in whole or in part, the unpurchased shares subject to such option shall again be available under the Plan. If the number of shares of Common Stock available for any Offering Period is insufficient to satisfy all</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Exhibit A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191919"/>
        </w:rPr>
        <w:t>purchase requirements for that Offering Period, the available shares for that Offering Period shall be apportioned among participating employees in proportion to their options.</w:t>
      </w:r>
    </w:p>
    <w:p>
      <w:pPr>
        <w:spacing w:after="0" w:line="167" w:lineRule="exact"/>
        <w:rPr>
          <w:sz w:val="20"/>
          <w:szCs w:val="20"/>
          <w:color w:val="auto"/>
        </w:rPr>
      </w:pPr>
    </w:p>
    <w:p>
      <w:pPr>
        <w:ind w:left="380" w:hanging="372"/>
        <w:spacing w:after="0"/>
        <w:tabs>
          <w:tab w:leader="none" w:pos="380" w:val="left"/>
        </w:tabs>
        <w:numPr>
          <w:ilvl w:val="0"/>
          <w:numId w:val="97"/>
        </w:numPr>
        <w:rPr>
          <w:rFonts w:ascii="Arial" w:cs="Arial" w:eastAsia="Arial" w:hAnsi="Arial"/>
          <w:sz w:val="22"/>
          <w:szCs w:val="22"/>
          <w:b w:val="1"/>
          <w:bCs w:val="1"/>
          <w:color w:val="191919"/>
        </w:rPr>
      </w:pPr>
      <w:r>
        <w:rPr>
          <w:rFonts w:ascii="Arial" w:cs="Arial" w:eastAsia="Arial" w:hAnsi="Arial"/>
          <w:sz w:val="22"/>
          <w:szCs w:val="22"/>
          <w:b w:val="1"/>
          <w:bCs w:val="1"/>
          <w:color w:val="191919"/>
        </w:rPr>
        <w:t>Offering Periods and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191919"/>
        </w:rPr>
        <w:t>There shall be Offering Periods during which payroll deductions will be accumulated under the Plan. Each Offering Period includes only regular pay days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191919"/>
        </w:rPr>
        <w:t>falling within it. The Committee shall be expressly permitted to establish the Offering Periods, including the Offering Commencement Date and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191919"/>
        </w:rPr>
        <w:t>Termination Date of any Offering Period, under this Plan; provided, however, that, in no event shall any Offering Period extend for more than twenty-four</w:t>
      </w:r>
    </w:p>
    <w:p>
      <w:pPr>
        <w:spacing w:after="0" w:line="32" w:lineRule="exact"/>
        <w:rPr>
          <w:sz w:val="20"/>
          <w:szCs w:val="20"/>
          <w:color w:val="auto"/>
        </w:rPr>
      </w:pPr>
    </w:p>
    <w:p>
      <w:pPr>
        <w:ind w:right="340" w:firstLine="8"/>
        <w:spacing w:after="0" w:line="260" w:lineRule="auto"/>
        <w:tabs>
          <w:tab w:leader="none" w:pos="336" w:val="left"/>
        </w:tabs>
        <w:numPr>
          <w:ilvl w:val="0"/>
          <w:numId w:val="98"/>
        </w:numPr>
        <w:rPr>
          <w:rFonts w:ascii="Arial" w:cs="Arial" w:eastAsia="Arial" w:hAnsi="Arial"/>
          <w:sz w:val="18"/>
          <w:szCs w:val="18"/>
          <w:color w:val="191919"/>
        </w:rPr>
      </w:pPr>
      <w:r>
        <w:rPr>
          <w:rFonts w:ascii="Arial" w:cs="Arial" w:eastAsia="Arial" w:hAnsi="Arial"/>
          <w:sz w:val="18"/>
          <w:szCs w:val="18"/>
          <w:color w:val="191919"/>
        </w:rPr>
        <w:t>months. The Offering Commencement Date is the first day of each Offering Period. The Offering Termination Date is the applicable date on which an Offering Period ends under this Plan.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80" w:type="dxa"/>
            <w:vAlign w:val="bottom"/>
            <w:gridSpan w:val="3"/>
          </w:tcPr>
          <w:p>
            <w:pPr>
              <w:spacing w:after="0"/>
              <w:rPr>
                <w:sz w:val="20"/>
                <w:szCs w:val="20"/>
                <w:color w:val="auto"/>
              </w:rPr>
            </w:pPr>
            <w:r>
              <w:rPr>
                <w:rFonts w:ascii="Arial" w:cs="Arial" w:eastAsia="Arial" w:hAnsi="Arial"/>
                <w:sz w:val="18"/>
                <w:szCs w:val="18"/>
                <w:color w:val="191919"/>
                <w:w w:val="95"/>
              </w:rPr>
              <w:t>Subject to the foregoing, the Offering Periods shall generally commence and end as follows:</w:t>
            </w:r>
          </w:p>
        </w:tc>
        <w:tc>
          <w:tcPr>
            <w:tcW w:w="1400" w:type="dxa"/>
            <w:vAlign w:val="bottom"/>
          </w:tcPr>
          <w:p>
            <w:pPr>
              <w:spacing w:after="0"/>
              <w:rPr>
                <w:sz w:val="19"/>
                <w:szCs w:val="19"/>
                <w:color w:val="auto"/>
              </w:rPr>
            </w:pPr>
          </w:p>
        </w:tc>
      </w:tr>
      <w:tr>
        <w:trPr>
          <w:trHeight w:val="420"/>
        </w:trPr>
        <w:tc>
          <w:tcPr>
            <w:tcW w:w="224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b w:val="1"/>
                <w:bCs w:val="1"/>
                <w:color w:val="191919"/>
              </w:rPr>
              <w:t>Offering</w:t>
            </w:r>
          </w:p>
        </w:tc>
        <w:tc>
          <w:tcPr>
            <w:tcW w:w="1400" w:type="dxa"/>
            <w:vAlign w:val="bottom"/>
          </w:tcPr>
          <w:p>
            <w:pPr>
              <w:spacing w:after="0"/>
              <w:rPr>
                <w:sz w:val="20"/>
                <w:szCs w:val="20"/>
                <w:color w:val="auto"/>
              </w:rPr>
            </w:pPr>
            <w:r>
              <w:rPr>
                <w:rFonts w:ascii="Arial" w:cs="Arial" w:eastAsia="Arial" w:hAnsi="Arial"/>
                <w:sz w:val="18"/>
                <w:szCs w:val="18"/>
                <w:b w:val="1"/>
                <w:bCs w:val="1"/>
                <w:color w:val="191919"/>
              </w:rPr>
              <w:t>Offering</w:t>
            </w:r>
          </w:p>
        </w:tc>
      </w:tr>
      <w:tr>
        <w:trPr>
          <w:trHeight w:val="229"/>
        </w:trPr>
        <w:tc>
          <w:tcPr>
            <w:tcW w:w="2240" w:type="dxa"/>
            <w:vAlign w:val="bottom"/>
          </w:tcPr>
          <w:p>
            <w:pPr>
              <w:spacing w:after="0"/>
              <w:rPr>
                <w:sz w:val="19"/>
                <w:szCs w:val="19"/>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b w:val="1"/>
                <w:bCs w:val="1"/>
                <w:color w:val="191919"/>
              </w:rPr>
              <w:t>Commencement Dates</w:t>
            </w:r>
          </w:p>
        </w:tc>
        <w:tc>
          <w:tcPr>
            <w:tcW w:w="1400" w:type="dxa"/>
            <w:vAlign w:val="bottom"/>
          </w:tcPr>
          <w:p>
            <w:pPr>
              <w:spacing w:after="0"/>
              <w:rPr>
                <w:sz w:val="20"/>
                <w:szCs w:val="20"/>
                <w:color w:val="auto"/>
              </w:rPr>
            </w:pPr>
            <w:r>
              <w:rPr>
                <w:rFonts w:ascii="Arial" w:cs="Arial" w:eastAsia="Arial" w:hAnsi="Arial"/>
                <w:sz w:val="18"/>
                <w:szCs w:val="18"/>
                <w:b w:val="1"/>
                <w:bCs w:val="1"/>
                <w:color w:val="191919"/>
                <w:w w:val="87"/>
              </w:rPr>
              <w:t>Termination Dates</w:t>
            </w:r>
          </w:p>
        </w:tc>
      </w:tr>
      <w:tr>
        <w:trPr>
          <w:trHeight w:val="217"/>
        </w:trPr>
        <w:tc>
          <w:tcPr>
            <w:tcW w:w="2240" w:type="dxa"/>
            <w:vAlign w:val="bottom"/>
          </w:tcPr>
          <w:p>
            <w:pPr>
              <w:spacing w:after="0"/>
              <w:rPr>
                <w:sz w:val="18"/>
                <w:szCs w:val="18"/>
                <w:color w:val="auto"/>
              </w:rPr>
            </w:pPr>
          </w:p>
        </w:tc>
        <w:tc>
          <w:tcPr>
            <w:tcW w:w="1700" w:type="dxa"/>
            <w:vAlign w:val="bottom"/>
            <w:tcBorders>
              <w:top w:val="single" w:sz="8" w:color="191919"/>
            </w:tcBorders>
          </w:tcPr>
          <w:p>
            <w:pPr>
              <w:ind w:left="20"/>
              <w:spacing w:after="0"/>
              <w:rPr>
                <w:sz w:val="20"/>
                <w:szCs w:val="20"/>
                <w:color w:val="auto"/>
              </w:rPr>
            </w:pPr>
            <w:r>
              <w:rPr>
                <w:rFonts w:ascii="Arial" w:cs="Arial" w:eastAsia="Arial" w:hAnsi="Arial"/>
                <w:sz w:val="18"/>
                <w:szCs w:val="18"/>
                <w:color w:val="191919"/>
              </w:rPr>
              <w:t>Each August 1</w:t>
            </w:r>
          </w:p>
        </w:tc>
        <w:tc>
          <w:tcPr>
            <w:tcW w:w="3040" w:type="dxa"/>
            <w:vAlign w:val="bottom"/>
          </w:tcPr>
          <w:p>
            <w:pPr>
              <w:spacing w:after="0"/>
              <w:rPr>
                <w:sz w:val="18"/>
                <w:szCs w:val="18"/>
                <w:color w:val="auto"/>
              </w:rPr>
            </w:pPr>
          </w:p>
        </w:tc>
        <w:tc>
          <w:tcPr>
            <w:tcW w:w="1400" w:type="dxa"/>
            <w:vAlign w:val="bottom"/>
            <w:tcBorders>
              <w:top w:val="single" w:sz="8" w:color="191919"/>
            </w:tcBorders>
          </w:tcPr>
          <w:p>
            <w:pPr>
              <w:spacing w:after="0"/>
              <w:rPr>
                <w:sz w:val="20"/>
                <w:szCs w:val="20"/>
                <w:color w:val="auto"/>
              </w:rPr>
            </w:pPr>
            <w:r>
              <w:rPr>
                <w:rFonts w:ascii="Arial" w:cs="Arial" w:eastAsia="Arial" w:hAnsi="Arial"/>
                <w:sz w:val="18"/>
                <w:szCs w:val="18"/>
                <w:color w:val="191919"/>
              </w:rPr>
              <w:t>Each January 31</w:t>
            </w:r>
          </w:p>
        </w:tc>
      </w:tr>
      <w:tr>
        <w:trPr>
          <w:trHeight w:val="451"/>
        </w:trPr>
        <w:tc>
          <w:tcPr>
            <w:tcW w:w="224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191919"/>
              </w:rPr>
              <w:t>Each February 1</w:t>
            </w:r>
          </w:p>
        </w:tc>
        <w:tc>
          <w:tcPr>
            <w:tcW w:w="1400" w:type="dxa"/>
            <w:vAlign w:val="bottom"/>
          </w:tcPr>
          <w:p>
            <w:pPr>
              <w:spacing w:after="0"/>
              <w:rPr>
                <w:sz w:val="20"/>
                <w:szCs w:val="20"/>
                <w:color w:val="auto"/>
              </w:rPr>
            </w:pPr>
            <w:r>
              <w:rPr>
                <w:rFonts w:ascii="Arial" w:cs="Arial" w:eastAsia="Arial" w:hAnsi="Arial"/>
                <w:sz w:val="18"/>
                <w:szCs w:val="18"/>
                <w:color w:val="191919"/>
              </w:rPr>
              <w:t>Each July 31</w:t>
            </w:r>
          </w:p>
        </w:tc>
      </w:tr>
    </w:tbl>
    <w:p>
      <w:pPr>
        <w:spacing w:after="0" w:line="2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191919"/>
        </w:rPr>
        <w:t>Provided, however, that (i) the Offering Commencement Date and Offering Termination Date of the initial Offering Period under this Plan shall be October 21, 2002 and March 31, 2003, respectively, and (ii) the Offering Commencement Date and Offering Termination Date of the Offering Period immediately following the initial Offering Period under this Plan shall be April 1, 2003 and July 31, 2003, respectively.</w:t>
      </w:r>
    </w:p>
    <w:p>
      <w:pPr>
        <w:spacing w:after="0" w:line="194" w:lineRule="exact"/>
        <w:rPr>
          <w:sz w:val="20"/>
          <w:szCs w:val="20"/>
          <w:color w:val="auto"/>
        </w:rPr>
      </w:pPr>
    </w:p>
    <w:p>
      <w:pPr>
        <w:spacing w:after="0" w:line="285" w:lineRule="auto"/>
        <w:rPr>
          <w:sz w:val="20"/>
          <w:szCs w:val="20"/>
          <w:color w:val="auto"/>
        </w:rPr>
      </w:pPr>
      <w:r>
        <w:rPr>
          <w:rFonts w:ascii="Arial" w:cs="Arial" w:eastAsia="Arial" w:hAnsi="Arial"/>
          <w:sz w:val="16"/>
          <w:szCs w:val="16"/>
          <w:color w:val="191919"/>
        </w:rPr>
        <w:t>On each Offering Commencement Date, the Company will grant to each eligible employee who is then a participant in the Plan an option to purchase on the Offering Termination Date at the Option Exercise Price, as hereinafter provided, that number of full shares of Common Stock reserved for the purpose of the Plan, up to a maximum of 1,000 shares, subject to increase or decrease (i) at the discretion of the Committee before each Offering Period or (ii) by reason of stock split-ups, reclassifications, stock dividends, changes in par value and the like (the “Share Cap”); provided that such employee remains eligible to participate in the Plan throughout such Offering Period. If the eligible employee’s accumulated payroll deductions on the Offering Termination Date would enable the eligible employee to purchase more than the Share Cap except for the Share Cap, the excess of the amount of the accumulated payroll deductions over the aggregate purchase price of the Share Cap shall be refunded to the eligible employee as soon as administratively practicable by the Company, without interest. The Option Exercise Price for each Offering Period shall be the lesser of (i) eighty-five percent (85%) of the fair market value of the Common Stock on the Offering Commencement Date, or (ii) eighty-five percent (85%) of the fair market value of the Common Stock on the Offering Termination Date, in either case rounded up to the next whole cent. In the event of an increase or decrease in the number of outstanding shares of Common Stock through stock split-ups, reclassifications, stock dividends, changes in par value and the like, an appropriate adjustment shall be made in the number of shares and Option Exercise Price per share provided for under the Plan, either by a proportionate increase in the number of shares and proportionate decrease in the Option Exercise Price per share, or by a proportionate decrease in the number of shares and a proportionate increase in the Option Exercise Price per share, as may be required to enable an eligible employee who is then a participant in the Plan to acquire on the Offering Termination Date that number of full shares of Common Stock as his accumulated payroll deductions on such date will pay for at a price equal to the lesser of (i) eighty-five percent (85%) of the fair market value of the Common Stock on the Offering Commencement Date, or (ii) eighty-five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A-2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191919"/>
        </w:rPr>
        <w:t>percent (85%) of the fair market value of the Common Stock on the Offering Termination Date, in either case rounded up to the next whole cent, as so adjusted.</w:t>
      </w:r>
    </w:p>
    <w:p>
      <w:pPr>
        <w:spacing w:after="0" w:line="26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191919"/>
        </w:rPr>
        <w:t xml:space="preserve">For purposes of this Plan, the term “fair market value” means, if the Common Stock is listed on a national securities exchange or is on the National Association of Securities Dealers Automated Quotation (“Nasdaq”) Global Select Market system, the closing sale price of the Common Stock on such exchange or as reported on Nasdaq or, if the Common Stock is traded in the over-the-counter securities market, but not on the Nasdaq Global Select Market, the closing bid quotation for the Common Stock, each as published in </w:t>
      </w:r>
      <w:r>
        <w:rPr>
          <w:rFonts w:ascii="Arial" w:cs="Arial" w:eastAsia="Arial" w:hAnsi="Arial"/>
          <w:sz w:val="16"/>
          <w:szCs w:val="16"/>
          <w:i w:val="1"/>
          <w:iCs w:val="1"/>
          <w:color w:val="191919"/>
        </w:rPr>
        <w:t>The Wall Street Journal</w:t>
      </w:r>
      <w:r>
        <w:rPr>
          <w:rFonts w:ascii="Arial" w:cs="Arial" w:eastAsia="Arial" w:hAnsi="Arial"/>
          <w:sz w:val="16"/>
          <w:szCs w:val="16"/>
          <w:color w:val="191919"/>
        </w:rPr>
        <w:t>. If no shares of Common Stock are traded on the Offering Commencement Date or Offering Termination Date, the fair market value will be determined on the next regular business day on which shares of Common Stock are traded.</w:t>
      </w:r>
    </w:p>
    <w:p>
      <w:pPr>
        <w:spacing w:after="0" w:line="16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191919"/>
        </w:rPr>
        <w:t>For purposes of this Plan the term “business day” as used herein means a day on which there is trading on the Nasdaq Global Select Market or such national securities exchange on which the Common Stock is listed.</w:t>
      </w:r>
    </w:p>
    <w:p>
      <w:pPr>
        <w:spacing w:after="0" w:line="18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191919"/>
        </w:rPr>
        <w:t>No employee shall be granted an option which permits his rights to purchase Common Stock under the Plan and any similar plans of the Company or any parent or subsidiary corporations to accrue at a rate which exceeds $25,000 of fair market value of such stock (determined at the time such option is granted) for each calendar year in which such option is outstanding at any time. The purpose of the limitation in the preceding sentence is to comply with and shall be construed in accordance with Section 423(b)(8) of the Internal Revenue Code. If the participant’s accumulated payroll deductions on the last day of the Offering Period would otherwise enable the participant to purchase Common Stock in excess of the Section 423(b)(8) limitation described in this paragraph, the excess of the amount of the accumulated payroll deductions over the aggregate purchase price of the shares actually purchased shall be refunded as soon as administratively practicable to the participant by the Company, without interest.</w:t>
      </w:r>
    </w:p>
    <w:p>
      <w:pPr>
        <w:spacing w:after="0" w:line="153" w:lineRule="exact"/>
        <w:rPr>
          <w:sz w:val="20"/>
          <w:szCs w:val="20"/>
          <w:color w:val="auto"/>
        </w:rPr>
      </w:pPr>
    </w:p>
    <w:p>
      <w:pPr>
        <w:ind w:left="380" w:hanging="372"/>
        <w:spacing w:after="0"/>
        <w:tabs>
          <w:tab w:leader="none" w:pos="380" w:val="left"/>
        </w:tabs>
        <w:numPr>
          <w:ilvl w:val="0"/>
          <w:numId w:val="99"/>
        </w:numPr>
        <w:rPr>
          <w:rFonts w:ascii="Arial" w:cs="Arial" w:eastAsia="Arial" w:hAnsi="Arial"/>
          <w:sz w:val="22"/>
          <w:szCs w:val="22"/>
          <w:b w:val="1"/>
          <w:bCs w:val="1"/>
          <w:color w:val="191919"/>
        </w:rPr>
      </w:pPr>
      <w:r>
        <w:rPr>
          <w:rFonts w:ascii="Arial" w:cs="Arial" w:eastAsia="Arial" w:hAnsi="Arial"/>
          <w:sz w:val="22"/>
          <w:szCs w:val="22"/>
          <w:b w:val="1"/>
          <w:bCs w:val="1"/>
          <w:color w:val="191919"/>
        </w:rPr>
        <w:t>Exercise of Option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191919"/>
        </w:rPr>
        <w:t>Each eligible employee who continues to be a participant in the Plan on the Offering Termination Date shall be deemed to have exercised his or her option on such date and shall be deemed to have purchased from the Company such number of full shares of Common Stock reserved for the purpose of the Plan as his or her accumulated payroll deductions on such date will pay for at the Option Exercise Price subject to the Share Cap and the Section 423(b)(8) limitation described in Article 4. If a participant is not an employee on the Offering Termination Date and throughout an Offering Period, he or she shall not be entitled to exercise his or her option.</w:t>
      </w:r>
    </w:p>
    <w:p>
      <w:pPr>
        <w:spacing w:after="0" w:line="20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191919"/>
        </w:rPr>
        <w:t xml:space="preserve">If a participant’s accumulated payroll deductions in his or her account are based on a currency other than the U.S. dollar, then on the Offering Termination Date the accumulated payroll deductions in his or her account will be converted into an equivalent value of U.S. dollars based upon the U.S. dollar-foreign currency exchange rate in effect on that date, as reported in </w:t>
      </w:r>
      <w:r>
        <w:rPr>
          <w:rFonts w:ascii="Arial" w:cs="Arial" w:eastAsia="Arial" w:hAnsi="Arial"/>
          <w:sz w:val="16"/>
          <w:szCs w:val="16"/>
          <w:i w:val="1"/>
          <w:iCs w:val="1"/>
          <w:color w:val="191919"/>
        </w:rPr>
        <w:t>The Wall Street Journal</w:t>
      </w:r>
      <w:r>
        <w:rPr>
          <w:rFonts w:ascii="Arial" w:cs="Arial" w:eastAsia="Arial" w:hAnsi="Arial"/>
          <w:sz w:val="16"/>
          <w:szCs w:val="16"/>
          <w:color w:val="191919"/>
        </w:rPr>
        <w:t>, provided that such conversion does not result in an Option Exercise Price which is, in fact, less than the lesser of an amount equal to 85 percent of the fair market value of the Common Stock at the time such option is granted or 85 percent of the fair market value of the Common Stock at the time such option is exercised. The Plan administrators (as defined in Article 19) shall have the right to change such conversion date, as they deem appropriate to effectively purchase shares on any Offering Termination Date, provided that such action does not cause the Plan, or any grants under the Plan, to fail to qualify under Section 423 of the Internal Revenue Code.</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Exhibit A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191919"/>
        </w:rPr>
        <w:t>6.</w:t>
      </w:r>
      <w:r>
        <w:rPr>
          <w:sz w:val="20"/>
          <w:szCs w:val="20"/>
          <w:color w:val="auto"/>
        </w:rPr>
        <w:tab/>
      </w:r>
      <w:r>
        <w:rPr>
          <w:rFonts w:ascii="Arial" w:cs="Arial" w:eastAsia="Arial" w:hAnsi="Arial"/>
          <w:sz w:val="19"/>
          <w:szCs w:val="19"/>
          <w:b w:val="1"/>
          <w:bCs w:val="1"/>
          <w:color w:val="191919"/>
        </w:rPr>
        <w:t>Authorization for Entering Plan</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191919"/>
        </w:rPr>
        <w:t>An eligible employee may enter the Plan by following a written, electronic or other enrollment process, including a payroll deduction authorization, as prescribed by the Plan administrators under generally applicable rules. Except as may otherwise be established by the Plan administrators under generally applicable rules, all enrollment authorizations shall be effective only if delivered to the designated Plan administrator(s) in accordance with the prescribed procedures not later than ten (10) business days before an applicable Offering Commencement Date Participation may be conditioned on an eligible employee’s consent to transfer and process personal data and on acknowledgment and agreement to Plan terms and other specified conditions.</w:t>
      </w:r>
    </w:p>
    <w:p>
      <w:pPr>
        <w:spacing w:after="0" w:line="16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191919"/>
        </w:rPr>
        <w:t>The Company will accumulate and hold for the employee’s account the amounts deducted from his or her pay. No interest will be paid thereon. Participating employees may not make any separate cash payments into their account.</w:t>
      </w:r>
    </w:p>
    <w:p>
      <w:pPr>
        <w:spacing w:after="0" w:line="18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191919"/>
        </w:rPr>
        <w:t>Unless an employee files a new authorization, or withdraws from the Plan, his or her deductions and purchases under the authorization he or she has on file under the Plan will continue as long as the Plan remains in effect. An employee may increase or decrease the amount of his or her payroll deductions as of the next Offering Commencement Date by filing a revised payroll deduction authorization in accordance with the procedures then applicable to such actions. Except as may otherwise be established by the Plan administrators under generally applicable rules, all revised authorizations shall be effective only if delivered to the designated Plan administrator(s) in accordance with the prescribed procedures not later than ten (10) business days before the next Offering Commencement Date.</w:t>
      </w:r>
    </w:p>
    <w:p>
      <w:pPr>
        <w:spacing w:after="0" w:line="179" w:lineRule="exact"/>
        <w:rPr>
          <w:sz w:val="20"/>
          <w:szCs w:val="20"/>
          <w:color w:val="auto"/>
        </w:rPr>
      </w:pPr>
    </w:p>
    <w:p>
      <w:pPr>
        <w:ind w:left="380" w:hanging="372"/>
        <w:spacing w:after="0"/>
        <w:tabs>
          <w:tab w:leader="none" w:pos="380" w:val="left"/>
        </w:tabs>
        <w:numPr>
          <w:ilvl w:val="0"/>
          <w:numId w:val="100"/>
        </w:numPr>
        <w:rPr>
          <w:rFonts w:ascii="Arial" w:cs="Arial" w:eastAsia="Arial" w:hAnsi="Arial"/>
          <w:sz w:val="22"/>
          <w:szCs w:val="22"/>
          <w:b w:val="1"/>
          <w:bCs w:val="1"/>
          <w:color w:val="191919"/>
        </w:rPr>
      </w:pPr>
      <w:r>
        <w:rPr>
          <w:rFonts w:ascii="Arial" w:cs="Arial" w:eastAsia="Arial" w:hAnsi="Arial"/>
          <w:sz w:val="22"/>
          <w:szCs w:val="22"/>
          <w:b w:val="1"/>
          <w:bCs w:val="1"/>
          <w:color w:val="191919"/>
        </w:rPr>
        <w:t>Maximum Amount of Payroll Deductions</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191919"/>
        </w:rPr>
        <w:t>An employee may authorize payroll deductions in an amount of not less than one percent (1%) and not more than ten percent (10%) (in whole number percentages only) of his or her eligible compensation. Such deductions shall be determined based on the employee’s election in effect on the payday on which such eligible compensation is paid. An employee may not make any additional payments into such account. Eligible compensation means the wages as defined in Section 3401(a) of the Internal Revenue Code, determined without regard to any rules that limit compensation included in wages based on the nature or location or employment or services performed, including without limitation base pay, shift premium, overtime, gain sharing (profit sharing), incentive compensation, bonuses and commissions and all other payments made to the employee for services as an employee during the applicable payroll period, and excluding the value of any qualified or non-qualified stock option granted to the employee to the extent such value is includible in the taxable wages, reimbursements or other expense allowances, fringe benefits, moving expenses, deferred compensation, and welfare benefits, but determined prior to any exclusions for any amounts deferred under Sections 125, 401(k), 402(e)(3), 402(h)(1)(B), 403(b) or 457(b) of the Internal Revenue Code or for certain contributions described in Section 457(h)(2) of the Internal Revenue Code that are treated as Company contributions.</w:t>
      </w:r>
    </w:p>
    <w:p>
      <w:pPr>
        <w:spacing w:after="0" w:line="157" w:lineRule="exact"/>
        <w:rPr>
          <w:sz w:val="20"/>
          <w:szCs w:val="20"/>
          <w:color w:val="auto"/>
        </w:rPr>
      </w:pPr>
    </w:p>
    <w:p>
      <w:pPr>
        <w:ind w:left="380" w:hanging="372"/>
        <w:spacing w:after="0"/>
        <w:tabs>
          <w:tab w:leader="none" w:pos="380" w:val="left"/>
        </w:tabs>
        <w:numPr>
          <w:ilvl w:val="0"/>
          <w:numId w:val="101"/>
        </w:numPr>
        <w:rPr>
          <w:rFonts w:ascii="Arial" w:cs="Arial" w:eastAsia="Arial" w:hAnsi="Arial"/>
          <w:sz w:val="22"/>
          <w:szCs w:val="22"/>
          <w:b w:val="1"/>
          <w:bCs w:val="1"/>
          <w:color w:val="191919"/>
        </w:rPr>
      </w:pPr>
      <w:r>
        <w:rPr>
          <w:rFonts w:ascii="Arial" w:cs="Arial" w:eastAsia="Arial" w:hAnsi="Arial"/>
          <w:sz w:val="22"/>
          <w:szCs w:val="22"/>
          <w:b w:val="1"/>
          <w:bCs w:val="1"/>
          <w:color w:val="191919"/>
        </w:rPr>
        <w:t>Unused Payroll Deductions</w:t>
      </w:r>
    </w:p>
    <w:p>
      <w:pPr>
        <w:spacing w:after="0" w:line="22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191919"/>
        </w:rPr>
        <w:t>Only full shares of Common Stock may be purchased. Any balance remaining in an employee’s account after a purchase will be reported to the employee and will be carried forward to the next Offering Period. However, in no event will the amount of the unused payroll deductions carried forward from a payroll period exceed the Option Exercise Price per share for that Offering Period. If for any Offering Period the amount of unused payroll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A-4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191919"/>
        </w:rPr>
        <w:t>deductions should exceed the Option Exercise Price per share, the amount of the excess for any participant shall be refunded to such participant, without interest.</w:t>
      </w:r>
    </w:p>
    <w:p>
      <w:pPr>
        <w:spacing w:after="0" w:line="167" w:lineRule="exact"/>
        <w:rPr>
          <w:sz w:val="20"/>
          <w:szCs w:val="20"/>
          <w:color w:val="auto"/>
        </w:rPr>
      </w:pPr>
    </w:p>
    <w:p>
      <w:pPr>
        <w:ind w:left="380" w:hanging="372"/>
        <w:spacing w:after="0"/>
        <w:tabs>
          <w:tab w:leader="none" w:pos="380" w:val="left"/>
        </w:tabs>
        <w:numPr>
          <w:ilvl w:val="0"/>
          <w:numId w:val="102"/>
        </w:numPr>
        <w:rPr>
          <w:rFonts w:ascii="Arial" w:cs="Arial" w:eastAsia="Arial" w:hAnsi="Arial"/>
          <w:sz w:val="22"/>
          <w:szCs w:val="22"/>
          <w:b w:val="1"/>
          <w:bCs w:val="1"/>
          <w:color w:val="191919"/>
        </w:rPr>
      </w:pPr>
      <w:r>
        <w:rPr>
          <w:rFonts w:ascii="Arial" w:cs="Arial" w:eastAsia="Arial" w:hAnsi="Arial"/>
          <w:sz w:val="22"/>
          <w:szCs w:val="22"/>
          <w:b w:val="1"/>
          <w:bCs w:val="1"/>
          <w:color w:val="191919"/>
        </w:rPr>
        <w:t>Change in Payroll Deductions</w:t>
      </w:r>
    </w:p>
    <w:p>
      <w:pPr>
        <w:spacing w:after="0" w:line="225" w:lineRule="exact"/>
        <w:rPr>
          <w:sz w:val="20"/>
          <w:szCs w:val="20"/>
          <w:color w:val="auto"/>
        </w:rPr>
      </w:pPr>
    </w:p>
    <w:p>
      <w:pPr>
        <w:ind w:right="600"/>
        <w:spacing w:after="0" w:line="331" w:lineRule="auto"/>
        <w:rPr>
          <w:sz w:val="20"/>
          <w:szCs w:val="20"/>
          <w:color w:val="auto"/>
        </w:rPr>
      </w:pPr>
      <w:r>
        <w:rPr>
          <w:rFonts w:ascii="Arial" w:cs="Arial" w:eastAsia="Arial" w:hAnsi="Arial"/>
          <w:sz w:val="16"/>
          <w:szCs w:val="16"/>
          <w:color w:val="191919"/>
        </w:rPr>
        <w:t>Unless otherwise permitted by the Committee prior to the commencement of an Offering Period, payroll deductions may not be increased, decreased or suspended by a participant during an Offering Period. However, a participant may withdraw in full from the Plan.</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10. Withdrawal from the Plan</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191919"/>
        </w:rPr>
        <w:t>An employee may withdraw from the Plan and withdraw all but not less than all of the payroll deductions credited to his or her account under the Plan prior to the Offering Termination Date by completing and filing a withdrawal notification with the designated Plan administrator(s) in accordance with the prescribed procedures, in which event the Company will refund as soon as administratively practicable without interest the entire balance of such employee’s deductions not previously used to purchase Common Stock under the Plan. Except as may otherwise be prescribed by the Plan administrators under generally applicable rules, all withdrawals shall be effective only if delivered to the designated Plan administrator(s) in accordance with the prescribed procedures not later than ten (10) business days before the Offering Termination Date.</w:t>
      </w:r>
    </w:p>
    <w:p>
      <w:pPr>
        <w:spacing w:after="0" w:line="17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191919"/>
        </w:rPr>
        <w:t>An employee who withdraws from the Plan is like an employee who has never entered the Plan; the employee’s rights under the Plan will be terminated and no further payroll deductions will be made. To reenter, such an employee must re-enroll pursuant to the provisions of Article 6 before the next Offering Commencement Date which cannot, however, become effective before the beginning of the next Offering Period following his withdrawal.</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11. Issuance of Stock</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191919"/>
        </w:rPr>
        <w:t>As soon as administratively practicable after each Offering Period the Company shall deliver (by electronic or other means) to the participant the Common Stock purchased under the Plan, except as specified below. The Plan administrators may permit or require that the Common Stock shares be deposited directly with a broker or agent designated by the Plan administrators, and the Plan administrators may utilize electronic or automated methods of share transfer. In addition, the Plan administrators may require that shares be retained with such broker or agent for a designated period of time (and may restrict dispositions during that period) and/or may establish other procedures to permit tracking of disqualifying dispositions of such shares or to restrict transfer of such shares as required to ensure that the Company’s applicable tax withholding obligations are satisfied.</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12. No Transfer or Assignment of Employee’s Rights</w:t>
      </w:r>
    </w:p>
    <w:p>
      <w:pPr>
        <w:spacing w:after="0" w:line="225" w:lineRule="exact"/>
        <w:rPr>
          <w:sz w:val="20"/>
          <w:szCs w:val="20"/>
          <w:color w:val="auto"/>
        </w:rPr>
      </w:pPr>
    </w:p>
    <w:p>
      <w:pPr>
        <w:ind w:right="200"/>
        <w:spacing w:after="0" w:line="331" w:lineRule="auto"/>
        <w:rPr>
          <w:sz w:val="20"/>
          <w:szCs w:val="20"/>
          <w:color w:val="auto"/>
        </w:rPr>
      </w:pPr>
      <w:r>
        <w:rPr>
          <w:rFonts w:ascii="Arial" w:cs="Arial" w:eastAsia="Arial" w:hAnsi="Arial"/>
          <w:sz w:val="16"/>
          <w:szCs w:val="16"/>
          <w:color w:val="191919"/>
        </w:rPr>
        <w:t>An employee’s rights under the Plan are his or hers alone and may not be transferred or assigned to, or availed of by, any other person. Any option granted to an employee may be exercised only by him or her, except as provided in Article 13 in the event of an employee’s death.</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13. Termination of Employee’s Rights</w:t>
      </w:r>
    </w:p>
    <w:p>
      <w:pPr>
        <w:spacing w:after="0" w:line="22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191919"/>
        </w:rPr>
        <w:t>Except as set forth in Article 14, an employee’s rights under the Plan will terminate when he or she ceases to be an employee because of retirement, resignation, lay-off, discharge, death, change of status, failure to remain in the customary employ of the Company for twenty (20) hours or more per week, or for any other reason. Notwithstanding anything to the contrary contained in Article 10, a withdrawal notice will be considered as</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Exhibit A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191919"/>
        </w:rPr>
        <w:t>having been received from the employee on the day his or her employment ceases, and all payroll deductions not used to purchase Common Stock will be refunded without interest.</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191919"/>
        </w:rPr>
        <w:t>Notwithstanding anything to the contrary contained in Article 10, if an employee’s payroll deductions are interrupted by any legal process, a withdrawal notice will be considered as having been received from him or her on the day the interruption occurs.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14. Death of an Employee</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191919"/>
        </w:rPr>
        <w:t>Upon termination of the participating employee’s employment because of death, the person(s) entitled to receipt of the Common Stock and/or cash as provided in this Article 14 shall have the right to elect, by written notice given to the Plan administrators prior to the expiration of the thirty (30) day period commencing with the date of the death of the employee, either (i) to withdraw, without interest, all of the payroll deductions credited to the employee’s account under the Plan, or (ii) to exercise the employee’s option for the purchase of shares of Common Stock on the next Offering Termination Date following the date of the employee’s death for the purchase of that number of full shares of Common Stock reserved for the purpose of the Plan which the accumulated payroll deductions in the employee’s account at the date of the employee’s death will purchase at the applicable Option Exercise Price (subject to the limitations set forth in Article 4), and any excess in such account (in lieu of fractional shares) will be paid to the employee’s estate as soon as administratively practicable, without interest. In the event that no such written notice of election shall be duly received by the Plan administrators, the payroll deductions credited to the employee’s account at the date of the employee’s death will be paid to the employee’s estate as soon as administratively practicable, without interest.</w:t>
      </w:r>
    </w:p>
    <w:p>
      <w:pPr>
        <w:spacing w:after="0" w:line="17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191919"/>
        </w:rPr>
        <w:t>Except as provided in the preceding paragraph, in the event of the death of a participating employee, the Company shall deliver such Common Stock and/or cash to the executor or administrator of the estate of the employee.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15. Termination and Amendments to Plan</w:t>
      </w:r>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191919"/>
        </w:rPr>
        <w:t>The Plan may be terminated at any time by the Company’s Board of Directors or, if sooner, when all of the shares of Common Stock reserved for the purposes of the Plan have been purchased. In the event that the Board of Directors terminates the Plan pursuant to this Article 15, the date of such termination shall be deemed as the Offering Termination Date of the applicable Offering Period in which such termination date occurs. Upon such termination or any other termination of the Plan, all payroll deductions not used to purchase Common Stock will be refunded without interest.</w:t>
      </w:r>
    </w:p>
    <w:p>
      <w:pPr>
        <w:spacing w:after="0" w:line="166" w:lineRule="exact"/>
        <w:rPr>
          <w:sz w:val="20"/>
          <w:szCs w:val="20"/>
          <w:color w:val="auto"/>
        </w:rPr>
      </w:pPr>
    </w:p>
    <w:p>
      <w:pPr>
        <w:spacing w:after="0" w:line="298" w:lineRule="auto"/>
        <w:rPr>
          <w:sz w:val="20"/>
          <w:szCs w:val="20"/>
          <w:color w:val="auto"/>
        </w:rPr>
      </w:pPr>
      <w:r>
        <w:rPr>
          <w:rFonts w:ascii="Arial" w:cs="Arial" w:eastAsia="Arial" w:hAnsi="Arial"/>
          <w:sz w:val="16"/>
          <w:szCs w:val="16"/>
          <w:color w:val="191919"/>
        </w:rPr>
        <w:t>The Committee or the Board of Directors may from time to time adopt amendments to the Plan provided that, without the approval of the stockholders of the Company, no amendment may (i) except as provided in Articles 3, 4, 24 and 25, increase the number of shares that may be issued under the Plan; (ii) change the class of employees eligible to receive options under the Plan, if such action would be treated as the adoption of a new plan for purposes of Section 423(b) of the Internal Revenue Code; or (iii) cause Rule 16b-3 under the Securities Exchange Act of 1934 to become inapplicable to the Plan.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16. Limitations of Sale of Stock Purchased Under the Plan</w:t>
      </w:r>
    </w:p>
    <w:p>
      <w:pPr>
        <w:spacing w:after="0" w:line="22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191919"/>
        </w:rPr>
        <w:t>The Plan is intended to provide shares of Common Stock for investment and not for resale. The Company does not, however, intend to restrict or influence any employee in the conduct of his or her own affairs. An employee may, therefore, sell stock purchased under the Plan at any time the employee chooses, subject to compliance with any applicable federal or state securities laws and subject to any restrictions imposed under Articles 11 and 26.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A-6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191919"/>
        </w:rPr>
        <w:t>Each employee agrees by entering the Plan to promptly give the Company notice of any such Common Stock disposed of within two years after the Offering Commencement Date on which the Common Stock was purchased showing the number of such shares disposed of. The employee assumes the risk of any market fluctuations in the price of such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17. Company’s Offering of Expenses Related to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91919"/>
        </w:rPr>
        <w:t>The Company will bear all costs of administering and carrying out the Plan.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18. Participating Subsidiaries</w:t>
      </w:r>
    </w:p>
    <w:p>
      <w:pPr>
        <w:spacing w:after="0" w:line="225" w:lineRule="exact"/>
        <w:rPr>
          <w:sz w:val="20"/>
          <w:szCs w:val="20"/>
          <w:color w:val="auto"/>
        </w:rPr>
      </w:pPr>
    </w:p>
    <w:p>
      <w:pPr>
        <w:ind w:right="260"/>
        <w:spacing w:after="0" w:line="331" w:lineRule="auto"/>
        <w:rPr>
          <w:sz w:val="20"/>
          <w:szCs w:val="20"/>
          <w:color w:val="auto"/>
        </w:rPr>
      </w:pPr>
      <w:r>
        <w:rPr>
          <w:rFonts w:ascii="Arial" w:cs="Arial" w:eastAsia="Arial" w:hAnsi="Arial"/>
          <w:sz w:val="16"/>
          <w:szCs w:val="16"/>
          <w:color w:val="191919"/>
        </w:rPr>
        <w:t>The term “participating subsidiaries” shall mean any present or future subsidiary of the Company which is designated by the Committee to participate in the Plan. The Committee shall have the power to make such designation(s) before or after the Plan is approved by the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19. Administration of the Plan</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191919"/>
        </w:rPr>
        <w:t>The Plan may be administered by the Compensation Committee, or such other committee as may be appointed by the Board of Directors of the Company (the “Committee”). No member of the Committee shall be eligible to participate in the Plan while serving as a member of the Committee. In the event that the Board of Directors fails to appoint or refrains from appointing a Committee, the Board of Directors shall have all power and authority to administer the Plan (in such event the word “Committee” shall refer to the Board of Directors).</w:t>
      </w:r>
    </w:p>
    <w:p>
      <w:pPr>
        <w:spacing w:after="0" w:line="1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191919"/>
        </w:rPr>
        <w:t>The Committee shall have the authority to construe and interpret the Plan and options, and to establish, amend and revoke rules and regulations for the administration of the Plan. The Committee, in the exercise of this power, may correct any defect, omission or inconsistency in the Plan, in a manner and to the extent it shall deem necessary or expedient to make the Plan fully effective. The interpretation and construction by the Committee of any provisions of the Plan or of any option granted under it shall be final. The Committee may from time to time adopt such rules and regulations for carrying out the Plan as it may deem best. Without limiting the foregoing, the Committee shall have the power, subject to, and within the limitations of, the express provisions of the Plan: (i) to determine when and how options to purchase shares of Common Stock shall be granted and the provisions of each Offering Period (which need not be identical); (ii) to designate from time to time which participating subsidiaries of the Company shall be eligible to participate in the Plan; (iii) to determine the Offering Commencement Date and Offering Termination Date of any Offering Period; (iv) to increase or decrease the maximum number of shares which may be purchased by an eligible employee in any Offering Period; (v) to amend the Plan as provided in Article 15, and (vi) generally, to exercise such powers and to perform such acts as it deems necessary or expedient to promote the best interests of the Company and the participating subsidiaries.</w:t>
      </w:r>
    </w:p>
    <w:p>
      <w:pPr>
        <w:spacing w:after="0" w:line="17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191919"/>
        </w:rPr>
        <w:t>The Committee may delegate to one or more individuals the day-to-day administration of the Plan. Without limitation, subject to the terms and conditions of this Plan, the President, the Chief Financial Officer of the Company, and any other officer of the Company or committee of officers or employees designated by the Committee (collectively, the “Plan administrators”), shall each be authorized to determine the methods through which eligible employees may elect to participate, amend their participation, or withdraw from participation in the Plan, and establish methods of enrollment by means of a manual or electronic form of authorization or an integrated voice response system. The Plan administrators are further authorized to determine the matters described in Article 11 concerning the means of issuance of Common Stock and the procedures established to permit tracking of disqualifying dispositions of shares or to restrict transfer of such shares.</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Exhibit A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191919"/>
        </w:rPr>
        <w:t>With respect to persons subject to Section 16 of the Securities and Exchange Act of 1934, as amended, transactions under the Plan are intended to comply with all applicable conditions of Rule 16b-3 or its successors under said Act. To the extent any provision of the Plan or action by the Committee fails to so comply, it shall be deemed null and void, to the extent permitted by law and deemed advisable by that Committee.</w:t>
      </w:r>
    </w:p>
    <w:p>
      <w:pPr>
        <w:spacing w:after="0" w:line="16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191919"/>
        </w:rPr>
        <w:t>No member of the Board of Directors or the Committee shall be liable for any action or determination made in good faith with respect to the Plan or any option granted under it. The Company shall indemnify each member of the Board of Directors and the Committee to the fullest extent permitted by law with respect to any claim, loss, damage or expense (including counsel fees) arising in connection with their responsibilities under this Plan.</w:t>
      </w:r>
    </w:p>
    <w:p>
      <w:pPr>
        <w:spacing w:after="0" w:line="160"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191919"/>
        </w:rPr>
        <w:t>As soon as administratively practicable after the end of each Offering Period, the Plan administrators shall prepare and distribute or make otherwise readily available by electronic means or otherwise to each participating employee in the Plan information concerning the amount of the participating employee’s accumulated payroll deductions as of the Offering Termination Date, the Option Exercise Price for such Offering Period, the number of shares of Common Stock purchased by the participating employee with the participating employee’s accumulated payroll deductions, and the amount of any unused payroll deductions either to be carried forward to the next Offering Period, or returned to the participating employee without interest.</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20. Optionees Not Stockholders</w:t>
      </w:r>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191919"/>
        </w:rPr>
        <w:t>Neither the granting of an option to an employee nor the deductions from his or her pay shall constitute such employee a stockholder of the Company with respect to the shares covered by such option until such shares have been purchased by and issued to him.</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21. Application of Funds</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191919"/>
        </w:rPr>
        <w:t>The proceeds received by the Company from the sale of Common Stock pursuant to options granted under the Plan may be used for any corporate purposes, and the Company shall not be obligated to segregate participating employees’ payroll deductions.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22. Governmental Regulation</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191919"/>
        </w:rPr>
        <w:t>The Company’s obligation to sell and deliver shares of the Company’s Common Stock under this Plan is subject to the approval of any governmental authority required in connection with the authorization, issuance or sale of such stock.</w:t>
      </w:r>
    </w:p>
    <w:p>
      <w:pPr>
        <w:spacing w:after="0" w:line="186" w:lineRule="exact"/>
        <w:rPr>
          <w:sz w:val="20"/>
          <w:szCs w:val="20"/>
          <w:color w:val="auto"/>
        </w:rPr>
      </w:pPr>
    </w:p>
    <w:p>
      <w:pPr>
        <w:ind w:right="720"/>
        <w:spacing w:after="0" w:line="369" w:lineRule="auto"/>
        <w:rPr>
          <w:sz w:val="20"/>
          <w:szCs w:val="20"/>
          <w:color w:val="auto"/>
        </w:rPr>
      </w:pPr>
      <w:r>
        <w:rPr>
          <w:rFonts w:ascii="Arial" w:cs="Arial" w:eastAsia="Arial" w:hAnsi="Arial"/>
          <w:sz w:val="15"/>
          <w:szCs w:val="15"/>
          <w:color w:val="191919"/>
        </w:rPr>
        <w:t>In this regard, the Board of Directors may, in its discretion, require as a condition to the exercise of any option that a Registration Statement under the Securities Act of 1933, as amended, with respect to the shares of Common Stock reserved for issuance upon exercise of the option shall be effective.</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23. Transferability</w:t>
      </w:r>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191919"/>
        </w:rPr>
        <w:t>Neither payroll deductions credited to an employee’s account nor any rights with regard to the exercise of an option or to receive stock under the Plan may be assigned, transferred, pledged, or otherwise disposed of in any way by the employee. Any such attempted assignment, transfer, pledge, or other disposition shall be without effect, except that the Company may treat such act as an election to withdraw funds in accordance with Article 10.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A-8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24. Effect of Changes of Common Stock</w:t>
      </w:r>
    </w:p>
    <w:p>
      <w:pPr>
        <w:spacing w:after="0" w:line="225"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191919"/>
        </w:rPr>
        <w:t>If the Company should subdivide or reclassify the Common Stock which has been or may be optioned under the Plan, or should declare thereon any dividend payable in shares of such Common Stock, or should take any other action of a similar nature affecting such Common Stock, then the number and class of shares of Common Stock which may thereafter be optioned (in the aggregate and to any individual participating employee) shall be adjusted accordingly.</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25. Merger or Consolidation</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191919"/>
        </w:rPr>
        <w:t>If the Company should at any time merge into or consolidate with another corporation, the Board of Directors may, at its election, either (i) terminate the Plan and refund without interest the entire balance of each participating employee’s payroll deductions, or (ii) entitle each participating employee to receive on the Offering Termination Date upon the exercise of such option for each share of Common Stock as to which such option shall be exercised the securities or property to which a holder of one share of the Common Stock was entitled upon and at the time of such merger or consolidation, and the Board of Directors shall take such steps in connection with such merger or consolidation as the Board of Directors shall deem necessary to assure that the provisions of this Article 25 shall thereafter be applicable, as nearly as reasonably possible. A sale of all or substantially all of the assets of the Company shall be deemed a merger or consolidation for the foregoing purposes.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26. Withholding of Additional Tax</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191919"/>
        </w:rPr>
        <w:t>By electing to participate in the Plan, each participant acknowledges that the Company and its participating subsidiaries are required to withhold taxes with respect to the amounts deducted from the participant’s compensation and accumulated for the benefit of the participant under the Plan, and each participant agrees that the Company and its participating subsidiaries may deduct additional amounts from the participant’s compensation, when amounts are added to the participant’s account, used to purchase Common Stock or refunded, in order to satisfy such withholding obligations. Each participant further acknowledges that when Common Stock is purchased under the Plan the Company and its participating subsidiaries may be required to withhold taxes with respect to all or a portion of the difference between the fair market value of the Common Stock purchased and its purchase price, and each participant agrees that such taxes may be withheld from compensation otherwise payable to such participant. It is intended that tax withholding will be accomplished in such a manner that the full amount of payroll deductions elected by the participant under Article 7 will be used to purchase Common Stock. However, if amounts sufficient to satisfy applicable tax withholding obligations have not been withheld from compensation otherwise payable to any participant then, notwithstanding any other provision of the Plan, the Company may withhold such taxes from the participant’s accumulated payroll deductions and apply the net amount to the purchase of Common Stock, unless the participant pays to the Company, prior to the exercise date, an amount sufficient to satisfy such withholding obligations. Each participant further acknowledges that the Company and its participating subsidiaries may be required to withhold taxes in connection with the disposition of stock acquired under the Plan and agrees that the Company or any participating subsidiary may take whatever action it considers appropriate to satisfy such withholding requirements, including deducting from compensation otherwise payable to such participant an amount sufficient to satisfy such withholding requirements or conditioning any disposition of Common Stock by the participant upon the payment to the Company or such subsidiary of an amount sufficient to satisfy such withholding requirements.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000001"/>
        </w:rPr>
        <w:t xml:space="preserve">Exhibit A </w:t>
      </w:r>
      <w:r>
        <w:rPr>
          <w:rFonts w:ascii="Arial" w:cs="Arial" w:eastAsia="Arial" w:hAnsi="Arial"/>
          <w:sz w:val="16"/>
          <w:szCs w:val="16"/>
          <w:b w:val="1"/>
          <w:bCs w:val="1"/>
          <w:color w:val="000001"/>
        </w:rPr>
        <w:t>|</w:t>
      </w:r>
      <w:r>
        <w:rPr>
          <w:rFonts w:ascii="Arial" w:cs="Arial" w:eastAsia="Arial" w:hAnsi="Arial"/>
          <w:sz w:val="18"/>
          <w:szCs w:val="18"/>
          <w:color w:val="000001"/>
        </w:rPr>
        <w:t xml:space="preserve"> </w:t>
      </w:r>
      <w:r>
        <w:rPr>
          <w:rFonts w:ascii="Arial" w:cs="Arial" w:eastAsia="Arial" w:hAnsi="Arial"/>
          <w:sz w:val="18"/>
          <w:szCs w:val="18"/>
          <w:b w:val="1"/>
          <w:bCs w:val="1"/>
          <w:color w:val="000001"/>
        </w:rPr>
        <w:t>Page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191919"/>
        </w:rPr>
        <w:t>27. Approval of Stockholders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191919"/>
        </w:rPr>
        <w:t>This Plan was first adopted by the Board of Directors on September 25, 2002 and amended on January 14, 2003, and approved, as amended, by the stockholders of the Company on March 10, 2003. The Plan was subsequently amended and approved by the stockholders on March 30, 2006, March 27, 2008, and May 11, 2011, and thereafter amended by the Board of Directors on November 8,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00001"/>
        </w:rPr>
        <w:t xml:space="preserve">Page A-10 </w:t>
      </w:r>
      <w:r>
        <w:rPr>
          <w:rFonts w:ascii="Arial" w:cs="Arial" w:eastAsia="Arial" w:hAnsi="Arial"/>
          <w:sz w:val="16"/>
          <w:szCs w:val="16"/>
          <w:b w:val="1"/>
          <w:bCs w:val="1"/>
          <w:color w:val="000001"/>
        </w:rPr>
        <w:t>|</w:t>
      </w:r>
      <w:r>
        <w:rPr>
          <w:rFonts w:ascii="Arial" w:cs="Arial" w:eastAsia="Arial" w:hAnsi="Arial"/>
          <w:sz w:val="18"/>
          <w:szCs w:val="18"/>
          <w:b w:val="1"/>
          <w:bCs w:val="1"/>
          <w:color w:val="000001"/>
        </w:rPr>
        <w:t xml:space="preserve"> </w:t>
      </w:r>
      <w:r>
        <w:rPr>
          <w:rFonts w:ascii="Arial" w:cs="Arial" w:eastAsia="Arial" w:hAnsi="Arial"/>
          <w:sz w:val="18"/>
          <w:szCs w:val="18"/>
          <w:color w:val="000001"/>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99" w:name="page100"/>
    <w:bookmarkEnd w:id="99"/>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Annual Report and Proxy Statement are available at www.skyworksinc.com/annualreport.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1420495</wp:posOffset>
            </wp:positionV>
            <wp:extent cx="1028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1420495</wp:posOffset>
            </wp:positionV>
            <wp:extent cx="1117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1420495</wp:posOffset>
            </wp:positionV>
            <wp:extent cx="1117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1420495</wp:posOffset>
            </wp:positionV>
            <wp:extent cx="1117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1420495</wp:posOffset>
            </wp:positionV>
            <wp:extent cx="1111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1420495</wp:posOffset>
            </wp:positionV>
            <wp:extent cx="1117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1420495</wp:posOffset>
            </wp:positionV>
            <wp:extent cx="580326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540"/>
        <w:spacing w:after="0"/>
        <w:rPr>
          <w:sz w:val="20"/>
          <w:szCs w:val="20"/>
          <w:color w:val="auto"/>
        </w:rPr>
      </w:pPr>
      <w:r>
        <w:rPr>
          <w:rFonts w:ascii="Arial" w:cs="Arial" w:eastAsia="Arial" w:hAnsi="Arial"/>
          <w:sz w:val="13"/>
          <w:szCs w:val="13"/>
          <w:color w:val="auto"/>
        </w:rPr>
        <w:t>E96767-Z76356-P31925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32143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SKYWORKS SOLUTIONS,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Annual Meeting of Stockholders</w:t>
      </w:r>
    </w:p>
    <w:p>
      <w:pPr>
        <w:jc w:val="center"/>
        <w:ind w:right="-19"/>
        <w:spacing w:after="0" w:line="230" w:lineRule="auto"/>
        <w:rPr>
          <w:sz w:val="20"/>
          <w:szCs w:val="20"/>
          <w:color w:val="auto"/>
        </w:rPr>
      </w:pPr>
      <w:r>
        <w:rPr>
          <w:rFonts w:ascii="Arial" w:cs="Arial" w:eastAsia="Arial" w:hAnsi="Arial"/>
          <w:sz w:val="22"/>
          <w:szCs w:val="22"/>
          <w:b w:val="1"/>
          <w:bCs w:val="1"/>
          <w:color w:val="auto"/>
        </w:rPr>
        <w:t>May 6, 2020, 2:00 p.m. EDT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163" w:lineRule="exact"/>
        <w:rPr>
          <w:sz w:val="20"/>
          <w:szCs w:val="20"/>
          <w:color w:val="auto"/>
        </w:rPr>
      </w:pPr>
    </w:p>
    <w:p>
      <w:pPr>
        <w:jc w:val="both"/>
        <w:ind w:left="160" w:right="160"/>
        <w:spacing w:after="0" w:line="247" w:lineRule="auto"/>
        <w:rPr>
          <w:sz w:val="20"/>
          <w:szCs w:val="20"/>
          <w:color w:val="auto"/>
        </w:rPr>
      </w:pPr>
      <w:r>
        <w:rPr>
          <w:rFonts w:ascii="Arial" w:cs="Arial" w:eastAsia="Arial" w:hAnsi="Arial"/>
          <w:sz w:val="14"/>
          <w:szCs w:val="14"/>
          <w:color w:val="auto"/>
        </w:rPr>
        <w:t>The stockholder(s) hereby appoint(s) Liam K. Griffin and Robert J. Terry, or either of them, as proxies, each with the power to appoint his substitute, and hereby authorize(s) them to represent and to vote, as designated on the reverse side of this ballot, all of the shares of common stock of SKYWORKS SOLUTIONS, INC. that the stockholder(s) is/are entitled to vote at the Annual Meeting of Stockholders to be held at 2:00 p.m., EDT on May 6, 2020, held virtually at www.virtualshareholdermeeting.com/SWKS2020, and any adjournment or postponement thereof.</w:t>
      </w:r>
    </w:p>
    <w:p>
      <w:pPr>
        <w:spacing w:after="0" w:line="129" w:lineRule="exact"/>
        <w:rPr>
          <w:sz w:val="20"/>
          <w:szCs w:val="20"/>
          <w:color w:val="auto"/>
        </w:rPr>
      </w:pPr>
    </w:p>
    <w:p>
      <w:pPr>
        <w:jc w:val="both"/>
        <w:ind w:left="160" w:right="160"/>
        <w:spacing w:after="0" w:line="285" w:lineRule="auto"/>
        <w:rPr>
          <w:sz w:val="20"/>
          <w:szCs w:val="20"/>
          <w:color w:val="auto"/>
        </w:rPr>
      </w:pPr>
      <w:r>
        <w:rPr>
          <w:rFonts w:ascii="Arial" w:cs="Arial" w:eastAsia="Arial" w:hAnsi="Arial"/>
          <w:sz w:val="14"/>
          <w:szCs w:val="14"/>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1532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720"/>
        <w:spacing w:after="0"/>
        <w:rPr>
          <w:sz w:val="20"/>
          <w:szCs w:val="20"/>
          <w:color w:val="auto"/>
        </w:rPr>
      </w:pPr>
      <w:r>
        <w:rPr>
          <w:rFonts w:ascii="Arial" w:cs="Arial" w:eastAsia="Arial" w:hAnsi="Arial"/>
          <w:sz w:val="13"/>
          <w:szCs w:val="13"/>
          <w:b w:val="1"/>
          <w:bCs w:val="1"/>
          <w:color w:val="auto"/>
        </w:rPr>
        <w:t>VOTE BY INTERNET</w:t>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3"/>
          <w:szCs w:val="13"/>
          <w:i w:val="1"/>
          <w:iCs w:val="1"/>
          <w:color w:val="auto"/>
        </w:rPr>
        <w:t xml:space="preserve">Before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b w:val="1"/>
          <w:bCs w:val="1"/>
          <w:u w:val="single" w:color="auto"/>
          <w:color w:val="auto"/>
        </w:rPr>
        <w:t>www.proxyvote.com</w:t>
      </w:r>
    </w:p>
    <w:p>
      <w:pPr>
        <w:spacing w:after="0" w:line="118"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Use the Internet to transmit your voting instructions and for electronic delivery of information. Vote</w:t>
      </w:r>
    </w:p>
    <w:p>
      <w:pPr>
        <w:ind w:left="5720"/>
        <w:spacing w:after="0" w:line="216" w:lineRule="auto"/>
        <w:rPr>
          <w:sz w:val="20"/>
          <w:szCs w:val="20"/>
          <w:color w:val="auto"/>
        </w:rPr>
      </w:pPr>
      <w:r>
        <w:rPr>
          <w:rFonts w:ascii="Arial" w:cs="Arial" w:eastAsia="Arial" w:hAnsi="Arial"/>
          <w:sz w:val="13"/>
          <w:szCs w:val="13"/>
          <w:color w:val="auto"/>
        </w:rPr>
        <w:t>by 11:59 p.m. Eastern Time on May 5, 2020 for shares held directly and by 11:59 p.m. Eastern</w:t>
      </w:r>
    </w:p>
    <w:p>
      <w:pPr>
        <w:ind w:left="5720"/>
        <w:spacing w:after="0" w:line="235" w:lineRule="auto"/>
        <w:rPr>
          <w:sz w:val="20"/>
          <w:szCs w:val="20"/>
          <w:color w:val="auto"/>
        </w:rPr>
      </w:pPr>
      <w:r>
        <w:rPr>
          <w:rFonts w:ascii="Arial" w:cs="Arial" w:eastAsia="Arial" w:hAnsi="Arial"/>
          <w:sz w:val="12"/>
          <w:szCs w:val="12"/>
          <w:color w:val="auto"/>
        </w:rPr>
        <w:t>Time on May 1, 2020 for shares held in a Plan. Have your proxy card in hand when you access the</w:t>
      </w:r>
    </w:p>
    <w:p>
      <w:pPr>
        <w:ind w:left="5720"/>
        <w:spacing w:after="0" w:line="217" w:lineRule="auto"/>
        <w:rPr>
          <w:sz w:val="20"/>
          <w:szCs w:val="20"/>
          <w:color w:val="auto"/>
        </w:rPr>
      </w:pPr>
      <w:r>
        <w:rPr>
          <w:rFonts w:ascii="Arial" w:cs="Arial" w:eastAsia="Arial" w:hAnsi="Arial"/>
          <w:sz w:val="13"/>
          <w:szCs w:val="13"/>
          <w:color w:val="auto"/>
        </w:rPr>
        <w:t>web site and follow the instructions to obtain your records and to create an electronic voting</w:t>
      </w:r>
    </w:p>
    <w:p>
      <w:pPr>
        <w:ind w:left="5720"/>
        <w:spacing w:after="0"/>
        <w:rPr>
          <w:sz w:val="20"/>
          <w:szCs w:val="20"/>
          <w:color w:val="auto"/>
        </w:rPr>
      </w:pPr>
      <w:r>
        <w:rPr>
          <w:rFonts w:ascii="Arial" w:cs="Arial" w:eastAsia="Arial" w:hAnsi="Arial"/>
          <w:sz w:val="13"/>
          <w:szCs w:val="13"/>
          <w:color w:val="auto"/>
        </w:rPr>
        <w:t>instruction form.</w:t>
      </w:r>
    </w:p>
    <w:p>
      <w:pPr>
        <w:spacing w:after="0" w:line="105" w:lineRule="exact"/>
        <w:rPr>
          <w:sz w:val="20"/>
          <w:szCs w:val="20"/>
          <w:color w:val="auto"/>
        </w:rPr>
      </w:pPr>
    </w:p>
    <w:p>
      <w:pPr>
        <w:ind w:left="5720"/>
        <w:spacing w:after="0"/>
        <w:rPr>
          <w:sz w:val="20"/>
          <w:szCs w:val="20"/>
          <w:color w:val="auto"/>
        </w:rPr>
      </w:pPr>
      <w:r>
        <w:rPr>
          <w:rFonts w:ascii="Arial" w:cs="Arial" w:eastAsia="Arial" w:hAnsi="Arial"/>
          <w:sz w:val="13"/>
          <w:szCs w:val="13"/>
          <w:i w:val="1"/>
          <w:iCs w:val="1"/>
          <w:color w:val="auto"/>
        </w:rPr>
        <w:t xml:space="preserve">During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b w:val="1"/>
          <w:bCs w:val="1"/>
          <w:u w:val="single" w:color="auto"/>
          <w:color w:val="auto"/>
        </w:rPr>
        <w:t>www.virtualshareholdermeeting.com/SWKS2020</w:t>
      </w:r>
    </w:p>
    <w:p>
      <w:pPr>
        <w:spacing w:after="0" w:line="134"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You may attend the meeting via the Internet and vote during the meeting. Have the information that</w:t>
      </w:r>
    </w:p>
    <w:p>
      <w:pPr>
        <w:ind w:left="5720"/>
        <w:spacing w:after="0"/>
        <w:rPr>
          <w:sz w:val="20"/>
          <w:szCs w:val="20"/>
          <w:color w:val="auto"/>
        </w:rPr>
      </w:pPr>
      <w:r>
        <w:rPr>
          <w:rFonts w:ascii="Arial" w:cs="Arial" w:eastAsia="Arial" w:hAnsi="Arial"/>
          <w:sz w:val="13"/>
          <w:szCs w:val="13"/>
          <w:color w:val="auto"/>
        </w:rPr>
        <w:t>is printed in the box marked by the arrow available and follow the instructions.</w:t>
      </w:r>
    </w:p>
    <w:p>
      <w:pPr>
        <w:spacing w:after="0" w:line="105" w:lineRule="exact"/>
        <w:rPr>
          <w:sz w:val="20"/>
          <w:szCs w:val="20"/>
          <w:color w:val="auto"/>
        </w:rPr>
      </w:pPr>
    </w:p>
    <w:p>
      <w:pPr>
        <w:ind w:left="5720"/>
        <w:spacing w:after="0"/>
        <w:rPr>
          <w:sz w:val="20"/>
          <w:szCs w:val="20"/>
          <w:color w:val="auto"/>
        </w:rPr>
      </w:pPr>
      <w:r>
        <w:rPr>
          <w:rFonts w:ascii="Arial" w:cs="Arial" w:eastAsia="Arial" w:hAnsi="Arial"/>
          <w:sz w:val="13"/>
          <w:szCs w:val="13"/>
          <w:b w:val="1"/>
          <w:bCs w:val="1"/>
          <w:color w:val="auto"/>
        </w:rPr>
        <w:t>VOTE BY PHONE - 1-800-690-6903</w:t>
      </w:r>
    </w:p>
    <w:p>
      <w:pPr>
        <w:ind w:left="5720"/>
        <w:spacing w:after="0" w:line="219" w:lineRule="auto"/>
        <w:rPr>
          <w:sz w:val="20"/>
          <w:szCs w:val="20"/>
          <w:color w:val="auto"/>
        </w:rPr>
      </w:pPr>
      <w:r>
        <w:rPr>
          <w:rFonts w:ascii="Arial" w:cs="Arial" w:eastAsia="Arial" w:hAnsi="Arial"/>
          <w:sz w:val="13"/>
          <w:szCs w:val="13"/>
          <w:color w:val="auto"/>
        </w:rPr>
        <w:t>Use any touch-tone telephone to transmit your voting instructions. Vote by 11:59 p.m. Eastern</w:t>
      </w:r>
    </w:p>
    <w:p>
      <w:pPr>
        <w:ind w:left="5720"/>
        <w:spacing w:after="0" w:line="234" w:lineRule="auto"/>
        <w:rPr>
          <w:sz w:val="20"/>
          <w:szCs w:val="20"/>
          <w:color w:val="auto"/>
        </w:rPr>
      </w:pPr>
      <w:r>
        <w:rPr>
          <w:rFonts w:ascii="Arial" w:cs="Arial" w:eastAsia="Arial" w:hAnsi="Arial"/>
          <w:sz w:val="12"/>
          <w:szCs w:val="12"/>
          <w:color w:val="auto"/>
        </w:rPr>
        <w:t>Time on May 5, 2020 for shares held directly and by 11:59 p.m. Eastern Time on May 1, 2020 for</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shares held in a Plan. Have your proxy card in hand when you call and then follow the instructions.</w:t>
      </w:r>
    </w:p>
    <w:p>
      <w:pPr>
        <w:spacing w:after="0" w:line="116" w:lineRule="exact"/>
        <w:rPr>
          <w:sz w:val="20"/>
          <w:szCs w:val="20"/>
          <w:color w:val="auto"/>
        </w:rPr>
      </w:pPr>
    </w:p>
    <w:p>
      <w:pPr>
        <w:ind w:left="5720"/>
        <w:spacing w:after="0"/>
        <w:rPr>
          <w:sz w:val="20"/>
          <w:szCs w:val="20"/>
          <w:color w:val="auto"/>
        </w:rPr>
      </w:pPr>
      <w:r>
        <w:rPr>
          <w:rFonts w:ascii="Arial" w:cs="Arial" w:eastAsia="Arial" w:hAnsi="Arial"/>
          <w:sz w:val="13"/>
          <w:szCs w:val="13"/>
          <w:b w:val="1"/>
          <w:bCs w:val="1"/>
          <w:color w:val="auto"/>
        </w:rPr>
        <w:t>VOTE BY MAIL</w:t>
      </w:r>
    </w:p>
    <w:p>
      <w:pPr>
        <w:ind w:left="5720"/>
        <w:spacing w:after="0" w:line="237" w:lineRule="auto"/>
        <w:rPr>
          <w:sz w:val="20"/>
          <w:szCs w:val="20"/>
          <w:color w:val="auto"/>
        </w:rPr>
      </w:pPr>
      <w:r>
        <w:rPr>
          <w:rFonts w:ascii="Arial" w:cs="Arial" w:eastAsia="Arial" w:hAnsi="Arial"/>
          <w:sz w:val="12"/>
          <w:szCs w:val="12"/>
          <w:color w:val="auto"/>
        </w:rPr>
        <w:t>Mark, sign and date your proxy card and return it in the postage-paid envelope we have provided</w:t>
      </w:r>
    </w:p>
    <w:p>
      <w:pPr>
        <w:ind w:left="5720"/>
        <w:spacing w:after="0"/>
        <w:rPr>
          <w:sz w:val="20"/>
          <w:szCs w:val="20"/>
          <w:color w:val="auto"/>
        </w:rPr>
      </w:pPr>
      <w:r>
        <w:rPr>
          <w:rFonts w:ascii="Arial" w:cs="Arial" w:eastAsia="Arial" w:hAnsi="Arial"/>
          <w:sz w:val="13"/>
          <w:szCs w:val="13"/>
          <w:color w:val="auto"/>
        </w:rPr>
        <w:t>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260" w:type="dxa"/>
            <w:vAlign w:val="bottom"/>
            <w:gridSpan w:val="10"/>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92"/>
        </w:trPr>
        <w:tc>
          <w:tcPr>
            <w:tcW w:w="6800" w:type="dxa"/>
            <w:vAlign w:val="bottom"/>
          </w:tcPr>
          <w:p>
            <w:pPr>
              <w:ind w:left="5320"/>
              <w:spacing w:after="0"/>
              <w:rPr>
                <w:sz w:val="20"/>
                <w:szCs w:val="20"/>
                <w:color w:val="auto"/>
              </w:rPr>
            </w:pPr>
            <w:r>
              <w:rPr>
                <w:rFonts w:ascii="Arial" w:cs="Arial" w:eastAsia="Arial" w:hAnsi="Arial"/>
                <w:sz w:val="13"/>
                <w:szCs w:val="13"/>
                <w:color w:val="auto"/>
              </w:rPr>
              <w:t>E96766-Z76356-P31925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16"/>
          </w:tcPr>
          <w:p>
            <w:pPr>
              <w:ind w:left="180"/>
              <w:spacing w:after="0"/>
              <w:rPr>
                <w:sz w:val="20"/>
                <w:szCs w:val="20"/>
                <w:color w:val="auto"/>
              </w:rPr>
            </w:pPr>
            <w:r>
              <w:rPr>
                <w:rFonts w:ascii="Arial" w:cs="Arial" w:eastAsia="Arial" w:hAnsi="Arial"/>
                <w:sz w:val="13"/>
                <w:szCs w:val="13"/>
                <w:color w:val="auto"/>
                <w:w w:val="95"/>
              </w:rPr>
              <w:t>KEEP THIS PORTION FOR YOUR RECORDS</w:t>
            </w:r>
          </w:p>
        </w:tc>
      </w:tr>
      <w:tr>
        <w:trPr>
          <w:trHeight w:val="21"/>
        </w:trPr>
        <w:tc>
          <w:tcPr>
            <w:tcW w:w="6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231"/>
        </w:trPr>
        <w:tc>
          <w:tcPr>
            <w:tcW w:w="6800" w:type="dxa"/>
            <w:vAlign w:val="bottom"/>
          </w:tcPr>
          <w:p>
            <w:pPr>
              <w:ind w:left="242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gridSpan w:val="16"/>
          </w:tcPr>
          <w:p>
            <w:pPr>
              <w:ind w:left="100"/>
              <w:spacing w:after="0"/>
              <w:rPr>
                <w:sz w:val="20"/>
                <w:szCs w:val="20"/>
                <w:color w:val="auto"/>
              </w:rPr>
            </w:pPr>
            <w:r>
              <w:rPr>
                <w:rFonts w:ascii="Arial" w:cs="Arial" w:eastAsia="Arial" w:hAnsi="Arial"/>
                <w:sz w:val="13"/>
                <w:szCs w:val="13"/>
                <w:color w:val="auto"/>
                <w:w w:val="96"/>
              </w:rPr>
              <w:t>DETACH AND RETURN THIS PORTION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01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0110"/>
                    </a:xfrm>
                    <a:prstGeom prst="rect">
                      <a:avLst/>
                    </a:prstGeom>
                    <a:noFill/>
                  </pic:spPr>
                </pic:pic>
              </a:graphicData>
            </a:graphic>
          </wp:anchor>
        </w:drawing>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SKYWORKS SOLUTIONS, INC.</w:t>
      </w:r>
    </w:p>
    <w:p>
      <w:pPr>
        <w:spacing w:after="0" w:line="65" w:lineRule="exact"/>
        <w:rPr>
          <w:sz w:val="20"/>
          <w:szCs w:val="20"/>
          <w:color w:val="auto"/>
        </w:rPr>
      </w:pPr>
    </w:p>
    <w:p>
      <w:pPr>
        <w:ind w:left="240" w:right="2340"/>
        <w:spacing w:after="0" w:line="262" w:lineRule="auto"/>
        <w:rPr>
          <w:sz w:val="20"/>
          <w:szCs w:val="20"/>
          <w:color w:val="auto"/>
        </w:rPr>
      </w:pPr>
      <w:r>
        <w:rPr>
          <w:rFonts w:ascii="Arial" w:cs="Arial" w:eastAsia="Arial" w:hAnsi="Arial"/>
          <w:sz w:val="12"/>
          <w:szCs w:val="12"/>
          <w:b w:val="1"/>
          <w:bCs w:val="1"/>
          <w:color w:val="auto"/>
        </w:rPr>
        <w:t>THE BOARD OF DIRECTORS RECOMMENDS A VOTE “FOR” THE ELECTION OF EACH OF THE NOMINEES FOR DIRECTOR NAMED IN PROPOSAL 1, “FOR” PROPOSALS 2, 3, 4, 5, 6, 7, AND 8, AND “AGAINST” PROPOSAL 9.</w:t>
      </w:r>
    </w:p>
    <w:p>
      <w:pPr>
        <w:spacing w:after="0" w:line="104" w:lineRule="exact"/>
        <w:rPr>
          <w:sz w:val="20"/>
          <w:szCs w:val="20"/>
          <w:color w:val="auto"/>
        </w:rPr>
      </w:pPr>
    </w:p>
    <w:p>
      <w:pPr>
        <w:jc w:val="both"/>
        <w:ind w:left="520" w:right="7880" w:hanging="283"/>
        <w:spacing w:after="0" w:line="219" w:lineRule="auto"/>
        <w:tabs>
          <w:tab w:leader="none" w:pos="52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To elect the following nine individuals nominated to serve as directors of the Company with terms expiring at the next Annual Meeting of Stockholders.</w:t>
      </w:r>
    </w:p>
    <w:p>
      <w:pPr>
        <w:ind w:left="3560"/>
        <w:spacing w:after="0"/>
        <w:tabs>
          <w:tab w:leader="none" w:pos="4020" w:val="left"/>
          <w:tab w:leader="none" w:pos="468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1"/>
          <w:szCs w:val="11"/>
          <w:b w:val="1"/>
          <w:bCs w:val="1"/>
          <w:color w:val="auto"/>
        </w:rPr>
        <w:t>Abstain</w:t>
      </w:r>
    </w:p>
    <w:p>
      <w:pPr>
        <w:spacing w:after="0" w:line="64" w:lineRule="exact"/>
        <w:rPr>
          <w:sz w:val="20"/>
          <w:szCs w:val="20"/>
          <w:color w:val="auto"/>
        </w:rPr>
      </w:pPr>
    </w:p>
    <w:p>
      <w:pPr>
        <w:ind w:left="520"/>
        <w:spacing w:after="0"/>
        <w:tabs>
          <w:tab w:leader="none" w:pos="9480" w:val="left"/>
          <w:tab w:leader="none" w:pos="9960" w:val="left"/>
          <w:tab w:leader="none" w:pos="10560" w:val="left"/>
        </w:tabs>
        <w:rPr>
          <w:sz w:val="20"/>
          <w:szCs w:val="20"/>
          <w:color w:val="auto"/>
        </w:rPr>
      </w:pPr>
      <w:r>
        <w:rPr>
          <w:rFonts w:ascii="Arial" w:cs="Arial" w:eastAsia="Arial" w:hAnsi="Arial"/>
          <w:sz w:val="12"/>
          <w:szCs w:val="12"/>
          <w:b w:val="1"/>
          <w:bCs w:val="1"/>
          <w:color w:val="auto"/>
        </w:rPr>
        <w:t>Nominees:</w:t>
      </w:r>
      <w:r>
        <w:rPr>
          <w:sz w:val="20"/>
          <w:szCs w:val="20"/>
          <w:color w:val="auto"/>
        </w:rPr>
        <w:tab/>
      </w: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1"/>
          <w:szCs w:val="11"/>
          <w:b w:val="1"/>
          <w:bCs w:val="1"/>
          <w:color w:val="auto"/>
        </w:rPr>
        <w:t>Abstain</w:t>
      </w:r>
    </w:p>
    <w:p>
      <w:pPr>
        <w:sectPr>
          <w:pgSz w:w="11900" w:h="16896" w:orient="portrait"/>
          <w:cols w:equalWidth="0" w:num="1">
            <w:col w:w="11240"/>
          </w:cols>
          <w:pgMar w:left="320" w:top="1332" w:right="339" w:bottom="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48"/>
        </w:trPr>
        <w:tc>
          <w:tcPr>
            <w:tcW w:w="520" w:type="dxa"/>
            <w:vAlign w:val="bottom"/>
          </w:tcPr>
          <w:p>
            <w:pPr>
              <w:ind w:left="280"/>
              <w:spacing w:after="0"/>
              <w:rPr>
                <w:sz w:val="20"/>
                <w:szCs w:val="20"/>
                <w:color w:val="auto"/>
              </w:rPr>
            </w:pPr>
            <w:r>
              <w:rPr>
                <w:rFonts w:ascii="Arial" w:cs="Arial" w:eastAsia="Arial" w:hAnsi="Arial"/>
                <w:sz w:val="12"/>
                <w:szCs w:val="12"/>
                <w:color w:val="auto"/>
              </w:rPr>
              <w:t>1a.</w:t>
            </w:r>
          </w:p>
        </w:tc>
        <w:tc>
          <w:tcPr>
            <w:tcW w:w="2740" w:type="dxa"/>
            <w:vAlign w:val="bottom"/>
          </w:tcPr>
          <w:p>
            <w:pPr>
              <w:ind w:left="80"/>
              <w:spacing w:after="0"/>
              <w:rPr>
                <w:sz w:val="20"/>
                <w:szCs w:val="20"/>
                <w:color w:val="auto"/>
              </w:rPr>
            </w:pPr>
            <w:r>
              <w:rPr>
                <w:rFonts w:ascii="Arial" w:cs="Arial" w:eastAsia="Arial" w:hAnsi="Arial"/>
                <w:sz w:val="12"/>
                <w:szCs w:val="12"/>
                <w:color w:val="auto"/>
              </w:rPr>
              <w:t>David J. Aldrich</w:t>
            </w:r>
          </w:p>
        </w:tc>
        <w:tc>
          <w:tcPr>
            <w:tcW w:w="440" w:type="dxa"/>
            <w:vAlign w:val="bottom"/>
          </w:tcPr>
          <w:p>
            <w:pPr>
              <w:ind w:left="120"/>
              <w:spacing w:after="0"/>
              <w:rPr>
                <w:sz w:val="20"/>
                <w:szCs w:val="20"/>
                <w:color w:val="auto"/>
              </w:rPr>
            </w:pPr>
            <w:r>
              <w:rPr>
                <w:rFonts w:ascii="Arial" w:cs="Arial" w:eastAsia="Arial" w:hAnsi="Arial"/>
                <w:sz w:val="12"/>
                <w:szCs w:val="12"/>
                <w:color w:val="auto"/>
              </w:rPr>
              <w:t>o</w:t>
            </w:r>
          </w:p>
        </w:tc>
        <w:tc>
          <w:tcPr>
            <w:tcW w:w="640" w:type="dxa"/>
            <w:vAlign w:val="bottom"/>
          </w:tcPr>
          <w:p>
            <w:pPr>
              <w:ind w:left="280"/>
              <w:spacing w:after="0"/>
              <w:rPr>
                <w:sz w:val="20"/>
                <w:szCs w:val="20"/>
                <w:color w:val="auto"/>
              </w:rPr>
            </w:pPr>
            <w:r>
              <w:rPr>
                <w:rFonts w:ascii="Arial" w:cs="Arial" w:eastAsia="Arial" w:hAnsi="Arial"/>
                <w:sz w:val="12"/>
                <w:szCs w:val="12"/>
                <w:color w:val="auto"/>
              </w:rPr>
              <w:t>o</w:t>
            </w:r>
          </w:p>
        </w:tc>
        <w:tc>
          <w:tcPr>
            <w:tcW w:w="640" w:type="dxa"/>
            <w:vAlign w:val="bottom"/>
          </w:tcPr>
          <w:p>
            <w:pPr>
              <w:ind w:left="300"/>
              <w:spacing w:after="0"/>
              <w:rPr>
                <w:sz w:val="20"/>
                <w:szCs w:val="20"/>
                <w:color w:val="auto"/>
              </w:rPr>
            </w:pPr>
            <w:r>
              <w:rPr>
                <w:rFonts w:ascii="Arial" w:cs="Arial" w:eastAsia="Arial" w:hAnsi="Arial"/>
                <w:sz w:val="12"/>
                <w:szCs w:val="12"/>
                <w:color w:val="auto"/>
              </w:rPr>
              <w:t>o</w:t>
            </w:r>
          </w:p>
        </w:tc>
        <w:tc>
          <w:tcPr>
            <w:tcW w:w="460" w:type="dxa"/>
            <w:vAlign w:val="bottom"/>
            <w:vMerge w:val="restart"/>
          </w:tcPr>
          <w:p>
            <w:pPr>
              <w:jc w:val="right"/>
              <w:ind w:right="42"/>
              <w:spacing w:after="0"/>
              <w:rPr>
                <w:sz w:val="20"/>
                <w:szCs w:val="20"/>
                <w:color w:val="auto"/>
              </w:rPr>
            </w:pPr>
            <w:r>
              <w:rPr>
                <w:rFonts w:ascii="Arial" w:cs="Arial" w:eastAsia="Arial" w:hAnsi="Arial"/>
                <w:sz w:val="12"/>
                <w:szCs w:val="12"/>
                <w:color w:val="auto"/>
              </w:rPr>
              <w:t>3.</w:t>
            </w:r>
          </w:p>
        </w:tc>
        <w:tc>
          <w:tcPr>
            <w:tcW w:w="3620" w:type="dxa"/>
            <w:vAlign w:val="bottom"/>
            <w:vMerge w:val="restart"/>
          </w:tcPr>
          <w:p>
            <w:pPr>
              <w:ind w:left="100"/>
              <w:spacing w:after="0"/>
              <w:rPr>
                <w:sz w:val="20"/>
                <w:szCs w:val="20"/>
                <w:color w:val="auto"/>
              </w:rPr>
            </w:pPr>
            <w:r>
              <w:rPr>
                <w:rFonts w:ascii="Arial" w:cs="Arial" w:eastAsia="Arial" w:hAnsi="Arial"/>
                <w:sz w:val="12"/>
                <w:szCs w:val="12"/>
                <w:color w:val="auto"/>
              </w:rPr>
              <w:t>To  approve,  on  an  advisory  basis,  the  compensation  of  the</w:t>
            </w:r>
          </w:p>
        </w:tc>
        <w:tc>
          <w:tcPr>
            <w:tcW w:w="0" w:type="dxa"/>
            <w:vAlign w:val="bottom"/>
          </w:tcPr>
          <w:p>
            <w:pPr>
              <w:spacing w:after="0"/>
              <w:rPr>
                <w:sz w:val="1"/>
                <w:szCs w:val="1"/>
                <w:color w:val="auto"/>
              </w:rPr>
            </w:pPr>
          </w:p>
        </w:tc>
      </w:tr>
      <w:tr>
        <w:trPr>
          <w:trHeight w:val="130"/>
        </w:trPr>
        <w:tc>
          <w:tcPr>
            <w:tcW w:w="5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vMerge w:val="restart"/>
          </w:tcPr>
          <w:p>
            <w:pPr>
              <w:ind w:left="280"/>
              <w:spacing w:after="0"/>
              <w:rPr>
                <w:sz w:val="20"/>
                <w:szCs w:val="20"/>
                <w:color w:val="auto"/>
              </w:rPr>
            </w:pPr>
            <w:r>
              <w:rPr>
                <w:rFonts w:ascii="Arial" w:cs="Arial" w:eastAsia="Arial" w:hAnsi="Arial"/>
                <w:sz w:val="12"/>
                <w:szCs w:val="12"/>
                <w:color w:val="auto"/>
              </w:rPr>
              <w:t>1b.</w:t>
            </w:r>
          </w:p>
        </w:tc>
        <w:tc>
          <w:tcPr>
            <w:tcW w:w="2740" w:type="dxa"/>
            <w:vAlign w:val="bottom"/>
            <w:vMerge w:val="restart"/>
          </w:tcPr>
          <w:p>
            <w:pPr>
              <w:ind w:left="80"/>
              <w:spacing w:after="0"/>
              <w:rPr>
                <w:sz w:val="20"/>
                <w:szCs w:val="20"/>
                <w:color w:val="auto"/>
              </w:rPr>
            </w:pPr>
            <w:r>
              <w:rPr>
                <w:rFonts w:ascii="Arial" w:cs="Arial" w:eastAsia="Arial" w:hAnsi="Arial"/>
                <w:sz w:val="12"/>
                <w:szCs w:val="12"/>
                <w:color w:val="auto"/>
              </w:rPr>
              <w:t>Alan S. Batey</w:t>
            </w:r>
          </w:p>
        </w:tc>
        <w:tc>
          <w:tcPr>
            <w:tcW w:w="440" w:type="dxa"/>
            <w:vAlign w:val="bottom"/>
            <w:vMerge w:val="restart"/>
          </w:tcPr>
          <w:p>
            <w:pPr>
              <w:ind w:left="120"/>
              <w:spacing w:after="0"/>
              <w:rPr>
                <w:sz w:val="20"/>
                <w:szCs w:val="20"/>
                <w:color w:val="auto"/>
              </w:rPr>
            </w:pPr>
            <w:r>
              <w:rPr>
                <w:rFonts w:ascii="Arial" w:cs="Arial" w:eastAsia="Arial" w:hAnsi="Arial"/>
                <w:sz w:val="12"/>
                <w:szCs w:val="12"/>
                <w:color w:val="auto"/>
              </w:rPr>
              <w:t>o</w:t>
            </w:r>
          </w:p>
        </w:tc>
        <w:tc>
          <w:tcPr>
            <w:tcW w:w="640" w:type="dxa"/>
            <w:vAlign w:val="bottom"/>
            <w:vMerge w:val="restart"/>
          </w:tcPr>
          <w:p>
            <w:pPr>
              <w:ind w:left="280"/>
              <w:spacing w:after="0"/>
              <w:rPr>
                <w:sz w:val="20"/>
                <w:szCs w:val="20"/>
                <w:color w:val="auto"/>
              </w:rPr>
            </w:pPr>
            <w:r>
              <w:rPr>
                <w:rFonts w:ascii="Arial" w:cs="Arial" w:eastAsia="Arial" w:hAnsi="Arial"/>
                <w:sz w:val="12"/>
                <w:szCs w:val="12"/>
                <w:color w:val="auto"/>
              </w:rPr>
              <w:t>o</w:t>
            </w:r>
          </w:p>
        </w:tc>
        <w:tc>
          <w:tcPr>
            <w:tcW w:w="640" w:type="dxa"/>
            <w:vAlign w:val="bottom"/>
            <w:vMerge w:val="restart"/>
          </w:tcPr>
          <w:p>
            <w:pPr>
              <w:ind w:left="300"/>
              <w:spacing w:after="0"/>
              <w:rPr>
                <w:sz w:val="20"/>
                <w:szCs w:val="20"/>
                <w:color w:val="auto"/>
              </w:rPr>
            </w:pPr>
            <w:r>
              <w:rPr>
                <w:rFonts w:ascii="Arial" w:cs="Arial" w:eastAsia="Arial" w:hAnsi="Arial"/>
                <w:sz w:val="12"/>
                <w:szCs w:val="12"/>
                <w:color w:val="auto"/>
              </w:rPr>
              <w:t>o</w:t>
            </w:r>
          </w:p>
        </w:tc>
        <w:tc>
          <w:tcPr>
            <w:tcW w:w="460" w:type="dxa"/>
            <w:vAlign w:val="bottom"/>
          </w:tcPr>
          <w:p>
            <w:pPr>
              <w:spacing w:after="0"/>
              <w:rPr>
                <w:sz w:val="11"/>
                <w:szCs w:val="11"/>
                <w:color w:val="auto"/>
              </w:rPr>
            </w:pPr>
          </w:p>
        </w:tc>
        <w:tc>
          <w:tcPr>
            <w:tcW w:w="3620" w:type="dxa"/>
            <w:vAlign w:val="bottom"/>
          </w:tcPr>
          <w:p>
            <w:pPr>
              <w:ind w:left="100"/>
              <w:spacing w:after="0" w:line="135" w:lineRule="exact"/>
              <w:rPr>
                <w:sz w:val="20"/>
                <w:szCs w:val="20"/>
                <w:color w:val="auto"/>
              </w:rPr>
            </w:pPr>
            <w:r>
              <w:rPr>
                <w:rFonts w:ascii="Arial" w:cs="Arial" w:eastAsia="Arial" w:hAnsi="Arial"/>
                <w:sz w:val="12"/>
                <w:szCs w:val="12"/>
                <w:color w:val="auto"/>
              </w:rPr>
              <w:t>Company’s  named  executive  officers,  as  described  in  the</w:t>
            </w:r>
          </w:p>
        </w:tc>
        <w:tc>
          <w:tcPr>
            <w:tcW w:w="0" w:type="dxa"/>
            <w:vAlign w:val="bottom"/>
          </w:tcPr>
          <w:p>
            <w:pPr>
              <w:spacing w:after="0"/>
              <w:rPr>
                <w:sz w:val="1"/>
                <w:szCs w:val="1"/>
                <w:color w:val="auto"/>
              </w:rPr>
            </w:pPr>
          </w:p>
        </w:tc>
      </w:tr>
      <w:tr>
        <w:trPr>
          <w:trHeight w:val="72"/>
        </w:trPr>
        <w:tc>
          <w:tcPr>
            <w:tcW w:w="520" w:type="dxa"/>
            <w:vAlign w:val="bottom"/>
            <w:vMerge w:val="continue"/>
          </w:tcPr>
          <w:p>
            <w:pPr>
              <w:spacing w:after="0"/>
              <w:rPr>
                <w:sz w:val="6"/>
                <w:szCs w:val="6"/>
                <w:color w:val="auto"/>
              </w:rPr>
            </w:pPr>
          </w:p>
        </w:tc>
        <w:tc>
          <w:tcPr>
            <w:tcW w:w="274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620" w:type="dxa"/>
            <w:vAlign w:val="bottom"/>
            <w:vMerge w:val="restart"/>
          </w:tcPr>
          <w:p>
            <w:pPr>
              <w:ind w:left="100"/>
              <w:spacing w:after="0"/>
              <w:rPr>
                <w:sz w:val="20"/>
                <w:szCs w:val="20"/>
                <w:color w:val="auto"/>
              </w:rPr>
            </w:pPr>
            <w:r>
              <w:rPr>
                <w:rFonts w:ascii="Arial" w:cs="Arial" w:eastAsia="Arial" w:hAnsi="Arial"/>
                <w:sz w:val="12"/>
                <w:szCs w:val="12"/>
                <w:color w:val="auto"/>
              </w:rPr>
              <w:t>Company’s Proxy Statement.</w:t>
            </w:r>
          </w:p>
        </w:tc>
        <w:tc>
          <w:tcPr>
            <w:tcW w:w="0" w:type="dxa"/>
            <w:vAlign w:val="bottom"/>
          </w:tcPr>
          <w:p>
            <w:pPr>
              <w:spacing w:after="0"/>
              <w:rPr>
                <w:sz w:val="1"/>
                <w:szCs w:val="1"/>
                <w:color w:val="auto"/>
              </w:rPr>
            </w:pPr>
          </w:p>
        </w:tc>
      </w:tr>
      <w:tr>
        <w:trPr>
          <w:trHeight w:val="68"/>
        </w:trPr>
        <w:tc>
          <w:tcPr>
            <w:tcW w:w="5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520" w:type="dxa"/>
            <w:vAlign w:val="bottom"/>
          </w:tcPr>
          <w:p>
            <w:pPr>
              <w:ind w:left="280"/>
              <w:spacing w:after="0"/>
              <w:rPr>
                <w:sz w:val="20"/>
                <w:szCs w:val="20"/>
                <w:color w:val="auto"/>
              </w:rPr>
            </w:pPr>
            <w:r>
              <w:rPr>
                <w:rFonts w:ascii="Arial" w:cs="Arial" w:eastAsia="Arial" w:hAnsi="Arial"/>
                <w:sz w:val="12"/>
                <w:szCs w:val="12"/>
                <w:color w:val="auto"/>
              </w:rPr>
              <w:t>1c.</w:t>
            </w:r>
          </w:p>
        </w:tc>
        <w:tc>
          <w:tcPr>
            <w:tcW w:w="2740" w:type="dxa"/>
            <w:vAlign w:val="bottom"/>
          </w:tcPr>
          <w:p>
            <w:pPr>
              <w:ind w:left="80"/>
              <w:spacing w:after="0"/>
              <w:rPr>
                <w:sz w:val="20"/>
                <w:szCs w:val="20"/>
                <w:color w:val="auto"/>
              </w:rPr>
            </w:pPr>
            <w:r>
              <w:rPr>
                <w:rFonts w:ascii="Arial" w:cs="Arial" w:eastAsia="Arial" w:hAnsi="Arial"/>
                <w:sz w:val="12"/>
                <w:szCs w:val="12"/>
                <w:color w:val="auto"/>
              </w:rPr>
              <w:t>Kevin L. Beebe</w:t>
            </w:r>
          </w:p>
        </w:tc>
        <w:tc>
          <w:tcPr>
            <w:tcW w:w="440" w:type="dxa"/>
            <w:vAlign w:val="bottom"/>
          </w:tcPr>
          <w:p>
            <w:pPr>
              <w:ind w:left="120"/>
              <w:spacing w:after="0"/>
              <w:rPr>
                <w:sz w:val="20"/>
                <w:szCs w:val="20"/>
                <w:color w:val="auto"/>
              </w:rPr>
            </w:pPr>
            <w:r>
              <w:rPr>
                <w:rFonts w:ascii="Arial" w:cs="Arial" w:eastAsia="Arial" w:hAnsi="Arial"/>
                <w:sz w:val="12"/>
                <w:szCs w:val="12"/>
                <w:color w:val="auto"/>
              </w:rPr>
              <w:t>o</w:t>
            </w:r>
          </w:p>
        </w:tc>
        <w:tc>
          <w:tcPr>
            <w:tcW w:w="640" w:type="dxa"/>
            <w:vAlign w:val="bottom"/>
          </w:tcPr>
          <w:p>
            <w:pPr>
              <w:ind w:left="280"/>
              <w:spacing w:after="0"/>
              <w:rPr>
                <w:sz w:val="20"/>
                <w:szCs w:val="20"/>
                <w:color w:val="auto"/>
              </w:rPr>
            </w:pPr>
            <w:r>
              <w:rPr>
                <w:rFonts w:ascii="Arial" w:cs="Arial" w:eastAsia="Arial" w:hAnsi="Arial"/>
                <w:sz w:val="12"/>
                <w:szCs w:val="12"/>
                <w:color w:val="auto"/>
              </w:rPr>
              <w:t>o</w:t>
            </w:r>
          </w:p>
        </w:tc>
        <w:tc>
          <w:tcPr>
            <w:tcW w:w="640" w:type="dxa"/>
            <w:vAlign w:val="bottom"/>
          </w:tcPr>
          <w:p>
            <w:pPr>
              <w:ind w:left="300"/>
              <w:spacing w:after="0"/>
              <w:rPr>
                <w:sz w:val="20"/>
                <w:szCs w:val="20"/>
                <w:color w:val="auto"/>
              </w:rPr>
            </w:pPr>
            <w:r>
              <w:rPr>
                <w:rFonts w:ascii="Arial" w:cs="Arial" w:eastAsia="Arial" w:hAnsi="Arial"/>
                <w:sz w:val="12"/>
                <w:szCs w:val="12"/>
                <w:color w:val="auto"/>
              </w:rPr>
              <w:t>o</w:t>
            </w: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4.</w:t>
            </w:r>
          </w:p>
        </w:tc>
        <w:tc>
          <w:tcPr>
            <w:tcW w:w="3620" w:type="dxa"/>
            <w:vAlign w:val="bottom"/>
          </w:tcPr>
          <w:p>
            <w:pPr>
              <w:ind w:left="100"/>
              <w:spacing w:after="0"/>
              <w:rPr>
                <w:sz w:val="20"/>
                <w:szCs w:val="20"/>
                <w:color w:val="auto"/>
              </w:rPr>
            </w:pPr>
            <w:r>
              <w:rPr>
                <w:rFonts w:ascii="Arial" w:cs="Arial" w:eastAsia="Arial" w:hAnsi="Arial"/>
                <w:sz w:val="12"/>
                <w:szCs w:val="12"/>
                <w:color w:val="auto"/>
                <w:w w:val="96"/>
              </w:rPr>
              <w:t>To approve an amendment to the Company’s 2002 Employee Stock</w:t>
            </w:r>
          </w:p>
        </w:tc>
        <w:tc>
          <w:tcPr>
            <w:tcW w:w="0" w:type="dxa"/>
            <w:vAlign w:val="bottom"/>
          </w:tcPr>
          <w:p>
            <w:pPr>
              <w:spacing w:after="0"/>
              <w:rPr>
                <w:sz w:val="1"/>
                <w:szCs w:val="1"/>
                <w:color w:val="auto"/>
              </w:rPr>
            </w:pPr>
          </w:p>
        </w:tc>
      </w:tr>
      <w:tr>
        <w:trPr>
          <w:trHeight w:val="140"/>
        </w:trPr>
        <w:tc>
          <w:tcPr>
            <w:tcW w:w="520" w:type="dxa"/>
            <w:vAlign w:val="bottom"/>
            <w:vMerge w:val="restart"/>
          </w:tcPr>
          <w:p>
            <w:pPr>
              <w:ind w:left="280"/>
              <w:spacing w:after="0"/>
              <w:rPr>
                <w:sz w:val="20"/>
                <w:szCs w:val="20"/>
                <w:color w:val="auto"/>
              </w:rPr>
            </w:pPr>
            <w:r>
              <w:rPr>
                <w:rFonts w:ascii="Arial" w:cs="Arial" w:eastAsia="Arial" w:hAnsi="Arial"/>
                <w:sz w:val="12"/>
                <w:szCs w:val="12"/>
                <w:color w:val="auto"/>
              </w:rPr>
              <w:t>1d.</w:t>
            </w:r>
          </w:p>
        </w:tc>
        <w:tc>
          <w:tcPr>
            <w:tcW w:w="2740" w:type="dxa"/>
            <w:vAlign w:val="bottom"/>
            <w:vMerge w:val="restart"/>
          </w:tcPr>
          <w:p>
            <w:pPr>
              <w:ind w:left="80"/>
              <w:spacing w:after="0"/>
              <w:rPr>
                <w:sz w:val="20"/>
                <w:szCs w:val="20"/>
                <w:color w:val="auto"/>
              </w:rPr>
            </w:pPr>
            <w:r>
              <w:rPr>
                <w:rFonts w:ascii="Arial" w:cs="Arial" w:eastAsia="Arial" w:hAnsi="Arial"/>
                <w:sz w:val="12"/>
                <w:szCs w:val="12"/>
                <w:color w:val="auto"/>
              </w:rPr>
              <w:t>Timothy R. Furey</w:t>
            </w:r>
          </w:p>
        </w:tc>
        <w:tc>
          <w:tcPr>
            <w:tcW w:w="440" w:type="dxa"/>
            <w:vAlign w:val="bottom"/>
            <w:vMerge w:val="restart"/>
          </w:tcPr>
          <w:p>
            <w:pPr>
              <w:ind w:left="120"/>
              <w:spacing w:after="0"/>
              <w:rPr>
                <w:sz w:val="20"/>
                <w:szCs w:val="20"/>
                <w:color w:val="auto"/>
              </w:rPr>
            </w:pPr>
            <w:r>
              <w:rPr>
                <w:rFonts w:ascii="Arial" w:cs="Arial" w:eastAsia="Arial" w:hAnsi="Arial"/>
                <w:sz w:val="12"/>
                <w:szCs w:val="12"/>
                <w:color w:val="auto"/>
              </w:rPr>
              <w:t>o</w:t>
            </w:r>
          </w:p>
        </w:tc>
        <w:tc>
          <w:tcPr>
            <w:tcW w:w="640" w:type="dxa"/>
            <w:vAlign w:val="bottom"/>
            <w:vMerge w:val="restart"/>
          </w:tcPr>
          <w:p>
            <w:pPr>
              <w:ind w:left="280"/>
              <w:spacing w:after="0"/>
              <w:rPr>
                <w:sz w:val="20"/>
                <w:szCs w:val="20"/>
                <w:color w:val="auto"/>
              </w:rPr>
            </w:pPr>
            <w:r>
              <w:rPr>
                <w:rFonts w:ascii="Arial" w:cs="Arial" w:eastAsia="Arial" w:hAnsi="Arial"/>
                <w:sz w:val="12"/>
                <w:szCs w:val="12"/>
                <w:color w:val="auto"/>
              </w:rPr>
              <w:t>o</w:t>
            </w:r>
          </w:p>
        </w:tc>
        <w:tc>
          <w:tcPr>
            <w:tcW w:w="640" w:type="dxa"/>
            <w:vAlign w:val="bottom"/>
            <w:vMerge w:val="restart"/>
          </w:tcPr>
          <w:p>
            <w:pPr>
              <w:ind w:left="300"/>
              <w:spacing w:after="0"/>
              <w:rPr>
                <w:sz w:val="20"/>
                <w:szCs w:val="20"/>
                <w:color w:val="auto"/>
              </w:rPr>
            </w:pPr>
            <w:r>
              <w:rPr>
                <w:rFonts w:ascii="Arial" w:cs="Arial" w:eastAsia="Arial" w:hAnsi="Arial"/>
                <w:sz w:val="12"/>
                <w:szCs w:val="12"/>
                <w:color w:val="auto"/>
              </w:rPr>
              <w:t>o</w:t>
            </w:r>
          </w:p>
        </w:tc>
        <w:tc>
          <w:tcPr>
            <w:tcW w:w="460" w:type="dxa"/>
            <w:vAlign w:val="bottom"/>
          </w:tcPr>
          <w:p>
            <w:pPr>
              <w:spacing w:after="0"/>
              <w:rPr>
                <w:sz w:val="12"/>
                <w:szCs w:val="12"/>
                <w:color w:val="auto"/>
              </w:rPr>
            </w:pPr>
          </w:p>
        </w:tc>
        <w:tc>
          <w:tcPr>
            <w:tcW w:w="3620" w:type="dxa"/>
            <w:vAlign w:val="bottom"/>
          </w:tcPr>
          <w:p>
            <w:pPr>
              <w:ind w:left="100"/>
              <w:spacing w:after="0"/>
              <w:rPr>
                <w:sz w:val="20"/>
                <w:szCs w:val="20"/>
                <w:color w:val="auto"/>
              </w:rPr>
            </w:pPr>
            <w:r>
              <w:rPr>
                <w:rFonts w:ascii="Arial" w:cs="Arial" w:eastAsia="Arial" w:hAnsi="Arial"/>
                <w:sz w:val="12"/>
                <w:szCs w:val="12"/>
                <w:color w:val="auto"/>
              </w:rPr>
              <w:t>Purchase Plan, as Amended.</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60" w:type="dxa"/>
            <w:vAlign w:val="bottom"/>
            <w:vMerge w:val="restart"/>
          </w:tcPr>
          <w:p>
            <w:pPr>
              <w:jc w:val="right"/>
              <w:ind w:right="42"/>
              <w:spacing w:after="0"/>
              <w:rPr>
                <w:sz w:val="20"/>
                <w:szCs w:val="20"/>
                <w:color w:val="auto"/>
              </w:rPr>
            </w:pPr>
            <w:r>
              <w:rPr>
                <w:rFonts w:ascii="Arial" w:cs="Arial" w:eastAsia="Arial" w:hAnsi="Arial"/>
                <w:sz w:val="12"/>
                <w:szCs w:val="12"/>
                <w:color w:val="auto"/>
              </w:rPr>
              <w:t>5.</w:t>
            </w:r>
          </w:p>
        </w:tc>
        <w:tc>
          <w:tcPr>
            <w:tcW w:w="3620" w:type="dxa"/>
            <w:vAlign w:val="bottom"/>
            <w:vMerge w:val="restart"/>
          </w:tcPr>
          <w:p>
            <w:pPr>
              <w:ind w:left="100"/>
              <w:spacing w:after="0"/>
              <w:rPr>
                <w:sz w:val="20"/>
                <w:szCs w:val="20"/>
                <w:color w:val="auto"/>
              </w:rPr>
            </w:pPr>
            <w:r>
              <w:rPr>
                <w:rFonts w:ascii="Arial" w:cs="Arial" w:eastAsia="Arial" w:hAnsi="Arial"/>
                <w:sz w:val="12"/>
                <w:szCs w:val="12"/>
                <w:color w:val="auto"/>
                <w:w w:val="96"/>
              </w:rPr>
              <w:t>To approve an amendment to the Company’s Restated Certificate of</w:t>
            </w:r>
          </w:p>
        </w:tc>
        <w:tc>
          <w:tcPr>
            <w:tcW w:w="0" w:type="dxa"/>
            <w:vAlign w:val="bottom"/>
          </w:tcPr>
          <w:p>
            <w:pPr>
              <w:spacing w:after="0"/>
              <w:rPr>
                <w:sz w:val="1"/>
                <w:szCs w:val="1"/>
                <w:color w:val="auto"/>
              </w:rPr>
            </w:pPr>
          </w:p>
        </w:tc>
      </w:tr>
      <w:tr>
        <w:trPr>
          <w:trHeight w:val="130"/>
        </w:trPr>
        <w:tc>
          <w:tcPr>
            <w:tcW w:w="520" w:type="dxa"/>
            <w:vAlign w:val="bottom"/>
            <w:vMerge w:val="restart"/>
          </w:tcPr>
          <w:p>
            <w:pPr>
              <w:ind w:left="280"/>
              <w:spacing w:after="0"/>
              <w:rPr>
                <w:sz w:val="20"/>
                <w:szCs w:val="20"/>
                <w:color w:val="auto"/>
              </w:rPr>
            </w:pPr>
            <w:r>
              <w:rPr>
                <w:rFonts w:ascii="Arial" w:cs="Arial" w:eastAsia="Arial" w:hAnsi="Arial"/>
                <w:sz w:val="12"/>
                <w:szCs w:val="12"/>
                <w:color w:val="auto"/>
              </w:rPr>
              <w:t>1e.</w:t>
            </w:r>
          </w:p>
        </w:tc>
        <w:tc>
          <w:tcPr>
            <w:tcW w:w="2740" w:type="dxa"/>
            <w:vAlign w:val="bottom"/>
            <w:vMerge w:val="restart"/>
          </w:tcPr>
          <w:p>
            <w:pPr>
              <w:ind w:left="80"/>
              <w:spacing w:after="0"/>
              <w:rPr>
                <w:sz w:val="20"/>
                <w:szCs w:val="20"/>
                <w:color w:val="auto"/>
              </w:rPr>
            </w:pPr>
            <w:r>
              <w:rPr>
                <w:rFonts w:ascii="Arial" w:cs="Arial" w:eastAsia="Arial" w:hAnsi="Arial"/>
                <w:sz w:val="12"/>
                <w:szCs w:val="12"/>
                <w:color w:val="auto"/>
              </w:rPr>
              <w:t>Liam K. Griffin</w:t>
            </w:r>
          </w:p>
        </w:tc>
        <w:tc>
          <w:tcPr>
            <w:tcW w:w="440" w:type="dxa"/>
            <w:vAlign w:val="bottom"/>
            <w:vMerge w:val="restart"/>
          </w:tcPr>
          <w:p>
            <w:pPr>
              <w:ind w:left="120"/>
              <w:spacing w:after="0"/>
              <w:rPr>
                <w:sz w:val="20"/>
                <w:szCs w:val="20"/>
                <w:color w:val="auto"/>
              </w:rPr>
            </w:pPr>
            <w:r>
              <w:rPr>
                <w:rFonts w:ascii="Arial" w:cs="Arial" w:eastAsia="Arial" w:hAnsi="Arial"/>
                <w:sz w:val="12"/>
                <w:szCs w:val="12"/>
                <w:color w:val="auto"/>
              </w:rPr>
              <w:t>o</w:t>
            </w:r>
          </w:p>
        </w:tc>
        <w:tc>
          <w:tcPr>
            <w:tcW w:w="640" w:type="dxa"/>
            <w:vAlign w:val="bottom"/>
            <w:vMerge w:val="restart"/>
          </w:tcPr>
          <w:p>
            <w:pPr>
              <w:ind w:left="280"/>
              <w:spacing w:after="0"/>
              <w:rPr>
                <w:sz w:val="20"/>
                <w:szCs w:val="20"/>
                <w:color w:val="auto"/>
              </w:rPr>
            </w:pPr>
            <w:r>
              <w:rPr>
                <w:rFonts w:ascii="Arial" w:cs="Arial" w:eastAsia="Arial" w:hAnsi="Arial"/>
                <w:sz w:val="12"/>
                <w:szCs w:val="12"/>
                <w:color w:val="auto"/>
              </w:rPr>
              <w:t>o</w:t>
            </w:r>
          </w:p>
        </w:tc>
        <w:tc>
          <w:tcPr>
            <w:tcW w:w="640" w:type="dxa"/>
            <w:vAlign w:val="bottom"/>
            <w:vMerge w:val="restart"/>
          </w:tcPr>
          <w:p>
            <w:pPr>
              <w:ind w:left="300"/>
              <w:spacing w:after="0"/>
              <w:rPr>
                <w:sz w:val="20"/>
                <w:szCs w:val="20"/>
                <w:color w:val="auto"/>
              </w:rPr>
            </w:pPr>
            <w:r>
              <w:rPr>
                <w:rFonts w:ascii="Arial" w:cs="Arial" w:eastAsia="Arial" w:hAnsi="Arial"/>
                <w:sz w:val="12"/>
                <w:szCs w:val="12"/>
                <w:color w:val="auto"/>
              </w:rPr>
              <w:t>o</w:t>
            </w:r>
          </w:p>
        </w:tc>
        <w:tc>
          <w:tcPr>
            <w:tcW w:w="460" w:type="dxa"/>
            <w:vAlign w:val="bottom"/>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vMerge w:val="continue"/>
          </w:tcPr>
          <w:p>
            <w:pPr>
              <w:spacing w:after="0"/>
              <w:rPr>
                <w:sz w:val="11"/>
                <w:szCs w:val="11"/>
                <w:color w:val="auto"/>
              </w:rPr>
            </w:pPr>
          </w:p>
        </w:tc>
        <w:tc>
          <w:tcPr>
            <w:tcW w:w="274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3620" w:type="dxa"/>
            <w:vAlign w:val="bottom"/>
          </w:tcPr>
          <w:p>
            <w:pPr>
              <w:ind w:left="100"/>
              <w:spacing w:after="0" w:line="135" w:lineRule="exact"/>
              <w:rPr>
                <w:sz w:val="20"/>
                <w:szCs w:val="20"/>
                <w:color w:val="auto"/>
              </w:rPr>
            </w:pPr>
            <w:r>
              <w:rPr>
                <w:rFonts w:ascii="Arial" w:cs="Arial" w:eastAsia="Arial" w:hAnsi="Arial"/>
                <w:sz w:val="12"/>
                <w:szCs w:val="12"/>
                <w:color w:val="auto"/>
                <w:w w:val="98"/>
              </w:rPr>
              <w:t>Incorporation to eliminate the supermajority vote provisions relating</w:t>
            </w:r>
          </w:p>
        </w:tc>
        <w:tc>
          <w:tcPr>
            <w:tcW w:w="0" w:type="dxa"/>
            <w:vAlign w:val="bottom"/>
          </w:tcPr>
          <w:p>
            <w:pPr>
              <w:spacing w:after="0"/>
              <w:rPr>
                <w:sz w:val="1"/>
                <w:szCs w:val="1"/>
                <w:color w:val="auto"/>
              </w:rPr>
            </w:pPr>
          </w:p>
        </w:tc>
      </w:tr>
      <w:tr>
        <w:trPr>
          <w:trHeight w:val="135"/>
        </w:trPr>
        <w:tc>
          <w:tcPr>
            <w:tcW w:w="520" w:type="dxa"/>
            <w:vAlign w:val="bottom"/>
            <w:vMerge w:val="restart"/>
          </w:tcPr>
          <w:p>
            <w:pPr>
              <w:ind w:left="280"/>
              <w:spacing w:after="0"/>
              <w:rPr>
                <w:sz w:val="20"/>
                <w:szCs w:val="20"/>
                <w:color w:val="auto"/>
              </w:rPr>
            </w:pPr>
            <w:r>
              <w:rPr>
                <w:rFonts w:ascii="Arial" w:cs="Arial" w:eastAsia="Arial" w:hAnsi="Arial"/>
                <w:sz w:val="12"/>
                <w:szCs w:val="12"/>
                <w:color w:val="auto"/>
              </w:rPr>
              <w:t>1f.</w:t>
            </w:r>
          </w:p>
        </w:tc>
        <w:tc>
          <w:tcPr>
            <w:tcW w:w="2740" w:type="dxa"/>
            <w:vAlign w:val="bottom"/>
            <w:vMerge w:val="restart"/>
          </w:tcPr>
          <w:p>
            <w:pPr>
              <w:ind w:left="80"/>
              <w:spacing w:after="0"/>
              <w:rPr>
                <w:sz w:val="20"/>
                <w:szCs w:val="20"/>
                <w:color w:val="auto"/>
              </w:rPr>
            </w:pPr>
            <w:r>
              <w:rPr>
                <w:rFonts w:ascii="Arial" w:cs="Arial" w:eastAsia="Arial" w:hAnsi="Arial"/>
                <w:sz w:val="12"/>
                <w:szCs w:val="12"/>
                <w:color w:val="auto"/>
              </w:rPr>
              <w:t>Christine King</w:t>
            </w:r>
          </w:p>
        </w:tc>
        <w:tc>
          <w:tcPr>
            <w:tcW w:w="440" w:type="dxa"/>
            <w:vAlign w:val="bottom"/>
            <w:vMerge w:val="restart"/>
          </w:tcPr>
          <w:p>
            <w:pPr>
              <w:ind w:left="120"/>
              <w:spacing w:after="0"/>
              <w:rPr>
                <w:sz w:val="20"/>
                <w:szCs w:val="20"/>
                <w:color w:val="auto"/>
              </w:rPr>
            </w:pPr>
            <w:r>
              <w:rPr>
                <w:rFonts w:ascii="Arial" w:cs="Arial" w:eastAsia="Arial" w:hAnsi="Arial"/>
                <w:sz w:val="12"/>
                <w:szCs w:val="12"/>
                <w:color w:val="auto"/>
              </w:rPr>
              <w:t>o</w:t>
            </w:r>
          </w:p>
        </w:tc>
        <w:tc>
          <w:tcPr>
            <w:tcW w:w="640" w:type="dxa"/>
            <w:vAlign w:val="bottom"/>
            <w:vMerge w:val="restart"/>
          </w:tcPr>
          <w:p>
            <w:pPr>
              <w:ind w:left="280"/>
              <w:spacing w:after="0"/>
              <w:rPr>
                <w:sz w:val="20"/>
                <w:szCs w:val="20"/>
                <w:color w:val="auto"/>
              </w:rPr>
            </w:pPr>
            <w:r>
              <w:rPr>
                <w:rFonts w:ascii="Arial" w:cs="Arial" w:eastAsia="Arial" w:hAnsi="Arial"/>
                <w:sz w:val="12"/>
                <w:szCs w:val="12"/>
                <w:color w:val="auto"/>
              </w:rPr>
              <w:t>o</w:t>
            </w:r>
          </w:p>
        </w:tc>
        <w:tc>
          <w:tcPr>
            <w:tcW w:w="640" w:type="dxa"/>
            <w:vAlign w:val="bottom"/>
            <w:vMerge w:val="restart"/>
          </w:tcPr>
          <w:p>
            <w:pPr>
              <w:ind w:left="300"/>
              <w:spacing w:after="0"/>
              <w:rPr>
                <w:sz w:val="20"/>
                <w:szCs w:val="20"/>
                <w:color w:val="auto"/>
              </w:rPr>
            </w:pPr>
            <w:r>
              <w:rPr>
                <w:rFonts w:ascii="Arial" w:cs="Arial" w:eastAsia="Arial" w:hAnsi="Arial"/>
                <w:sz w:val="12"/>
                <w:szCs w:val="12"/>
                <w:color w:val="auto"/>
              </w:rPr>
              <w:t>o</w:t>
            </w:r>
          </w:p>
        </w:tc>
        <w:tc>
          <w:tcPr>
            <w:tcW w:w="460" w:type="dxa"/>
            <w:vAlign w:val="bottom"/>
          </w:tcPr>
          <w:p>
            <w:pPr>
              <w:spacing w:after="0"/>
              <w:rPr>
                <w:sz w:val="11"/>
                <w:szCs w:val="11"/>
                <w:color w:val="auto"/>
              </w:rPr>
            </w:pPr>
          </w:p>
        </w:tc>
        <w:tc>
          <w:tcPr>
            <w:tcW w:w="3620" w:type="dxa"/>
            <w:vAlign w:val="bottom"/>
          </w:tcPr>
          <w:p>
            <w:pPr>
              <w:ind w:left="100"/>
              <w:spacing w:after="0" w:line="135" w:lineRule="exact"/>
              <w:rPr>
                <w:sz w:val="20"/>
                <w:szCs w:val="20"/>
                <w:color w:val="auto"/>
              </w:rPr>
            </w:pPr>
            <w:r>
              <w:rPr>
                <w:rFonts w:ascii="Arial" w:cs="Arial" w:eastAsia="Arial" w:hAnsi="Arial"/>
                <w:sz w:val="12"/>
                <w:szCs w:val="12"/>
                <w:color w:val="auto"/>
                <w:w w:val="99"/>
              </w:rPr>
              <w:t>to stockholder approval of a merger or consolidation, disposition of</w:t>
            </w:r>
          </w:p>
        </w:tc>
        <w:tc>
          <w:tcPr>
            <w:tcW w:w="0" w:type="dxa"/>
            <w:vAlign w:val="bottom"/>
          </w:tcPr>
          <w:p>
            <w:pPr>
              <w:spacing w:after="0"/>
              <w:rPr>
                <w:sz w:val="1"/>
                <w:szCs w:val="1"/>
                <w:color w:val="auto"/>
              </w:rPr>
            </w:pPr>
          </w:p>
        </w:tc>
      </w:tr>
      <w:tr>
        <w:trPr>
          <w:trHeight w:val="135"/>
        </w:trPr>
        <w:tc>
          <w:tcPr>
            <w:tcW w:w="520" w:type="dxa"/>
            <w:vAlign w:val="bottom"/>
            <w:vMerge w:val="continue"/>
          </w:tcPr>
          <w:p>
            <w:pPr>
              <w:spacing w:after="0"/>
              <w:rPr>
                <w:sz w:val="11"/>
                <w:szCs w:val="11"/>
                <w:color w:val="auto"/>
              </w:rPr>
            </w:pPr>
          </w:p>
        </w:tc>
        <w:tc>
          <w:tcPr>
            <w:tcW w:w="274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3620" w:type="dxa"/>
            <w:vAlign w:val="bottom"/>
          </w:tcPr>
          <w:p>
            <w:pPr>
              <w:ind w:left="100"/>
              <w:spacing w:after="0" w:line="135" w:lineRule="exact"/>
              <w:rPr>
                <w:sz w:val="20"/>
                <w:szCs w:val="20"/>
                <w:color w:val="auto"/>
              </w:rPr>
            </w:pPr>
            <w:r>
              <w:rPr>
                <w:rFonts w:ascii="Arial" w:cs="Arial" w:eastAsia="Arial" w:hAnsi="Arial"/>
                <w:sz w:val="12"/>
                <w:szCs w:val="12"/>
                <w:color w:val="auto"/>
              </w:rPr>
              <w:t>all or substantially all of the Company’s assets, or issuance of a</w:t>
            </w:r>
          </w:p>
        </w:tc>
        <w:tc>
          <w:tcPr>
            <w:tcW w:w="0" w:type="dxa"/>
            <w:vAlign w:val="bottom"/>
          </w:tcPr>
          <w:p>
            <w:pPr>
              <w:spacing w:after="0"/>
              <w:rPr>
                <w:sz w:val="1"/>
                <w:szCs w:val="1"/>
                <w:color w:val="auto"/>
              </w:rPr>
            </w:pPr>
          </w:p>
        </w:tc>
      </w:tr>
      <w:tr>
        <w:trPr>
          <w:trHeight w:val="140"/>
        </w:trPr>
        <w:tc>
          <w:tcPr>
            <w:tcW w:w="520" w:type="dxa"/>
            <w:vAlign w:val="bottom"/>
            <w:vMerge w:val="restart"/>
          </w:tcPr>
          <w:p>
            <w:pPr>
              <w:ind w:left="280"/>
              <w:spacing w:after="0"/>
              <w:rPr>
                <w:sz w:val="20"/>
                <w:szCs w:val="20"/>
                <w:color w:val="auto"/>
              </w:rPr>
            </w:pPr>
            <w:r>
              <w:rPr>
                <w:rFonts w:ascii="Arial" w:cs="Arial" w:eastAsia="Arial" w:hAnsi="Arial"/>
                <w:sz w:val="12"/>
                <w:szCs w:val="12"/>
                <w:color w:val="auto"/>
              </w:rPr>
              <w:t>1g.</w:t>
            </w:r>
          </w:p>
        </w:tc>
        <w:tc>
          <w:tcPr>
            <w:tcW w:w="2740" w:type="dxa"/>
            <w:vAlign w:val="bottom"/>
            <w:vMerge w:val="restart"/>
          </w:tcPr>
          <w:p>
            <w:pPr>
              <w:ind w:left="80"/>
              <w:spacing w:after="0"/>
              <w:rPr>
                <w:sz w:val="20"/>
                <w:szCs w:val="20"/>
                <w:color w:val="auto"/>
              </w:rPr>
            </w:pPr>
            <w:r>
              <w:rPr>
                <w:rFonts w:ascii="Arial" w:cs="Arial" w:eastAsia="Arial" w:hAnsi="Arial"/>
                <w:sz w:val="12"/>
                <w:szCs w:val="12"/>
                <w:color w:val="auto"/>
              </w:rPr>
              <w:t>David P. McGlade</w:t>
            </w:r>
          </w:p>
        </w:tc>
        <w:tc>
          <w:tcPr>
            <w:tcW w:w="440" w:type="dxa"/>
            <w:vAlign w:val="bottom"/>
            <w:vMerge w:val="restart"/>
          </w:tcPr>
          <w:p>
            <w:pPr>
              <w:ind w:left="120"/>
              <w:spacing w:after="0"/>
              <w:rPr>
                <w:sz w:val="20"/>
                <w:szCs w:val="20"/>
                <w:color w:val="auto"/>
              </w:rPr>
            </w:pPr>
            <w:r>
              <w:rPr>
                <w:rFonts w:ascii="Arial" w:cs="Arial" w:eastAsia="Arial" w:hAnsi="Arial"/>
                <w:sz w:val="12"/>
                <w:szCs w:val="12"/>
                <w:color w:val="auto"/>
              </w:rPr>
              <w:t>o</w:t>
            </w:r>
          </w:p>
        </w:tc>
        <w:tc>
          <w:tcPr>
            <w:tcW w:w="640" w:type="dxa"/>
            <w:vAlign w:val="bottom"/>
            <w:vMerge w:val="restart"/>
          </w:tcPr>
          <w:p>
            <w:pPr>
              <w:ind w:left="280"/>
              <w:spacing w:after="0"/>
              <w:rPr>
                <w:sz w:val="20"/>
                <w:szCs w:val="20"/>
                <w:color w:val="auto"/>
              </w:rPr>
            </w:pPr>
            <w:r>
              <w:rPr>
                <w:rFonts w:ascii="Arial" w:cs="Arial" w:eastAsia="Arial" w:hAnsi="Arial"/>
                <w:sz w:val="12"/>
                <w:szCs w:val="12"/>
                <w:color w:val="auto"/>
              </w:rPr>
              <w:t>o</w:t>
            </w:r>
          </w:p>
        </w:tc>
        <w:tc>
          <w:tcPr>
            <w:tcW w:w="640" w:type="dxa"/>
            <w:vAlign w:val="bottom"/>
            <w:vMerge w:val="restart"/>
          </w:tcPr>
          <w:p>
            <w:pPr>
              <w:ind w:left="300"/>
              <w:spacing w:after="0"/>
              <w:rPr>
                <w:sz w:val="20"/>
                <w:szCs w:val="20"/>
                <w:color w:val="auto"/>
              </w:rPr>
            </w:pPr>
            <w:r>
              <w:rPr>
                <w:rFonts w:ascii="Arial" w:cs="Arial" w:eastAsia="Arial" w:hAnsi="Arial"/>
                <w:sz w:val="12"/>
                <w:szCs w:val="12"/>
                <w:color w:val="auto"/>
              </w:rPr>
              <w:t>o</w:t>
            </w:r>
          </w:p>
        </w:tc>
        <w:tc>
          <w:tcPr>
            <w:tcW w:w="460" w:type="dxa"/>
            <w:vAlign w:val="bottom"/>
          </w:tcPr>
          <w:p>
            <w:pPr>
              <w:spacing w:after="0"/>
              <w:rPr>
                <w:sz w:val="12"/>
                <w:szCs w:val="12"/>
                <w:color w:val="auto"/>
              </w:rPr>
            </w:pPr>
          </w:p>
        </w:tc>
        <w:tc>
          <w:tcPr>
            <w:tcW w:w="3620" w:type="dxa"/>
            <w:vAlign w:val="bottom"/>
          </w:tcPr>
          <w:p>
            <w:pPr>
              <w:ind w:left="100"/>
              <w:spacing w:after="0"/>
              <w:rPr>
                <w:sz w:val="20"/>
                <w:szCs w:val="20"/>
                <w:color w:val="auto"/>
              </w:rPr>
            </w:pPr>
            <w:r>
              <w:rPr>
                <w:rFonts w:ascii="Arial" w:cs="Arial" w:eastAsia="Arial" w:hAnsi="Arial"/>
                <w:sz w:val="12"/>
                <w:szCs w:val="12"/>
                <w:color w:val="auto"/>
              </w:rPr>
              <w:t>substantial amount of the Company’s securities.</w:t>
            </w:r>
          </w:p>
        </w:tc>
        <w:tc>
          <w:tcPr>
            <w:tcW w:w="0" w:type="dxa"/>
            <w:vAlign w:val="bottom"/>
          </w:tcPr>
          <w:p>
            <w:pPr>
              <w:spacing w:after="0"/>
              <w:rPr>
                <w:sz w:val="1"/>
                <w:szCs w:val="1"/>
                <w:color w:val="auto"/>
              </w:rPr>
            </w:pPr>
          </w:p>
        </w:tc>
      </w:tr>
      <w:tr>
        <w:trPr>
          <w:trHeight w:val="122"/>
        </w:trPr>
        <w:tc>
          <w:tcPr>
            <w:tcW w:w="520" w:type="dxa"/>
            <w:vAlign w:val="bottom"/>
            <w:vMerge w:val="continue"/>
          </w:tcPr>
          <w:p>
            <w:pPr>
              <w:spacing w:after="0"/>
              <w:rPr>
                <w:sz w:val="10"/>
                <w:szCs w:val="10"/>
                <w:color w:val="auto"/>
              </w:rPr>
            </w:pPr>
          </w:p>
        </w:tc>
        <w:tc>
          <w:tcPr>
            <w:tcW w:w="27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20" w:type="dxa"/>
            <w:vAlign w:val="bottom"/>
          </w:tcPr>
          <w:p>
            <w:pPr>
              <w:ind w:left="280"/>
              <w:spacing w:after="0"/>
              <w:rPr>
                <w:sz w:val="20"/>
                <w:szCs w:val="20"/>
                <w:color w:val="auto"/>
              </w:rPr>
            </w:pPr>
            <w:r>
              <w:rPr>
                <w:rFonts w:ascii="Arial" w:cs="Arial" w:eastAsia="Arial" w:hAnsi="Arial"/>
                <w:sz w:val="12"/>
                <w:szCs w:val="12"/>
                <w:color w:val="auto"/>
              </w:rPr>
              <w:t>1h.</w:t>
            </w:r>
          </w:p>
        </w:tc>
        <w:tc>
          <w:tcPr>
            <w:tcW w:w="2740" w:type="dxa"/>
            <w:vAlign w:val="bottom"/>
          </w:tcPr>
          <w:p>
            <w:pPr>
              <w:ind w:left="80"/>
              <w:spacing w:after="0"/>
              <w:rPr>
                <w:sz w:val="20"/>
                <w:szCs w:val="20"/>
                <w:color w:val="auto"/>
              </w:rPr>
            </w:pPr>
            <w:r>
              <w:rPr>
                <w:rFonts w:ascii="Arial" w:cs="Arial" w:eastAsia="Arial" w:hAnsi="Arial"/>
                <w:sz w:val="12"/>
                <w:szCs w:val="12"/>
                <w:color w:val="auto"/>
              </w:rPr>
              <w:t>Robert A. Schriesheim</w:t>
            </w:r>
          </w:p>
        </w:tc>
        <w:tc>
          <w:tcPr>
            <w:tcW w:w="440" w:type="dxa"/>
            <w:vAlign w:val="bottom"/>
          </w:tcPr>
          <w:p>
            <w:pPr>
              <w:ind w:left="120"/>
              <w:spacing w:after="0"/>
              <w:rPr>
                <w:sz w:val="20"/>
                <w:szCs w:val="20"/>
                <w:color w:val="auto"/>
              </w:rPr>
            </w:pPr>
            <w:r>
              <w:rPr>
                <w:rFonts w:ascii="Arial" w:cs="Arial" w:eastAsia="Arial" w:hAnsi="Arial"/>
                <w:sz w:val="12"/>
                <w:szCs w:val="12"/>
                <w:color w:val="auto"/>
              </w:rPr>
              <w:t>o</w:t>
            </w:r>
          </w:p>
        </w:tc>
        <w:tc>
          <w:tcPr>
            <w:tcW w:w="640" w:type="dxa"/>
            <w:vAlign w:val="bottom"/>
          </w:tcPr>
          <w:p>
            <w:pPr>
              <w:ind w:left="280"/>
              <w:spacing w:after="0"/>
              <w:rPr>
                <w:sz w:val="20"/>
                <w:szCs w:val="20"/>
                <w:color w:val="auto"/>
              </w:rPr>
            </w:pPr>
            <w:r>
              <w:rPr>
                <w:rFonts w:ascii="Arial" w:cs="Arial" w:eastAsia="Arial" w:hAnsi="Arial"/>
                <w:sz w:val="12"/>
                <w:szCs w:val="12"/>
                <w:color w:val="auto"/>
              </w:rPr>
              <w:t>o</w:t>
            </w:r>
          </w:p>
        </w:tc>
        <w:tc>
          <w:tcPr>
            <w:tcW w:w="640" w:type="dxa"/>
            <w:vAlign w:val="bottom"/>
          </w:tcPr>
          <w:p>
            <w:pPr>
              <w:ind w:left="300"/>
              <w:spacing w:after="0"/>
              <w:rPr>
                <w:sz w:val="20"/>
                <w:szCs w:val="20"/>
                <w:color w:val="auto"/>
              </w:rPr>
            </w:pPr>
            <w:r>
              <w:rPr>
                <w:rFonts w:ascii="Arial" w:cs="Arial" w:eastAsia="Arial" w:hAnsi="Arial"/>
                <w:sz w:val="12"/>
                <w:szCs w:val="12"/>
                <w:color w:val="auto"/>
              </w:rPr>
              <w:t>o</w:t>
            </w:r>
          </w:p>
        </w:tc>
        <w:tc>
          <w:tcPr>
            <w:tcW w:w="460" w:type="dxa"/>
            <w:vAlign w:val="bottom"/>
            <w:vMerge w:val="restart"/>
          </w:tcPr>
          <w:p>
            <w:pPr>
              <w:jc w:val="right"/>
              <w:ind w:right="42"/>
              <w:spacing w:after="0"/>
              <w:rPr>
                <w:sz w:val="20"/>
                <w:szCs w:val="20"/>
                <w:color w:val="auto"/>
              </w:rPr>
            </w:pPr>
            <w:r>
              <w:rPr>
                <w:rFonts w:ascii="Arial" w:cs="Arial" w:eastAsia="Arial" w:hAnsi="Arial"/>
                <w:sz w:val="12"/>
                <w:szCs w:val="12"/>
                <w:color w:val="auto"/>
              </w:rPr>
              <w:t>6.</w:t>
            </w:r>
          </w:p>
        </w:tc>
        <w:tc>
          <w:tcPr>
            <w:tcW w:w="3620" w:type="dxa"/>
            <w:vAlign w:val="bottom"/>
            <w:vMerge w:val="restart"/>
          </w:tcPr>
          <w:p>
            <w:pPr>
              <w:ind w:left="100"/>
              <w:spacing w:after="0"/>
              <w:rPr>
                <w:sz w:val="20"/>
                <w:szCs w:val="20"/>
                <w:color w:val="auto"/>
              </w:rPr>
            </w:pPr>
            <w:r>
              <w:rPr>
                <w:rFonts w:ascii="Arial" w:cs="Arial" w:eastAsia="Arial" w:hAnsi="Arial"/>
                <w:sz w:val="12"/>
                <w:szCs w:val="12"/>
                <w:color w:val="auto"/>
                <w:w w:val="96"/>
              </w:rPr>
              <w:t>To approve an amendment to the Company’s Restated Certificate of</w:t>
            </w:r>
          </w:p>
        </w:tc>
        <w:tc>
          <w:tcPr>
            <w:tcW w:w="0" w:type="dxa"/>
            <w:vAlign w:val="bottom"/>
          </w:tcPr>
          <w:p>
            <w:pPr>
              <w:spacing w:after="0"/>
              <w:rPr>
                <w:sz w:val="1"/>
                <w:szCs w:val="1"/>
                <w:color w:val="auto"/>
              </w:rPr>
            </w:pPr>
          </w:p>
        </w:tc>
      </w:tr>
      <w:tr>
        <w:trPr>
          <w:trHeight w:val="63"/>
        </w:trPr>
        <w:tc>
          <w:tcPr>
            <w:tcW w:w="5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520" w:type="dxa"/>
            <w:vAlign w:val="bottom"/>
            <w:vMerge w:val="restart"/>
          </w:tcPr>
          <w:p>
            <w:pPr>
              <w:ind w:left="280"/>
              <w:spacing w:after="0"/>
              <w:rPr>
                <w:sz w:val="20"/>
                <w:szCs w:val="20"/>
                <w:color w:val="auto"/>
              </w:rPr>
            </w:pPr>
            <w:r>
              <w:rPr>
                <w:rFonts w:ascii="Arial" w:cs="Arial" w:eastAsia="Arial" w:hAnsi="Arial"/>
                <w:sz w:val="12"/>
                <w:szCs w:val="12"/>
                <w:color w:val="auto"/>
              </w:rPr>
              <w:t>1i.</w:t>
            </w:r>
          </w:p>
        </w:tc>
        <w:tc>
          <w:tcPr>
            <w:tcW w:w="2740" w:type="dxa"/>
            <w:vAlign w:val="bottom"/>
            <w:vMerge w:val="restart"/>
          </w:tcPr>
          <w:p>
            <w:pPr>
              <w:ind w:left="80"/>
              <w:spacing w:after="0"/>
              <w:rPr>
                <w:sz w:val="20"/>
                <w:szCs w:val="20"/>
                <w:color w:val="auto"/>
              </w:rPr>
            </w:pPr>
            <w:r>
              <w:rPr>
                <w:rFonts w:ascii="Arial" w:cs="Arial" w:eastAsia="Arial" w:hAnsi="Arial"/>
                <w:sz w:val="12"/>
                <w:szCs w:val="12"/>
                <w:color w:val="auto"/>
              </w:rPr>
              <w:t>Kimberly S. Stevenson</w:t>
            </w:r>
          </w:p>
        </w:tc>
        <w:tc>
          <w:tcPr>
            <w:tcW w:w="440" w:type="dxa"/>
            <w:vAlign w:val="bottom"/>
            <w:vMerge w:val="restart"/>
          </w:tcPr>
          <w:p>
            <w:pPr>
              <w:ind w:left="120"/>
              <w:spacing w:after="0"/>
              <w:rPr>
                <w:sz w:val="20"/>
                <w:szCs w:val="20"/>
                <w:color w:val="auto"/>
              </w:rPr>
            </w:pPr>
            <w:r>
              <w:rPr>
                <w:rFonts w:ascii="Arial" w:cs="Arial" w:eastAsia="Arial" w:hAnsi="Arial"/>
                <w:sz w:val="12"/>
                <w:szCs w:val="12"/>
                <w:color w:val="auto"/>
              </w:rPr>
              <w:t>o</w:t>
            </w:r>
          </w:p>
        </w:tc>
        <w:tc>
          <w:tcPr>
            <w:tcW w:w="640" w:type="dxa"/>
            <w:vAlign w:val="bottom"/>
            <w:vMerge w:val="restart"/>
          </w:tcPr>
          <w:p>
            <w:pPr>
              <w:ind w:left="280"/>
              <w:spacing w:after="0"/>
              <w:rPr>
                <w:sz w:val="20"/>
                <w:szCs w:val="20"/>
                <w:color w:val="auto"/>
              </w:rPr>
            </w:pPr>
            <w:r>
              <w:rPr>
                <w:rFonts w:ascii="Arial" w:cs="Arial" w:eastAsia="Arial" w:hAnsi="Arial"/>
                <w:sz w:val="12"/>
                <w:szCs w:val="12"/>
                <w:color w:val="auto"/>
              </w:rPr>
              <w:t>o</w:t>
            </w:r>
          </w:p>
        </w:tc>
        <w:tc>
          <w:tcPr>
            <w:tcW w:w="640" w:type="dxa"/>
            <w:vAlign w:val="bottom"/>
            <w:vMerge w:val="restart"/>
          </w:tcPr>
          <w:p>
            <w:pPr>
              <w:ind w:left="300"/>
              <w:spacing w:after="0"/>
              <w:rPr>
                <w:sz w:val="20"/>
                <w:szCs w:val="20"/>
                <w:color w:val="auto"/>
              </w:rPr>
            </w:pPr>
            <w:r>
              <w:rPr>
                <w:rFonts w:ascii="Arial" w:cs="Arial" w:eastAsia="Arial" w:hAnsi="Arial"/>
                <w:sz w:val="12"/>
                <w:szCs w:val="12"/>
                <w:color w:val="auto"/>
              </w:rPr>
              <w:t>o</w:t>
            </w:r>
          </w:p>
        </w:tc>
        <w:tc>
          <w:tcPr>
            <w:tcW w:w="460" w:type="dxa"/>
            <w:vAlign w:val="bottom"/>
          </w:tcPr>
          <w:p>
            <w:pPr>
              <w:spacing w:after="0"/>
              <w:rPr>
                <w:sz w:val="11"/>
                <w:szCs w:val="11"/>
                <w:color w:val="auto"/>
              </w:rPr>
            </w:pPr>
          </w:p>
        </w:tc>
        <w:tc>
          <w:tcPr>
            <w:tcW w:w="3620" w:type="dxa"/>
            <w:vAlign w:val="bottom"/>
          </w:tcPr>
          <w:p>
            <w:pPr>
              <w:ind w:left="100"/>
              <w:spacing w:after="0" w:line="135" w:lineRule="exact"/>
              <w:rPr>
                <w:sz w:val="20"/>
                <w:szCs w:val="20"/>
                <w:color w:val="auto"/>
              </w:rPr>
            </w:pPr>
            <w:r>
              <w:rPr>
                <w:rFonts w:ascii="Arial" w:cs="Arial" w:eastAsia="Arial" w:hAnsi="Arial"/>
                <w:sz w:val="12"/>
                <w:szCs w:val="12"/>
                <w:color w:val="auto"/>
                <w:w w:val="98"/>
              </w:rPr>
              <w:t>Incorporation to eliminate the supermajority vote provisions relating</w:t>
            </w:r>
          </w:p>
        </w:tc>
        <w:tc>
          <w:tcPr>
            <w:tcW w:w="0" w:type="dxa"/>
            <w:vAlign w:val="bottom"/>
          </w:tcPr>
          <w:p>
            <w:pPr>
              <w:spacing w:after="0"/>
              <w:rPr>
                <w:sz w:val="1"/>
                <w:szCs w:val="1"/>
                <w:color w:val="auto"/>
              </w:rPr>
            </w:pPr>
          </w:p>
        </w:tc>
      </w:tr>
      <w:tr>
        <w:trPr>
          <w:trHeight w:val="99"/>
        </w:trPr>
        <w:tc>
          <w:tcPr>
            <w:tcW w:w="520" w:type="dxa"/>
            <w:vAlign w:val="bottom"/>
            <w:vMerge w:val="continue"/>
          </w:tcPr>
          <w:p>
            <w:pPr>
              <w:spacing w:after="0"/>
              <w:rPr>
                <w:sz w:val="8"/>
                <w:szCs w:val="8"/>
                <w:color w:val="auto"/>
              </w:rPr>
            </w:pPr>
          </w:p>
        </w:tc>
        <w:tc>
          <w:tcPr>
            <w:tcW w:w="274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3620" w:type="dxa"/>
            <w:vAlign w:val="bottom"/>
            <w:vMerge w:val="restart"/>
          </w:tcPr>
          <w:p>
            <w:pPr>
              <w:ind w:left="100"/>
              <w:spacing w:after="0" w:line="135" w:lineRule="exact"/>
              <w:rPr>
                <w:sz w:val="20"/>
                <w:szCs w:val="20"/>
                <w:color w:val="auto"/>
              </w:rPr>
            </w:pPr>
            <w:r>
              <w:rPr>
                <w:rFonts w:ascii="Arial" w:cs="Arial" w:eastAsia="Arial" w:hAnsi="Arial"/>
                <w:sz w:val="12"/>
                <w:szCs w:val="12"/>
                <w:color w:val="auto"/>
                <w:w w:val="98"/>
              </w:rPr>
              <w:t>to stockholder approval of a business combination with any related</w:t>
            </w:r>
          </w:p>
        </w:tc>
        <w:tc>
          <w:tcPr>
            <w:tcW w:w="0" w:type="dxa"/>
            <w:vAlign w:val="bottom"/>
          </w:tcPr>
          <w:p>
            <w:pPr>
              <w:spacing w:after="0"/>
              <w:rPr>
                <w:sz w:val="1"/>
                <w:szCs w:val="1"/>
                <w:color w:val="auto"/>
              </w:rPr>
            </w:pPr>
          </w:p>
        </w:tc>
      </w:tr>
      <w:tr>
        <w:trPr>
          <w:trHeight w:val="36"/>
        </w:trPr>
        <w:tc>
          <w:tcPr>
            <w:tcW w:w="5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3260" w:type="dxa"/>
            <w:vAlign w:val="bottom"/>
            <w:gridSpan w:val="2"/>
            <w:vMerge w:val="restart"/>
          </w:tcPr>
          <w:p>
            <w:pPr>
              <w:spacing w:after="0"/>
              <w:rPr>
                <w:sz w:val="20"/>
                <w:szCs w:val="20"/>
                <w:color w:val="auto"/>
              </w:rPr>
            </w:pPr>
            <w:r>
              <w:rPr>
                <w:rFonts w:ascii="Arial" w:cs="Arial" w:eastAsia="Arial" w:hAnsi="Arial"/>
                <w:sz w:val="12"/>
                <w:szCs w:val="12"/>
                <w:color w:val="auto"/>
              </w:rPr>
              <w:t>2.   To  ratify  the  selection  by  the  Company’s  Audit</w:t>
            </w:r>
          </w:p>
        </w:tc>
        <w:tc>
          <w:tcPr>
            <w:tcW w:w="440" w:type="dxa"/>
            <w:vAlign w:val="bottom"/>
            <w:vMerge w:val="restart"/>
          </w:tcPr>
          <w:p>
            <w:pPr>
              <w:ind w:left="120"/>
              <w:spacing w:after="0"/>
              <w:rPr>
                <w:sz w:val="20"/>
                <w:szCs w:val="20"/>
                <w:color w:val="auto"/>
              </w:rPr>
            </w:pPr>
            <w:r>
              <w:rPr>
                <w:rFonts w:ascii="Arial" w:cs="Arial" w:eastAsia="Arial" w:hAnsi="Arial"/>
                <w:sz w:val="12"/>
                <w:szCs w:val="12"/>
                <w:color w:val="auto"/>
              </w:rPr>
              <w:t>o</w:t>
            </w:r>
          </w:p>
        </w:tc>
        <w:tc>
          <w:tcPr>
            <w:tcW w:w="640" w:type="dxa"/>
            <w:vAlign w:val="bottom"/>
            <w:vMerge w:val="restart"/>
          </w:tcPr>
          <w:p>
            <w:pPr>
              <w:ind w:left="280"/>
              <w:spacing w:after="0"/>
              <w:rPr>
                <w:sz w:val="20"/>
                <w:szCs w:val="20"/>
                <w:color w:val="auto"/>
              </w:rPr>
            </w:pPr>
            <w:r>
              <w:rPr>
                <w:rFonts w:ascii="Arial" w:cs="Arial" w:eastAsia="Arial" w:hAnsi="Arial"/>
                <w:sz w:val="12"/>
                <w:szCs w:val="12"/>
                <w:color w:val="auto"/>
              </w:rPr>
              <w:t>o</w:t>
            </w:r>
          </w:p>
        </w:tc>
        <w:tc>
          <w:tcPr>
            <w:tcW w:w="640" w:type="dxa"/>
            <w:vAlign w:val="bottom"/>
            <w:vMerge w:val="restart"/>
          </w:tcPr>
          <w:p>
            <w:pPr>
              <w:ind w:left="300"/>
              <w:spacing w:after="0"/>
              <w:rPr>
                <w:sz w:val="20"/>
                <w:szCs w:val="20"/>
                <w:color w:val="auto"/>
              </w:rPr>
            </w:pPr>
            <w:r>
              <w:rPr>
                <w:rFonts w:ascii="Arial" w:cs="Arial" w:eastAsia="Arial" w:hAnsi="Arial"/>
                <w:sz w:val="12"/>
                <w:szCs w:val="12"/>
                <w:color w:val="auto"/>
              </w:rPr>
              <w:t>o</w:t>
            </w:r>
          </w:p>
        </w:tc>
        <w:tc>
          <w:tcPr>
            <w:tcW w:w="460" w:type="dxa"/>
            <w:vAlign w:val="bottom"/>
          </w:tcPr>
          <w:p>
            <w:pPr>
              <w:spacing w:after="0"/>
              <w:rPr>
                <w:sz w:val="12"/>
                <w:szCs w:val="12"/>
                <w:color w:val="auto"/>
              </w:rPr>
            </w:pPr>
          </w:p>
        </w:tc>
        <w:tc>
          <w:tcPr>
            <w:tcW w:w="3620" w:type="dxa"/>
            <w:vAlign w:val="bottom"/>
          </w:tcPr>
          <w:p>
            <w:pPr>
              <w:ind w:left="100"/>
              <w:spacing w:after="0"/>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130"/>
        </w:trPr>
        <w:tc>
          <w:tcPr>
            <w:tcW w:w="326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280"/>
              <w:spacing w:after="0" w:line="135" w:lineRule="exact"/>
              <w:rPr>
                <w:sz w:val="20"/>
                <w:szCs w:val="20"/>
                <w:color w:val="auto"/>
              </w:rPr>
            </w:pPr>
            <w:r>
              <w:rPr>
                <w:rFonts w:ascii="Arial" w:cs="Arial" w:eastAsia="Arial" w:hAnsi="Arial"/>
                <w:sz w:val="12"/>
                <w:szCs w:val="12"/>
                <w:color w:val="auto"/>
              </w:rPr>
              <w:t>Committee  of  KPMG  LLP  as  the  independent</w:t>
            </w: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jc w:val="right"/>
              <w:ind w:right="42"/>
              <w:spacing w:after="0" w:line="135" w:lineRule="exact"/>
              <w:rPr>
                <w:sz w:val="20"/>
                <w:szCs w:val="20"/>
                <w:color w:val="auto"/>
              </w:rPr>
            </w:pPr>
            <w:r>
              <w:rPr>
                <w:rFonts w:ascii="Arial" w:cs="Arial" w:eastAsia="Arial" w:hAnsi="Arial"/>
                <w:sz w:val="12"/>
                <w:szCs w:val="12"/>
                <w:color w:val="auto"/>
              </w:rPr>
              <w:t>7.</w:t>
            </w:r>
          </w:p>
        </w:tc>
        <w:tc>
          <w:tcPr>
            <w:tcW w:w="3620" w:type="dxa"/>
            <w:vAlign w:val="bottom"/>
          </w:tcPr>
          <w:p>
            <w:pPr>
              <w:ind w:left="100"/>
              <w:spacing w:after="0" w:line="135" w:lineRule="exact"/>
              <w:rPr>
                <w:sz w:val="20"/>
                <w:szCs w:val="20"/>
                <w:color w:val="auto"/>
              </w:rPr>
            </w:pPr>
            <w:r>
              <w:rPr>
                <w:rFonts w:ascii="Arial" w:cs="Arial" w:eastAsia="Arial" w:hAnsi="Arial"/>
                <w:sz w:val="12"/>
                <w:szCs w:val="12"/>
                <w:color w:val="auto"/>
                <w:w w:val="96"/>
              </w:rPr>
              <w:t>To approve an amendment to the Company’s Restated Certificate of</w:t>
            </w:r>
          </w:p>
        </w:tc>
        <w:tc>
          <w:tcPr>
            <w:tcW w:w="0" w:type="dxa"/>
            <w:vAlign w:val="bottom"/>
          </w:tcPr>
          <w:p>
            <w:pPr>
              <w:spacing w:after="0"/>
              <w:rPr>
                <w:sz w:val="1"/>
                <w:szCs w:val="1"/>
                <w:color w:val="auto"/>
              </w:rPr>
            </w:pPr>
          </w:p>
        </w:tc>
      </w:tr>
      <w:tr>
        <w:trPr>
          <w:trHeight w:val="135"/>
        </w:trPr>
        <w:tc>
          <w:tcPr>
            <w:tcW w:w="3260" w:type="dxa"/>
            <w:vAlign w:val="bottom"/>
            <w:gridSpan w:val="2"/>
          </w:tcPr>
          <w:p>
            <w:pPr>
              <w:ind w:left="280"/>
              <w:spacing w:after="0" w:line="135" w:lineRule="exact"/>
              <w:rPr>
                <w:sz w:val="20"/>
                <w:szCs w:val="20"/>
                <w:color w:val="auto"/>
              </w:rPr>
            </w:pPr>
            <w:r>
              <w:rPr>
                <w:rFonts w:ascii="Arial" w:cs="Arial" w:eastAsia="Arial" w:hAnsi="Arial"/>
                <w:sz w:val="12"/>
                <w:szCs w:val="12"/>
                <w:color w:val="auto"/>
              </w:rPr>
              <w:t>registered public accounting firm for the Company for</w:t>
            </w: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20" w:type="dxa"/>
            <w:vAlign w:val="bottom"/>
          </w:tcPr>
          <w:p>
            <w:pPr>
              <w:ind w:left="100"/>
              <w:spacing w:after="0" w:line="135" w:lineRule="exact"/>
              <w:rPr>
                <w:sz w:val="20"/>
                <w:szCs w:val="20"/>
                <w:color w:val="auto"/>
              </w:rPr>
            </w:pPr>
            <w:r>
              <w:rPr>
                <w:rFonts w:ascii="Arial" w:cs="Arial" w:eastAsia="Arial" w:hAnsi="Arial"/>
                <w:sz w:val="12"/>
                <w:szCs w:val="12"/>
                <w:color w:val="auto"/>
                <w:w w:val="99"/>
              </w:rPr>
              <w:t>Incorporation to eliminate the supermajority vote provision relating</w:t>
            </w:r>
          </w:p>
        </w:tc>
        <w:tc>
          <w:tcPr>
            <w:tcW w:w="0" w:type="dxa"/>
            <w:vAlign w:val="bottom"/>
          </w:tcPr>
          <w:p>
            <w:pPr>
              <w:spacing w:after="0"/>
              <w:rPr>
                <w:sz w:val="1"/>
                <w:szCs w:val="1"/>
                <w:color w:val="auto"/>
              </w:rPr>
            </w:pPr>
          </w:p>
        </w:tc>
      </w:tr>
      <w:tr>
        <w:trPr>
          <w:trHeight w:val="140"/>
        </w:trPr>
        <w:tc>
          <w:tcPr>
            <w:tcW w:w="3260" w:type="dxa"/>
            <w:vAlign w:val="bottom"/>
            <w:gridSpan w:val="2"/>
          </w:tcPr>
          <w:p>
            <w:pPr>
              <w:ind w:left="280"/>
              <w:spacing w:after="0"/>
              <w:rPr>
                <w:sz w:val="20"/>
                <w:szCs w:val="20"/>
                <w:color w:val="auto"/>
              </w:rPr>
            </w:pPr>
            <w:r>
              <w:rPr>
                <w:rFonts w:ascii="Arial" w:cs="Arial" w:eastAsia="Arial" w:hAnsi="Arial"/>
                <w:sz w:val="12"/>
                <w:szCs w:val="12"/>
                <w:color w:val="auto"/>
              </w:rPr>
              <w:t>fiscal year 2020.</w:t>
            </w: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20" w:type="dxa"/>
            <w:vAlign w:val="bottom"/>
          </w:tcPr>
          <w:p>
            <w:pPr>
              <w:ind w:left="100"/>
              <w:spacing w:after="0"/>
              <w:rPr>
                <w:sz w:val="20"/>
                <w:szCs w:val="20"/>
                <w:color w:val="auto"/>
              </w:rPr>
            </w:pPr>
            <w:r>
              <w:rPr>
                <w:rFonts w:ascii="Arial" w:cs="Arial" w:eastAsia="Arial" w:hAnsi="Arial"/>
                <w:sz w:val="12"/>
                <w:szCs w:val="12"/>
                <w:color w:val="auto"/>
                <w:w w:val="96"/>
              </w:rPr>
              <w:t>to stockholder amendment of charter provisions governing directors.</w:t>
            </w:r>
          </w:p>
        </w:tc>
        <w:tc>
          <w:tcPr>
            <w:tcW w:w="0" w:type="dxa"/>
            <w:vAlign w:val="bottom"/>
          </w:tcPr>
          <w:p>
            <w:pPr>
              <w:spacing w:after="0"/>
              <w:rPr>
                <w:sz w:val="1"/>
                <w:szCs w:val="1"/>
                <w:color w:val="auto"/>
              </w:rPr>
            </w:pPr>
          </w:p>
        </w:tc>
      </w:tr>
      <w:tr>
        <w:trPr>
          <w:trHeight w:val="279"/>
        </w:trPr>
        <w:tc>
          <w:tcPr>
            <w:tcW w:w="5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8.</w:t>
            </w:r>
          </w:p>
        </w:tc>
        <w:tc>
          <w:tcPr>
            <w:tcW w:w="3620" w:type="dxa"/>
            <w:vAlign w:val="bottom"/>
          </w:tcPr>
          <w:p>
            <w:pPr>
              <w:ind w:left="100"/>
              <w:spacing w:after="0"/>
              <w:rPr>
                <w:sz w:val="20"/>
                <w:szCs w:val="20"/>
                <w:color w:val="auto"/>
              </w:rPr>
            </w:pPr>
            <w:r>
              <w:rPr>
                <w:rFonts w:ascii="Arial" w:cs="Arial" w:eastAsia="Arial" w:hAnsi="Arial"/>
                <w:sz w:val="12"/>
                <w:szCs w:val="12"/>
                <w:color w:val="auto"/>
                <w:w w:val="96"/>
              </w:rPr>
              <w:t>To approve an amendment to the Company’s Restated Certificate of</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20" w:type="dxa"/>
            <w:vAlign w:val="bottom"/>
          </w:tcPr>
          <w:p>
            <w:pPr>
              <w:ind w:left="100"/>
              <w:spacing w:after="0" w:line="135" w:lineRule="exact"/>
              <w:rPr>
                <w:sz w:val="20"/>
                <w:szCs w:val="20"/>
                <w:color w:val="auto"/>
              </w:rPr>
            </w:pPr>
            <w:r>
              <w:rPr>
                <w:rFonts w:ascii="Arial" w:cs="Arial" w:eastAsia="Arial" w:hAnsi="Arial"/>
                <w:sz w:val="12"/>
                <w:szCs w:val="12"/>
                <w:color w:val="auto"/>
                <w:w w:val="99"/>
              </w:rPr>
              <w:t>Incorporation to eliminate the supermajority vote provision relating</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20" w:type="dxa"/>
            <w:vAlign w:val="bottom"/>
          </w:tcPr>
          <w:p>
            <w:pPr>
              <w:ind w:left="100"/>
              <w:spacing w:after="0" w:line="135" w:lineRule="exact"/>
              <w:rPr>
                <w:sz w:val="20"/>
                <w:szCs w:val="20"/>
                <w:color w:val="auto"/>
              </w:rPr>
            </w:pPr>
            <w:r>
              <w:rPr>
                <w:rFonts w:ascii="Arial" w:cs="Arial" w:eastAsia="Arial" w:hAnsi="Arial"/>
                <w:sz w:val="12"/>
                <w:szCs w:val="12"/>
                <w:color w:val="auto"/>
                <w:w w:val="97"/>
              </w:rPr>
              <w:t>to stockholder amendment of the charter provision governing action</w:t>
            </w:r>
          </w:p>
        </w:tc>
        <w:tc>
          <w:tcPr>
            <w:tcW w:w="0" w:type="dxa"/>
            <w:vAlign w:val="bottom"/>
          </w:tcPr>
          <w:p>
            <w:pPr>
              <w:spacing w:after="0"/>
              <w:rPr>
                <w:sz w:val="1"/>
                <w:szCs w:val="1"/>
                <w:color w:val="auto"/>
              </w:rPr>
            </w:pPr>
          </w:p>
        </w:tc>
      </w:tr>
      <w:tr>
        <w:trPr>
          <w:trHeight w:val="140"/>
        </w:trPr>
        <w:tc>
          <w:tcPr>
            <w:tcW w:w="5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20" w:type="dxa"/>
            <w:vAlign w:val="bottom"/>
          </w:tcPr>
          <w:p>
            <w:pPr>
              <w:ind w:left="100"/>
              <w:spacing w:after="0"/>
              <w:rPr>
                <w:sz w:val="20"/>
                <w:szCs w:val="20"/>
                <w:color w:val="auto"/>
              </w:rPr>
            </w:pPr>
            <w:r>
              <w:rPr>
                <w:rFonts w:ascii="Arial" w:cs="Arial" w:eastAsia="Arial" w:hAnsi="Arial"/>
                <w:sz w:val="12"/>
                <w:szCs w:val="12"/>
                <w:color w:val="auto"/>
              </w:rPr>
              <w:t>by stockholders.</w:t>
            </w:r>
          </w:p>
        </w:tc>
        <w:tc>
          <w:tcPr>
            <w:tcW w:w="0" w:type="dxa"/>
            <w:vAlign w:val="bottom"/>
          </w:tcPr>
          <w:p>
            <w:pPr>
              <w:spacing w:after="0"/>
              <w:rPr>
                <w:sz w:val="1"/>
                <w:szCs w:val="1"/>
                <w:color w:val="auto"/>
              </w:rPr>
            </w:pPr>
          </w:p>
        </w:tc>
      </w:tr>
      <w:tr>
        <w:trPr>
          <w:trHeight w:val="265"/>
        </w:trPr>
        <w:tc>
          <w:tcPr>
            <w:tcW w:w="5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9.</w:t>
            </w:r>
          </w:p>
        </w:tc>
        <w:tc>
          <w:tcPr>
            <w:tcW w:w="3620" w:type="dxa"/>
            <w:vAlign w:val="bottom"/>
          </w:tcPr>
          <w:p>
            <w:pPr>
              <w:ind w:left="100"/>
              <w:spacing w:after="0"/>
              <w:rPr>
                <w:sz w:val="20"/>
                <w:szCs w:val="20"/>
                <w:color w:val="auto"/>
              </w:rPr>
            </w:pPr>
            <w:r>
              <w:rPr>
                <w:rFonts w:ascii="Arial" w:cs="Arial" w:eastAsia="Arial" w:hAnsi="Arial"/>
                <w:sz w:val="12"/>
                <w:szCs w:val="12"/>
                <w:color w:val="auto"/>
                <w:w w:val="96"/>
              </w:rPr>
              <w:t>To approve a stockholder proposal regarding a right by stockholders</w:t>
            </w:r>
          </w:p>
        </w:tc>
        <w:tc>
          <w:tcPr>
            <w:tcW w:w="0" w:type="dxa"/>
            <w:vAlign w:val="bottom"/>
          </w:tcPr>
          <w:p>
            <w:pPr>
              <w:spacing w:after="0"/>
              <w:rPr>
                <w:sz w:val="1"/>
                <w:szCs w:val="1"/>
                <w:color w:val="auto"/>
              </w:rPr>
            </w:pPr>
          </w:p>
        </w:tc>
      </w:tr>
      <w:tr>
        <w:trPr>
          <w:trHeight w:val="140"/>
        </w:trPr>
        <w:tc>
          <w:tcPr>
            <w:tcW w:w="5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20" w:type="dxa"/>
            <w:vAlign w:val="bottom"/>
          </w:tcPr>
          <w:p>
            <w:pPr>
              <w:ind w:left="100"/>
              <w:spacing w:after="0"/>
              <w:rPr>
                <w:sz w:val="20"/>
                <w:szCs w:val="20"/>
                <w:color w:val="auto"/>
              </w:rPr>
            </w:pPr>
            <w:r>
              <w:rPr>
                <w:rFonts w:ascii="Arial" w:cs="Arial" w:eastAsia="Arial" w:hAnsi="Arial"/>
                <w:sz w:val="12"/>
                <w:szCs w:val="12"/>
                <w:color w:val="auto"/>
              </w:rPr>
              <w:t>to act by written consent.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-2626995</wp:posOffset>
            </wp:positionV>
            <wp:extent cx="7132320" cy="33515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3351530"/>
                    </a:xfrm>
                    <a:prstGeom prst="rect">
                      <a:avLst/>
                    </a:prstGeom>
                    <a:noFill/>
                  </pic:spPr>
                </pic:pic>
              </a:graphicData>
            </a:graphic>
          </wp:anchor>
        </w:drawing>
      </w:r>
    </w:p>
    <w:p>
      <w:pPr>
        <w:spacing w:after="0" w:line="110"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42" w:lineRule="exact"/>
        <w:rPr>
          <w:sz w:val="20"/>
          <w:szCs w:val="20"/>
          <w:color w:val="auto"/>
        </w:rPr>
      </w:pPr>
    </w:p>
    <w:p>
      <w:pPr>
        <w:spacing w:after="0"/>
        <w:tabs>
          <w:tab w:leader="none" w:pos="3100" w:val="left"/>
          <w:tab w:leader="none" w:pos="5520" w:val="left"/>
          <w:tab w:leader="none" w:pos="820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294640</wp:posOffset>
            </wp:positionV>
            <wp:extent cx="71532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340" w:type="dxa"/>
            <w:vAlign w:val="bottom"/>
          </w:tcPr>
          <w:p>
            <w:pPr>
              <w:spacing w:after="0"/>
              <w:rPr>
                <w:sz w:val="20"/>
                <w:szCs w:val="20"/>
                <w:color w:val="auto"/>
              </w:rPr>
            </w:pPr>
            <w:r>
              <w:rPr>
                <w:rFonts w:ascii="Arial" w:cs="Arial" w:eastAsia="Arial" w:hAnsi="Arial"/>
                <w:sz w:val="12"/>
                <w:szCs w:val="12"/>
                <w:color w:val="auto"/>
              </w:rPr>
              <w:t>o</w:t>
            </w:r>
          </w:p>
        </w:tc>
        <w:tc>
          <w:tcPr>
            <w:tcW w:w="600" w:type="dxa"/>
            <w:vAlign w:val="bottom"/>
          </w:tcPr>
          <w:p>
            <w:pPr>
              <w:ind w:left="260"/>
              <w:spacing w:after="0"/>
              <w:rPr>
                <w:sz w:val="20"/>
                <w:szCs w:val="20"/>
                <w:color w:val="auto"/>
              </w:rPr>
            </w:pPr>
            <w:r>
              <w:rPr>
                <w:rFonts w:ascii="Arial" w:cs="Arial" w:eastAsia="Arial" w:hAnsi="Arial"/>
                <w:sz w:val="12"/>
                <w:szCs w:val="12"/>
                <w:color w:val="auto"/>
              </w:rPr>
              <w:t>o</w:t>
            </w:r>
          </w:p>
        </w:tc>
        <w:tc>
          <w:tcPr>
            <w:tcW w:w="340" w:type="dxa"/>
            <w:vAlign w:val="bottom"/>
          </w:tcPr>
          <w:p>
            <w:pPr>
              <w:ind w:left="280"/>
              <w:spacing w:after="0"/>
              <w:rPr>
                <w:sz w:val="20"/>
                <w:szCs w:val="20"/>
                <w:color w:val="auto"/>
              </w:rPr>
            </w:pPr>
            <w:r>
              <w:rPr>
                <w:rFonts w:ascii="Arial" w:cs="Arial" w:eastAsia="Arial" w:hAnsi="Arial"/>
                <w:sz w:val="9"/>
                <w:szCs w:val="9"/>
                <w:color w:val="auto"/>
                <w:w w:val="78"/>
              </w:rPr>
              <w:t>o</w:t>
            </w:r>
          </w:p>
        </w:tc>
      </w:tr>
      <w:tr>
        <w:trPr>
          <w:trHeight w:val="513"/>
        </w:trPr>
        <w:tc>
          <w:tcPr>
            <w:tcW w:w="340" w:type="dxa"/>
            <w:vAlign w:val="bottom"/>
          </w:tcPr>
          <w:p>
            <w:pPr>
              <w:spacing w:after="0"/>
              <w:rPr>
                <w:sz w:val="20"/>
                <w:szCs w:val="20"/>
                <w:color w:val="auto"/>
              </w:rPr>
            </w:pPr>
            <w:r>
              <w:rPr>
                <w:rFonts w:ascii="Arial" w:cs="Arial" w:eastAsia="Arial" w:hAnsi="Arial"/>
                <w:sz w:val="12"/>
                <w:szCs w:val="12"/>
                <w:color w:val="auto"/>
              </w:rPr>
              <w:t>o</w:t>
            </w:r>
          </w:p>
        </w:tc>
        <w:tc>
          <w:tcPr>
            <w:tcW w:w="600" w:type="dxa"/>
            <w:vAlign w:val="bottom"/>
          </w:tcPr>
          <w:p>
            <w:pPr>
              <w:ind w:left="260"/>
              <w:spacing w:after="0"/>
              <w:rPr>
                <w:sz w:val="20"/>
                <w:szCs w:val="20"/>
                <w:color w:val="auto"/>
              </w:rPr>
            </w:pPr>
            <w:r>
              <w:rPr>
                <w:rFonts w:ascii="Arial" w:cs="Arial" w:eastAsia="Arial" w:hAnsi="Arial"/>
                <w:sz w:val="12"/>
                <w:szCs w:val="12"/>
                <w:color w:val="auto"/>
              </w:rPr>
              <w:t>o</w:t>
            </w:r>
          </w:p>
        </w:tc>
        <w:tc>
          <w:tcPr>
            <w:tcW w:w="340" w:type="dxa"/>
            <w:vAlign w:val="bottom"/>
          </w:tcPr>
          <w:p>
            <w:pPr>
              <w:ind w:left="280"/>
              <w:spacing w:after="0"/>
              <w:rPr>
                <w:sz w:val="20"/>
                <w:szCs w:val="20"/>
                <w:color w:val="auto"/>
              </w:rPr>
            </w:pPr>
            <w:r>
              <w:rPr>
                <w:rFonts w:ascii="Arial" w:cs="Arial" w:eastAsia="Arial" w:hAnsi="Arial"/>
                <w:sz w:val="9"/>
                <w:szCs w:val="9"/>
                <w:color w:val="auto"/>
                <w:w w:val="78"/>
              </w:rPr>
              <w:t>o</w:t>
            </w:r>
          </w:p>
        </w:tc>
      </w:tr>
      <w:tr>
        <w:trPr>
          <w:trHeight w:val="378"/>
        </w:trPr>
        <w:tc>
          <w:tcPr>
            <w:tcW w:w="340" w:type="dxa"/>
            <w:vAlign w:val="bottom"/>
          </w:tcPr>
          <w:p>
            <w:pPr>
              <w:spacing w:after="0"/>
              <w:rPr>
                <w:sz w:val="20"/>
                <w:szCs w:val="20"/>
                <w:color w:val="auto"/>
              </w:rPr>
            </w:pPr>
            <w:r>
              <w:rPr>
                <w:rFonts w:ascii="Arial" w:cs="Arial" w:eastAsia="Arial" w:hAnsi="Arial"/>
                <w:sz w:val="12"/>
                <w:szCs w:val="12"/>
                <w:color w:val="auto"/>
              </w:rPr>
              <w:t>o</w:t>
            </w:r>
          </w:p>
        </w:tc>
        <w:tc>
          <w:tcPr>
            <w:tcW w:w="600" w:type="dxa"/>
            <w:vAlign w:val="bottom"/>
          </w:tcPr>
          <w:p>
            <w:pPr>
              <w:ind w:left="260"/>
              <w:spacing w:after="0"/>
              <w:rPr>
                <w:sz w:val="20"/>
                <w:szCs w:val="20"/>
                <w:color w:val="auto"/>
              </w:rPr>
            </w:pPr>
            <w:r>
              <w:rPr>
                <w:rFonts w:ascii="Arial" w:cs="Arial" w:eastAsia="Arial" w:hAnsi="Arial"/>
                <w:sz w:val="12"/>
                <w:szCs w:val="12"/>
                <w:color w:val="auto"/>
              </w:rPr>
              <w:t>o</w:t>
            </w:r>
          </w:p>
        </w:tc>
        <w:tc>
          <w:tcPr>
            <w:tcW w:w="340" w:type="dxa"/>
            <w:vAlign w:val="bottom"/>
          </w:tcPr>
          <w:p>
            <w:pPr>
              <w:ind w:left="280"/>
              <w:spacing w:after="0"/>
              <w:rPr>
                <w:sz w:val="20"/>
                <w:szCs w:val="20"/>
                <w:color w:val="auto"/>
              </w:rPr>
            </w:pPr>
            <w:r>
              <w:rPr>
                <w:rFonts w:ascii="Arial" w:cs="Arial" w:eastAsia="Arial" w:hAnsi="Arial"/>
                <w:sz w:val="9"/>
                <w:szCs w:val="9"/>
                <w:color w:val="auto"/>
                <w:w w:val="78"/>
              </w:rPr>
              <w:t>o</w:t>
            </w:r>
          </w:p>
        </w:tc>
      </w:tr>
      <w:tr>
        <w:trPr>
          <w:trHeight w:val="864"/>
        </w:trPr>
        <w:tc>
          <w:tcPr>
            <w:tcW w:w="340" w:type="dxa"/>
            <w:vAlign w:val="bottom"/>
          </w:tcPr>
          <w:p>
            <w:pPr>
              <w:spacing w:after="0"/>
              <w:rPr>
                <w:sz w:val="20"/>
                <w:szCs w:val="20"/>
                <w:color w:val="auto"/>
              </w:rPr>
            </w:pPr>
            <w:r>
              <w:rPr>
                <w:rFonts w:ascii="Arial" w:cs="Arial" w:eastAsia="Arial" w:hAnsi="Arial"/>
                <w:sz w:val="12"/>
                <w:szCs w:val="12"/>
                <w:color w:val="auto"/>
              </w:rPr>
              <w:t>o</w:t>
            </w:r>
          </w:p>
        </w:tc>
        <w:tc>
          <w:tcPr>
            <w:tcW w:w="600" w:type="dxa"/>
            <w:vAlign w:val="bottom"/>
          </w:tcPr>
          <w:p>
            <w:pPr>
              <w:ind w:left="260"/>
              <w:spacing w:after="0"/>
              <w:rPr>
                <w:sz w:val="20"/>
                <w:szCs w:val="20"/>
                <w:color w:val="auto"/>
              </w:rPr>
            </w:pPr>
            <w:r>
              <w:rPr>
                <w:rFonts w:ascii="Arial" w:cs="Arial" w:eastAsia="Arial" w:hAnsi="Arial"/>
                <w:sz w:val="12"/>
                <w:szCs w:val="12"/>
                <w:color w:val="auto"/>
              </w:rPr>
              <w:t>o</w:t>
            </w:r>
          </w:p>
        </w:tc>
        <w:tc>
          <w:tcPr>
            <w:tcW w:w="340" w:type="dxa"/>
            <w:vAlign w:val="bottom"/>
          </w:tcPr>
          <w:p>
            <w:pPr>
              <w:ind w:left="280"/>
              <w:spacing w:after="0"/>
              <w:rPr>
                <w:sz w:val="20"/>
                <w:szCs w:val="20"/>
                <w:color w:val="auto"/>
              </w:rPr>
            </w:pPr>
            <w:r>
              <w:rPr>
                <w:rFonts w:ascii="Arial" w:cs="Arial" w:eastAsia="Arial" w:hAnsi="Arial"/>
                <w:sz w:val="9"/>
                <w:szCs w:val="9"/>
                <w:color w:val="auto"/>
                <w:w w:val="78"/>
              </w:rPr>
              <w:t>o</w:t>
            </w:r>
          </w:p>
        </w:tc>
      </w:tr>
      <w:tr>
        <w:trPr>
          <w:trHeight w:val="743"/>
        </w:trPr>
        <w:tc>
          <w:tcPr>
            <w:tcW w:w="340" w:type="dxa"/>
            <w:vAlign w:val="bottom"/>
          </w:tcPr>
          <w:p>
            <w:pPr>
              <w:spacing w:after="0"/>
              <w:rPr>
                <w:sz w:val="20"/>
                <w:szCs w:val="20"/>
                <w:color w:val="auto"/>
              </w:rPr>
            </w:pPr>
            <w:r>
              <w:rPr>
                <w:rFonts w:ascii="Arial" w:cs="Arial" w:eastAsia="Arial" w:hAnsi="Arial"/>
                <w:sz w:val="12"/>
                <w:szCs w:val="12"/>
                <w:color w:val="auto"/>
              </w:rPr>
              <w:t>o</w:t>
            </w:r>
          </w:p>
        </w:tc>
        <w:tc>
          <w:tcPr>
            <w:tcW w:w="600" w:type="dxa"/>
            <w:vAlign w:val="bottom"/>
          </w:tcPr>
          <w:p>
            <w:pPr>
              <w:ind w:left="260"/>
              <w:spacing w:after="0"/>
              <w:rPr>
                <w:sz w:val="20"/>
                <w:szCs w:val="20"/>
                <w:color w:val="auto"/>
              </w:rPr>
            </w:pPr>
            <w:r>
              <w:rPr>
                <w:rFonts w:ascii="Arial" w:cs="Arial" w:eastAsia="Arial" w:hAnsi="Arial"/>
                <w:sz w:val="12"/>
                <w:szCs w:val="12"/>
                <w:color w:val="auto"/>
              </w:rPr>
              <w:t>o</w:t>
            </w:r>
          </w:p>
        </w:tc>
        <w:tc>
          <w:tcPr>
            <w:tcW w:w="340" w:type="dxa"/>
            <w:vAlign w:val="bottom"/>
          </w:tcPr>
          <w:p>
            <w:pPr>
              <w:ind w:left="280"/>
              <w:spacing w:after="0"/>
              <w:rPr>
                <w:sz w:val="20"/>
                <w:szCs w:val="20"/>
                <w:color w:val="auto"/>
              </w:rPr>
            </w:pPr>
            <w:r>
              <w:rPr>
                <w:rFonts w:ascii="Arial" w:cs="Arial" w:eastAsia="Arial" w:hAnsi="Arial"/>
                <w:sz w:val="9"/>
                <w:szCs w:val="9"/>
                <w:color w:val="auto"/>
                <w:w w:val="78"/>
              </w:rPr>
              <w:t>o</w:t>
            </w:r>
          </w:p>
        </w:tc>
      </w:tr>
      <w:tr>
        <w:trPr>
          <w:trHeight w:val="553"/>
        </w:trPr>
        <w:tc>
          <w:tcPr>
            <w:tcW w:w="340" w:type="dxa"/>
            <w:vAlign w:val="bottom"/>
          </w:tcPr>
          <w:p>
            <w:pPr>
              <w:spacing w:after="0"/>
              <w:rPr>
                <w:sz w:val="20"/>
                <w:szCs w:val="20"/>
                <w:color w:val="auto"/>
              </w:rPr>
            </w:pPr>
            <w:r>
              <w:rPr>
                <w:rFonts w:ascii="Arial" w:cs="Arial" w:eastAsia="Arial" w:hAnsi="Arial"/>
                <w:sz w:val="12"/>
                <w:szCs w:val="12"/>
                <w:color w:val="auto"/>
              </w:rPr>
              <w:t>o</w:t>
            </w:r>
          </w:p>
        </w:tc>
        <w:tc>
          <w:tcPr>
            <w:tcW w:w="600" w:type="dxa"/>
            <w:vAlign w:val="bottom"/>
          </w:tcPr>
          <w:p>
            <w:pPr>
              <w:ind w:left="260"/>
              <w:spacing w:after="0"/>
              <w:rPr>
                <w:sz w:val="20"/>
                <w:szCs w:val="20"/>
                <w:color w:val="auto"/>
              </w:rPr>
            </w:pPr>
            <w:r>
              <w:rPr>
                <w:rFonts w:ascii="Arial" w:cs="Arial" w:eastAsia="Arial" w:hAnsi="Arial"/>
                <w:sz w:val="12"/>
                <w:szCs w:val="12"/>
                <w:color w:val="auto"/>
              </w:rPr>
              <w:t>o</w:t>
            </w:r>
          </w:p>
        </w:tc>
        <w:tc>
          <w:tcPr>
            <w:tcW w:w="340" w:type="dxa"/>
            <w:vAlign w:val="bottom"/>
          </w:tcPr>
          <w:p>
            <w:pPr>
              <w:ind w:left="280"/>
              <w:spacing w:after="0"/>
              <w:rPr>
                <w:sz w:val="20"/>
                <w:szCs w:val="20"/>
                <w:color w:val="auto"/>
              </w:rPr>
            </w:pPr>
            <w:r>
              <w:rPr>
                <w:rFonts w:ascii="Arial" w:cs="Arial" w:eastAsia="Arial" w:hAnsi="Arial"/>
                <w:sz w:val="9"/>
                <w:szCs w:val="9"/>
                <w:color w:val="auto"/>
                <w:w w:val="78"/>
              </w:rPr>
              <w:t>o</w:t>
            </w:r>
          </w:p>
        </w:tc>
      </w:tr>
      <w:tr>
        <w:trPr>
          <w:trHeight w:val="675"/>
        </w:trPr>
        <w:tc>
          <w:tcPr>
            <w:tcW w:w="340" w:type="dxa"/>
            <w:vAlign w:val="bottom"/>
          </w:tcPr>
          <w:p>
            <w:pPr>
              <w:spacing w:after="0"/>
              <w:rPr>
                <w:sz w:val="20"/>
                <w:szCs w:val="20"/>
                <w:color w:val="auto"/>
              </w:rPr>
            </w:pPr>
            <w:r>
              <w:rPr>
                <w:rFonts w:ascii="Arial" w:cs="Arial" w:eastAsia="Arial" w:hAnsi="Arial"/>
                <w:sz w:val="12"/>
                <w:szCs w:val="12"/>
                <w:color w:val="auto"/>
              </w:rPr>
              <w:t>o</w:t>
            </w:r>
          </w:p>
        </w:tc>
        <w:tc>
          <w:tcPr>
            <w:tcW w:w="600" w:type="dxa"/>
            <w:vAlign w:val="bottom"/>
          </w:tcPr>
          <w:p>
            <w:pPr>
              <w:ind w:left="260"/>
              <w:spacing w:after="0"/>
              <w:rPr>
                <w:sz w:val="20"/>
                <w:szCs w:val="20"/>
                <w:color w:val="auto"/>
              </w:rPr>
            </w:pPr>
            <w:r>
              <w:rPr>
                <w:rFonts w:ascii="Arial" w:cs="Arial" w:eastAsia="Arial" w:hAnsi="Arial"/>
                <w:sz w:val="12"/>
                <w:szCs w:val="12"/>
                <w:color w:val="auto"/>
              </w:rPr>
              <w:t>o</w:t>
            </w:r>
          </w:p>
        </w:tc>
        <w:tc>
          <w:tcPr>
            <w:tcW w:w="340" w:type="dxa"/>
            <w:vAlign w:val="bottom"/>
          </w:tcPr>
          <w:p>
            <w:pPr>
              <w:ind w:left="280"/>
              <w:spacing w:after="0"/>
              <w:rPr>
                <w:sz w:val="20"/>
                <w:szCs w:val="20"/>
                <w:color w:val="auto"/>
              </w:rPr>
            </w:pPr>
            <w:r>
              <w:rPr>
                <w:rFonts w:ascii="Arial" w:cs="Arial" w:eastAsia="Arial" w:hAnsi="Arial"/>
                <w:sz w:val="9"/>
                <w:szCs w:val="9"/>
                <w:color w:val="auto"/>
                <w:w w:val="78"/>
              </w:rPr>
              <w:t>o</w:t>
            </w:r>
          </w:p>
        </w:tc>
      </w:tr>
    </w:tbl>
    <w:p>
      <w:pPr>
        <w:spacing w:after="0" w:line="1" w:lineRule="exact"/>
        <w:rPr>
          <w:sz w:val="20"/>
          <w:szCs w:val="20"/>
          <w:color w:val="auto"/>
        </w:rPr>
      </w:pPr>
    </w:p>
    <w:sectPr>
      <w:pgSz w:w="11900" w:h="16838" w:orient="portrait"/>
      <w:cols w:equalWidth="0" w:num="2">
        <w:col w:w="9060" w:space="260"/>
        <w:col w:w="1280"/>
      </w:cols>
      <w:pgMar w:left="560" w:top="133"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o"/>
      <w:numFmt w:val="bullet"/>
      <w:start w:val="1"/>
    </w:lvl>
    <w:lvl w:ilvl="1">
      <w:lvlJc w:val="left"/>
      <w:lvlText w:val="(%2)"/>
      <w:numFmt w:val="decimal"/>
      <w:start w:val="1"/>
    </w:lvl>
  </w:abstractNum>
  <w:abstractNum w:abstractNumId="2">
    <w:nsid w:val="70C6A529"/>
    <w:multiLevelType w:val="hybridMultilevel"/>
    <w:lvl w:ilvl="0">
      <w:lvlJc w:val="left"/>
      <w:lvlText w:val="%1."/>
      <w:numFmt w:val="decimal"/>
      <w:start w:val="1"/>
    </w:lvl>
  </w:abstractNum>
  <w:abstractNum w:abstractNumId="3">
    <w:nsid w:val="520EEDD1"/>
    <w:multiLevelType w:val="hybridMultilevel"/>
    <w:lvl w:ilvl="0">
      <w:lvlJc w:val="left"/>
      <w:lvlText w:val="(%1)"/>
      <w:numFmt w:val="lowerLetter"/>
      <w:start w:val="2"/>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1)"/>
      <w:numFmt w:val="lowerLetter"/>
      <w:start w:val="3"/>
    </w:lvl>
  </w:abstractNum>
  <w:abstractNum w:abstractNumId="7">
    <w:nsid w:val="649BB77C"/>
    <w:multiLevelType w:val="hybridMultilevel"/>
    <w:lvl w:ilvl="0">
      <w:lvlJc w:val="left"/>
      <w:lvlText w:val="(%1)"/>
      <w:numFmt w:val="decimal"/>
      <w:start w:val="10"/>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o"/>
      <w:numFmt w:val="bullet"/>
      <w:start w:val="1"/>
    </w:lvl>
  </w:abstractNum>
  <w:abstractNum w:abstractNumId="30">
    <w:nsid w:val="1F48EAA1"/>
    <w:multiLevelType w:val="hybridMultilevel"/>
    <w:lvl w:ilvl="0">
      <w:lvlJc w:val="left"/>
      <w:lvlText w:val="o"/>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1)"/>
      <w:numFmt w:val="decimal"/>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1"/>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1)"/>
      <w:numFmt w:val="lowerRoman"/>
      <w:start w:val="4"/>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1)"/>
      <w:numFmt w:val="decimal"/>
      <w:start w:val="1"/>
    </w:lvl>
  </w:abstractNum>
  <w:abstractNum w:abstractNumId="46">
    <w:nsid w:val="7BD3EE7B"/>
    <w:multiLevelType w:val="hybridMultilevel"/>
    <w:lvl w:ilvl="0">
      <w:lvlJc w:val="left"/>
      <w:lvlText w:val="(%1)"/>
      <w:numFmt w:val="lowerLetter"/>
      <w:start w:val="2"/>
    </w:lvl>
  </w:abstractNum>
  <w:abstractNum w:abstractNumId="47">
    <w:nsid w:val="51D9C564"/>
    <w:multiLevelType w:val="hybridMultilevel"/>
    <w:lvl w:ilvl="0">
      <w:lvlJc w:val="left"/>
      <w:lvlText w:val="(%1)"/>
      <w:numFmt w:val="decimal"/>
      <w:start w:val="12"/>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1)"/>
      <w:numFmt w:val="decimal"/>
      <w:start w:val="1"/>
    </w:lvl>
  </w:abstractNum>
  <w:abstractNum w:abstractNumId="50">
    <w:nsid w:val="11447B73"/>
    <w:multiLevelType w:val="hybridMultilevel"/>
    <w:lvl w:ilvl="0">
      <w:lvlJc w:val="left"/>
      <w:lvlText w:val="(%1)"/>
      <w:numFmt w:val="decimal"/>
      <w:start w:val="1"/>
    </w:lvl>
  </w:abstractNum>
  <w:abstractNum w:abstractNumId="51">
    <w:nsid w:val="42963E5A"/>
    <w:multiLevelType w:val="hybridMultilevel"/>
    <w:lvl w:ilvl="0">
      <w:lvlJc w:val="left"/>
      <w:lvlText w:val="(%1)"/>
      <w:numFmt w:val="decimal"/>
      <w:start w:val="1"/>
    </w:lvl>
  </w:abstractNum>
  <w:abstractNum w:abstractNumId="52">
    <w:nsid w:val="A0382C5"/>
    <w:multiLevelType w:val="hybridMultilevel"/>
    <w:lvl w:ilvl="0">
      <w:lvlJc w:val="left"/>
      <w:lvlText w:val="(%1)"/>
      <w:numFmt w:val="decimal"/>
      <w:start w:val="2"/>
    </w:lvl>
  </w:abstractNum>
  <w:abstractNum w:abstractNumId="53">
    <w:nsid w:val="8F2B15E"/>
    <w:multiLevelType w:val="hybridMultilevel"/>
    <w:lvl w:ilvl="0">
      <w:lvlJc w:val="left"/>
      <w:lvlText w:val="(%1)"/>
      <w:numFmt w:val="decimal"/>
      <w:start w:val="1"/>
    </w:lvl>
  </w:abstractNum>
  <w:abstractNum w:abstractNumId="54">
    <w:nsid w:val="1A32234B"/>
    <w:multiLevelType w:val="hybridMultilevel"/>
    <w:lvl w:ilvl="0">
      <w:lvlJc w:val="left"/>
      <w:lvlText w:val="(%1)"/>
      <w:numFmt w:val="upperLetter"/>
      <w:start w:val="1"/>
    </w:lvl>
  </w:abstractNum>
  <w:abstractNum w:abstractNumId="55">
    <w:nsid w:val="3B0FD379"/>
    <w:multiLevelType w:val="hybridMultilevel"/>
    <w:lvl w:ilvl="0">
      <w:lvlJc w:val="left"/>
      <w:lvlText w:val="(%1)"/>
      <w:numFmt w:val="lowerRoman"/>
      <w:start w:val="2"/>
    </w:lvl>
  </w:abstractNum>
  <w:abstractNum w:abstractNumId="56">
    <w:nsid w:val="68EB2F63"/>
    <w:multiLevelType w:val="hybridMultilevel"/>
    <w:lvl w:ilvl="0">
      <w:lvlJc w:val="left"/>
      <w:lvlText w:val="(%1)"/>
      <w:numFmt w:val="lowerRoman"/>
      <w:start w:val="1"/>
    </w:lvl>
  </w:abstractNum>
  <w:abstractNum w:abstractNumId="57">
    <w:nsid w:val="4962813B"/>
    <w:multiLevelType w:val="hybridMultilevel"/>
    <w:lvl w:ilvl="0">
      <w:lvlJc w:val="left"/>
      <w:lvlText w:val="(%1)"/>
      <w:numFmt w:val="lowerRoman"/>
      <w:start w:val="3"/>
    </w:lvl>
  </w:abstractNum>
  <w:abstractNum w:abstractNumId="58">
    <w:nsid w:val="60B6DF70"/>
    <w:multiLevelType w:val="hybridMultilevel"/>
    <w:lvl w:ilvl="0">
      <w:lvlJc w:val="left"/>
      <w:lvlText w:val="(%1)"/>
      <w:numFmt w:val="lowerLetter"/>
      <w:start w:val="25"/>
    </w:lvl>
  </w:abstractNum>
  <w:abstractNum w:abstractNumId="59">
    <w:nsid w:val="6A5EE64"/>
    <w:multiLevelType w:val="hybridMultilevel"/>
    <w:lvl w:ilvl="0">
      <w:lvlJc w:val="left"/>
      <w:lvlText w:val="(%1)"/>
      <w:numFmt w:val="lowerRoman"/>
      <w:start w:val="4"/>
    </w:lvl>
  </w:abstractNum>
  <w:abstractNum w:abstractNumId="60">
    <w:nsid w:val="14330624"/>
    <w:multiLevelType w:val="hybridMultilevel"/>
    <w:lvl w:ilvl="0">
      <w:lvlJc w:val="left"/>
      <w:lvlText w:val="(%1)"/>
      <w:numFmt w:val="lowerRoman"/>
      <w:start w:val="4"/>
    </w:lvl>
  </w:abstractNum>
  <w:abstractNum w:abstractNumId="61">
    <w:nsid w:val="7FFFCA11"/>
    <w:multiLevelType w:val="hybridMultilevel"/>
    <w:lvl w:ilvl="0">
      <w:lvlJc w:val="left"/>
      <w:lvlText w:val="•"/>
      <w:numFmt w:val="bullet"/>
      <w:start w:val="1"/>
    </w:lvl>
  </w:abstractNum>
  <w:abstractNum w:abstractNumId="62">
    <w:nsid w:val="1A27709E"/>
    <w:multiLevelType w:val="hybridMultilevel"/>
    <w:lvl w:ilvl="0">
      <w:lvlJc w:val="left"/>
      <w:lvlText w:val="(%1)"/>
      <w:numFmt w:val="decimal"/>
      <w:start w:val="1"/>
    </w:lvl>
  </w:abstractNum>
  <w:abstractNum w:abstractNumId="63">
    <w:nsid w:val="71EA1109"/>
    <w:multiLevelType w:val="hybridMultilevel"/>
    <w:lvl w:ilvl="0">
      <w:lvlJc w:val="left"/>
      <w:lvlText w:val="•"/>
      <w:numFmt w:val="bullet"/>
      <w:start w:val="1"/>
    </w:lvl>
  </w:abstractNum>
  <w:abstractNum w:abstractNumId="64">
    <w:nsid w:val="100F59DC"/>
    <w:multiLevelType w:val="hybridMultilevel"/>
    <w:lvl w:ilvl="0">
      <w:lvlJc w:val="left"/>
      <w:lvlText w:val="•"/>
      <w:numFmt w:val="bullet"/>
      <w:start w:val="1"/>
    </w:lvl>
  </w:abstractNum>
  <w:abstractNum w:abstractNumId="65">
    <w:nsid w:val="7FB7E0AA"/>
    <w:multiLevelType w:val="hybridMultilevel"/>
    <w:lvl w:ilvl="0">
      <w:lvlJc w:val="left"/>
      <w:lvlText w:val="•"/>
      <w:numFmt w:val="bullet"/>
      <w:start w:val="1"/>
    </w:lvl>
  </w:abstractNum>
  <w:abstractNum w:abstractNumId="66">
    <w:nsid w:val="6EB5BD4"/>
    <w:multiLevelType w:val="hybridMultilevel"/>
    <w:lvl w:ilvl="0">
      <w:lvlJc w:val="left"/>
      <w:lvlText w:val="(%1)"/>
      <w:numFmt w:val="decimal"/>
      <w:start w:val="1"/>
    </w:lvl>
  </w:abstractNum>
  <w:abstractNum w:abstractNumId="67">
    <w:nsid w:val="6F6DD9AC"/>
    <w:multiLevelType w:val="hybridMultilevel"/>
    <w:lvl w:ilvl="0">
      <w:lvlJc w:val="left"/>
      <w:lvlText w:val="(%1)"/>
      <w:numFmt w:val="decimal"/>
      <w:start w:val="2"/>
    </w:lvl>
  </w:abstractNum>
  <w:abstractNum w:abstractNumId="68">
    <w:nsid w:val="94211F2"/>
    <w:multiLevelType w:val="hybridMultilevel"/>
    <w:lvl w:ilvl="0">
      <w:lvlJc w:val="left"/>
      <w:lvlText w:val="(%1)"/>
      <w:numFmt w:val="lowerRoman"/>
      <w:start w:val="1"/>
    </w:lvl>
  </w:abstractNum>
  <w:abstractNum w:abstractNumId="69">
    <w:nsid w:val="885E1B"/>
    <w:multiLevelType w:val="hybridMultilevel"/>
    <w:lvl w:ilvl="0">
      <w:lvlJc w:val="left"/>
      <w:lvlText w:val="•"/>
      <w:numFmt w:val="bullet"/>
      <w:start w:val="1"/>
    </w:lvl>
  </w:abstractNum>
  <w:abstractNum w:abstractNumId="70">
    <w:nsid w:val="76272110"/>
    <w:multiLevelType w:val="hybridMultilevel"/>
    <w:lvl w:ilvl="0">
      <w:lvlJc w:val="left"/>
      <w:lvlText w:val="•"/>
      <w:numFmt w:val="bullet"/>
      <w:start w:val="1"/>
    </w:lvl>
  </w:abstractNum>
  <w:abstractNum w:abstractNumId="71">
    <w:nsid w:val="4C04A8AF"/>
    <w:multiLevelType w:val="hybridMultilevel"/>
    <w:lvl w:ilvl="0">
      <w:lvlJc w:val="left"/>
      <w:lvlText w:val="•"/>
      <w:numFmt w:val="bullet"/>
      <w:start w:val="1"/>
    </w:lvl>
  </w:abstractNum>
  <w:abstractNum w:abstractNumId="72">
    <w:nsid w:val="1716703B"/>
    <w:multiLevelType w:val="hybridMultilevel"/>
    <w:lvl w:ilvl="0">
      <w:lvlJc w:val="left"/>
      <w:lvlText w:val="(%1)"/>
      <w:numFmt w:val="decimal"/>
      <w:start w:val="1"/>
    </w:lvl>
  </w:abstractNum>
  <w:abstractNum w:abstractNumId="73">
    <w:nsid w:val="14E17E33"/>
    <w:multiLevelType w:val="hybridMultilevel"/>
    <w:lvl w:ilvl="0">
      <w:lvlJc w:val="left"/>
      <w:lvlText w:val="*"/>
      <w:numFmt w:val="bullet"/>
      <w:start w:val="1"/>
    </w:lvl>
  </w:abstractNum>
  <w:abstractNum w:abstractNumId="74">
    <w:nsid w:val="3222E7CD"/>
    <w:multiLevelType w:val="hybridMultilevel"/>
    <w:lvl w:ilvl="0">
      <w:lvlJc w:val="left"/>
      <w:lvlText w:val="(%1)"/>
      <w:numFmt w:val="decimal"/>
      <w:start w:val="1"/>
    </w:lvl>
  </w:abstractNum>
  <w:abstractNum w:abstractNumId="75">
    <w:nsid w:val="74DE0EE3"/>
    <w:multiLevelType w:val="hybridMultilevel"/>
    <w:lvl w:ilvl="0">
      <w:lvlJc w:val="left"/>
      <w:lvlText w:val="(%1)"/>
      <w:numFmt w:val="decimal"/>
      <w:start w:val="2"/>
    </w:lvl>
  </w:abstractNum>
  <w:abstractNum w:abstractNumId="76">
    <w:nsid w:val="68EBC550"/>
    <w:multiLevelType w:val="hybridMultilevel"/>
    <w:lvl w:ilvl="0">
      <w:lvlJc w:val="left"/>
      <w:lvlText w:val="•"/>
      <w:numFmt w:val="bullet"/>
      <w:start w:val="1"/>
    </w:lvl>
  </w:abstractNum>
  <w:abstractNum w:abstractNumId="77">
    <w:nsid w:val="2DF6D648"/>
    <w:multiLevelType w:val="hybridMultilevel"/>
    <w:lvl w:ilvl="0">
      <w:lvlJc w:val="left"/>
      <w:lvlText w:val="%1."/>
      <w:numFmt w:val="decimal"/>
      <w:start w:val="1"/>
    </w:lvl>
  </w:abstractNum>
  <w:abstractNum w:abstractNumId="78">
    <w:nsid w:val="46B7D447"/>
    <w:multiLevelType w:val="hybridMultilevel"/>
    <w:lvl w:ilvl="0">
      <w:lvlJc w:val="left"/>
      <w:lvlText w:val="(%1)"/>
      <w:numFmt w:val="lowerRoman"/>
      <w:start w:val="4"/>
    </w:lvl>
  </w:abstractNum>
  <w:abstractNum w:abstractNumId="79">
    <w:nsid w:val="4A2AC315"/>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80">
    <w:nsid w:val="39EE015C"/>
    <w:multiLevelType w:val="hybridMultilevel"/>
    <w:lvl w:ilvl="0">
      <w:lvlJc w:val="left"/>
      <w:lvlText w:val="%1."/>
      <w:numFmt w:val="decimal"/>
      <w:start w:val="2"/>
    </w:lvl>
  </w:abstractNum>
  <w:abstractNum w:abstractNumId="81">
    <w:nsid w:val="57FC4FBB"/>
    <w:multiLevelType w:val="hybridMultilevel"/>
    <w:lvl w:ilvl="0">
      <w:lvlJc w:val="left"/>
      <w:lvlText w:val="(%1)"/>
      <w:numFmt w:val="decimal"/>
      <w:start w:val="1"/>
    </w:lvl>
  </w:abstractNum>
  <w:abstractNum w:abstractNumId="82">
    <w:nsid w:val="CC1016F"/>
    <w:multiLevelType w:val="hybridMultilevel"/>
    <w:lvl w:ilvl="0">
      <w:lvlJc w:val="left"/>
      <w:lvlText w:val="%1."/>
      <w:numFmt w:val="decimal"/>
      <w:start w:val="1"/>
    </w:lvl>
  </w:abstractNum>
  <w:abstractNum w:abstractNumId="83">
    <w:nsid w:val="43F18422"/>
    <w:multiLevelType w:val="hybridMultilevel"/>
    <w:lvl w:ilvl="0">
      <w:lvlJc w:val="left"/>
      <w:lvlText w:val="%1."/>
      <w:numFmt w:val="decimal"/>
      <w:start w:val="5"/>
    </w:lvl>
  </w:abstractNum>
  <w:abstractNum w:abstractNumId="84">
    <w:nsid w:val="60EF0119"/>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85">
    <w:nsid w:val="26F324BA"/>
    <w:multiLevelType w:val="hybridMultilevel"/>
    <w:lvl w:ilvl="0">
      <w:lvlJc w:val="left"/>
      <w:lvlText w:val="%1"/>
      <w:numFmt w:val="decimal"/>
      <w:start w:val="1"/>
    </w:lvl>
    <w:lvl w:ilvl="1">
      <w:lvlJc w:val="left"/>
      <w:lvlText w:val="%2."/>
      <w:numFmt w:val="upperLetter"/>
      <w:start w:val="8"/>
    </w:lvl>
  </w:abstractNum>
  <w:abstractNum w:abstractNumId="86">
    <w:nsid w:val="7F01579B"/>
    <w:multiLevelType w:val="hybridMultilevel"/>
    <w:lvl w:ilvl="0">
      <w:lvlJc w:val="left"/>
      <w:lvlText w:val="%1."/>
      <w:numFmt w:val="decimal"/>
      <w:start w:val="2"/>
    </w:lvl>
    <w:lvl w:ilvl="1">
      <w:lvlJc w:val="left"/>
      <w:lvlText w:val="%2"/>
      <w:numFmt w:val="upperLetter"/>
      <w:start w:val="1"/>
    </w:lvl>
  </w:abstractNum>
  <w:abstractNum w:abstractNumId="87">
    <w:nsid w:val="49DA307D"/>
    <w:multiLevelType w:val="hybridMultilevel"/>
    <w:lvl w:ilvl="0">
      <w:lvlJc w:val="left"/>
      <w:lvlText w:val="%1."/>
      <w:numFmt w:val="decimal"/>
      <w:start w:val="3"/>
    </w:lvl>
  </w:abstractNum>
  <w:abstractNum w:abstractNumId="88">
    <w:nsid w:val="7055A5F5"/>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89">
    <w:nsid w:val="5FB8370B"/>
    <w:multiLevelType w:val="hybridMultilevel"/>
    <w:lvl w:ilvl="0">
      <w:lvlJc w:val="left"/>
      <w:lvlText w:val="%1"/>
      <w:numFmt w:val="decimal"/>
      <w:start w:val="1"/>
    </w:lvl>
    <w:lvl w:ilvl="1">
      <w:lvlJc w:val="left"/>
      <w:lvlText w:val="(%2)"/>
      <w:numFmt w:val="lowerRoman"/>
      <w:start w:val="4"/>
    </w:lvl>
  </w:abstractNum>
  <w:abstractNum w:abstractNumId="90">
    <w:nsid w:val="50801EE1"/>
    <w:multiLevelType w:val="hybridMultilevel"/>
    <w:lvl w:ilvl="0">
      <w:lvlJc w:val="left"/>
      <w:lvlText w:val="%1."/>
      <w:numFmt w:val="decimal"/>
      <w:start w:val="4"/>
    </w:lvl>
    <w:lvl w:ilvl="1">
      <w:lvlJc w:val="left"/>
      <w:lvlText w:val="%2"/>
      <w:numFmt w:val="lowerRoman"/>
      <w:start w:val="1"/>
    </w:lvl>
  </w:abstractNum>
  <w:abstractNum w:abstractNumId="91">
    <w:nsid w:val="488AC1A"/>
    <w:multiLevelType w:val="hybridMultilevel"/>
    <w:lvl w:ilvl="0">
      <w:lvlJc w:val="left"/>
      <w:lvlText w:val="(%1)"/>
      <w:numFmt w:val="lowerLetter"/>
      <w:start w:val="1"/>
    </w:lvl>
  </w:abstractNum>
  <w:abstractNum w:abstractNumId="92">
    <w:nsid w:val="5FB8011C"/>
    <w:multiLevelType w:val="hybridMultilevel"/>
    <w:lvl w:ilvl="0">
      <w:lvlJc w:val="left"/>
      <w:lvlText w:val="(%1)"/>
      <w:numFmt w:val="lowerLetter"/>
      <w:start w:val="2"/>
    </w:lvl>
  </w:abstractNum>
  <w:abstractNum w:abstractNumId="93">
    <w:nsid w:val="6AA78F7F"/>
    <w:multiLevelType w:val="hybridMultilevel"/>
    <w:lvl w:ilvl="0">
      <w:lvlJc w:val="left"/>
      <w:lvlText w:val="%1."/>
      <w:numFmt w:val="decimal"/>
      <w:start w:val="1"/>
    </w:lvl>
  </w:abstractNum>
  <w:abstractNum w:abstractNumId="94">
    <w:nsid w:val="7672BD23"/>
    <w:multiLevelType w:val="hybridMultilevel"/>
    <w:lvl w:ilvl="0">
      <w:lvlJc w:val="left"/>
      <w:lvlText w:val="%1."/>
      <w:numFmt w:val="decimal"/>
      <w:start w:val="2"/>
    </w:lvl>
  </w:abstractNum>
  <w:abstractNum w:abstractNumId="95">
    <w:nsid w:val="6FC75AF8"/>
    <w:multiLevelType w:val="hybridMultilevel"/>
    <w:lvl w:ilvl="0">
      <w:lvlJc w:val="left"/>
      <w:lvlText w:val="%1."/>
      <w:numFmt w:val="decimal"/>
      <w:start w:val="3"/>
    </w:lvl>
  </w:abstractNum>
  <w:abstractNum w:abstractNumId="96">
    <w:nsid w:val="6A5F7029"/>
    <w:multiLevelType w:val="hybridMultilevel"/>
    <w:lvl w:ilvl="0">
      <w:lvlJc w:val="left"/>
      <w:lvlText w:val="%1."/>
      <w:numFmt w:val="decimal"/>
      <w:start w:val="4"/>
    </w:lvl>
  </w:abstractNum>
  <w:abstractNum w:abstractNumId="97">
    <w:nsid w:val="7D5E18F8"/>
    <w:multiLevelType w:val="hybridMultilevel"/>
    <w:lvl w:ilvl="0">
      <w:lvlJc w:val="left"/>
      <w:lvlText w:val="(%1)"/>
      <w:numFmt w:val="decimal"/>
      <w:start w:val="24"/>
    </w:lvl>
  </w:abstractNum>
  <w:abstractNum w:abstractNumId="98">
    <w:nsid w:val="5F3534A4"/>
    <w:multiLevelType w:val="hybridMultilevel"/>
    <w:lvl w:ilvl="0">
      <w:lvlJc w:val="left"/>
      <w:lvlText w:val="%1."/>
      <w:numFmt w:val="decimal"/>
      <w:start w:val="5"/>
    </w:lvl>
  </w:abstractNum>
  <w:abstractNum w:abstractNumId="99">
    <w:nsid w:val="73A1821B"/>
    <w:multiLevelType w:val="hybridMultilevel"/>
    <w:lvl w:ilvl="0">
      <w:lvlJc w:val="left"/>
      <w:lvlText w:val="%1."/>
      <w:numFmt w:val="decimal"/>
      <w:start w:val="7"/>
    </w:lvl>
  </w:abstractNum>
  <w:abstractNum w:abstractNumId="100">
    <w:nsid w:val="7DE67713"/>
    <w:multiLevelType w:val="hybridMultilevel"/>
    <w:lvl w:ilvl="0">
      <w:lvlJc w:val="left"/>
      <w:lvlText w:val="%1."/>
      <w:numFmt w:val="decimal"/>
      <w:start w:val="8"/>
    </w:lvl>
  </w:abstractNum>
  <w:abstractNum w:abstractNumId="101">
    <w:nsid w:val="555C55B5"/>
    <w:multiLevelType w:val="hybridMultilevel"/>
    <w:lvl w:ilvl="0">
      <w:lvlJc w:val="left"/>
      <w:lvlText w:val="%1."/>
      <w:numFmt w:val="decimal"/>
      <w:start w:val="9"/>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2020-03-27T08:17:48Z</dcterms:created>
  <dcterms:modified xsi:type="dcterms:W3CDTF">2020-03-27T08:17:48Z</dcterms:modified>
</cp:coreProperties>
</file>