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10-K/A</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391"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September 30, 2022</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32"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001-05560</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Skyworks Solutions, Inc.</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60" w:type="dxa"/>
            <w:vAlign w:val="bottom"/>
          </w:tcPr>
          <w:p>
            <w:pPr>
              <w:jc w:val="center"/>
              <w:ind w:right="377"/>
              <w:spacing w:after="0"/>
              <w:rPr>
                <w:sz w:val="20"/>
                <w:szCs w:val="20"/>
                <w:color w:val="auto"/>
              </w:rPr>
            </w:pPr>
            <w:r>
              <w:rPr>
                <w:rFonts w:ascii="Arial" w:cs="Arial" w:eastAsia="Arial" w:hAnsi="Arial"/>
                <w:sz w:val="18"/>
                <w:szCs w:val="18"/>
                <w:b w:val="1"/>
                <w:bCs w:val="1"/>
                <w:color w:val="auto"/>
                <w:w w:val="93"/>
              </w:rPr>
              <w:t>Delaware</w:t>
            </w:r>
          </w:p>
        </w:tc>
        <w:tc>
          <w:tcPr>
            <w:tcW w:w="2080" w:type="dxa"/>
            <w:vAlign w:val="bottom"/>
          </w:tcPr>
          <w:p>
            <w:pPr>
              <w:spacing w:after="0"/>
              <w:rPr>
                <w:sz w:val="20"/>
                <w:szCs w:val="20"/>
                <w:color w:val="auto"/>
              </w:rPr>
            </w:pPr>
          </w:p>
        </w:tc>
        <w:tc>
          <w:tcPr>
            <w:tcW w:w="3480" w:type="dxa"/>
            <w:vAlign w:val="bottom"/>
          </w:tcPr>
          <w:p>
            <w:pPr>
              <w:jc w:val="right"/>
              <w:ind w:right="1539"/>
              <w:spacing w:after="0"/>
              <w:rPr>
                <w:sz w:val="20"/>
                <w:szCs w:val="20"/>
                <w:color w:val="auto"/>
              </w:rPr>
            </w:pPr>
            <w:r>
              <w:rPr>
                <w:rFonts w:ascii="Arial" w:cs="Arial" w:eastAsia="Arial" w:hAnsi="Arial"/>
                <w:sz w:val="18"/>
                <w:szCs w:val="18"/>
                <w:b w:val="1"/>
                <w:bCs w:val="1"/>
                <w:color w:val="auto"/>
              </w:rPr>
              <w:t>04-2302115</w:t>
            </w:r>
          </w:p>
        </w:tc>
      </w:tr>
      <w:tr>
        <w:trPr>
          <w:trHeight w:val="210"/>
        </w:trPr>
        <w:tc>
          <w:tcPr>
            <w:tcW w:w="700" w:type="dxa"/>
            <w:vAlign w:val="bottom"/>
          </w:tcPr>
          <w:p>
            <w:pPr>
              <w:spacing w:after="0"/>
              <w:rPr>
                <w:sz w:val="18"/>
                <w:szCs w:val="18"/>
                <w:color w:val="auto"/>
              </w:rPr>
            </w:pPr>
          </w:p>
        </w:tc>
        <w:tc>
          <w:tcPr>
            <w:tcW w:w="5560" w:type="dxa"/>
            <w:vAlign w:val="bottom"/>
            <w:gridSpan w:val="3"/>
          </w:tcPr>
          <w:p>
            <w:pPr>
              <w:jc w:val="center"/>
              <w:ind w:right="133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480" w:type="dxa"/>
            <w:vAlign w:val="bottom"/>
          </w:tcPr>
          <w:p>
            <w:pPr>
              <w:jc w:val="center"/>
              <w:ind w:right="55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357"/>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w w:val="90"/>
              </w:rPr>
              <w:t>5260 California Avenue</w:t>
            </w:r>
          </w:p>
        </w:tc>
        <w:tc>
          <w:tcPr>
            <w:tcW w:w="2360" w:type="dxa"/>
            <w:vAlign w:val="bottom"/>
          </w:tcPr>
          <w:p>
            <w:pPr>
              <w:ind w:left="1020"/>
              <w:spacing w:after="0"/>
              <w:rPr>
                <w:sz w:val="20"/>
                <w:szCs w:val="20"/>
                <w:color w:val="auto"/>
              </w:rPr>
            </w:pPr>
            <w:r>
              <w:rPr>
                <w:rFonts w:ascii="Arial" w:cs="Arial" w:eastAsia="Arial" w:hAnsi="Arial"/>
                <w:sz w:val="18"/>
                <w:szCs w:val="18"/>
                <w:b w:val="1"/>
                <w:bCs w:val="1"/>
                <w:color w:val="auto"/>
              </w:rPr>
              <w:t>Irvine</w:t>
            </w:r>
          </w:p>
        </w:tc>
        <w:tc>
          <w:tcPr>
            <w:tcW w:w="2080" w:type="dxa"/>
            <w:vAlign w:val="bottom"/>
          </w:tcPr>
          <w:p>
            <w:pPr>
              <w:jc w:val="right"/>
              <w:ind w:right="1079"/>
              <w:spacing w:after="0"/>
              <w:rPr>
                <w:sz w:val="20"/>
                <w:szCs w:val="20"/>
                <w:color w:val="auto"/>
              </w:rPr>
            </w:pPr>
            <w:r>
              <w:rPr>
                <w:rFonts w:ascii="Arial" w:cs="Arial" w:eastAsia="Arial" w:hAnsi="Arial"/>
                <w:sz w:val="18"/>
                <w:szCs w:val="18"/>
                <w:b w:val="1"/>
                <w:bCs w:val="1"/>
                <w:color w:val="auto"/>
              </w:rPr>
              <w:t>California</w:t>
            </w:r>
          </w:p>
        </w:tc>
        <w:tc>
          <w:tcPr>
            <w:tcW w:w="3480" w:type="dxa"/>
            <w:vAlign w:val="bottom"/>
          </w:tcPr>
          <w:p>
            <w:pPr>
              <w:jc w:val="right"/>
              <w:ind w:right="1419"/>
              <w:spacing w:after="0"/>
              <w:rPr>
                <w:sz w:val="20"/>
                <w:szCs w:val="20"/>
                <w:color w:val="auto"/>
              </w:rPr>
            </w:pPr>
            <w:r>
              <w:rPr>
                <w:rFonts w:ascii="Arial" w:cs="Arial" w:eastAsia="Arial" w:hAnsi="Arial"/>
                <w:sz w:val="18"/>
                <w:szCs w:val="18"/>
                <w:b w:val="1"/>
                <w:bCs w:val="1"/>
                <w:color w:val="auto"/>
              </w:rPr>
              <w:t>92617</w:t>
            </w:r>
          </w:p>
        </w:tc>
      </w:tr>
      <w:tr>
        <w:trPr>
          <w:trHeight w:val="210"/>
        </w:trPr>
        <w:tc>
          <w:tcPr>
            <w:tcW w:w="700" w:type="dxa"/>
            <w:vAlign w:val="bottom"/>
          </w:tcPr>
          <w:p>
            <w:pPr>
              <w:spacing w:after="0"/>
              <w:rPr>
                <w:sz w:val="18"/>
                <w:szCs w:val="18"/>
                <w:color w:val="auto"/>
              </w:rPr>
            </w:pPr>
          </w:p>
        </w:tc>
        <w:tc>
          <w:tcPr>
            <w:tcW w:w="3480" w:type="dxa"/>
            <w:vAlign w:val="bottom"/>
            <w:gridSpan w:val="2"/>
          </w:tcPr>
          <w:p>
            <w:pPr>
              <w:jc w:val="center"/>
              <w:ind w:left="602"/>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20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6"/>
                <w:szCs w:val="16"/>
                <w:i w:val="1"/>
                <w:iCs w:val="1"/>
                <w:color w:val="auto"/>
                <w:w w:val="95"/>
              </w:rPr>
              <w:t>(Zip Code)</w:t>
            </w:r>
          </w:p>
        </w:tc>
      </w:tr>
      <w:tr>
        <w:trPr>
          <w:trHeight w:val="356"/>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tcPr>
          <w:p>
            <w:pPr>
              <w:jc w:val="right"/>
              <w:ind w:right="259"/>
              <w:spacing w:after="0"/>
              <w:rPr>
                <w:sz w:val="20"/>
                <w:szCs w:val="20"/>
                <w:color w:val="auto"/>
              </w:rPr>
            </w:pPr>
            <w:r>
              <w:rPr>
                <w:rFonts w:ascii="Arial" w:cs="Arial" w:eastAsia="Arial" w:hAnsi="Arial"/>
                <w:sz w:val="18"/>
                <w:szCs w:val="18"/>
                <w:b w:val="1"/>
                <w:bCs w:val="1"/>
                <w:color w:val="auto"/>
              </w:rPr>
              <w:t>(949) 231-3000</w:t>
            </w:r>
          </w:p>
        </w:tc>
        <w:tc>
          <w:tcPr>
            <w:tcW w:w="348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920" w:type="dxa"/>
            <w:vAlign w:val="bottom"/>
            <w:gridSpan w:val="3"/>
          </w:tcPr>
          <w:p>
            <w:pPr>
              <w:jc w:val="center"/>
              <w:ind w:right="1019"/>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r>
        <w:trPr>
          <w:trHeight w:val="487"/>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20" w:type="dxa"/>
            <w:vAlign w:val="bottom"/>
            <w:gridSpan w:val="3"/>
          </w:tcPr>
          <w:p>
            <w:pPr>
              <w:jc w:val="center"/>
              <w:ind w:right="103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360" w:type="dxa"/>
            <w:vAlign w:val="bottom"/>
          </w:tcPr>
          <w:p>
            <w:pPr>
              <w:jc w:val="center"/>
              <w:ind w:right="1157"/>
              <w:spacing w:after="0"/>
              <w:rPr>
                <w:sz w:val="20"/>
                <w:szCs w:val="20"/>
                <w:color w:val="auto"/>
              </w:rPr>
            </w:pPr>
            <w:r>
              <w:rPr>
                <w:rFonts w:ascii="Arial" w:cs="Arial" w:eastAsia="Arial" w:hAnsi="Arial"/>
                <w:sz w:val="14"/>
                <w:szCs w:val="14"/>
                <w:b w:val="1"/>
                <w:bCs w:val="1"/>
                <w:color w:val="auto"/>
                <w:w w:val="89"/>
              </w:rPr>
              <w:t>Title of each class</w:t>
            </w:r>
          </w:p>
        </w:tc>
        <w:tc>
          <w:tcPr>
            <w:tcW w:w="2080" w:type="dxa"/>
            <w:vAlign w:val="bottom"/>
          </w:tcPr>
          <w:p>
            <w:pPr>
              <w:jc w:val="center"/>
              <w:ind w:left="339"/>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left="479"/>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700" w:type="dxa"/>
            <w:vAlign w:val="bottom"/>
          </w:tcPr>
          <w:p>
            <w:pPr>
              <w:spacing w:after="0"/>
              <w:rPr>
                <w:sz w:val="2"/>
                <w:szCs w:val="2"/>
                <w:color w:val="auto"/>
              </w:rPr>
            </w:pPr>
          </w:p>
        </w:tc>
        <w:tc>
          <w:tcPr>
            <w:tcW w:w="348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11"/>
        </w:trPr>
        <w:tc>
          <w:tcPr>
            <w:tcW w:w="700" w:type="dxa"/>
            <w:vAlign w:val="bottom"/>
          </w:tcPr>
          <w:p>
            <w:pPr>
              <w:spacing w:after="0"/>
              <w:rPr>
                <w:sz w:val="18"/>
                <w:szCs w:val="18"/>
                <w:color w:val="auto"/>
              </w:rPr>
            </w:pPr>
          </w:p>
        </w:tc>
        <w:tc>
          <w:tcPr>
            <w:tcW w:w="3480" w:type="dxa"/>
            <w:vAlign w:val="bottom"/>
            <w:gridSpan w:val="2"/>
          </w:tcPr>
          <w:p>
            <w:pPr>
              <w:jc w:val="center"/>
              <w:ind w:right="17"/>
              <w:spacing w:after="0"/>
              <w:rPr>
                <w:sz w:val="20"/>
                <w:szCs w:val="20"/>
                <w:color w:val="auto"/>
              </w:rPr>
            </w:pPr>
            <w:r>
              <w:rPr>
                <w:rFonts w:ascii="Arial" w:cs="Arial" w:eastAsia="Arial" w:hAnsi="Arial"/>
                <w:sz w:val="14"/>
                <w:szCs w:val="14"/>
                <w:color w:val="auto"/>
                <w:w w:val="91"/>
              </w:rPr>
              <w:t>Common Stock, par value $0.25 per share</w:t>
            </w:r>
          </w:p>
        </w:tc>
        <w:tc>
          <w:tcPr>
            <w:tcW w:w="2080" w:type="dxa"/>
            <w:vAlign w:val="bottom"/>
          </w:tcPr>
          <w:p>
            <w:pPr>
              <w:jc w:val="center"/>
              <w:ind w:left="359"/>
              <w:spacing w:after="0"/>
              <w:rPr>
                <w:sz w:val="20"/>
                <w:szCs w:val="20"/>
                <w:color w:val="auto"/>
              </w:rPr>
            </w:pPr>
            <w:r>
              <w:rPr>
                <w:rFonts w:ascii="Arial" w:cs="Arial" w:eastAsia="Arial" w:hAnsi="Arial"/>
                <w:sz w:val="14"/>
                <w:szCs w:val="14"/>
                <w:color w:val="auto"/>
                <w:w w:val="96"/>
              </w:rPr>
              <w:t>SWKS</w:t>
            </w:r>
          </w:p>
        </w:tc>
        <w:tc>
          <w:tcPr>
            <w:tcW w:w="3480" w:type="dxa"/>
            <w:vAlign w:val="bottom"/>
          </w:tcPr>
          <w:p>
            <w:pPr>
              <w:jc w:val="center"/>
              <w:ind w:left="459"/>
              <w:spacing w:after="0"/>
              <w:rPr>
                <w:sz w:val="20"/>
                <w:szCs w:val="20"/>
                <w:color w:val="auto"/>
              </w:rPr>
            </w:pPr>
            <w:r>
              <w:rPr>
                <w:rFonts w:ascii="Arial" w:cs="Arial" w:eastAsia="Arial" w:hAnsi="Arial"/>
                <w:sz w:val="14"/>
                <w:szCs w:val="14"/>
                <w:color w:val="auto"/>
                <w:w w:val="93"/>
              </w:rPr>
              <w:t>Nasdaq Global Select Market</w:t>
            </w:r>
          </w:p>
        </w:tc>
      </w:tr>
    </w:tbl>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48" w:lineRule="exact"/>
        <w:rPr>
          <w:sz w:val="24"/>
          <w:szCs w:val="24"/>
          <w:color w:val="auto"/>
        </w:rPr>
      </w:pPr>
    </w:p>
    <w:p>
      <w:pPr>
        <w:ind w:right="368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 Indicate by check mark if the registrant is not required to file reports pursuant to Section 13 or 15(d) of the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32" w:lineRule="exact"/>
        <w:rPr>
          <w:sz w:val="24"/>
          <w:szCs w:val="24"/>
          <w:color w:val="auto"/>
        </w:rPr>
      </w:pPr>
    </w:p>
    <w:p>
      <w:pPr>
        <w:ind w:right="16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3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19" w:lineRule="exact"/>
        <w:rPr>
          <w:sz w:val="24"/>
          <w:szCs w:val="24"/>
          <w:color w:val="auto"/>
        </w:rPr>
      </w:pPr>
    </w:p>
    <w:p>
      <w:pPr>
        <w:ind w:right="38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p>
      <w:pPr>
        <w:jc w:val="center"/>
        <w:ind w:right="-59"/>
        <w:spacing w:after="0" w:line="161" w:lineRule="exact"/>
        <w:tabs>
          <w:tab w:leader="none" w:pos="320" w:val="left"/>
          <w:tab w:leader="none" w:pos="280" w:val="left"/>
          <w:tab w:leader="none" w:pos="340" w:val="left"/>
          <w:tab w:leader="none" w:pos="1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rFonts w:ascii="MS PGothic" w:cs="MS PGothic" w:eastAsia="MS PGothic" w:hAnsi="MS PGothic"/>
          <w:sz w:val="14"/>
          <w:szCs w:val="14"/>
          <w:color w:val="auto"/>
        </w:rPr>
        <w:t xml:space="preserve">  ☐</w:t>
      </w:r>
    </w:p>
    <w:p>
      <w:pPr>
        <w:spacing w:after="0" w:line="200" w:lineRule="exact"/>
        <w:rPr>
          <w:sz w:val="24"/>
          <w:szCs w:val="24"/>
          <w:color w:val="auto"/>
        </w:rPr>
      </w:pPr>
    </w:p>
    <w:p>
      <w:pPr>
        <w:spacing w:after="0" w:line="274" w:lineRule="exact"/>
        <w:rPr>
          <w:sz w:val="24"/>
          <w:szCs w:val="24"/>
          <w:color w:val="auto"/>
        </w:rPr>
      </w:pPr>
    </w:p>
    <w:p>
      <w:pPr>
        <w:ind w:right="500"/>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6" w:lineRule="exact"/>
        <w:rPr>
          <w:sz w:val="24"/>
          <w:szCs w:val="24"/>
          <w:color w:val="auto"/>
        </w:rPr>
      </w:pPr>
    </w:p>
    <w:p>
      <w:pPr>
        <w:ind w:right="60"/>
        <w:spacing w:after="0" w:line="22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7" w:lineRule="exact"/>
        <w:rPr>
          <w:sz w:val="24"/>
          <w:szCs w:val="24"/>
          <w:color w:val="auto"/>
        </w:rPr>
      </w:pPr>
    </w:p>
    <w:p>
      <w:pPr>
        <w:ind w:right="220"/>
        <w:spacing w:after="0" w:line="22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ectPr>
          <w:pgSz w:w="11900" w:h="16838" w:orient="portrait"/>
          <w:cols w:equalWidth="0" w:num="1">
            <w:col w:w="11180"/>
          </w:cols>
          <w:pgMar w:left="320" w:top="882" w:right="399" w:bottom="1440" w:gutter="0" w:footer="0" w:header="0"/>
        </w:sectPr>
      </w:pPr>
    </w:p>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April 1, 2022) was approximately $21.3 billion. The number of outstanding shares of the registrant’s common stock, par value $0.25 per share, as of January 20, 2023, was 158,974,105.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This Amendment No. 1 amends the Annual Report on Form 10-K of Skyworks Solutions, Inc. (“Skyworks” or the “Company”), for the year ended September 30, 2022, which was filed with the Securities and Exchange Commission (“SEC”) on November 23, 2022 (the “Original Filing”). The Company is filing this Amendment No. 1 for the sole purpose of providing the information required in Part III of Form 10-K, as the Company’s 2023 Annual Meeting of Stockholders is scheduled for May 10, 2023, and, accordingly, the Company’s Proxy Statement relating to such Annual Meeting will be filed after the date hereof. Except as described above, this Amendment No. 1 does not amend any other information set forth in the Original Filing, and the Company has not updated disclosures included therein to reflect any subsequent events.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for each director and executive officer of the Company his or her position with the Company as of January 20, 2023:</w:t>
      </w:r>
    </w:p>
    <w:p>
      <w:pPr>
        <w:spacing w:after="0" w:line="312"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27"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Liam K. Griffin</w:t>
      </w:r>
      <w:r>
        <w:rPr>
          <w:sz w:val="20"/>
          <w:szCs w:val="20"/>
          <w:color w:val="auto"/>
        </w:rPr>
        <w:tab/>
      </w:r>
      <w:r>
        <w:rPr>
          <w:rFonts w:ascii="Arial" w:cs="Arial" w:eastAsia="Arial" w:hAnsi="Arial"/>
          <w:sz w:val="16"/>
          <w:szCs w:val="16"/>
          <w:color w:val="auto"/>
        </w:rPr>
        <w:t>Chairman of the Board, Chief Executive Officer and President</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Christine King</w:t>
      </w:r>
      <w:r>
        <w:rPr>
          <w:sz w:val="20"/>
          <w:szCs w:val="20"/>
          <w:color w:val="auto"/>
        </w:rPr>
        <w:tab/>
      </w:r>
      <w:r>
        <w:rPr>
          <w:rFonts w:ascii="Arial" w:cs="Arial" w:eastAsia="Arial" w:hAnsi="Arial"/>
          <w:sz w:val="16"/>
          <w:szCs w:val="16"/>
          <w:color w:val="auto"/>
        </w:rPr>
        <w:t>Lead Independent 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Alan S. Batey</w:t>
      </w:r>
      <w:r>
        <w:rPr>
          <w:sz w:val="20"/>
          <w:szCs w:val="20"/>
          <w:color w:val="auto"/>
        </w:rPr>
        <w:tab/>
      </w:r>
      <w:r>
        <w:rPr>
          <w:rFonts w:ascii="Arial" w:cs="Arial" w:eastAsia="Arial" w:hAnsi="Arial"/>
          <w:sz w:val="17"/>
          <w:szCs w:val="17"/>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Kevin L. Beebe</w:t>
      </w:r>
      <w:r>
        <w:rPr>
          <w:sz w:val="20"/>
          <w:szCs w:val="20"/>
          <w:color w:val="auto"/>
        </w:rPr>
        <w:tab/>
      </w:r>
      <w:r>
        <w:rPr>
          <w:rFonts w:ascii="Arial" w:cs="Arial" w:eastAsia="Arial" w:hAnsi="Arial"/>
          <w:sz w:val="17"/>
          <w:szCs w:val="17"/>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Eric J. Guerin</w:t>
      </w:r>
      <w:r>
        <w:rPr>
          <w:sz w:val="20"/>
          <w:szCs w:val="20"/>
          <w:color w:val="auto"/>
        </w:rPr>
        <w:tab/>
      </w:r>
      <w:r>
        <w:rPr>
          <w:rFonts w:ascii="Arial" w:cs="Arial" w:eastAsia="Arial" w:hAnsi="Arial"/>
          <w:sz w:val="17"/>
          <w:szCs w:val="17"/>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Suzanne E. McBride</w:t>
      </w:r>
      <w:r>
        <w:rPr>
          <w:sz w:val="20"/>
          <w:szCs w:val="20"/>
          <w:color w:val="auto"/>
        </w:rPr>
        <w:tab/>
      </w:r>
      <w:r>
        <w:rPr>
          <w:rFonts w:ascii="Arial" w:cs="Arial" w:eastAsia="Arial" w:hAnsi="Arial"/>
          <w:sz w:val="17"/>
          <w:szCs w:val="17"/>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David P. McGlade</w:t>
      </w:r>
      <w:r>
        <w:rPr>
          <w:sz w:val="20"/>
          <w:szCs w:val="20"/>
          <w:color w:val="auto"/>
        </w:rPr>
        <w:tab/>
      </w:r>
      <w:r>
        <w:rPr>
          <w:rFonts w:ascii="Arial" w:cs="Arial" w:eastAsia="Arial" w:hAnsi="Arial"/>
          <w:sz w:val="17"/>
          <w:szCs w:val="17"/>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Robert A. Schriesheim</w:t>
      </w:r>
      <w:r>
        <w:rPr>
          <w:sz w:val="20"/>
          <w:szCs w:val="20"/>
          <w:color w:val="auto"/>
        </w:rPr>
        <w:tab/>
      </w:r>
      <w:r>
        <w:rPr>
          <w:rFonts w:ascii="Arial" w:cs="Arial" w:eastAsia="Arial" w:hAnsi="Arial"/>
          <w:sz w:val="17"/>
          <w:szCs w:val="17"/>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Carlos S. Bori</w:t>
      </w:r>
      <w:r>
        <w:rPr>
          <w:sz w:val="20"/>
          <w:szCs w:val="20"/>
          <w:color w:val="auto"/>
        </w:rPr>
        <w:tab/>
      </w:r>
      <w:r>
        <w:rPr>
          <w:rFonts w:ascii="Arial" w:cs="Arial" w:eastAsia="Arial" w:hAnsi="Arial"/>
          <w:sz w:val="16"/>
          <w:szCs w:val="16"/>
          <w:color w:val="auto"/>
        </w:rPr>
        <w:t>Senior Vice President, Sales and Marketing</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Karilee A. Durham</w:t>
      </w:r>
      <w:r>
        <w:rPr>
          <w:sz w:val="20"/>
          <w:szCs w:val="20"/>
          <w:color w:val="auto"/>
        </w:rPr>
        <w:tab/>
      </w:r>
      <w:r>
        <w:rPr>
          <w:rFonts w:ascii="Arial" w:cs="Arial" w:eastAsia="Arial" w:hAnsi="Arial"/>
          <w:sz w:val="16"/>
          <w:szCs w:val="16"/>
          <w:color w:val="auto"/>
        </w:rPr>
        <w:t>Senior Vice President, Human Resources</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Reza Kasnavi</w:t>
      </w:r>
      <w:r>
        <w:rPr>
          <w:sz w:val="20"/>
          <w:szCs w:val="20"/>
          <w:color w:val="auto"/>
        </w:rPr>
        <w:tab/>
      </w:r>
      <w:r>
        <w:rPr>
          <w:rFonts w:ascii="Arial" w:cs="Arial" w:eastAsia="Arial" w:hAnsi="Arial"/>
          <w:sz w:val="16"/>
          <w:szCs w:val="16"/>
          <w:color w:val="auto"/>
        </w:rPr>
        <w:t>Senior Vice President, Technology and Manufacturing</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Kris Sennesael</w:t>
      </w:r>
      <w:r>
        <w:rPr>
          <w:sz w:val="20"/>
          <w:szCs w:val="20"/>
          <w:color w:val="auto"/>
        </w:rPr>
        <w:tab/>
      </w:r>
      <w:r>
        <w:rPr>
          <w:rFonts w:ascii="Arial" w:cs="Arial" w:eastAsia="Arial" w:hAnsi="Arial"/>
          <w:sz w:val="16"/>
          <w:szCs w:val="16"/>
          <w:color w:val="auto"/>
        </w:rPr>
        <w:t>Senior Vice President and Chief Financial Officer</w:t>
      </w:r>
    </w:p>
    <w:p>
      <w:pPr>
        <w:spacing w:after="0" w:line="2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8"/>
          <w:szCs w:val="18"/>
          <w:color w:val="auto"/>
        </w:rPr>
        <w:t>Robert J. Terry</w:t>
      </w:r>
      <w:r>
        <w:rPr>
          <w:sz w:val="20"/>
          <w:szCs w:val="20"/>
          <w:color w:val="auto"/>
        </w:rPr>
        <w:tab/>
      </w:r>
      <w:r>
        <w:rPr>
          <w:rFonts w:ascii="Arial" w:cs="Arial" w:eastAsia="Arial" w:hAnsi="Arial"/>
          <w:sz w:val="16"/>
          <w:szCs w:val="16"/>
          <w:color w:val="auto"/>
        </w:rPr>
        <w:t>Senior Vice President, General Counsel and Secretary</w:t>
      </w:r>
    </w:p>
    <w:p>
      <w:pPr>
        <w:sectPr>
          <w:pgSz w:w="11900" w:h="16838" w:orient="portrait"/>
          <w:cols w:equalWidth="0" w:num="1">
            <w:col w:w="11240"/>
          </w:cols>
          <w:pgMar w:left="320" w:top="1255" w:right="339" w:bottom="1440" w:gutter="0" w:footer="0" w:header="0"/>
        </w:sect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w:t>
      </w:r>
    </w:p>
    <w:p>
      <w:pPr>
        <w:spacing w:after="0" w:line="279" w:lineRule="exact"/>
        <w:rPr>
          <w:sz w:val="20"/>
          <w:szCs w:val="20"/>
          <w:color w:val="auto"/>
        </w:rPr>
      </w:pPr>
    </w:p>
    <w:p>
      <w:pPr>
        <w:jc w:val="both"/>
        <w:ind w:left="20"/>
        <w:spacing w:after="0" w:line="258" w:lineRule="auto"/>
        <w:rPr>
          <w:sz w:val="20"/>
          <w:szCs w:val="20"/>
          <w:color w:val="auto"/>
        </w:rPr>
      </w:pPr>
      <w:r>
        <w:rPr>
          <w:rFonts w:ascii="Arial" w:cs="Arial" w:eastAsia="Arial" w:hAnsi="Arial"/>
          <w:sz w:val="17"/>
          <w:szCs w:val="17"/>
          <w:b w:val="1"/>
          <w:bCs w:val="1"/>
          <w:i w:val="1"/>
          <w:iCs w:val="1"/>
          <w:color w:val="auto"/>
        </w:rPr>
        <w:t>Liam K. Griffin</w:t>
      </w:r>
      <w:r>
        <w:rPr>
          <w:rFonts w:ascii="Arial" w:cs="Arial" w:eastAsia="Arial" w:hAnsi="Arial"/>
          <w:sz w:val="17"/>
          <w:szCs w:val="17"/>
          <w:color w:val="auto"/>
        </w:rPr>
        <w:t>, age 56, is Chairman, Chief Executive Officer and President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Prior to his appointment as Chairman of the Board in May 2021, Mr. Griffin had served as Chief Executive Officer and a director since May 2016 and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24"/>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National Instruments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24"/>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Vicor Corporation (until 2019)</w:t>
      </w:r>
    </w:p>
    <w:p>
      <w:pPr>
        <w:spacing w:after="0" w:line="798" w:lineRule="exact"/>
        <w:rPr>
          <w:sz w:val="20"/>
          <w:szCs w:val="20"/>
          <w:color w:val="auto"/>
        </w:rPr>
      </w:pPr>
    </w:p>
    <w:p>
      <w:pPr>
        <w:sectPr>
          <w:pgSz w:w="11900" w:h="16838" w:orient="portrait"/>
          <w:cols w:equalWidth="0" w:num="2">
            <w:col w:w="6320" w:space="140"/>
            <w:col w:w="4780"/>
          </w:cols>
          <w:pgMar w:left="320" w:top="1255" w:right="339" w:bottom="1440" w:gutter="0" w:footer="0" w:header="0"/>
          <w:type w:val="continuous"/>
        </w:sectPr>
      </w:pP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Griffin’s qualifications to serve as a director include his strong relationships with Skyworks’ key customers, investors,</w:t>
      </w:r>
      <w:r>
        <w:rPr>
          <w:rFonts w:ascii="Arial" w:cs="Arial" w:eastAsia="Arial" w:hAnsi="Arial"/>
          <w:sz w:val="18"/>
          <w:szCs w:val="18"/>
          <w:b w:val="1"/>
          <w:bCs w:val="1"/>
          <w:color w:val="191919"/>
        </w:rPr>
        <w:t xml:space="preserve"> </w:t>
      </w:r>
      <w:r>
        <w:rPr>
          <w:rFonts w:ascii="Arial" w:cs="Arial" w:eastAsia="Arial" w:hAnsi="Arial"/>
          <w:sz w:val="18"/>
          <w:szCs w:val="18"/>
          <w:color w:val="191919"/>
        </w:rPr>
        <w:t>employees, and other stakeholders, as well as his deep understanding of the semiconductor industry and its competitive landscape gained through serving in several different executive positions at Skyworks over the past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 w:name="page5"/>
    <w:bookmarkEnd w:id="4"/>
    <w:p>
      <w:pPr>
        <w:jc w:val="both"/>
        <w:ind w:left="20"/>
        <w:spacing w:after="0" w:line="276" w:lineRule="auto"/>
        <w:rPr>
          <w:sz w:val="20"/>
          <w:szCs w:val="20"/>
          <w:color w:val="auto"/>
        </w:rPr>
      </w:pPr>
      <w:r>
        <w:rPr>
          <w:rFonts w:ascii="Arial" w:cs="Arial" w:eastAsia="Arial" w:hAnsi="Arial"/>
          <w:sz w:val="16"/>
          <w:szCs w:val="16"/>
          <w:b w:val="1"/>
          <w:bCs w:val="1"/>
          <w:i w:val="1"/>
          <w:iCs w:val="1"/>
          <w:color w:val="auto"/>
        </w:rPr>
        <w:t>Christine King</w:t>
      </w:r>
      <w:r>
        <w:rPr>
          <w:rFonts w:ascii="Arial" w:cs="Arial" w:eastAsia="Arial" w:hAnsi="Arial"/>
          <w:sz w:val="16"/>
          <w:szCs w:val="16"/>
          <w:color w:val="auto"/>
        </w:rPr>
        <w:t>, age 73, has been a director since 2014 and Lead Independent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2019. Ms. King served as Executive Chairman of QLogic Corporation (a publicly traded developer of high performance server and storage networking connectivity products) from August 2015 until August 2016, when it was acquired by Cavium, Inc. Previously, she served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2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08" w:lineRule="exact"/>
        <w:rPr>
          <w:sz w:val="20"/>
          <w:szCs w:val="20"/>
          <w:color w:val="auto"/>
        </w:rPr>
      </w:pPr>
    </w:p>
    <w:p>
      <w:pPr>
        <w:ind w:left="640" w:hanging="324"/>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Allegro MicroSystems, Inc. (until 2021)</w:t>
      </w:r>
    </w:p>
    <w:p>
      <w:pPr>
        <w:spacing w:after="0" w:line="34" w:lineRule="exact"/>
        <w:rPr>
          <w:rFonts w:ascii="Arial" w:cs="Arial" w:eastAsia="Arial" w:hAnsi="Arial"/>
          <w:sz w:val="16"/>
          <w:szCs w:val="16"/>
          <w:color w:val="auto"/>
        </w:rPr>
      </w:pPr>
    </w:p>
    <w:p>
      <w:pPr>
        <w:ind w:left="640" w:hanging="324"/>
        <w:spacing w:after="0" w:line="23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IDACORP, Inc. (until 2021)</w:t>
      </w: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Cirrus Logic, Inc. (until 2018)</w:t>
      </w:r>
    </w:p>
    <w:p>
      <w:pPr>
        <w:spacing w:after="0" w:line="405" w:lineRule="exact"/>
        <w:rPr>
          <w:sz w:val="20"/>
          <w:szCs w:val="20"/>
          <w:color w:val="auto"/>
        </w:rPr>
      </w:pPr>
    </w:p>
    <w:p>
      <w:pPr>
        <w:sectPr>
          <w:pgSz w:w="11900" w:h="16838" w:orient="portrait"/>
          <w:cols w:equalWidth="0" w:num="2">
            <w:col w:w="6320" w:space="140"/>
            <w:col w:w="4780"/>
          </w:cols>
          <w:pgMar w:left="320" w:top="1313" w:right="339" w:bottom="1440" w:gutter="0" w:footer="0" w:header="0"/>
        </w:sectPr>
      </w:pPr>
    </w:p>
    <w:p>
      <w:pPr>
        <w:spacing w:after="0" w:line="19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Ms. King’s qualifications to serve as a director include her extensive management and operational experience in the high-tech and semiconductor industries as well as her significant strategic and financial expertise.</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w w:val="91"/>
              </w:rPr>
              <w:t>Alan S. Batey</w:t>
            </w:r>
            <w:r>
              <w:rPr>
                <w:rFonts w:ascii="Arial" w:cs="Arial" w:eastAsia="Arial" w:hAnsi="Arial"/>
                <w:sz w:val="18"/>
                <w:szCs w:val="18"/>
                <w:color w:val="auto"/>
                <w:w w:val="91"/>
              </w:rPr>
              <w:t>, age 59, has been a director since 2019. Mr. Batey served as Executive</w:t>
            </w:r>
          </w:p>
        </w:tc>
        <w:tc>
          <w:tcPr>
            <w:tcW w:w="23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w w:val="86"/>
              </w:rPr>
              <w:t>Other Public Company Boards</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Vice President and President of North America for General Motors Company (a</w:t>
            </w:r>
          </w:p>
        </w:tc>
        <w:tc>
          <w:tcPr>
            <w:tcW w:w="70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2"/>
              </w:rPr>
              <w:t>Current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publicly traded automotive manufacturer), as well as the Global Brand Chief for</w:t>
            </w:r>
          </w:p>
        </w:tc>
        <w:tc>
          <w:tcPr>
            <w:tcW w:w="70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line="203" w:lineRule="exact"/>
              <w:rPr>
                <w:sz w:val="20"/>
                <w:szCs w:val="20"/>
                <w:color w:val="auto"/>
              </w:rPr>
            </w:pPr>
            <w:r>
              <w:rPr>
                <w:rFonts w:ascii="Arial" w:cs="Arial" w:eastAsia="Arial" w:hAnsi="Arial"/>
                <w:sz w:val="18"/>
                <w:szCs w:val="18"/>
                <w:color w:val="auto"/>
                <w:w w:val="96"/>
              </w:rPr>
              <w:t>Chevrolet, a division of General Motors Company, from 2014 until 2019. His career</w:t>
            </w:r>
          </w:p>
        </w:tc>
        <w:tc>
          <w:tcPr>
            <w:tcW w:w="700" w:type="dxa"/>
            <w:vAlign w:val="bottom"/>
          </w:tcPr>
          <w:p>
            <w:pPr>
              <w:ind w:left="400"/>
              <w:spacing w:after="0" w:line="203" w:lineRule="exact"/>
              <w:rPr>
                <w:sz w:val="20"/>
                <w:szCs w:val="20"/>
                <w:color w:val="auto"/>
              </w:rPr>
            </w:pPr>
            <w:r>
              <w:rPr>
                <w:rFonts w:ascii="Arial" w:cs="Arial" w:eastAsia="Arial" w:hAnsi="Arial"/>
                <w:sz w:val="18"/>
                <w:szCs w:val="18"/>
                <w:color w:val="auto"/>
              </w:rPr>
              <w:t>•</w:t>
            </w:r>
          </w:p>
        </w:tc>
        <w:tc>
          <w:tcPr>
            <w:tcW w:w="1660" w:type="dxa"/>
            <w:vAlign w:val="bottom"/>
          </w:tcPr>
          <w:p>
            <w:pPr>
              <w:ind w:left="20"/>
              <w:spacing w:after="0" w:line="203"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spans more than 39 years with General Motors where he held various senior</w:t>
            </w:r>
          </w:p>
        </w:tc>
        <w:tc>
          <w:tcPr>
            <w:tcW w:w="2360" w:type="dxa"/>
            <w:vAlign w:val="bottom"/>
            <w:gridSpan w:val="2"/>
          </w:tcPr>
          <w:p>
            <w:pPr>
              <w:ind w:left="8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148"/>
        </w:trPr>
        <w:tc>
          <w:tcPr>
            <w:tcW w:w="6360" w:type="dxa"/>
            <w:vAlign w:val="bottom"/>
          </w:tcPr>
          <w:p>
            <w:pPr>
              <w:spacing w:after="0" w:line="148" w:lineRule="exact"/>
              <w:rPr>
                <w:sz w:val="20"/>
                <w:szCs w:val="20"/>
                <w:color w:val="auto"/>
              </w:rPr>
            </w:pPr>
            <w:r>
              <w:rPr>
                <w:rFonts w:ascii="Arial" w:cs="Arial" w:eastAsia="Arial" w:hAnsi="Arial"/>
                <w:sz w:val="17"/>
                <w:szCs w:val="17"/>
                <w:color w:val="auto"/>
              </w:rPr>
              <w:t>management positions in operations, marketing, and sales around the world.</w:t>
            </w: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1660" w:type="dxa"/>
            <w:vAlign w:val="bottom"/>
          </w:tcPr>
          <w:p>
            <w:pPr>
              <w:ind w:lef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191919"/>
        </w:rPr>
        <w:t xml:space="preserve">Qualifications: </w:t>
      </w:r>
      <w:r>
        <w:rPr>
          <w:rFonts w:ascii="Arial" w:cs="Arial" w:eastAsia="Arial" w:hAnsi="Arial"/>
          <w:sz w:val="16"/>
          <w:szCs w:val="16"/>
          <w:color w:val="191919"/>
        </w:rPr>
        <w:t>We believe that Mr. Batey’s qualifications to serve as a director include his extensive senior management experience at General Motors,</w:t>
      </w:r>
      <w:r>
        <w:rPr>
          <w:rFonts w:ascii="Arial" w:cs="Arial" w:eastAsia="Arial" w:hAnsi="Arial"/>
          <w:sz w:val="16"/>
          <w:szCs w:val="16"/>
          <w:b w:val="1"/>
          <w:bCs w:val="1"/>
          <w:color w:val="191919"/>
        </w:rPr>
        <w:t xml:space="preserve"> </w:t>
      </w:r>
      <w:r>
        <w:rPr>
          <w:rFonts w:ascii="Arial" w:cs="Arial" w:eastAsia="Arial" w:hAnsi="Arial"/>
          <w:sz w:val="16"/>
          <w:szCs w:val="16"/>
          <w:color w:val="191919"/>
        </w:rPr>
        <w:t>where he developed expertise on a broad set of complex strategic, operational, and technological matters involving the automotive industry, an industry that</w:t>
      </w:r>
    </w:p>
    <w:p>
      <w:pPr>
        <w:sectPr>
          <w:pgSz w:w="11900" w:h="16838" w:orient="portrait"/>
          <w:cols w:equalWidth="0" w:num="1">
            <w:col w:w="11240"/>
          </w:cols>
          <w:pgMar w:left="320" w:top="1313"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91919"/>
        </w:rPr>
        <w:t>is expected to be a growth market for the Company.</w:t>
      </w:r>
    </w:p>
    <w:p>
      <w:pPr>
        <w:spacing w:after="0" w:line="292" w:lineRule="exact"/>
        <w:rPr>
          <w:sz w:val="20"/>
          <w:szCs w:val="20"/>
          <w:color w:val="auto"/>
        </w:rPr>
      </w:pPr>
    </w:p>
    <w:p>
      <w:pPr>
        <w:jc w:val="both"/>
        <w:ind w:left="20"/>
        <w:spacing w:after="0" w:line="261" w:lineRule="auto"/>
        <w:rPr>
          <w:sz w:val="20"/>
          <w:szCs w:val="20"/>
          <w:color w:val="auto"/>
        </w:rPr>
      </w:pPr>
      <w:r>
        <w:rPr>
          <w:rFonts w:ascii="Arial" w:cs="Arial" w:eastAsia="Arial" w:hAnsi="Arial"/>
          <w:sz w:val="17"/>
          <w:szCs w:val="17"/>
          <w:b w:val="1"/>
          <w:bCs w:val="1"/>
          <w:i w:val="1"/>
          <w:iCs w:val="1"/>
          <w:color w:val="auto"/>
        </w:rPr>
        <w:t>Kevin L. Beebe</w:t>
      </w:r>
      <w:r>
        <w:rPr>
          <w:rFonts w:ascii="Arial" w:cs="Arial" w:eastAsia="Arial" w:hAnsi="Arial"/>
          <w:sz w:val="17"/>
          <w:szCs w:val="17"/>
          <w:color w:val="auto"/>
        </w:rPr>
        <w:t>, age 63, has been a director since 2004. He has been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2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SBA Communications Corporation</w:t>
      </w:r>
    </w:p>
    <w:p>
      <w:pPr>
        <w:spacing w:after="0" w:line="23" w:lineRule="exact"/>
        <w:rPr>
          <w:rFonts w:ascii="Arial" w:cs="Arial" w:eastAsia="Arial" w:hAnsi="Arial"/>
          <w:sz w:val="18"/>
          <w:szCs w:val="18"/>
          <w:color w:val="auto"/>
        </w:rPr>
      </w:pPr>
    </w:p>
    <w:p>
      <w:pPr>
        <w:ind w:left="640" w:right="120" w:hanging="320"/>
        <w:spacing w:after="0" w:line="323"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Frontier Communications Parent, Inc. (formerly Frontier Communications Corporation), Lead Independent Director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08" w:lineRule="exact"/>
        <w:rPr>
          <w:sz w:val="20"/>
          <w:szCs w:val="20"/>
          <w:color w:val="auto"/>
        </w:rPr>
      </w:pPr>
    </w:p>
    <w:p>
      <w:pPr>
        <w:sectPr>
          <w:pgSz w:w="11900" w:h="16838" w:orient="portrait"/>
          <w:cols w:equalWidth="0" w:num="2">
            <w:col w:w="6100" w:space="140"/>
            <w:col w:w="5000"/>
          </w:cols>
          <w:pgMar w:left="320" w:top="1313" w:right="339" w:bottom="1440" w:gutter="0" w:footer="0" w:header="0"/>
          <w:type w:val="continuous"/>
        </w:sectPr>
      </w:pPr>
    </w:p>
    <w:p>
      <w:pPr>
        <w:ind w:left="6560"/>
        <w:spacing w:after="0"/>
        <w:tabs>
          <w:tab w:leader="none" w:pos="6860" w:val="left"/>
        </w:tabs>
        <w:rPr>
          <w:sz w:val="20"/>
          <w:szCs w:val="20"/>
          <w:color w:val="auto"/>
        </w:rPr>
      </w:pPr>
      <w:r>
        <w:rPr>
          <w:rFonts w:ascii="Arial" w:cs="Arial" w:eastAsia="Arial" w:hAnsi="Arial"/>
          <w:sz w:val="18"/>
          <w:szCs w:val="18"/>
          <w:color w:val="auto"/>
        </w:rPr>
        <w:t>•</w:t>
        <w:tab/>
        <w:t>Altimar Acquisition Corporation</w:t>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(until 2021)</w:t>
      </w:r>
    </w:p>
    <w:p>
      <w:pPr>
        <w:spacing w:after="0" w:line="7" w:lineRule="exact"/>
        <w:rPr>
          <w:sz w:val="20"/>
          <w:szCs w:val="20"/>
          <w:color w:val="auto"/>
        </w:rPr>
      </w:pPr>
    </w:p>
    <w:p>
      <w:pPr>
        <w:ind w:left="6560"/>
        <w:spacing w:after="0"/>
        <w:tabs>
          <w:tab w:leader="none" w:pos="6860" w:val="left"/>
        </w:tabs>
        <w:rPr>
          <w:sz w:val="20"/>
          <w:szCs w:val="20"/>
          <w:color w:val="auto"/>
        </w:rPr>
      </w:pPr>
      <w:r>
        <w:rPr>
          <w:rFonts w:ascii="Arial" w:cs="Arial" w:eastAsia="Arial" w:hAnsi="Arial"/>
          <w:sz w:val="18"/>
          <w:szCs w:val="18"/>
          <w:color w:val="auto"/>
        </w:rPr>
        <w:t>•</w:t>
        <w:tab/>
        <w:t>Altimar Acquisition Corp. II (until 2021)</w:t>
      </w:r>
    </w:p>
    <w:p>
      <w:pPr>
        <w:spacing w:after="0" w:line="9" w:lineRule="exact"/>
        <w:rPr>
          <w:sz w:val="20"/>
          <w:szCs w:val="20"/>
          <w:color w:val="auto"/>
        </w:rPr>
      </w:pPr>
    </w:p>
    <w:p>
      <w:pPr>
        <w:ind w:left="6560"/>
        <w:spacing w:after="0"/>
        <w:tabs>
          <w:tab w:leader="none" w:pos="6860" w:val="left"/>
        </w:tabs>
        <w:rPr>
          <w:sz w:val="20"/>
          <w:szCs w:val="20"/>
          <w:color w:val="auto"/>
        </w:rPr>
      </w:pPr>
      <w:r>
        <w:rPr>
          <w:rFonts w:ascii="Arial" w:cs="Arial" w:eastAsia="Arial" w:hAnsi="Arial"/>
          <w:sz w:val="18"/>
          <w:szCs w:val="18"/>
          <w:color w:val="auto"/>
        </w:rPr>
        <w:t>•</w:t>
        <w:tab/>
        <w:t>NII Holdings, Inc. (until 2019)</w:t>
      </w:r>
    </w:p>
    <w:p>
      <w:pPr>
        <w:spacing w:after="0" w:line="3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Beebe’s qualifications to serve as a director include his two decades of experience as an operating executive in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wireless telecommunications industry as well as his experience and relationships gained from advising leading private equity firms that are transacting business in the global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 w:name="page6"/>
    <w:bookmarkEnd w:id="5"/>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w w:val="92"/>
              </w:rPr>
              <w:t xml:space="preserve">Eric J. Guerin, </w:t>
            </w:r>
            <w:r>
              <w:rPr>
                <w:rFonts w:ascii="Arial" w:cs="Arial" w:eastAsia="Arial" w:hAnsi="Arial"/>
                <w:sz w:val="18"/>
                <w:szCs w:val="18"/>
                <w:color w:val="auto"/>
                <w:w w:val="92"/>
              </w:rPr>
              <w:t>age 51, has been a director since 2022. He currently serves as Senior</w:t>
            </w:r>
          </w:p>
        </w:tc>
        <w:tc>
          <w:tcPr>
            <w:tcW w:w="36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Other Public Company Boards</w:t>
            </w:r>
          </w:p>
        </w:tc>
      </w:tr>
      <w:tr>
        <w:trPr>
          <w:trHeight w:val="284"/>
        </w:trPr>
        <w:tc>
          <w:tcPr>
            <w:tcW w:w="6360" w:type="dxa"/>
            <w:vAlign w:val="bottom"/>
          </w:tcPr>
          <w:p>
            <w:pPr>
              <w:spacing w:after="0"/>
              <w:rPr>
                <w:sz w:val="20"/>
                <w:szCs w:val="20"/>
                <w:color w:val="auto"/>
              </w:rPr>
            </w:pPr>
            <w:r>
              <w:rPr>
                <w:rFonts w:ascii="Arial" w:cs="Arial" w:eastAsia="Arial" w:hAnsi="Arial"/>
                <w:sz w:val="18"/>
                <w:szCs w:val="18"/>
                <w:color w:val="auto"/>
                <w:w w:val="93"/>
              </w:rPr>
              <w:t>Vice President-Finance, and on March 1, 2023 he will assume the role of Senior Vice</w:t>
            </w:r>
          </w:p>
        </w:tc>
        <w:tc>
          <w:tcPr>
            <w:tcW w:w="3640" w:type="dxa"/>
            <w:vAlign w:val="bottom"/>
          </w:tcPr>
          <w:p>
            <w:pPr>
              <w:ind w:left="80"/>
              <w:spacing w:after="0"/>
              <w:rPr>
                <w:sz w:val="20"/>
                <w:szCs w:val="20"/>
                <w:color w:val="auto"/>
              </w:rPr>
            </w:pPr>
            <w:r>
              <w:rPr>
                <w:rFonts w:ascii="Arial" w:cs="Arial" w:eastAsia="Arial" w:hAnsi="Arial"/>
                <w:sz w:val="18"/>
                <w:szCs w:val="18"/>
                <w:b w:val="1"/>
                <w:bCs w:val="1"/>
                <w:color w:val="auto"/>
              </w:rPr>
              <w:t>Current</w:t>
            </w:r>
          </w:p>
        </w:tc>
      </w:tr>
      <w:tr>
        <w:trPr>
          <w:trHeight w:val="148"/>
        </w:trPr>
        <w:tc>
          <w:tcPr>
            <w:tcW w:w="6360" w:type="dxa"/>
            <w:vAlign w:val="bottom"/>
          </w:tcPr>
          <w:p>
            <w:pPr>
              <w:spacing w:after="0" w:line="148" w:lineRule="exact"/>
              <w:rPr>
                <w:sz w:val="20"/>
                <w:szCs w:val="20"/>
                <w:color w:val="auto"/>
              </w:rPr>
            </w:pPr>
            <w:r>
              <w:rPr>
                <w:rFonts w:ascii="Arial" w:cs="Arial" w:eastAsia="Arial" w:hAnsi="Arial"/>
                <w:sz w:val="17"/>
                <w:szCs w:val="17"/>
                <w:color w:val="auto"/>
              </w:rPr>
              <w:t>President and Chief Financial Officer, of Veritiv Corporation (a publicly traded</w:t>
            </w:r>
          </w:p>
        </w:tc>
        <w:tc>
          <w:tcPr>
            <w:tcW w:w="3640" w:type="dxa"/>
            <w:vAlign w:val="bottom"/>
          </w:tcPr>
          <w:p>
            <w:pPr>
              <w:spacing w:after="0"/>
              <w:rPr>
                <w:sz w:val="12"/>
                <w:szCs w:val="12"/>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w w:val="92"/>
              </w:rPr>
              <w:t>provider of packaging and hygiene products). Previously, he served as Executive Vice</w:t>
            </w:r>
          </w:p>
        </w:tc>
        <w:tc>
          <w:tcPr>
            <w:tcW w:w="3640" w:type="dxa"/>
            <w:vAlign w:val="bottom"/>
          </w:tcPr>
          <w:p>
            <w:pPr>
              <w:ind w:left="400"/>
              <w:spacing w:after="0"/>
              <w:rPr>
                <w:sz w:val="20"/>
                <w:szCs w:val="20"/>
                <w:color w:val="auto"/>
              </w:rPr>
            </w:pPr>
            <w:r>
              <w:rPr>
                <w:rFonts w:ascii="Arial" w:cs="Arial" w:eastAsia="Arial" w:hAnsi="Arial"/>
                <w:sz w:val="18"/>
                <w:szCs w:val="18"/>
                <w:color w:val="auto"/>
              </w:rPr>
              <w:t>•   None</w:t>
            </w:r>
          </w:p>
        </w:tc>
      </w:tr>
      <w:tr>
        <w:trPr>
          <w:trHeight w:val="232"/>
        </w:trPr>
        <w:tc>
          <w:tcPr>
            <w:tcW w:w="6360" w:type="dxa"/>
            <w:vAlign w:val="bottom"/>
          </w:tcPr>
          <w:p>
            <w:pPr>
              <w:spacing w:after="0"/>
              <w:rPr>
                <w:sz w:val="20"/>
                <w:szCs w:val="20"/>
                <w:color w:val="auto"/>
              </w:rPr>
            </w:pPr>
            <w:r>
              <w:rPr>
                <w:rFonts w:ascii="Arial" w:cs="Arial" w:eastAsia="Arial" w:hAnsi="Arial"/>
                <w:sz w:val="18"/>
                <w:szCs w:val="18"/>
                <w:color w:val="auto"/>
                <w:w w:val="96"/>
              </w:rPr>
              <w:t>President and Chief Financial Officer of CDK Global Inc. (a formerly publicly traded</w:t>
            </w:r>
          </w:p>
        </w:tc>
        <w:tc>
          <w:tcPr>
            <w:tcW w:w="3640" w:type="dxa"/>
            <w:vAlign w:val="bottom"/>
          </w:tcPr>
          <w:p>
            <w:pPr>
              <w:ind w:left="80"/>
              <w:spacing w:after="0"/>
              <w:rPr>
                <w:sz w:val="20"/>
                <w:szCs w:val="20"/>
                <w:color w:val="auto"/>
              </w:rPr>
            </w:pPr>
            <w:r>
              <w:rPr>
                <w:rFonts w:ascii="Arial" w:cs="Arial" w:eastAsia="Arial" w:hAnsi="Arial"/>
                <w:sz w:val="18"/>
                <w:szCs w:val="18"/>
                <w:b w:val="1"/>
                <w:bCs w:val="1"/>
                <w:color w:val="auto"/>
              </w:rPr>
              <w:t>Past 5 Years</w:t>
            </w:r>
          </w:p>
        </w:tc>
      </w:tr>
      <w:tr>
        <w:trPr>
          <w:trHeight w:val="200"/>
        </w:trPr>
        <w:tc>
          <w:tcPr>
            <w:tcW w:w="6360" w:type="dxa"/>
            <w:vAlign w:val="bottom"/>
          </w:tcPr>
          <w:p>
            <w:pPr>
              <w:spacing w:after="0" w:line="200" w:lineRule="exact"/>
              <w:rPr>
                <w:sz w:val="20"/>
                <w:szCs w:val="20"/>
                <w:color w:val="auto"/>
              </w:rPr>
            </w:pPr>
            <w:r>
              <w:rPr>
                <w:rFonts w:ascii="Arial" w:cs="Arial" w:eastAsia="Arial" w:hAnsi="Arial"/>
                <w:sz w:val="18"/>
                <w:szCs w:val="18"/>
                <w:color w:val="auto"/>
                <w:w w:val="95"/>
              </w:rPr>
              <w:t>provider of integrated technology solutions to the automotive industry) from 2021 to</w:t>
            </w:r>
          </w:p>
        </w:tc>
        <w:tc>
          <w:tcPr>
            <w:tcW w:w="3640" w:type="dxa"/>
            <w:vAlign w:val="bottom"/>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w w:val="99"/>
              </w:rPr>
              <w:t>2022. From 2016 to 2021, he served as Division Vice President and sector Chief</w:t>
            </w:r>
          </w:p>
        </w:tc>
        <w:tc>
          <w:tcPr>
            <w:tcW w:w="3640" w:type="dxa"/>
            <w:vAlign w:val="bottom"/>
          </w:tcPr>
          <w:p>
            <w:pPr>
              <w:ind w:left="400"/>
              <w:spacing w:after="0"/>
              <w:rPr>
                <w:sz w:val="20"/>
                <w:szCs w:val="20"/>
                <w:color w:val="auto"/>
              </w:rPr>
            </w:pPr>
            <w:r>
              <w:rPr>
                <w:rFonts w:ascii="Arial" w:cs="Arial" w:eastAsia="Arial" w:hAnsi="Arial"/>
                <w:sz w:val="18"/>
                <w:szCs w:val="18"/>
                <w:color w:val="auto"/>
                <w:w w:val="95"/>
              </w:rPr>
              <w:t>•   Natus Medical Incorporated (until 2022)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w w:val="98"/>
              </w:rPr>
              <w:t>Financial  Officer  at  Corning  Glass  Technologies,  a  division  of  Corning,  Inc.</w:t>
            </w:r>
          </w:p>
        </w:tc>
        <w:tc>
          <w:tcPr>
            <w:tcW w:w="364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Previously, he served in financial leadership roles with Flowserve Corporation,</w:t>
            </w:r>
          </w:p>
        </w:tc>
        <w:tc>
          <w:tcPr>
            <w:tcW w:w="3640" w:type="dxa"/>
            <w:vAlign w:val="bottom"/>
          </w:tcPr>
          <w:p>
            <w:pPr>
              <w:spacing w:after="0"/>
              <w:rPr>
                <w:sz w:val="18"/>
                <w:szCs w:val="18"/>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Novartis Corporation, Johnson &amp; Johnson Services Inc., and AstraZeneca PLC.</w:t>
            </w:r>
          </w:p>
        </w:tc>
        <w:tc>
          <w:tcPr>
            <w:tcW w:w="3640" w:type="dxa"/>
            <w:vAlign w:val="bottom"/>
          </w:tcPr>
          <w:p>
            <w:pPr>
              <w:spacing w:after="0"/>
              <w:rPr>
                <w:sz w:val="20"/>
                <w:szCs w:val="20"/>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 xml:space="preserve">Qualifications: </w:t>
      </w:r>
      <w:r>
        <w:rPr>
          <w:rFonts w:ascii="Arial" w:cs="Arial" w:eastAsia="Arial" w:hAnsi="Arial"/>
          <w:sz w:val="16"/>
          <w:szCs w:val="16"/>
          <w:color w:val="191919"/>
        </w:rPr>
        <w:t>We believe that Mr. Guerin’s qualifications to serve as a director include his financial and operational expertise, together with his extensive</w:t>
      </w:r>
    </w:p>
    <w:p>
      <w:pPr>
        <w:sectPr>
          <w:pgSz w:w="11900" w:h="16838" w:orient="portrait"/>
          <w:cols w:equalWidth="0" w:num="1">
            <w:col w:w="11240"/>
          </w:cols>
          <w:pgMar w:left="320" w:top="1440" w:right="33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191919"/>
        </w:rPr>
        <w:t>engagements within Asia-Pacific markets.</w:t>
      </w:r>
    </w:p>
    <w:p>
      <w:pPr>
        <w:spacing w:after="0" w:line="292" w:lineRule="exact"/>
        <w:rPr>
          <w:sz w:val="20"/>
          <w:szCs w:val="20"/>
          <w:color w:val="auto"/>
        </w:rPr>
      </w:pPr>
    </w:p>
    <w:p>
      <w:pPr>
        <w:jc w:val="both"/>
        <w:ind w:left="20"/>
        <w:spacing w:after="0" w:line="275" w:lineRule="auto"/>
        <w:rPr>
          <w:sz w:val="20"/>
          <w:szCs w:val="20"/>
          <w:color w:val="auto"/>
        </w:rPr>
      </w:pPr>
      <w:r>
        <w:rPr>
          <w:rFonts w:ascii="Arial" w:cs="Arial" w:eastAsia="Arial" w:hAnsi="Arial"/>
          <w:sz w:val="16"/>
          <w:szCs w:val="16"/>
          <w:b w:val="1"/>
          <w:bCs w:val="1"/>
          <w:i w:val="1"/>
          <w:iCs w:val="1"/>
          <w:color w:val="auto"/>
        </w:rPr>
        <w:t>Suzanne E. McBride</w:t>
      </w:r>
      <w:r>
        <w:rPr>
          <w:rFonts w:ascii="Arial" w:cs="Arial" w:eastAsia="Arial" w:hAnsi="Arial"/>
          <w:sz w:val="16"/>
          <w:szCs w:val="16"/>
          <w:color w:val="auto"/>
        </w:rPr>
        <w:t>, age 54, has been a director since 2022. Ms. McBride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Operations Officer for Iridium Communications Inc. (a publicly traded operator of a global satellite communications network). Prior to rejoining Iridium in February 2019, where she had previously served from 2007 to 2016 in various leadership roles, Ms. McBride served from June 2016 to January 2019 as Senior Vice President and Chief Operations Officer for OneWeb (a privately held company building a space-based global communications network that filed a voluntary petition for Chapter 11 bankruptcy protection on March 27, 2020). Earlier in her career, she held a series of increasingly senior positions in technology and operations with Motorola Solutions, Inc. (a publicly traded telecommunications company) and General Dynamics Corporation (a publicly traded aerospace and defense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24"/>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Iridium Communications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2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016" w:lineRule="exact"/>
        <w:rPr>
          <w:sz w:val="20"/>
          <w:szCs w:val="20"/>
          <w:color w:val="auto"/>
        </w:rPr>
      </w:pPr>
    </w:p>
    <w:p>
      <w:pPr>
        <w:sectPr>
          <w:pgSz w:w="11900" w:h="16838" w:orient="portrait"/>
          <w:cols w:equalWidth="0" w:num="2">
            <w:col w:w="6320" w:space="140"/>
            <w:col w:w="4780"/>
          </w:cols>
          <w:pgMar w:left="320" w:top="144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191919"/>
        </w:rPr>
        <w:t xml:space="preserve">Qualifications: </w:t>
      </w:r>
      <w:r>
        <w:rPr>
          <w:rFonts w:ascii="Arial" w:cs="Arial" w:eastAsia="Arial" w:hAnsi="Arial"/>
          <w:sz w:val="17"/>
          <w:szCs w:val="17"/>
          <w:color w:val="191919"/>
        </w:rPr>
        <w:t>We believe that Ms. McBride’s qualifications to serve as a director include her extensive strategy and operations expertise developed</w:t>
      </w:r>
    </w:p>
    <w:p>
      <w:pPr>
        <w:sectPr>
          <w:pgSz w:w="11900" w:h="16838" w:orient="portrait"/>
          <w:cols w:equalWidth="0" w:num="1">
            <w:col w:w="11240"/>
          </w:cols>
          <w:pgMar w:left="320" w:top="144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191919"/>
        </w:rPr>
        <w:t>through twenty-five years of experience within the wireless technology industry.</w:t>
      </w:r>
    </w:p>
    <w:p>
      <w:pPr>
        <w:spacing w:after="0" w:line="292" w:lineRule="exact"/>
        <w:rPr>
          <w:sz w:val="20"/>
          <w:szCs w:val="20"/>
          <w:color w:val="auto"/>
        </w:rPr>
      </w:pPr>
    </w:p>
    <w:p>
      <w:pPr>
        <w:jc w:val="both"/>
        <w:ind w:left="20"/>
        <w:spacing w:after="0" w:line="258" w:lineRule="auto"/>
        <w:rPr>
          <w:sz w:val="20"/>
          <w:szCs w:val="20"/>
          <w:color w:val="auto"/>
        </w:rPr>
      </w:pPr>
      <w:r>
        <w:rPr>
          <w:rFonts w:ascii="Arial" w:cs="Arial" w:eastAsia="Arial" w:hAnsi="Arial"/>
          <w:sz w:val="17"/>
          <w:szCs w:val="17"/>
          <w:b w:val="1"/>
          <w:bCs w:val="1"/>
          <w:i w:val="1"/>
          <w:iCs w:val="1"/>
          <w:color w:val="auto"/>
        </w:rPr>
        <w:t>David P. McGlade</w:t>
      </w:r>
      <w:r>
        <w:rPr>
          <w:rFonts w:ascii="Arial" w:cs="Arial" w:eastAsia="Arial" w:hAnsi="Arial"/>
          <w:sz w:val="17"/>
          <w:szCs w:val="17"/>
          <w:color w:val="auto"/>
        </w:rPr>
        <w:t>, age 62, has been a director since 2005. He served as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Intelsat S.A. (a publicly traded worldwide provider of satellite communication services) from April 2013 to February 2022. Mr. McGlade served as Executive Chairman of Intelsat from April 2015 to March 2018,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Public Company Boards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08" w:lineRule="exact"/>
        <w:rPr>
          <w:sz w:val="20"/>
          <w:szCs w:val="20"/>
          <w:color w:val="auto"/>
        </w:rPr>
      </w:pPr>
    </w:p>
    <w:p>
      <w:pPr>
        <w:ind w:left="640" w:hanging="32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24"/>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Intelsat S.A. (until 2022)</w:t>
      </w:r>
    </w:p>
    <w:p>
      <w:pPr>
        <w:spacing w:after="0" w:line="624" w:lineRule="exact"/>
        <w:rPr>
          <w:sz w:val="20"/>
          <w:szCs w:val="20"/>
          <w:color w:val="auto"/>
        </w:rPr>
      </w:pPr>
    </w:p>
    <w:p>
      <w:pPr>
        <w:sectPr>
          <w:pgSz w:w="11900" w:h="16838" w:orient="portrait"/>
          <w:cols w:equalWidth="0" w:num="2">
            <w:col w:w="6320" w:space="140"/>
            <w:col w:w="47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96" w:lineRule="auto"/>
        <w:rPr>
          <w:sz w:val="20"/>
          <w:szCs w:val="20"/>
          <w:color w:val="auto"/>
        </w:rPr>
      </w:pPr>
      <w:r>
        <w:rPr>
          <w:rFonts w:ascii="Arial" w:cs="Arial" w:eastAsia="Arial" w:hAnsi="Arial"/>
          <w:sz w:val="17"/>
          <w:szCs w:val="17"/>
          <w:b w:val="1"/>
          <w:bCs w:val="1"/>
          <w:color w:val="191919"/>
        </w:rPr>
        <w:t xml:space="preserve">Qualifications: </w:t>
      </w:r>
      <w:r>
        <w:rPr>
          <w:rFonts w:ascii="Arial" w:cs="Arial" w:eastAsia="Arial" w:hAnsi="Arial"/>
          <w:sz w:val="17"/>
          <w:szCs w:val="17"/>
          <w:color w:val="191919"/>
        </w:rPr>
        <w:t>We believe that Mr. McGlade’s qualifications to serve as a director include his significant operational, strategic, and financial acumen, as</w:t>
      </w:r>
      <w:r>
        <w:rPr>
          <w:rFonts w:ascii="Arial" w:cs="Arial" w:eastAsia="Arial" w:hAnsi="Arial"/>
          <w:sz w:val="17"/>
          <w:szCs w:val="17"/>
          <w:b w:val="1"/>
          <w:bCs w:val="1"/>
          <w:color w:val="191919"/>
        </w:rPr>
        <w:t xml:space="preserve"> </w:t>
      </w:r>
      <w:r>
        <w:rPr>
          <w:rFonts w:ascii="Arial" w:cs="Arial" w:eastAsia="Arial" w:hAnsi="Arial"/>
          <w:sz w:val="17"/>
          <w:szCs w:val="17"/>
          <w:color w:val="191919"/>
        </w:rPr>
        <w:t>well as his knowledge about global capital markets, developed over nearly four decades of experience in the telecommunications business.</w:t>
      </w:r>
    </w:p>
    <w:p>
      <w:pPr>
        <w:sectPr>
          <w:pgSz w:w="11900" w:h="16838" w:orient="portrait"/>
          <w:cols w:equalWidth="0" w:num="1">
            <w:col w:w="11240"/>
          </w:cols>
          <w:pgMar w:left="320" w:top="1242" w:right="339" w:bottom="1440" w:gutter="0" w:footer="0" w:header="0"/>
        </w:sectPr>
      </w:pPr>
    </w:p>
    <w:p>
      <w:pPr>
        <w:spacing w:after="0" w:line="233" w:lineRule="exact"/>
        <w:rPr>
          <w:sz w:val="20"/>
          <w:szCs w:val="20"/>
          <w:color w:val="auto"/>
        </w:rPr>
      </w:pPr>
    </w:p>
    <w:p>
      <w:pPr>
        <w:jc w:val="both"/>
        <w:ind w:left="20"/>
        <w:spacing w:after="0" w:line="260" w:lineRule="auto"/>
        <w:rPr>
          <w:sz w:val="20"/>
          <w:szCs w:val="20"/>
          <w:color w:val="auto"/>
        </w:rPr>
      </w:pPr>
      <w:r>
        <w:rPr>
          <w:rFonts w:ascii="Arial" w:cs="Arial" w:eastAsia="Arial" w:hAnsi="Arial"/>
          <w:sz w:val="17"/>
          <w:szCs w:val="17"/>
          <w:b w:val="1"/>
          <w:bCs w:val="1"/>
          <w:color w:val="auto"/>
        </w:rPr>
        <w:t>Robert A. Schriesheim</w:t>
      </w:r>
      <w:r>
        <w:rPr>
          <w:rFonts w:ascii="Arial" w:cs="Arial" w:eastAsia="Arial" w:hAnsi="Arial"/>
          <w:sz w:val="17"/>
          <w:szCs w:val="17"/>
          <w:color w:val="auto"/>
        </w:rPr>
        <w:t>, age 62, has been a director since 2006. He has been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of Truax Partners LLC (a consulting firm) since 2018.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w:t>
      </w:r>
    </w:p>
    <w:p>
      <w:pPr>
        <w:spacing w:after="0" w:line="121" w:lineRule="exact"/>
        <w:rPr>
          <w:sz w:val="20"/>
          <w:szCs w:val="20"/>
          <w:color w:val="auto"/>
        </w:rPr>
      </w:pPr>
    </w:p>
    <w:p>
      <w:pPr>
        <w:ind w:left="640" w:hanging="324"/>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Houlihan Lokey, Inc., Lead Independent Director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5 Years</w:t>
      </w:r>
    </w:p>
    <w:p>
      <w:pPr>
        <w:spacing w:after="0" w:line="121" w:lineRule="exact"/>
        <w:rPr>
          <w:sz w:val="20"/>
          <w:szCs w:val="20"/>
          <w:color w:val="auto"/>
        </w:rPr>
      </w:pPr>
    </w:p>
    <w:p>
      <w:pPr>
        <w:ind w:left="640" w:hanging="324"/>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Frontier Communications Corporation (until 2021)</w:t>
      </w:r>
    </w:p>
    <w:p>
      <w:pPr>
        <w:spacing w:after="0" w:line="34" w:lineRule="exact"/>
        <w:rPr>
          <w:rFonts w:ascii="Arial" w:cs="Arial" w:eastAsia="Arial" w:hAnsi="Arial"/>
          <w:sz w:val="16"/>
          <w:szCs w:val="16"/>
          <w:color w:val="auto"/>
        </w:rPr>
      </w:pPr>
    </w:p>
    <w:p>
      <w:pPr>
        <w:ind w:left="640" w:hanging="324"/>
        <w:spacing w:after="0" w:line="23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NII Holdings, Inc. (until 2019)</w:t>
      </w:r>
    </w:p>
    <w:p>
      <w:pPr>
        <w:ind w:left="640" w:hanging="32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Forest City Realty Trust (until 2018)</w:t>
      </w:r>
    </w:p>
    <w:p>
      <w:pPr>
        <w:spacing w:after="0" w:line="200" w:lineRule="exact"/>
        <w:rPr>
          <w:sz w:val="20"/>
          <w:szCs w:val="20"/>
          <w:color w:val="auto"/>
        </w:rPr>
      </w:pPr>
    </w:p>
    <w:p>
      <w:pPr>
        <w:sectPr>
          <w:pgSz w:w="11900" w:h="16838" w:orient="portrait"/>
          <w:cols w:equalWidth="0" w:num="2">
            <w:col w:w="6320" w:space="140"/>
            <w:col w:w="4780"/>
          </w:cols>
          <w:pgMar w:left="320" w:top="12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191919"/>
        </w:rPr>
        <w:t xml:space="preserve">Qualifications: </w:t>
      </w:r>
      <w:r>
        <w:rPr>
          <w:rFonts w:ascii="Arial" w:cs="Arial" w:eastAsia="Arial" w:hAnsi="Arial"/>
          <w:sz w:val="18"/>
          <w:szCs w:val="18"/>
          <w:color w:val="191919"/>
        </w:rPr>
        <w:t>We believe that Mr. Schriesheim’s qualifications to serve as a director include his extensive knowledge of the capital markets and corporate</w:t>
      </w:r>
      <w:r>
        <w:rPr>
          <w:rFonts w:ascii="Arial" w:cs="Arial" w:eastAsia="Arial" w:hAnsi="Arial"/>
          <w:sz w:val="18"/>
          <w:szCs w:val="18"/>
          <w:b w:val="1"/>
          <w:bCs w:val="1"/>
          <w:color w:val="191919"/>
        </w:rPr>
        <w:t xml:space="preserve"> </w:t>
      </w:r>
      <w:r>
        <w:rPr>
          <w:rFonts w:ascii="Arial" w:cs="Arial" w:eastAsia="Arial" w:hAnsi="Arial"/>
          <w:sz w:val="18"/>
          <w:szCs w:val="18"/>
          <w:color w:val="191919"/>
        </w:rPr>
        <w:t>financial capital structures, his expertise evaluating and structuring merger and acquisition transactions within the technology sector, and his experience gained through leading companies through major strategic and financial corporate transformations.</w:t>
      </w:r>
    </w:p>
    <w:p>
      <w:pPr>
        <w:spacing w:after="0" w:line="20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 Each of our directors will serve until the 2023 Annual Meeting of Stockholders and until their successors are elected and qualified or until their earlier resignation or removal.</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 (other than the Chief Executive Officer)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Carlos S. Bori</w:t>
      </w:r>
      <w:r>
        <w:rPr>
          <w:rFonts w:ascii="Arial" w:cs="Arial" w:eastAsia="Arial" w:hAnsi="Arial"/>
          <w:sz w:val="18"/>
          <w:szCs w:val="18"/>
          <w:color w:val="auto"/>
        </w:rPr>
        <w:t>, age 52, joined the Company in July 2013 and has served as Senior Vice President, Sales and Marketing, since November 2017. He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Vice President, Sales and Marketing, from May 2016 to November 2017 and as Vice President, Marketing, from July 2013 to May 2016. Previously, he spent more than 18 years with Beacon Electronic Associates (a North American independent representative of semiconductor manufacturers), serving as its President from 2004 to 2013.</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Karilee A. Durham</w:t>
      </w:r>
      <w:r>
        <w:rPr>
          <w:rFonts w:ascii="Arial" w:cs="Arial" w:eastAsia="Arial" w:hAnsi="Arial"/>
          <w:sz w:val="16"/>
          <w:szCs w:val="16"/>
          <w:color w:val="auto"/>
        </w:rPr>
        <w:t>, age 54, joined the Company in April 2018 and is Senior Vice President, Human Resources. Previously, Ms. Durham served as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Human Resources and General Affairs for Goodman Global Group, Inc. (an HVAC manufacturing and distribution company) from September 2010 to April 2018. Earlier, she held multiple senior human resources positions with Dell Inc. (a computer retailer) from October 2007 to September 2010, prior to which she held human resources positions at Flextronics International Ltd., Solectron Corporation, and UT-Battelle LLC.</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Reza Kasnavi</w:t>
      </w:r>
      <w:r>
        <w:rPr>
          <w:rFonts w:ascii="Arial" w:cs="Arial" w:eastAsia="Arial" w:hAnsi="Arial"/>
          <w:sz w:val="18"/>
          <w:szCs w:val="18"/>
          <w:color w:val="auto"/>
        </w:rPr>
        <w:t>, age 49, joined the Company in 2010 and has served as Senior Vice President, Technology and Manufacturing, since November 2019.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Vice President and General Manager, Open Market Platforms, from November 2012 to September 2018 and as Vice President, Central Engineering and Quality, from September 2018 to November 2019. Prior to joining Skyworks, Dr. Kasnavi spent 10 years as an investor and executive with Tallwood Venture Capital (an investment firm focused on semiconductor-related technologies and markets), holding various leadership positions at several Tallwood portfolio companies including Sequoia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7" w:name="page8"/>
    <w:bookmarkEnd w:id="7"/>
    <w:p>
      <w:pPr>
        <w:jc w:val="both"/>
        <w:spacing w:after="0" w:line="255" w:lineRule="auto"/>
        <w:rPr>
          <w:sz w:val="20"/>
          <w:szCs w:val="20"/>
          <w:color w:val="auto"/>
        </w:rPr>
      </w:pPr>
      <w:r>
        <w:rPr>
          <w:rFonts w:ascii="Arial" w:cs="Arial" w:eastAsia="Arial" w:hAnsi="Arial"/>
          <w:sz w:val="18"/>
          <w:szCs w:val="18"/>
          <w:b w:val="1"/>
          <w:bCs w:val="1"/>
          <w:i w:val="1"/>
          <w:iCs w:val="1"/>
          <w:color w:val="auto"/>
        </w:rPr>
        <w:t>Kris Sennesael</w:t>
      </w:r>
      <w:r>
        <w:rPr>
          <w:rFonts w:ascii="Arial" w:cs="Arial" w:eastAsia="Arial" w:hAnsi="Arial"/>
          <w:sz w:val="18"/>
          <w:szCs w:val="18"/>
          <w:color w:val="auto"/>
        </w:rPr>
        <w:t>, age 54, joined the Company in August 2016 and is Senior Vice President and Chief Financial Officer. Previously, Mr. Sennesael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for Enphase Energy, Inc. (a semiconductor-based renewable energy solutions provider), from September 2012 to August 2016. Earlier, he served as Chief Financial Officer for Standard Microsystems Corporation (a global fabless semiconductor company) from January 2009 to August 2012, prior to which he held financial positions at ON Semiconductor Corp., AMI Semiconductor, Inc., and Alcatel Microelectronics. Mr. Sennesael currently serves on the board of directors of Maxeon Solar Technologies, Ltd. (a publicly traded manufacturer and provider of solar energy products).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Robert J. Terry</w:t>
      </w:r>
      <w:r>
        <w:rPr>
          <w:rFonts w:ascii="Arial" w:cs="Arial" w:eastAsia="Arial" w:hAnsi="Arial"/>
          <w:sz w:val="17"/>
          <w:szCs w:val="17"/>
          <w:color w:val="auto"/>
        </w:rPr>
        <w:t>, age 56, joined the Company in 2003 and has served as Senior Vice President, General Counsel and Secretary since November 2017.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served as Vice President, General Counsel and Secretary from November 2016 to November 2017 and as Vice President, Associate General Counsel and Assistant Secretary from June 2011 to November 2016. Before joining Skyworks, he served as General Counsel and Secretary for Day Software, Inc. (an enterprise content management software company), from July 2001 to February 2003. Prior to joining Day Software, Mr. Terry was in private practice, focusing on corporate and securities matters, mergers and acquisitions, and general business litigation.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We have established an Audit Committee consisting of the following individuals, each of whom qualifies as independent within the meaning of the applicable Listing Rules of the Nasdaq Stock Market LLC (the “Nasdaq Rules”) and meets the criteria for independence set forth in Rule 10A-3(b)(1) under the Securities Exchange Act of 1934 (“Exchange Act”): David P. McGlade (Chairman), Christine King, and Robert A. Schriesheim. The Board of Directors has determined that each of Mr. McGlade (Chairman), Ms. King, and Mr. Schriesheim meets the qualifications of an “audit committee financial expert” under SEC Rules and the qualifications of “financial sophistication” under the applicable Nasdaq Rules.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233"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t>
      </w:r>
      <w:r>
        <w:rPr>
          <w:rFonts w:ascii="Arial" w:cs="Arial" w:eastAsia="Arial" w:hAnsi="Arial"/>
          <w:sz w:val="18"/>
          <w:szCs w:val="18"/>
          <w:i w:val="1"/>
          <w:iCs w:val="1"/>
          <w:color w:val="auto"/>
        </w:rPr>
        <w:t>www.skyworksinc.com</w:t>
      </w:r>
      <w:r>
        <w:rPr>
          <w:rFonts w:ascii="Arial" w:cs="Arial" w:eastAsia="Arial" w:hAnsi="Arial"/>
          <w:sz w:val="18"/>
          <w:szCs w:val="18"/>
          <w:color w:val="auto"/>
        </w:rPr>
        <w:t>. We intend to disclose any amendments to, or waivers from, our code of business conduct and ethics that are required to be publicly disclosed by posting any such amendment or waivers on our website pursuant to SEC requirements and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8" w:name="page9"/>
    <w:bookmarkEnd w:id="8"/>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This Compensation Discussion and Analysis section discusses the compensation policies and programs for our Chief Executive Officer, our Chief Financial Officer, and our three next most highly paid executive officers during our fiscal year ended September 30, 2022 (“fiscal year 2022”), as determined under the rules of the SEC. We refer to this group of executive officers as our “Named Executive Officers.” For fiscal year 2022, our Named Executive Officers were:</w:t>
      </w:r>
    </w:p>
    <w:p>
      <w:pPr>
        <w:spacing w:after="0" w:line="187" w:lineRule="exact"/>
        <w:rPr>
          <w:sz w:val="20"/>
          <w:szCs w:val="20"/>
          <w:color w:val="auto"/>
        </w:rPr>
      </w:pPr>
    </w:p>
    <w:p>
      <w:pPr>
        <w:ind w:left="500" w:hanging="103"/>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Liam K. Griffin, Chairman, Chief Executive Officer and President;</w:t>
      </w:r>
    </w:p>
    <w:p>
      <w:pPr>
        <w:spacing w:after="0" w:line="157" w:lineRule="exact"/>
        <w:rPr>
          <w:rFonts w:ascii="Arial" w:cs="Arial" w:eastAsia="Arial" w:hAnsi="Arial"/>
          <w:sz w:val="18"/>
          <w:szCs w:val="18"/>
          <w:b w:val="1"/>
          <w:bCs w:val="1"/>
          <w:color w:val="auto"/>
        </w:rPr>
      </w:pPr>
    </w:p>
    <w:p>
      <w:pPr>
        <w:ind w:left="500" w:hanging="103"/>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Kris Sennesael, Senior Vice President and Chief Financial Officer;</w:t>
      </w:r>
    </w:p>
    <w:p>
      <w:pPr>
        <w:spacing w:after="0" w:line="144" w:lineRule="exact"/>
        <w:rPr>
          <w:rFonts w:ascii="Arial" w:cs="Arial" w:eastAsia="Arial" w:hAnsi="Arial"/>
          <w:sz w:val="18"/>
          <w:szCs w:val="18"/>
          <w:b w:val="1"/>
          <w:bCs w:val="1"/>
          <w:color w:val="auto"/>
        </w:rPr>
      </w:pPr>
    </w:p>
    <w:p>
      <w:pPr>
        <w:ind w:left="500" w:hanging="103"/>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Reza Kasnavi, Senior Vice President, Technology and Manufacturing;</w:t>
      </w:r>
    </w:p>
    <w:p>
      <w:pPr>
        <w:spacing w:after="0" w:line="157" w:lineRule="exact"/>
        <w:rPr>
          <w:rFonts w:ascii="Arial" w:cs="Arial" w:eastAsia="Arial" w:hAnsi="Arial"/>
          <w:sz w:val="18"/>
          <w:szCs w:val="18"/>
          <w:b w:val="1"/>
          <w:bCs w:val="1"/>
          <w:color w:val="auto"/>
        </w:rPr>
      </w:pPr>
    </w:p>
    <w:p>
      <w:pPr>
        <w:ind w:left="500" w:hanging="103"/>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Carlos S. Bori, Senior Vice President, Sales and Marketing; and</w:t>
      </w:r>
    </w:p>
    <w:p>
      <w:pPr>
        <w:spacing w:after="0" w:line="157" w:lineRule="exact"/>
        <w:rPr>
          <w:rFonts w:ascii="Arial" w:cs="Arial" w:eastAsia="Arial" w:hAnsi="Arial"/>
          <w:sz w:val="18"/>
          <w:szCs w:val="18"/>
          <w:b w:val="1"/>
          <w:bCs w:val="1"/>
          <w:color w:val="auto"/>
        </w:rPr>
      </w:pPr>
    </w:p>
    <w:p>
      <w:pPr>
        <w:ind w:left="500" w:hanging="103"/>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Robert J. Terry, Senior Vice President, General Counsel and Secretary.</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Engagement with Stockholders Regarding Executive Compensation</w:t>
      </w:r>
    </w:p>
    <w:p>
      <w:pPr>
        <w:spacing w:after="0" w:line="225"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At our 2022 Annual Meeting of Stockholders, approximately 86% of the votes cast approved our “say-on-pay” proposal. We interpreted this as stockholders generally approving our compensation policies and determinations for our fiscal year ended October 1, 2021 (“fiscal year 2021”) and that they were generally pleased with the updates the Compensation Committee had made for fiscal year 2022, in part after considering input from stockholders following our 2021 Annual Meeting of Stockholders.</w:t>
      </w:r>
    </w:p>
    <w:p>
      <w:pPr>
        <w:spacing w:after="0" w:line="178" w:lineRule="exact"/>
        <w:rPr>
          <w:sz w:val="20"/>
          <w:szCs w:val="20"/>
          <w:color w:val="auto"/>
        </w:rPr>
      </w:pPr>
    </w:p>
    <w:p>
      <w:pPr>
        <w:jc w:val="both"/>
        <w:ind w:firstLine="389"/>
        <w:spacing w:after="0" w:line="301" w:lineRule="auto"/>
        <w:rPr>
          <w:sz w:val="20"/>
          <w:szCs w:val="20"/>
          <w:color w:val="auto"/>
        </w:rPr>
      </w:pPr>
      <w:r>
        <w:rPr>
          <w:rFonts w:ascii="Arial" w:cs="Arial" w:eastAsia="Arial" w:hAnsi="Arial"/>
          <w:sz w:val="16"/>
          <w:szCs w:val="16"/>
          <w:color w:val="auto"/>
        </w:rPr>
        <w:t>Following the 2022 Annual Meeting and through November 2022, we engaged in formal stockholder outreach, soliciting feedback from approximately 20 institutional stockholders representing approximately 41% of the Company’s shares outstanding. Our Company management held subsequent engagement meetings with stockholders representing approximately 7% of the Company’s shares outstanding. Stockholders representing approximately 29% of the Company’s shares outstanding responded to the outreach, either with written feedback or declining the invitation to meet.</w:t>
      </w:r>
    </w:p>
    <w:p>
      <w:pPr>
        <w:spacing w:after="0" w:line="157"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During these conversations, institutional stockholders expressed approval of the Company’s strategy, performance, and management. In addition, they indicated support for the Company’s compensation policies and plan designs. After considering this input from our stockholders, as well as evaluating practices related to executive compensation by public companies generally, and our peer group specifically, our Compensation Committee determined that in general, the Company’s existing executive compensation policies and plan designs remained appropriate and in the best interests of the Company and its stockholders.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Approach for Determining Form and Amounts of Compensation</w:t>
      </w:r>
    </w:p>
    <w:p>
      <w:pPr>
        <w:spacing w:after="0" w:line="185" w:lineRule="exact"/>
        <w:rPr>
          <w:sz w:val="20"/>
          <w:szCs w:val="20"/>
          <w:color w:val="auto"/>
        </w:rPr>
      </w:pPr>
    </w:p>
    <w:p>
      <w:pPr>
        <w:jc w:val="both"/>
        <w:ind w:firstLine="389"/>
        <w:spacing w:after="0" w:line="311" w:lineRule="auto"/>
        <w:rPr>
          <w:sz w:val="20"/>
          <w:szCs w:val="20"/>
          <w:color w:val="auto"/>
        </w:rPr>
      </w:pPr>
      <w:r>
        <w:rPr>
          <w:rFonts w:ascii="Arial" w:cs="Arial" w:eastAsia="Arial" w:hAnsi="Arial"/>
          <w:sz w:val="16"/>
          <w:szCs w:val="16"/>
          <w:color w:val="auto"/>
        </w:rPr>
        <w:t>The Compensation Committee, which is composed solely of independent directors within the meaning of applicable Nasdaq Rules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Compensation Program Objectives</w:t>
      </w:r>
    </w:p>
    <w:p>
      <w:pPr>
        <w:spacing w:after="0" w:line="198"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76" w:lineRule="exact"/>
        <w:rPr>
          <w:sz w:val="20"/>
          <w:szCs w:val="20"/>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ensuring that our executive compensation program is competitive with a group of companies in the semiconductor industry with which we compete for executive talent;</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a base salary that serves as the foundation of a compensation package that attracts and retains the executive talent needed to achieve our business objectives;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providing short-term variable compensation that motivates executives and rewards them for achieving Company financial performance targets;</w:t>
      </w:r>
    </w:p>
    <w:p>
      <w:pPr>
        <w:spacing w:after="0" w:line="18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long-term stock-based compensation that aligns the interest of our executives with stockholders by rewarding them for long-term increases in stockholder value;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ensuring that our executive compensation program is perceived as fundamentally fair to our employees.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Retention of Compensation Consultant</w:t>
      </w:r>
    </w:p>
    <w:p>
      <w:pPr>
        <w:spacing w:after="0" w:line="185"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The Compensation Committee has engaged Aon/Radford Consulting (“Aon/Radford”) to assist in determining the components and amount of executive compensation. Aon/Radford reports directly to the Compensation Committee, through its chairman, and the Compensation Committee retains the right to terminate or replace the consultant at any time. 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also purchases published compensation and benefits surveys from Aon/Radford, and on occasion engages certain affiliates of Aon/Radford in various jurisdictions for services unrelated to executive compensation and benefits, engagements for which the Company’s management has not sought the Compensation Committee’s approval. The fees paid to Aon/Radford and its affiliates in fiscal year 2022 for these surveys and additional services did not exceed $120,000.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Comparator Group Data</w:t>
      </w:r>
    </w:p>
    <w:p>
      <w:pPr>
        <w:spacing w:after="0" w:line="225"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rFonts w:ascii="Arial" w:cs="Arial" w:eastAsia="Arial" w:hAnsi="Arial"/>
          <w:sz w:val="17"/>
          <w:szCs w:val="17"/>
          <w:i w:val="1"/>
          <w:iCs w:val="1"/>
          <w:color w:val="auto"/>
        </w:rPr>
        <w:t>Components of Compensation</w:t>
      </w:r>
      <w:r>
        <w:rPr>
          <w:rFonts w:ascii="Arial" w:cs="Arial" w:eastAsia="Arial" w:hAnsi="Arial"/>
          <w:sz w:val="17"/>
          <w:szCs w:val="17"/>
          <w:color w:val="auto"/>
        </w:rPr>
        <w:t>.” For fiscal year 2022, the Compensation Committee approved Comparator Group data consisting of a 50/50 blend of (i) Aon/Radford survey data of semiconductor companies (where sufficient data was not available in the Aon/Radford semiconductor survey data for a given executive position, the Comparator Group data also included survey data regarding high-technology companies), and (ii) data from the group of 15 publicly traded semiconductor companies listed below. The peer group includes many business competitors, as well as certain larger semiconductor companies with which we compete for executive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0" w:name="page11"/>
    <w:bookmarkEnd w:id="10"/>
    <w:p>
      <w:pPr>
        <w:jc w:val="both"/>
        <w:ind w:firstLine="389"/>
        <w:spacing w:after="0" w:line="259" w:lineRule="auto"/>
        <w:rPr>
          <w:sz w:val="20"/>
          <w:szCs w:val="20"/>
          <w:color w:val="auto"/>
        </w:rPr>
      </w:pPr>
      <w:r>
        <w:rPr>
          <w:rFonts w:ascii="Arial" w:cs="Arial" w:eastAsia="Arial" w:hAnsi="Arial"/>
          <w:sz w:val="18"/>
          <w:szCs w:val="18"/>
          <w:color w:val="auto"/>
        </w:rPr>
        <w:t>For the Company’s fiscal year 2022 compensation program, we made adjustments to our peer group from the prior fiscal year to improve comparability, in part in response to stockholder feedback. Specifically, we removed Applied Materials, Broadcom, and NVIDIA, all of which were significantly larger than the Company, as measured by multiple factors including market capitalization and annual revenue, and added Western Digital and NXP Semiconductors, both of which were more comparable in size to the Company.</w:t>
      </w:r>
    </w:p>
    <w:p>
      <w:pPr>
        <w:spacing w:after="0" w:line="22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Peer Group for Fiscal Year 2022 Compensation (“FY22 Peer Group”)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shd w:val="clear" w:color="auto" w:fill="D9D9D9"/>
          </w:tcPr>
          <w:p>
            <w:pPr>
              <w:ind w:left="20"/>
              <w:spacing w:after="0"/>
              <w:rPr>
                <w:sz w:val="20"/>
                <w:szCs w:val="20"/>
                <w:color w:val="auto"/>
              </w:rPr>
            </w:pPr>
            <w:r>
              <w:rPr>
                <w:rFonts w:ascii="Arial" w:cs="Arial" w:eastAsia="Arial" w:hAnsi="Arial"/>
                <w:sz w:val="18"/>
                <w:szCs w:val="18"/>
                <w:color w:val="auto"/>
              </w:rPr>
              <w:t>Advanced Micro Devices</w:t>
            </w:r>
          </w:p>
        </w:tc>
        <w:tc>
          <w:tcPr>
            <w:tcW w:w="3000" w:type="dxa"/>
            <w:vAlign w:val="bottom"/>
            <w:shd w:val="clear" w:color="auto" w:fill="D9D9D9"/>
          </w:tcPr>
          <w:p>
            <w:pPr>
              <w:ind w:left="560"/>
              <w:spacing w:after="0"/>
              <w:rPr>
                <w:sz w:val="20"/>
                <w:szCs w:val="20"/>
                <w:color w:val="auto"/>
              </w:rPr>
            </w:pPr>
            <w:r>
              <w:rPr>
                <w:rFonts w:ascii="Arial" w:cs="Arial" w:eastAsia="Arial" w:hAnsi="Arial"/>
                <w:sz w:val="18"/>
                <w:szCs w:val="18"/>
                <w:color w:val="auto"/>
              </w:rPr>
              <w:t>Marvell Technology</w:t>
            </w:r>
          </w:p>
        </w:tc>
        <w:tc>
          <w:tcPr>
            <w:tcW w:w="2560" w:type="dxa"/>
            <w:vAlign w:val="bottom"/>
            <w:shd w:val="clear" w:color="auto" w:fill="D9D9D9"/>
          </w:tcPr>
          <w:p>
            <w:pPr>
              <w:ind w:left="480"/>
              <w:spacing w:after="0"/>
              <w:rPr>
                <w:sz w:val="20"/>
                <w:szCs w:val="20"/>
                <w:color w:val="auto"/>
              </w:rPr>
            </w:pPr>
            <w:r>
              <w:rPr>
                <w:rFonts w:ascii="Arial" w:cs="Arial" w:eastAsia="Arial" w:hAnsi="Arial"/>
                <w:sz w:val="18"/>
                <w:szCs w:val="18"/>
                <w:color w:val="auto"/>
              </w:rPr>
              <w:t>NXP Semiconductors</w:t>
            </w:r>
          </w:p>
        </w:tc>
        <w:tc>
          <w:tcPr>
            <w:tcW w:w="2880" w:type="dxa"/>
            <w:vAlign w:val="bottom"/>
            <w:shd w:val="clear" w:color="auto" w:fill="D9D9D9"/>
          </w:tcPr>
          <w:p>
            <w:pPr>
              <w:ind w:left="540"/>
              <w:spacing w:after="0"/>
              <w:rPr>
                <w:sz w:val="20"/>
                <w:szCs w:val="20"/>
                <w:color w:val="auto"/>
              </w:rPr>
            </w:pPr>
            <w:r>
              <w:rPr>
                <w:rFonts w:ascii="Arial" w:cs="Arial" w:eastAsia="Arial" w:hAnsi="Arial"/>
                <w:sz w:val="18"/>
                <w:szCs w:val="18"/>
                <w:color w:val="auto"/>
              </w:rPr>
              <w:t>Texas Instruments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Analog Devices</w:t>
            </w:r>
          </w:p>
        </w:tc>
        <w:tc>
          <w:tcPr>
            <w:tcW w:w="3000" w:type="dxa"/>
            <w:vAlign w:val="bottom"/>
          </w:tcPr>
          <w:p>
            <w:pPr>
              <w:ind w:left="560"/>
              <w:spacing w:after="0"/>
              <w:rPr>
                <w:sz w:val="20"/>
                <w:szCs w:val="20"/>
                <w:color w:val="auto"/>
              </w:rPr>
            </w:pPr>
            <w:r>
              <w:rPr>
                <w:rFonts w:ascii="Arial" w:cs="Arial" w:eastAsia="Arial" w:hAnsi="Arial"/>
                <w:sz w:val="18"/>
                <w:szCs w:val="18"/>
                <w:color w:val="auto"/>
              </w:rPr>
              <w:t>Maxim Integrated Products</w:t>
            </w:r>
          </w:p>
        </w:tc>
        <w:tc>
          <w:tcPr>
            <w:tcW w:w="2560" w:type="dxa"/>
            <w:vAlign w:val="bottom"/>
          </w:tcPr>
          <w:p>
            <w:pPr>
              <w:ind w:left="480"/>
              <w:spacing w:after="0"/>
              <w:rPr>
                <w:sz w:val="20"/>
                <w:szCs w:val="20"/>
                <w:color w:val="auto"/>
              </w:rPr>
            </w:pPr>
            <w:r>
              <w:rPr>
                <w:rFonts w:ascii="Arial" w:cs="Arial" w:eastAsia="Arial" w:hAnsi="Arial"/>
                <w:sz w:val="18"/>
                <w:szCs w:val="18"/>
                <w:color w:val="auto"/>
              </w:rPr>
              <w:t>ON Semiconductor</w:t>
            </w:r>
          </w:p>
        </w:tc>
        <w:tc>
          <w:tcPr>
            <w:tcW w:w="2880" w:type="dxa"/>
            <w:vAlign w:val="bottom"/>
          </w:tcPr>
          <w:p>
            <w:pPr>
              <w:ind w:left="540"/>
              <w:spacing w:after="0"/>
              <w:rPr>
                <w:sz w:val="20"/>
                <w:szCs w:val="20"/>
                <w:color w:val="auto"/>
              </w:rPr>
            </w:pPr>
            <w:r>
              <w:rPr>
                <w:rFonts w:ascii="Arial" w:cs="Arial" w:eastAsia="Arial" w:hAnsi="Arial"/>
                <w:sz w:val="18"/>
                <w:szCs w:val="18"/>
                <w:color w:val="auto"/>
              </w:rPr>
              <w:t>Western Digital</w:t>
            </w:r>
          </w:p>
        </w:tc>
      </w:tr>
      <w:tr>
        <w:trPr>
          <w:trHeight w:val="229"/>
        </w:trPr>
        <w:tc>
          <w:tcPr>
            <w:tcW w:w="2440" w:type="dxa"/>
            <w:vAlign w:val="bottom"/>
            <w:shd w:val="clear" w:color="auto" w:fill="D9D9D9"/>
          </w:tcPr>
          <w:p>
            <w:pPr>
              <w:ind w:left="20"/>
              <w:spacing w:after="0"/>
              <w:rPr>
                <w:sz w:val="20"/>
                <w:szCs w:val="20"/>
                <w:color w:val="auto"/>
              </w:rPr>
            </w:pPr>
            <w:r>
              <w:rPr>
                <w:rFonts w:ascii="Arial" w:cs="Arial" w:eastAsia="Arial" w:hAnsi="Arial"/>
                <w:sz w:val="18"/>
                <w:szCs w:val="18"/>
                <w:color w:val="auto"/>
              </w:rPr>
              <w:t>KLA Corporation</w:t>
            </w:r>
          </w:p>
        </w:tc>
        <w:tc>
          <w:tcPr>
            <w:tcW w:w="3000" w:type="dxa"/>
            <w:vAlign w:val="bottom"/>
            <w:shd w:val="clear" w:color="auto" w:fill="D9D9D9"/>
          </w:tcPr>
          <w:p>
            <w:pPr>
              <w:ind w:left="560"/>
              <w:spacing w:after="0"/>
              <w:rPr>
                <w:sz w:val="20"/>
                <w:szCs w:val="20"/>
                <w:color w:val="auto"/>
              </w:rPr>
            </w:pPr>
            <w:r>
              <w:rPr>
                <w:rFonts w:ascii="Arial" w:cs="Arial" w:eastAsia="Arial" w:hAnsi="Arial"/>
                <w:sz w:val="18"/>
                <w:szCs w:val="18"/>
                <w:color w:val="auto"/>
              </w:rPr>
              <w:t>Microchip Technology</w:t>
            </w:r>
          </w:p>
        </w:tc>
        <w:tc>
          <w:tcPr>
            <w:tcW w:w="2560" w:type="dxa"/>
            <w:vAlign w:val="bottom"/>
            <w:shd w:val="clear" w:color="auto" w:fill="D9D9D9"/>
          </w:tcPr>
          <w:p>
            <w:pPr>
              <w:ind w:left="480"/>
              <w:spacing w:after="0"/>
              <w:rPr>
                <w:sz w:val="20"/>
                <w:szCs w:val="20"/>
                <w:color w:val="auto"/>
              </w:rPr>
            </w:pPr>
            <w:r>
              <w:rPr>
                <w:rFonts w:ascii="Arial" w:cs="Arial" w:eastAsia="Arial" w:hAnsi="Arial"/>
                <w:sz w:val="18"/>
                <w:szCs w:val="18"/>
                <w:color w:val="auto"/>
              </w:rPr>
              <w:t>Qorvo</w:t>
            </w:r>
          </w:p>
        </w:tc>
        <w:tc>
          <w:tcPr>
            <w:tcW w:w="2880" w:type="dxa"/>
            <w:vAlign w:val="bottom"/>
            <w:shd w:val="clear" w:color="auto" w:fill="D9D9D9"/>
          </w:tcPr>
          <w:p>
            <w:pPr>
              <w:ind w:left="540"/>
              <w:spacing w:after="0"/>
              <w:rPr>
                <w:sz w:val="20"/>
                <w:szCs w:val="20"/>
                <w:color w:val="auto"/>
              </w:rPr>
            </w:pPr>
            <w:r>
              <w:rPr>
                <w:rFonts w:ascii="Arial" w:cs="Arial" w:eastAsia="Arial" w:hAnsi="Arial"/>
                <w:sz w:val="18"/>
                <w:szCs w:val="18"/>
                <w:color w:val="auto"/>
              </w:rPr>
              <w:t>Xilinx</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Lam Research</w:t>
            </w:r>
          </w:p>
        </w:tc>
        <w:tc>
          <w:tcPr>
            <w:tcW w:w="3000" w:type="dxa"/>
            <w:vAlign w:val="bottom"/>
          </w:tcPr>
          <w:p>
            <w:pPr>
              <w:ind w:left="560"/>
              <w:spacing w:after="0"/>
              <w:rPr>
                <w:sz w:val="20"/>
                <w:szCs w:val="20"/>
                <w:color w:val="auto"/>
              </w:rPr>
            </w:pPr>
            <w:r>
              <w:rPr>
                <w:rFonts w:ascii="Arial" w:cs="Arial" w:eastAsia="Arial" w:hAnsi="Arial"/>
                <w:sz w:val="18"/>
                <w:szCs w:val="18"/>
                <w:color w:val="auto"/>
              </w:rPr>
              <w:t>Micron Technology</w:t>
            </w:r>
          </w:p>
        </w:tc>
        <w:tc>
          <w:tcPr>
            <w:tcW w:w="2560" w:type="dxa"/>
            <w:vAlign w:val="bottom"/>
          </w:tcPr>
          <w:p>
            <w:pPr>
              <w:ind w:left="480"/>
              <w:spacing w:after="0"/>
              <w:rPr>
                <w:sz w:val="20"/>
                <w:szCs w:val="20"/>
                <w:color w:val="auto"/>
              </w:rPr>
            </w:pPr>
            <w:r>
              <w:rPr>
                <w:rFonts w:ascii="Arial" w:cs="Arial" w:eastAsia="Arial" w:hAnsi="Arial"/>
                <w:sz w:val="18"/>
                <w:szCs w:val="18"/>
                <w:color w:val="auto"/>
              </w:rPr>
              <w:t>QUALCOMM</w:t>
            </w:r>
          </w:p>
        </w:tc>
        <w:tc>
          <w:tcPr>
            <w:tcW w:w="2880" w:type="dxa"/>
            <w:vAlign w:val="bottom"/>
          </w:tcPr>
          <w:p>
            <w:pPr>
              <w:spacing w:after="0"/>
              <w:rPr>
                <w:sz w:val="20"/>
                <w:szCs w:val="20"/>
                <w:color w:val="auto"/>
              </w:rPr>
            </w:pPr>
          </w:p>
        </w:tc>
      </w:tr>
    </w:tbl>
    <w:p>
      <w:pPr>
        <w:spacing w:after="0" w:line="295"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Aon/Radford, the Compensation Committee established (and the full Board was advised of) the base salary, short-term incentive target, and stock-based compensation for each Named Executive Officer for fiscal year 2022. Aon/Radford advised the Compensation Committee that such components of executive compensation for fiscal year 2022 were competitive for chief executive officers and other executive officers at companies of similar size and complexity in the semiconductor industry.</w:t>
      </w:r>
    </w:p>
    <w:p>
      <w:pPr>
        <w:spacing w:after="0" w:line="178"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In determining the compensation of our Chief Executive Officer for fiscal year 2022, the Compensation Committee focused on (i) 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(iv) input from the full Board on our Chief Executive Officer’s performance, and (v) the length of our Chief Executive Officer’s service to the Company. Our Chief Executive Officer was not present during the voting or deliberations of the Compensation Committee concerning his compensation.</w:t>
      </w:r>
    </w:p>
    <w:p>
      <w:pPr>
        <w:spacing w:after="0" w:line="192"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191919"/>
        </w:rPr>
        <w:t>The key elements of compensation for our Named Executive Officers are base salary, short-term incentives, long-term stock-based incentives, and health and welfare benefits. For fiscal year 2022,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Compensation Committee determines a competitive base salary for each executive officer using the Comparator Group data and input provided by Aon/Radford. In order to provide flexibility in consideration of differences in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1" w:name="page12"/>
    <w:bookmarkEnd w:id="11"/>
    <w:p>
      <w:pPr>
        <w:jc w:val="both"/>
        <w:ind w:right="20" w:firstLine="389"/>
        <w:spacing w:after="0" w:line="263" w:lineRule="auto"/>
        <w:rPr>
          <w:sz w:val="20"/>
          <w:szCs w:val="20"/>
          <w:color w:val="auto"/>
        </w:rPr>
      </w:pPr>
      <w:r>
        <w:rPr>
          <w:rFonts w:ascii="Arial" w:cs="Arial" w:eastAsia="Arial" w:hAnsi="Arial"/>
          <w:sz w:val="18"/>
          <w:szCs w:val="18"/>
          <w:color w:val="auto"/>
        </w:rPr>
        <w:t>The base salary increases for fiscal year 2022 for each Named Executive Officer, as reflected in the table below, were based on the market-based salary adjustments recommended by Aon/Radford as well as recommendations by the Chief Executive Officer (for Named Executive Officers other than himself).</w:t>
      </w:r>
    </w:p>
    <w:p>
      <w:pPr>
        <w:spacing w:after="0" w:line="202"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2440" w:type="dxa"/>
            <w:vAlign w:val="bottom"/>
          </w:tcPr>
          <w:p>
            <w:pPr>
              <w:jc w:val="center"/>
              <w:ind w:left="510"/>
              <w:spacing w:after="0"/>
              <w:rPr>
                <w:sz w:val="20"/>
                <w:szCs w:val="20"/>
                <w:color w:val="auto"/>
              </w:rPr>
            </w:pPr>
            <w:r>
              <w:rPr>
                <w:rFonts w:ascii="Arial" w:cs="Arial" w:eastAsia="Arial" w:hAnsi="Arial"/>
                <w:sz w:val="18"/>
                <w:szCs w:val="18"/>
                <w:b w:val="1"/>
                <w:bCs w:val="1"/>
                <w:color w:val="auto"/>
                <w:w w:val="95"/>
              </w:rPr>
              <w:t>FY2022</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5"/>
              </w:rPr>
              <w:t>FY2021</w:t>
            </w:r>
          </w:p>
        </w:tc>
        <w:tc>
          <w:tcPr>
            <w:tcW w:w="1500" w:type="dxa"/>
            <w:vAlign w:val="bottom"/>
          </w:tcPr>
          <w:p>
            <w:pPr>
              <w:ind w:left="36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2240" w:type="dxa"/>
            <w:vAlign w:val="bottom"/>
          </w:tcPr>
          <w:p>
            <w:pPr>
              <w:spacing w:after="0"/>
              <w:rPr>
                <w:sz w:val="20"/>
                <w:szCs w:val="20"/>
                <w:color w:val="auto"/>
              </w:rPr>
            </w:pPr>
          </w:p>
        </w:tc>
        <w:tc>
          <w:tcPr>
            <w:tcW w:w="244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Base Salary ($)</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 ($)</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30"/>
        </w:trPr>
        <w:tc>
          <w:tcPr>
            <w:tcW w:w="2240" w:type="dxa"/>
            <w:vAlign w:val="bottom"/>
            <w:shd w:val="clear" w:color="auto" w:fill="D9D9D9"/>
          </w:tcPr>
          <w:p>
            <w:pPr>
              <w:ind w:left="20"/>
              <w:spacing w:after="0"/>
              <w:rPr>
                <w:sz w:val="20"/>
                <w:szCs w:val="20"/>
                <w:color w:val="auto"/>
              </w:rPr>
            </w:pPr>
            <w:r>
              <w:rPr>
                <w:rFonts w:ascii="Arial" w:cs="Arial" w:eastAsia="Arial" w:hAnsi="Arial"/>
                <w:sz w:val="18"/>
                <w:szCs w:val="18"/>
                <w:color w:val="auto"/>
              </w:rPr>
              <w:t>Liam K. Griffin</w:t>
            </w:r>
          </w:p>
        </w:tc>
        <w:tc>
          <w:tcPr>
            <w:tcW w:w="2440" w:type="dxa"/>
            <w:vAlign w:val="bottom"/>
            <w:shd w:val="clear" w:color="auto" w:fill="D9D9D9"/>
          </w:tcPr>
          <w:p>
            <w:pPr>
              <w:jc w:val="center"/>
              <w:ind w:left="550"/>
              <w:spacing w:after="0"/>
              <w:rPr>
                <w:sz w:val="20"/>
                <w:szCs w:val="20"/>
                <w:color w:val="auto"/>
              </w:rPr>
            </w:pPr>
            <w:r>
              <w:rPr>
                <w:rFonts w:ascii="Arial" w:cs="Arial" w:eastAsia="Arial" w:hAnsi="Arial"/>
                <w:sz w:val="18"/>
                <w:szCs w:val="18"/>
                <w:color w:val="auto"/>
                <w:w w:val="89"/>
              </w:rPr>
              <w:t>1,130,000</w:t>
            </w:r>
          </w:p>
        </w:tc>
        <w:tc>
          <w:tcPr>
            <w:tcW w:w="18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1,075,000</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2"/>
              </w:rPr>
              <w:t>5.1%</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Kris Sennesael</w:t>
            </w:r>
          </w:p>
        </w:tc>
        <w:tc>
          <w:tcPr>
            <w:tcW w:w="2440" w:type="dxa"/>
            <w:vAlign w:val="bottom"/>
          </w:tcPr>
          <w:p>
            <w:pPr>
              <w:jc w:val="center"/>
              <w:ind w:left="550"/>
              <w:spacing w:after="0"/>
              <w:rPr>
                <w:sz w:val="20"/>
                <w:szCs w:val="20"/>
                <w:color w:val="auto"/>
              </w:rPr>
            </w:pPr>
            <w:r>
              <w:rPr>
                <w:rFonts w:ascii="Arial" w:cs="Arial" w:eastAsia="Arial" w:hAnsi="Arial"/>
                <w:sz w:val="18"/>
                <w:szCs w:val="18"/>
                <w:color w:val="auto"/>
                <w:w w:val="92"/>
              </w:rPr>
              <w:t>588,000</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560,000</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5.0%</w:t>
            </w:r>
          </w:p>
        </w:tc>
      </w:tr>
      <w:tr>
        <w:trPr>
          <w:trHeight w:val="230"/>
        </w:trPr>
        <w:tc>
          <w:tcPr>
            <w:tcW w:w="2240" w:type="dxa"/>
            <w:vAlign w:val="bottom"/>
            <w:shd w:val="clear" w:color="auto" w:fill="D9D9D9"/>
          </w:tcPr>
          <w:p>
            <w:pPr>
              <w:ind w:left="20"/>
              <w:spacing w:after="0"/>
              <w:rPr>
                <w:sz w:val="20"/>
                <w:szCs w:val="20"/>
                <w:color w:val="auto"/>
              </w:rPr>
            </w:pPr>
            <w:r>
              <w:rPr>
                <w:rFonts w:ascii="Arial" w:cs="Arial" w:eastAsia="Arial" w:hAnsi="Arial"/>
                <w:sz w:val="18"/>
                <w:szCs w:val="18"/>
                <w:color w:val="auto"/>
              </w:rPr>
              <w:t>Reza Kasnavi (1)</w:t>
            </w:r>
          </w:p>
        </w:tc>
        <w:tc>
          <w:tcPr>
            <w:tcW w:w="2440" w:type="dxa"/>
            <w:vAlign w:val="bottom"/>
            <w:shd w:val="clear" w:color="auto" w:fill="D9D9D9"/>
          </w:tcPr>
          <w:p>
            <w:pPr>
              <w:jc w:val="center"/>
              <w:ind w:left="550"/>
              <w:spacing w:after="0"/>
              <w:rPr>
                <w:sz w:val="20"/>
                <w:szCs w:val="20"/>
                <w:color w:val="auto"/>
              </w:rPr>
            </w:pPr>
            <w:r>
              <w:rPr>
                <w:rFonts w:ascii="Arial" w:cs="Arial" w:eastAsia="Arial" w:hAnsi="Arial"/>
                <w:sz w:val="18"/>
                <w:szCs w:val="18"/>
                <w:color w:val="auto"/>
                <w:w w:val="92"/>
              </w:rPr>
              <w:t>557,000</w:t>
            </w:r>
          </w:p>
        </w:tc>
        <w:tc>
          <w:tcPr>
            <w:tcW w:w="18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525,000</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2"/>
              </w:rPr>
              <w:t>6.1%</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Carlos S. Bori</w:t>
            </w:r>
          </w:p>
        </w:tc>
        <w:tc>
          <w:tcPr>
            <w:tcW w:w="2440" w:type="dxa"/>
            <w:vAlign w:val="bottom"/>
          </w:tcPr>
          <w:p>
            <w:pPr>
              <w:jc w:val="center"/>
              <w:ind w:left="550"/>
              <w:spacing w:after="0"/>
              <w:rPr>
                <w:sz w:val="20"/>
                <w:szCs w:val="20"/>
                <w:color w:val="auto"/>
              </w:rPr>
            </w:pPr>
            <w:r>
              <w:rPr>
                <w:rFonts w:ascii="Arial" w:cs="Arial" w:eastAsia="Arial" w:hAnsi="Arial"/>
                <w:sz w:val="18"/>
                <w:szCs w:val="18"/>
                <w:color w:val="auto"/>
                <w:w w:val="92"/>
              </w:rPr>
              <w:t>520,000</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9.5%</w:t>
            </w:r>
          </w:p>
        </w:tc>
      </w:tr>
      <w:tr>
        <w:trPr>
          <w:trHeight w:val="229"/>
        </w:trPr>
        <w:tc>
          <w:tcPr>
            <w:tcW w:w="2240" w:type="dxa"/>
            <w:vAlign w:val="bottom"/>
            <w:shd w:val="clear" w:color="auto" w:fill="D9D9D9"/>
          </w:tcPr>
          <w:p>
            <w:pPr>
              <w:ind w:left="20"/>
              <w:spacing w:after="0"/>
              <w:rPr>
                <w:sz w:val="20"/>
                <w:szCs w:val="20"/>
                <w:color w:val="auto"/>
              </w:rPr>
            </w:pPr>
            <w:r>
              <w:rPr>
                <w:rFonts w:ascii="Arial" w:cs="Arial" w:eastAsia="Arial" w:hAnsi="Arial"/>
                <w:sz w:val="18"/>
                <w:szCs w:val="18"/>
                <w:color w:val="auto"/>
              </w:rPr>
              <w:t>Robert J. Terry</w:t>
            </w:r>
          </w:p>
        </w:tc>
        <w:tc>
          <w:tcPr>
            <w:tcW w:w="2440" w:type="dxa"/>
            <w:vAlign w:val="bottom"/>
            <w:shd w:val="clear" w:color="auto" w:fill="D9D9D9"/>
          </w:tcPr>
          <w:p>
            <w:pPr>
              <w:jc w:val="center"/>
              <w:ind w:left="550"/>
              <w:spacing w:after="0"/>
              <w:rPr>
                <w:sz w:val="20"/>
                <w:szCs w:val="20"/>
                <w:color w:val="auto"/>
              </w:rPr>
            </w:pPr>
            <w:r>
              <w:rPr>
                <w:rFonts w:ascii="Arial" w:cs="Arial" w:eastAsia="Arial" w:hAnsi="Arial"/>
                <w:sz w:val="18"/>
                <w:szCs w:val="18"/>
                <w:color w:val="auto"/>
                <w:w w:val="92"/>
              </w:rPr>
              <w:t>522,000</w:t>
            </w:r>
          </w:p>
        </w:tc>
        <w:tc>
          <w:tcPr>
            <w:tcW w:w="18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492,000</w:t>
            </w:r>
          </w:p>
        </w:tc>
        <w:tc>
          <w:tcPr>
            <w:tcW w:w="15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2"/>
              </w:rPr>
              <w:t>6.1%</w:t>
            </w:r>
          </w:p>
        </w:tc>
      </w:tr>
    </w:tbl>
    <w:p>
      <w:pPr>
        <w:ind w:left="400" w:right="4060" w:firstLine="1212"/>
        <w:spacing w:after="0" w:line="386" w:lineRule="auto"/>
        <w:tabs>
          <w:tab w:leader="none" w:pos="18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Mr. Kasnavi was not a Named Executive Officer prior to fiscal year 2022. </w:t>
      </w:r>
      <w:r>
        <w:rPr>
          <w:rFonts w:ascii="Arial" w:cs="Arial" w:eastAsia="Arial" w:hAnsi="Arial"/>
          <w:sz w:val="18"/>
          <w:szCs w:val="18"/>
          <w:i w:val="1"/>
          <w:iCs w:val="1"/>
          <w:u w:val="single" w:color="auto"/>
          <w:color w:val="auto"/>
        </w:rPr>
        <w:t>Short-Term Incentives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Compensation Committee believes that pre-established performance goals under the Company’s short-term incentive compensation plan for executive officers should generally be measured over a one-year performance period. Beginning with the Company’s fiscal year ended October 2, 2020 (“fiscal year 2020”) and continuing to the present, the Compensation Committee has established annual short-term compensation incentive plans with two six-month performance periods as a result of significant market uncertainties.</w:t>
      </w:r>
    </w:p>
    <w:p>
      <w:pPr>
        <w:spacing w:after="0" w:line="164"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With respect to the Fiscal Year 2022 Executive Incentive Plan (the “Incentive Plan”) adopted by the Compensation Committee on December 15, 2021, the Compensation Committee determined that in light of continued uncertainties resulting from geopolitical concerns and global supply chain challenges affecting the Company and its customers, which made forecasting difficult, semi-annual performance periods would be appropriate for fiscal year 2022. Nevertheless, when the Compensation Committee set the performance goals for the second half of fiscal year 2022 in May 2022, it adopted the performance goals discussed when the Incentive Plan was first implemented in December 2021. The Compensation Committee has committed to returning to one-year performance periods for the short-term compensation incentive plan as soon as it determines that market conditions would allow the establishment of meaningful full-year performance goals.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Opportunities</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 a percentage of base salary, for each of the Named Executive Officers should not be changed, as compared to the target incentives under the prior year’s short-term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2" w:name="page13"/>
    <w:bookmarkEnd w:id="12"/>
    <w:p>
      <w:pPr>
        <w:jc w:val="both"/>
        <w:ind w:right="20" w:firstLine="389"/>
        <w:spacing w:after="0" w:line="277" w:lineRule="auto"/>
        <w:rPr>
          <w:sz w:val="20"/>
          <w:szCs w:val="20"/>
          <w:color w:val="auto"/>
        </w:rPr>
      </w:pPr>
      <w:r>
        <w:rPr>
          <w:rFonts w:ascii="Arial" w:cs="Arial" w:eastAsia="Arial" w:hAnsi="Arial"/>
          <w:sz w:val="18"/>
          <w:szCs w:val="18"/>
          <w:color w:val="auto"/>
        </w:rPr>
        <w:t>The following table shows the range of short-term incentive compensation that each Named Executive Officer could earn in fiscal year 2022 as a percentage of such executive officer’s annual base salary.</w:t>
      </w:r>
    </w:p>
    <w:p>
      <w:pPr>
        <w:spacing w:after="0" w:line="207"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300" w:type="dxa"/>
            <w:vAlign w:val="bottom"/>
          </w:tcPr>
          <w:p>
            <w:pPr>
              <w:ind w:left="400"/>
              <w:spacing w:after="0"/>
              <w:rPr>
                <w:sz w:val="20"/>
                <w:szCs w:val="20"/>
                <w:color w:val="auto"/>
              </w:rPr>
            </w:pPr>
            <w:r>
              <w:rPr>
                <w:rFonts w:ascii="Arial" w:cs="Arial" w:eastAsia="Arial" w:hAnsi="Arial"/>
                <w:sz w:val="18"/>
                <w:szCs w:val="18"/>
                <w:b w:val="1"/>
                <w:bCs w:val="1"/>
                <w:color w:val="auto"/>
              </w:rPr>
              <w:t>Target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30"/>
        </w:trPr>
        <w:tc>
          <w:tcPr>
            <w:tcW w:w="3260" w:type="dxa"/>
            <w:vAlign w:val="bottom"/>
            <w:shd w:val="clear" w:color="auto" w:fill="D9D9D9"/>
          </w:tcPr>
          <w:p>
            <w:pPr>
              <w:ind w:left="20"/>
              <w:spacing w:after="0"/>
              <w:rPr>
                <w:sz w:val="20"/>
                <w:szCs w:val="20"/>
                <w:color w:val="auto"/>
              </w:rPr>
            </w:pPr>
            <w:r>
              <w:rPr>
                <w:rFonts w:ascii="Arial" w:cs="Arial" w:eastAsia="Arial" w:hAnsi="Arial"/>
                <w:sz w:val="18"/>
                <w:szCs w:val="18"/>
                <w:color w:val="auto"/>
              </w:rPr>
              <w:t>Chief Executive Officer</w:t>
            </w:r>
          </w:p>
        </w:tc>
        <w:tc>
          <w:tcPr>
            <w:tcW w:w="16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80%</w:t>
            </w:r>
          </w:p>
        </w:tc>
        <w:tc>
          <w:tcPr>
            <w:tcW w:w="13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1"/>
              </w:rPr>
              <w:t>160%</w:t>
            </w:r>
          </w:p>
        </w:tc>
        <w:tc>
          <w:tcPr>
            <w:tcW w:w="16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1"/>
              </w:rPr>
              <w:t>320%</w:t>
            </w: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200%</w:t>
            </w:r>
          </w:p>
        </w:tc>
      </w:tr>
      <w:tr>
        <w:trPr>
          <w:trHeight w:val="230"/>
        </w:trPr>
        <w:tc>
          <w:tcPr>
            <w:tcW w:w="3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Executive Officers</w:t>
            </w:r>
          </w:p>
        </w:tc>
        <w:tc>
          <w:tcPr>
            <w:tcW w:w="16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40%</w:t>
            </w:r>
          </w:p>
        </w:tc>
        <w:tc>
          <w:tcPr>
            <w:tcW w:w="13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80%</w:t>
            </w:r>
          </w:p>
        </w:tc>
        <w:tc>
          <w:tcPr>
            <w:tcW w:w="16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1"/>
              </w:rPr>
              <w:t>160%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225" w:lineRule="exact"/>
        <w:rPr>
          <w:sz w:val="20"/>
          <w:szCs w:val="20"/>
          <w:color w:val="auto"/>
        </w:rPr>
      </w:pPr>
    </w:p>
    <w:p>
      <w:pPr>
        <w:jc w:val="both"/>
        <w:ind w:firstLine="389"/>
        <w:spacing w:after="0" w:line="243" w:lineRule="auto"/>
        <w:rPr>
          <w:sz w:val="20"/>
          <w:szCs w:val="20"/>
          <w:color w:val="auto"/>
        </w:rPr>
      </w:pPr>
      <w:r>
        <w:rPr>
          <w:rFonts w:ascii="Arial" w:cs="Arial" w:eastAsia="Arial" w:hAnsi="Arial"/>
          <w:sz w:val="18"/>
          <w:szCs w:val="18"/>
          <w:color w:val="auto"/>
        </w:rPr>
        <w:t xml:space="preserve">In December 2021 and May 2022, the Compensation Committee established performance goals for the applicable </w:t>
      </w:r>
      <w:r>
        <w:rPr>
          <w:rFonts w:ascii="Arial" w:cs="Arial" w:eastAsia="Arial" w:hAnsi="Arial"/>
          <w:sz w:val="18"/>
          <w:szCs w:val="18"/>
          <w:color w:val="212529"/>
        </w:rPr>
        <w:t>semi-annual performance period,</w:t>
      </w:r>
      <w:r>
        <w:rPr>
          <w:rFonts w:ascii="Arial" w:cs="Arial" w:eastAsia="Arial" w:hAnsi="Arial"/>
          <w:sz w:val="18"/>
          <w:szCs w:val="18"/>
          <w:color w:val="auto"/>
        </w:rPr>
        <w:t xml:space="preserve"> </w:t>
      </w:r>
      <w:r>
        <w:rPr>
          <w:rFonts w:ascii="Arial" w:cs="Arial" w:eastAsia="Arial" w:hAnsi="Arial"/>
          <w:sz w:val="18"/>
          <w:szCs w:val="18"/>
          <w:color w:val="212529"/>
        </w:rPr>
        <w:t xml:space="preserve">with </w:t>
      </w:r>
      <w:r>
        <w:rPr>
          <w:rFonts w:ascii="Arial" w:cs="Arial" w:eastAsia="Arial" w:hAnsi="Arial"/>
          <w:sz w:val="18"/>
          <w:szCs w:val="18"/>
          <w:color w:val="000000"/>
        </w:rPr>
        <w:t>each executive eligible to earn up to half of his or her annual short-term incentive compensation with respect to each six-month period. Under the</w:t>
      </w:r>
      <w:r>
        <w:rPr>
          <w:rFonts w:ascii="Arial" w:cs="Arial" w:eastAsia="Arial" w:hAnsi="Arial"/>
          <w:sz w:val="18"/>
          <w:szCs w:val="18"/>
          <w:color w:val="212529"/>
        </w:rPr>
        <w:t xml:space="preserve"> </w:t>
      </w:r>
      <w:r>
        <w:rPr>
          <w:rFonts w:ascii="Arial" w:cs="Arial" w:eastAsia="Arial" w:hAnsi="Arial"/>
          <w:sz w:val="18"/>
          <w:szCs w:val="18"/>
          <w:color w:val="000000"/>
        </w:rPr>
        <w:t>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operating income performance goals, each of which was weighted at 50% for each respective performance period. The non-GAAP operating income performance goal is based on the Company’s publicly disclosed non-GAAP operating income</w:t>
      </w:r>
      <w:r>
        <w:rPr>
          <w:rFonts w:ascii="Arial" w:cs="Arial" w:eastAsia="Arial" w:hAnsi="Arial"/>
          <w:sz w:val="23"/>
          <w:szCs w:val="23"/>
          <w:color w:val="000000"/>
          <w:vertAlign w:val="superscript"/>
        </w:rPr>
        <w:t>1</w:t>
      </w:r>
      <w:r>
        <w:rPr>
          <w:rFonts w:ascii="Arial" w:cs="Arial" w:eastAsia="Arial" w:hAnsi="Arial"/>
          <w:sz w:val="18"/>
          <w:szCs w:val="18"/>
          <w:color w:val="000000"/>
        </w:rPr>
        <w:t xml:space="preserve"> after accounting for any incentive award payments, including those to be made under the Incentive Plan.</w:t>
      </w:r>
    </w:p>
    <w:p>
      <w:pPr>
        <w:spacing w:after="0" w:line="203"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The target level performance goals were established by the Compensation Committee under the Incentive Plan after reviewing the Company’s historical operating results and growth rates as well as the Company’s expected future results relative to peers and were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w:t>
      </w:r>
    </w:p>
    <w:p>
      <w:pPr>
        <w:spacing w:after="0" w:line="188"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As discussed above, for the second half of fiscal year 2022, the Compensation Committee adopted the performance goals discussed when the Incentive Plan was first implemented in December 2021. The Compensation Committee made this decision despite expectations for revenue and non-GAAP operating income during the second half of fiscal year 2022 that were lower than the Company’s original operating plan. This resulted in the performance goals being even more difficult to achieve.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performance goals established under the Incentive Plan for fiscal year 2022 were as follows:</w:t>
      </w:r>
    </w:p>
    <w:p>
      <w:pPr>
        <w:spacing w:after="0" w:line="46"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3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Revenue</w:t>
            </w:r>
          </w:p>
        </w:tc>
        <w:tc>
          <w:tcPr>
            <w:tcW w:w="32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Non-GAAP Operating Income</w:t>
            </w:r>
          </w:p>
        </w:tc>
        <w:tc>
          <w:tcPr>
            <w:tcW w:w="0" w:type="dxa"/>
            <w:vAlign w:val="bottom"/>
          </w:tcPr>
          <w:p>
            <w:pPr>
              <w:spacing w:after="0"/>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18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1st Half</w:t>
            </w:r>
          </w:p>
        </w:tc>
        <w:tc>
          <w:tcPr>
            <w:tcW w:w="1980" w:type="dxa"/>
            <w:vAlign w:val="bottom"/>
          </w:tcPr>
          <w:p>
            <w:pPr>
              <w:jc w:val="center"/>
              <w:ind w:left="330"/>
              <w:spacing w:after="0"/>
              <w:rPr>
                <w:sz w:val="20"/>
                <w:szCs w:val="20"/>
                <w:color w:val="auto"/>
              </w:rPr>
            </w:pPr>
            <w:r>
              <w:rPr>
                <w:rFonts w:ascii="Arial" w:cs="Arial" w:eastAsia="Arial" w:hAnsi="Arial"/>
                <w:sz w:val="18"/>
                <w:szCs w:val="18"/>
                <w:b w:val="1"/>
                <w:bCs w:val="1"/>
                <w:color w:val="auto"/>
                <w:w w:val="95"/>
              </w:rPr>
              <w:t>2nd Half</w:t>
            </w:r>
          </w:p>
        </w:tc>
        <w:tc>
          <w:tcPr>
            <w:tcW w:w="1580" w:type="dxa"/>
            <w:vAlign w:val="bottom"/>
          </w:tcPr>
          <w:p>
            <w:pPr>
              <w:ind w:left="480"/>
              <w:spacing w:after="0"/>
              <w:rPr>
                <w:sz w:val="20"/>
                <w:szCs w:val="20"/>
                <w:color w:val="auto"/>
              </w:rPr>
            </w:pPr>
            <w:r>
              <w:rPr>
                <w:rFonts w:ascii="Arial" w:cs="Arial" w:eastAsia="Arial" w:hAnsi="Arial"/>
                <w:sz w:val="18"/>
                <w:szCs w:val="18"/>
                <w:b w:val="1"/>
                <w:bCs w:val="1"/>
                <w:color w:val="auto"/>
              </w:rPr>
              <w:t>1st Half</w:t>
            </w:r>
          </w:p>
        </w:tc>
        <w:tc>
          <w:tcPr>
            <w:tcW w:w="1640" w:type="dxa"/>
            <w:vAlign w:val="bottom"/>
          </w:tcPr>
          <w:p>
            <w:pPr>
              <w:ind w:left="480"/>
              <w:spacing w:after="0"/>
              <w:rPr>
                <w:sz w:val="20"/>
                <w:szCs w:val="20"/>
                <w:color w:val="auto"/>
              </w:rPr>
            </w:pPr>
            <w:r>
              <w:rPr>
                <w:rFonts w:ascii="Arial" w:cs="Arial" w:eastAsia="Arial" w:hAnsi="Arial"/>
                <w:sz w:val="18"/>
                <w:szCs w:val="18"/>
                <w:b w:val="1"/>
                <w:bCs w:val="1"/>
                <w:color w:val="auto"/>
              </w:rPr>
              <w:t>2nd Half</w:t>
            </w:r>
          </w:p>
        </w:tc>
        <w:tc>
          <w:tcPr>
            <w:tcW w:w="0" w:type="dxa"/>
            <w:vAlign w:val="bottom"/>
          </w:tcPr>
          <w:p>
            <w:pPr>
              <w:spacing w:after="0"/>
              <w:rPr>
                <w:sz w:val="1"/>
                <w:szCs w:val="1"/>
                <w:color w:val="auto"/>
              </w:rPr>
            </w:pPr>
          </w:p>
        </w:tc>
      </w:tr>
      <w:tr>
        <w:trPr>
          <w:trHeight w:val="229"/>
        </w:trPr>
        <w:tc>
          <w:tcPr>
            <w:tcW w:w="39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Threshold</w:t>
            </w:r>
          </w:p>
        </w:tc>
        <w:tc>
          <w:tcPr>
            <w:tcW w:w="118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w w:val="90"/>
              </w:rPr>
              <w:t>$2,485</w:t>
            </w:r>
          </w:p>
        </w:tc>
        <w:tc>
          <w:tcPr>
            <w:tcW w:w="19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87"/>
              </w:rPr>
              <w:t>$2,515</w:t>
            </w: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$927</w:t>
            </w:r>
          </w:p>
        </w:tc>
        <w:tc>
          <w:tcPr>
            <w:tcW w:w="16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$948</w:t>
            </w:r>
          </w:p>
        </w:tc>
        <w:tc>
          <w:tcPr>
            <w:tcW w:w="0" w:type="dxa"/>
            <w:vAlign w:val="bottom"/>
          </w:tcPr>
          <w:p>
            <w:pPr>
              <w:spacing w:after="0"/>
              <w:rPr>
                <w:sz w:val="1"/>
                <w:szCs w:val="1"/>
                <w:color w:val="auto"/>
              </w:rPr>
            </w:pPr>
          </w:p>
        </w:tc>
      </w:tr>
      <w:tr>
        <w:trPr>
          <w:trHeight w:val="230"/>
        </w:trPr>
        <w:tc>
          <w:tcPr>
            <w:tcW w:w="392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90"/>
              </w:rPr>
              <w:t>$2,715</w:t>
            </w:r>
          </w:p>
        </w:tc>
        <w:tc>
          <w:tcPr>
            <w:tcW w:w="1980" w:type="dxa"/>
            <w:vAlign w:val="bottom"/>
          </w:tcPr>
          <w:p>
            <w:pPr>
              <w:jc w:val="center"/>
              <w:ind w:left="330"/>
              <w:spacing w:after="0"/>
              <w:rPr>
                <w:sz w:val="20"/>
                <w:szCs w:val="20"/>
                <w:color w:val="auto"/>
              </w:rPr>
            </w:pPr>
            <w:r>
              <w:rPr>
                <w:rFonts w:ascii="Arial" w:cs="Arial" w:eastAsia="Arial" w:hAnsi="Arial"/>
                <w:sz w:val="18"/>
                <w:szCs w:val="18"/>
                <w:color w:val="auto"/>
                <w:w w:val="87"/>
              </w:rPr>
              <w:t>$2,750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$1,027</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$1,053</w:t>
            </w:r>
          </w:p>
        </w:tc>
        <w:tc>
          <w:tcPr>
            <w:tcW w:w="0" w:type="dxa"/>
            <w:vAlign w:val="bottom"/>
          </w:tcPr>
          <w:p>
            <w:pPr>
              <w:spacing w:after="0"/>
              <w:rPr>
                <w:sz w:val="1"/>
                <w:szCs w:val="1"/>
                <w:color w:val="auto"/>
              </w:rPr>
            </w:pPr>
          </w:p>
        </w:tc>
      </w:tr>
      <w:tr>
        <w:trPr>
          <w:trHeight w:val="230"/>
        </w:trPr>
        <w:tc>
          <w:tcPr>
            <w:tcW w:w="39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Maximum</w:t>
            </w:r>
          </w:p>
        </w:tc>
        <w:tc>
          <w:tcPr>
            <w:tcW w:w="1180" w:type="dxa"/>
            <w:vAlign w:val="bottom"/>
            <w:shd w:val="clear" w:color="auto" w:fill="DBDBDB"/>
          </w:tcPr>
          <w:p>
            <w:pPr>
              <w:jc w:val="center"/>
              <w:ind w:left="350"/>
              <w:spacing w:after="0"/>
              <w:rPr>
                <w:sz w:val="20"/>
                <w:szCs w:val="20"/>
                <w:color w:val="auto"/>
              </w:rPr>
            </w:pPr>
            <w:r>
              <w:rPr>
                <w:rFonts w:ascii="Arial" w:cs="Arial" w:eastAsia="Arial" w:hAnsi="Arial"/>
                <w:sz w:val="18"/>
                <w:szCs w:val="18"/>
                <w:color w:val="auto"/>
                <w:w w:val="90"/>
              </w:rPr>
              <w:t>$2,790</w:t>
            </w:r>
          </w:p>
        </w:tc>
        <w:tc>
          <w:tcPr>
            <w:tcW w:w="1980" w:type="dxa"/>
            <w:vAlign w:val="bottom"/>
            <w:shd w:val="clear" w:color="auto" w:fill="DBDBDB"/>
          </w:tcPr>
          <w:p>
            <w:pPr>
              <w:jc w:val="center"/>
              <w:ind w:left="330"/>
              <w:spacing w:after="0"/>
              <w:rPr>
                <w:sz w:val="20"/>
                <w:szCs w:val="20"/>
                <w:color w:val="auto"/>
              </w:rPr>
            </w:pPr>
            <w:r>
              <w:rPr>
                <w:rFonts w:ascii="Arial" w:cs="Arial" w:eastAsia="Arial" w:hAnsi="Arial"/>
                <w:sz w:val="18"/>
                <w:szCs w:val="18"/>
                <w:color w:val="auto"/>
                <w:w w:val="87"/>
              </w:rPr>
              <w:t>$2,830</w:t>
            </w: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$1,062</w:t>
            </w:r>
          </w:p>
        </w:tc>
        <w:tc>
          <w:tcPr>
            <w:tcW w:w="16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$1,088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firstLine="389"/>
        <w:spacing w:after="0" w:line="277" w:lineRule="auto"/>
        <w:rPr>
          <w:sz w:val="20"/>
          <w:szCs w:val="20"/>
          <w:color w:val="auto"/>
        </w:rPr>
      </w:pPr>
      <w:r>
        <w:rPr>
          <w:rFonts w:ascii="Arial" w:cs="Arial" w:eastAsia="Arial" w:hAnsi="Arial"/>
          <w:sz w:val="18"/>
          <w:szCs w:val="18"/>
          <w:color w:val="auto"/>
        </w:rPr>
        <w:t>The Incentive Plan stipulated that payouts to executives following the end of the fiscal year, under either of the metrics, were conditioned upon the Company achieving full-year non-GAAP operating income of $1.1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firstLine="8"/>
        <w:spacing w:after="0" w:line="238" w:lineRule="auto"/>
        <w:tabs>
          <w:tab w:leader="none" w:pos="103"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Non-GAAP operating income typically excludes from GAAP operating income the following: share-based compensation expense, acquisition-related expenses, amortization of acquisition-related intangibles, settlements, gains, losses, and impairments and restructuring-related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Calculation of Incentive Plan Payments</w:t>
      </w:r>
    </w:p>
    <w:p>
      <w:pPr>
        <w:spacing w:after="0" w:line="225"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212529"/>
        </w:rPr>
        <w:t>Under the Incentive Plan, upon completion of the first six months of the fiscal year, the Compensation Committee determined the extent to which the Company’s performance goals for the first performance period were attained, reviewed the CEO’s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nominal level of non-GAAP operating income for the fiscal year.</w:t>
      </w:r>
    </w:p>
    <w:p>
      <w:pPr>
        <w:spacing w:after="0" w:line="164" w:lineRule="exact"/>
        <w:rPr>
          <w:sz w:val="20"/>
          <w:szCs w:val="20"/>
          <w:color w:val="auto"/>
        </w:rPr>
      </w:pPr>
    </w:p>
    <w:p>
      <w:pPr>
        <w:jc w:val="both"/>
        <w:ind w:firstLine="389"/>
        <w:spacing w:after="0" w:line="301" w:lineRule="auto"/>
        <w:rPr>
          <w:sz w:val="20"/>
          <w:szCs w:val="20"/>
          <w:color w:val="auto"/>
        </w:rPr>
      </w:pPr>
      <w:r>
        <w:rPr>
          <w:rFonts w:ascii="Arial" w:cs="Arial" w:eastAsia="Arial" w:hAnsi="Arial"/>
          <w:sz w:val="16"/>
          <w:szCs w:val="16"/>
          <w:color w:val="auto"/>
        </w:rPr>
        <w:t>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payout for achievement under the performance goals between either the “threshold” and “target” levels or the “target” and “maximum” levels would be based on linear interpolation between the two relevant amounts.</w:t>
      </w:r>
    </w:p>
    <w:p>
      <w:pPr>
        <w:spacing w:after="0" w:line="157"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Committee believed it was appropriate to retain this discretion in order to make short-term incentive compensation awards in appropriate extraordinary circumstances, no such adjustments were actually made.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Results</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For the first half of fiscal year 2022, the Company’s revenue and non-GAAP operating income achieved were $2,846 million and $1,077 million, respectively, resulting in a short-term compensation award for each Named Executive Officer with respect to such performance period equal to his or her maximum payment level, or 200% of the target payment level. A payment of the target amount was made to each Named Executive Officer in May 2022, with the remainder held back for potential payment following the completion of the fiscal year. For the second half of fiscal year 2022, the Company’s revenue and non-GAAP operating income achieved were $2,640 million and $968 million, respectively, resulting in a short-term compensation award for each Named Executive Officer with respect to such performance period equal to 68% of the target payment level. In November 2022, upon certifying that the nominal level of non-GAAP operating income had been achieved for the fiscal year, the Compensation Committee approved payment of 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Company’s achievement under the Incentive Plan:</w:t>
      </w:r>
    </w:p>
    <w:p>
      <w:pPr>
        <w:spacing w:after="0" w:line="2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Revenue</w:t>
            </w:r>
          </w:p>
        </w:tc>
        <w:tc>
          <w:tcPr>
            <w:tcW w:w="1100" w:type="dxa"/>
            <w:vAlign w:val="bottom"/>
          </w:tcPr>
          <w:p>
            <w:pPr>
              <w:spacing w:after="0"/>
              <w:rPr>
                <w:sz w:val="18"/>
                <w:szCs w:val="18"/>
                <w:color w:val="auto"/>
              </w:rPr>
            </w:pPr>
          </w:p>
        </w:tc>
        <w:tc>
          <w:tcPr>
            <w:tcW w:w="2100" w:type="dxa"/>
            <w:vAlign w:val="bottom"/>
          </w:tcPr>
          <w:p>
            <w:pPr>
              <w:jc w:val="center"/>
              <w:ind w:right="1090"/>
              <w:spacing w:after="0"/>
              <w:rPr>
                <w:sz w:val="20"/>
                <w:szCs w:val="20"/>
                <w:color w:val="auto"/>
              </w:rPr>
            </w:pPr>
            <w:r>
              <w:rPr>
                <w:rFonts w:ascii="Arial" w:cs="Arial" w:eastAsia="Arial" w:hAnsi="Arial"/>
                <w:sz w:val="18"/>
                <w:szCs w:val="18"/>
                <w:b w:val="1"/>
                <w:bCs w:val="1"/>
                <w:color w:val="auto"/>
                <w:w w:val="94"/>
              </w:rPr>
              <w:t>Non-GAAP</w:t>
            </w: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32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0" w:type="dxa"/>
            <w:vAlign w:val="bottom"/>
          </w:tcPr>
          <w:p>
            <w:pPr>
              <w:spacing w:after="0"/>
              <w:rPr>
                <w:sz w:val="1"/>
                <w:szCs w:val="1"/>
                <w:color w:val="auto"/>
              </w:rPr>
            </w:pPr>
          </w:p>
        </w:tc>
      </w:tr>
      <w:tr>
        <w:trPr>
          <w:trHeight w:val="94"/>
        </w:trPr>
        <w:tc>
          <w:tcPr>
            <w:tcW w:w="3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1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1st Half</w:t>
            </w:r>
          </w:p>
        </w:tc>
        <w:tc>
          <w:tcPr>
            <w:tcW w:w="200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2nd Half</w:t>
            </w:r>
          </w:p>
        </w:tc>
        <w:tc>
          <w:tcPr>
            <w:tcW w:w="1100" w:type="dxa"/>
            <w:vAlign w:val="bottom"/>
          </w:tcPr>
          <w:p>
            <w:pPr>
              <w:ind w:left="480"/>
              <w:spacing w:after="0"/>
              <w:rPr>
                <w:sz w:val="20"/>
                <w:szCs w:val="20"/>
                <w:color w:val="auto"/>
              </w:rPr>
            </w:pPr>
            <w:r>
              <w:rPr>
                <w:rFonts w:ascii="Arial" w:cs="Arial" w:eastAsia="Arial" w:hAnsi="Arial"/>
                <w:sz w:val="18"/>
                <w:szCs w:val="18"/>
                <w:b w:val="1"/>
                <w:bCs w:val="1"/>
                <w:color w:val="auto"/>
                <w:w w:val="92"/>
              </w:rPr>
              <w:t>1st Half</w:t>
            </w:r>
          </w:p>
        </w:tc>
        <w:tc>
          <w:tcPr>
            <w:tcW w:w="2100" w:type="dxa"/>
            <w:vAlign w:val="bottom"/>
          </w:tcPr>
          <w:p>
            <w:pPr>
              <w:ind w:left="960"/>
              <w:spacing w:after="0"/>
              <w:rPr>
                <w:sz w:val="20"/>
                <w:szCs w:val="20"/>
                <w:color w:val="auto"/>
              </w:rPr>
            </w:pPr>
            <w:r>
              <w:rPr>
                <w:rFonts w:ascii="Arial" w:cs="Arial" w:eastAsia="Arial" w:hAnsi="Arial"/>
                <w:sz w:val="18"/>
                <w:szCs w:val="18"/>
                <w:b w:val="1"/>
                <w:bCs w:val="1"/>
                <w:color w:val="auto"/>
              </w:rPr>
              <w:t>2nd Half</w:t>
            </w:r>
          </w:p>
        </w:tc>
        <w:tc>
          <w:tcPr>
            <w:tcW w:w="0" w:type="dxa"/>
            <w:vAlign w:val="bottom"/>
          </w:tcPr>
          <w:p>
            <w:pPr>
              <w:spacing w:after="0"/>
              <w:rPr>
                <w:sz w:val="1"/>
                <w:szCs w:val="1"/>
                <w:color w:val="auto"/>
              </w:rPr>
            </w:pPr>
          </w:p>
        </w:tc>
      </w:tr>
      <w:tr>
        <w:trPr>
          <w:trHeight w:val="230"/>
        </w:trPr>
        <w:tc>
          <w:tcPr>
            <w:tcW w:w="35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Threshold</w:t>
            </w:r>
          </w:p>
        </w:tc>
        <w:tc>
          <w:tcPr>
            <w:tcW w:w="1160" w:type="dxa"/>
            <w:vAlign w:val="bottom"/>
            <w:shd w:val="clear" w:color="auto" w:fill="D9D9D9"/>
          </w:tcPr>
          <w:p>
            <w:pPr>
              <w:jc w:val="center"/>
              <w:ind w:left="370"/>
              <w:spacing w:after="0"/>
              <w:rPr>
                <w:sz w:val="20"/>
                <w:szCs w:val="20"/>
                <w:color w:val="auto"/>
              </w:rPr>
            </w:pPr>
            <w:r>
              <w:rPr>
                <w:rFonts w:ascii="Arial" w:cs="Arial" w:eastAsia="Arial" w:hAnsi="Arial"/>
                <w:sz w:val="18"/>
                <w:szCs w:val="18"/>
                <w:color w:val="auto"/>
                <w:w w:val="90"/>
              </w:rPr>
              <w:t>$2,485</w:t>
            </w:r>
          </w:p>
        </w:tc>
        <w:tc>
          <w:tcPr>
            <w:tcW w:w="2000" w:type="dxa"/>
            <w:vAlign w:val="bottom"/>
            <w:shd w:val="clear" w:color="auto" w:fill="D9D9D9"/>
          </w:tcPr>
          <w:p>
            <w:pPr>
              <w:jc w:val="center"/>
              <w:ind w:left="330"/>
              <w:spacing w:after="0"/>
              <w:rPr>
                <w:sz w:val="20"/>
                <w:szCs w:val="20"/>
                <w:color w:val="auto"/>
              </w:rPr>
            </w:pPr>
            <w:r>
              <w:rPr>
                <w:rFonts w:ascii="Arial" w:cs="Arial" w:eastAsia="Arial" w:hAnsi="Arial"/>
                <w:sz w:val="18"/>
                <w:szCs w:val="18"/>
                <w:color w:val="auto"/>
                <w:w w:val="90"/>
              </w:rPr>
              <w:t>$2,515</w:t>
            </w:r>
          </w:p>
        </w:tc>
        <w:tc>
          <w:tcPr>
            <w:tcW w:w="1100" w:type="dxa"/>
            <w:vAlign w:val="bottom"/>
            <w:shd w:val="clear" w:color="auto" w:fill="D9D9D9"/>
          </w:tcPr>
          <w:p>
            <w:pPr>
              <w:jc w:val="center"/>
              <w:ind w:left="370"/>
              <w:spacing w:after="0"/>
              <w:rPr>
                <w:sz w:val="20"/>
                <w:szCs w:val="20"/>
                <w:color w:val="auto"/>
              </w:rPr>
            </w:pPr>
            <w:r>
              <w:rPr>
                <w:rFonts w:ascii="Arial" w:cs="Arial" w:eastAsia="Arial" w:hAnsi="Arial"/>
                <w:sz w:val="18"/>
                <w:szCs w:val="18"/>
                <w:color w:val="auto"/>
                <w:w w:val="89"/>
              </w:rPr>
              <w:t>$927</w:t>
            </w:r>
          </w:p>
        </w:tc>
        <w:tc>
          <w:tcPr>
            <w:tcW w:w="2100" w:type="dxa"/>
            <w:vAlign w:val="bottom"/>
            <w:shd w:val="clear" w:color="auto" w:fill="D9D9D9"/>
          </w:tcPr>
          <w:p>
            <w:pPr>
              <w:jc w:val="center"/>
              <w:ind w:left="410"/>
              <w:spacing w:after="0"/>
              <w:rPr>
                <w:sz w:val="20"/>
                <w:szCs w:val="20"/>
                <w:color w:val="auto"/>
              </w:rPr>
            </w:pPr>
            <w:r>
              <w:rPr>
                <w:rFonts w:ascii="Arial" w:cs="Arial" w:eastAsia="Arial" w:hAnsi="Arial"/>
                <w:sz w:val="18"/>
                <w:szCs w:val="18"/>
                <w:color w:val="auto"/>
                <w:w w:val="89"/>
              </w:rPr>
              <w:t>$948</w:t>
            </w:r>
          </w:p>
        </w:tc>
        <w:tc>
          <w:tcPr>
            <w:tcW w:w="0" w:type="dxa"/>
            <w:vAlign w:val="bottom"/>
          </w:tcPr>
          <w:p>
            <w:pPr>
              <w:spacing w:after="0"/>
              <w:rPr>
                <w:sz w:val="1"/>
                <w:szCs w:val="1"/>
                <w:color w:val="auto"/>
              </w:rPr>
            </w:pPr>
          </w:p>
        </w:tc>
      </w:tr>
      <w:tr>
        <w:trPr>
          <w:trHeight w:val="230"/>
        </w:trPr>
        <w:tc>
          <w:tcPr>
            <w:tcW w:w="350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0"/>
              </w:rPr>
              <w:t>$2,715</w:t>
            </w:r>
          </w:p>
        </w:tc>
        <w:tc>
          <w:tcPr>
            <w:tcW w:w="2000" w:type="dxa"/>
            <w:vAlign w:val="bottom"/>
          </w:tcPr>
          <w:p>
            <w:pPr>
              <w:jc w:val="center"/>
              <w:ind w:left="330"/>
              <w:spacing w:after="0"/>
              <w:rPr>
                <w:sz w:val="20"/>
                <w:szCs w:val="20"/>
                <w:color w:val="auto"/>
              </w:rPr>
            </w:pPr>
            <w:r>
              <w:rPr>
                <w:rFonts w:ascii="Arial" w:cs="Arial" w:eastAsia="Arial" w:hAnsi="Arial"/>
                <w:sz w:val="18"/>
                <w:szCs w:val="18"/>
                <w:color w:val="auto"/>
                <w:w w:val="90"/>
              </w:rPr>
              <w:t>$2,750</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90"/>
              </w:rPr>
              <w:t>$1,027</w:t>
            </w:r>
          </w:p>
        </w:tc>
        <w:tc>
          <w:tcPr>
            <w:tcW w:w="2100" w:type="dxa"/>
            <w:vAlign w:val="bottom"/>
          </w:tcPr>
          <w:p>
            <w:pPr>
              <w:jc w:val="center"/>
              <w:ind w:left="390"/>
              <w:spacing w:after="0"/>
              <w:rPr>
                <w:sz w:val="20"/>
                <w:szCs w:val="20"/>
                <w:color w:val="auto"/>
              </w:rPr>
            </w:pPr>
            <w:r>
              <w:rPr>
                <w:rFonts w:ascii="Arial" w:cs="Arial" w:eastAsia="Arial" w:hAnsi="Arial"/>
                <w:sz w:val="18"/>
                <w:szCs w:val="18"/>
                <w:color w:val="auto"/>
                <w:w w:val="90"/>
              </w:rPr>
              <w:t>$1,053</w:t>
            </w:r>
          </w:p>
        </w:tc>
        <w:tc>
          <w:tcPr>
            <w:tcW w:w="0" w:type="dxa"/>
            <w:vAlign w:val="bottom"/>
          </w:tcPr>
          <w:p>
            <w:pPr>
              <w:spacing w:after="0"/>
              <w:rPr>
                <w:sz w:val="1"/>
                <w:szCs w:val="1"/>
                <w:color w:val="auto"/>
              </w:rPr>
            </w:pPr>
          </w:p>
        </w:tc>
      </w:tr>
      <w:tr>
        <w:trPr>
          <w:trHeight w:val="229"/>
        </w:trPr>
        <w:tc>
          <w:tcPr>
            <w:tcW w:w="35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4"/>
              </w:rPr>
              <w:t>Maximum</w:t>
            </w:r>
          </w:p>
        </w:tc>
        <w:tc>
          <w:tcPr>
            <w:tcW w:w="1160" w:type="dxa"/>
            <w:vAlign w:val="bottom"/>
            <w:shd w:val="clear" w:color="auto" w:fill="D9D9D9"/>
          </w:tcPr>
          <w:p>
            <w:pPr>
              <w:jc w:val="center"/>
              <w:ind w:left="370"/>
              <w:spacing w:after="0"/>
              <w:rPr>
                <w:sz w:val="20"/>
                <w:szCs w:val="20"/>
                <w:color w:val="auto"/>
              </w:rPr>
            </w:pPr>
            <w:r>
              <w:rPr>
                <w:rFonts w:ascii="Arial" w:cs="Arial" w:eastAsia="Arial" w:hAnsi="Arial"/>
                <w:sz w:val="18"/>
                <w:szCs w:val="18"/>
                <w:color w:val="auto"/>
                <w:w w:val="90"/>
              </w:rPr>
              <w:t>$2,790</w:t>
            </w:r>
          </w:p>
        </w:tc>
        <w:tc>
          <w:tcPr>
            <w:tcW w:w="2000" w:type="dxa"/>
            <w:vAlign w:val="bottom"/>
            <w:shd w:val="clear" w:color="auto" w:fill="D9D9D9"/>
          </w:tcPr>
          <w:p>
            <w:pPr>
              <w:jc w:val="center"/>
              <w:ind w:left="330"/>
              <w:spacing w:after="0"/>
              <w:rPr>
                <w:sz w:val="20"/>
                <w:szCs w:val="20"/>
                <w:color w:val="auto"/>
              </w:rPr>
            </w:pPr>
            <w:r>
              <w:rPr>
                <w:rFonts w:ascii="Arial" w:cs="Arial" w:eastAsia="Arial" w:hAnsi="Arial"/>
                <w:sz w:val="18"/>
                <w:szCs w:val="18"/>
                <w:color w:val="auto"/>
                <w:w w:val="90"/>
              </w:rPr>
              <w:t>$2,830</w:t>
            </w:r>
          </w:p>
        </w:tc>
        <w:tc>
          <w:tcPr>
            <w:tcW w:w="1100" w:type="dxa"/>
            <w:vAlign w:val="bottom"/>
            <w:shd w:val="clear" w:color="auto" w:fill="D9D9D9"/>
          </w:tcPr>
          <w:p>
            <w:pPr>
              <w:jc w:val="center"/>
              <w:ind w:left="350"/>
              <w:spacing w:after="0"/>
              <w:rPr>
                <w:sz w:val="20"/>
                <w:szCs w:val="20"/>
                <w:color w:val="auto"/>
              </w:rPr>
            </w:pPr>
            <w:r>
              <w:rPr>
                <w:rFonts w:ascii="Arial" w:cs="Arial" w:eastAsia="Arial" w:hAnsi="Arial"/>
                <w:sz w:val="18"/>
                <w:szCs w:val="18"/>
                <w:color w:val="auto"/>
                <w:w w:val="90"/>
              </w:rPr>
              <w:t>$1,062</w:t>
            </w:r>
          </w:p>
        </w:tc>
        <w:tc>
          <w:tcPr>
            <w:tcW w:w="2100" w:type="dxa"/>
            <w:vAlign w:val="bottom"/>
            <w:shd w:val="clear" w:color="auto" w:fill="D9D9D9"/>
          </w:tcPr>
          <w:p>
            <w:pPr>
              <w:jc w:val="center"/>
              <w:ind w:left="390"/>
              <w:spacing w:after="0"/>
              <w:rPr>
                <w:sz w:val="20"/>
                <w:szCs w:val="20"/>
                <w:color w:val="auto"/>
              </w:rPr>
            </w:pPr>
            <w:r>
              <w:rPr>
                <w:rFonts w:ascii="Arial" w:cs="Arial" w:eastAsia="Arial" w:hAnsi="Arial"/>
                <w:sz w:val="18"/>
                <w:szCs w:val="18"/>
                <w:color w:val="auto"/>
                <w:w w:val="90"/>
              </w:rPr>
              <w:t>$1,088</w:t>
            </w:r>
          </w:p>
        </w:tc>
        <w:tc>
          <w:tcPr>
            <w:tcW w:w="0" w:type="dxa"/>
            <w:vAlign w:val="bottom"/>
          </w:tcPr>
          <w:p>
            <w:pPr>
              <w:spacing w:after="0"/>
              <w:rPr>
                <w:sz w:val="1"/>
                <w:szCs w:val="1"/>
                <w:color w:val="auto"/>
              </w:rPr>
            </w:pPr>
          </w:p>
        </w:tc>
      </w:tr>
      <w:tr>
        <w:trPr>
          <w:trHeight w:val="234"/>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116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$2,846</w:t>
            </w:r>
          </w:p>
        </w:tc>
        <w:tc>
          <w:tcPr>
            <w:tcW w:w="200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$2,640</w:t>
            </w:r>
          </w:p>
        </w:tc>
        <w:tc>
          <w:tcPr>
            <w:tcW w:w="110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$1,077</w:t>
            </w:r>
          </w:p>
        </w:tc>
        <w:tc>
          <w:tcPr>
            <w:tcW w:w="210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$968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4" w:name="page15"/>
    <w:bookmarkEnd w:id="14"/>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Long-Term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2022, the Compensation Committee made an annual stock-based compensation award to each of the Named Executive Officers on November 10, 2021, at a regularly scheduled Compensation Committee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2022 Stock-Based Compensation Awards</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In making annual stock-based compensation awards to executive officers for fiscal year 2022,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2022 that were competitive within the Comparator Group. Each executive officer was granted a performance share award (“PSA”) and a restricted stock unit (“RSU”) award equivalent to 60% and 40%, respectively, of the dollar value of the executive’s fiscal year 2022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interests with those of our stockholders by using equity awards that will vest only if the Company achieves pre-established performance goals, and we believe the Compensation Committee’s decision to award a portion of the PSAs subject to metrics measured over a multi-year performance period more closely aligns the executive’s interests with those of our stockholders.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33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Value of FY22</w:t>
            </w:r>
          </w:p>
        </w:tc>
        <w:tc>
          <w:tcPr>
            <w:tcW w:w="32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Number of Shares Subject</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34"/>
        </w:trPr>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33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Stock-Based Award (1)</w:t>
            </w:r>
          </w:p>
        </w:tc>
        <w:tc>
          <w:tcPr>
            <w:tcW w:w="32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to PSAs, at Target (2)</w:t>
            </w:r>
          </w:p>
        </w:tc>
        <w:tc>
          <w:tcPr>
            <w:tcW w:w="25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Subject to RSUs (2)</w:t>
            </w:r>
          </w:p>
        </w:tc>
      </w:tr>
      <w:tr>
        <w:trPr>
          <w:trHeight w:val="230"/>
        </w:trPr>
        <w:tc>
          <w:tcPr>
            <w:tcW w:w="2060" w:type="dxa"/>
            <w:vAlign w:val="bottom"/>
            <w:shd w:val="clear" w:color="auto" w:fill="D9D9D9"/>
          </w:tcPr>
          <w:p>
            <w:pPr>
              <w:ind w:left="20"/>
              <w:spacing w:after="0"/>
              <w:rPr>
                <w:sz w:val="20"/>
                <w:szCs w:val="20"/>
                <w:color w:val="auto"/>
              </w:rPr>
            </w:pPr>
            <w:r>
              <w:rPr>
                <w:rFonts w:ascii="Arial" w:cs="Arial" w:eastAsia="Arial" w:hAnsi="Arial"/>
                <w:sz w:val="18"/>
                <w:szCs w:val="18"/>
                <w:color w:val="auto"/>
              </w:rPr>
              <w:t>Liam K. Griffin</w:t>
            </w:r>
          </w:p>
        </w:tc>
        <w:tc>
          <w:tcPr>
            <w:tcW w:w="3320" w:type="dxa"/>
            <w:vAlign w:val="bottom"/>
            <w:shd w:val="clear" w:color="auto" w:fill="D9D9D9"/>
          </w:tcPr>
          <w:p>
            <w:pPr>
              <w:jc w:val="center"/>
              <w:ind w:left="130"/>
              <w:spacing w:after="0"/>
              <w:rPr>
                <w:sz w:val="20"/>
                <w:szCs w:val="20"/>
                <w:color w:val="auto"/>
              </w:rPr>
            </w:pPr>
            <w:r>
              <w:rPr>
                <w:rFonts w:ascii="Arial" w:cs="Arial" w:eastAsia="Arial" w:hAnsi="Arial"/>
                <w:sz w:val="18"/>
                <w:szCs w:val="18"/>
                <w:color w:val="auto"/>
                <w:w w:val="89"/>
              </w:rPr>
              <w:t>$12,750,000</w:t>
            </w:r>
          </w:p>
        </w:tc>
        <w:tc>
          <w:tcPr>
            <w:tcW w:w="3280" w:type="dxa"/>
            <w:vAlign w:val="bottom"/>
            <w:shd w:val="clear" w:color="auto" w:fill="D9D9D9"/>
          </w:tcPr>
          <w:p>
            <w:pPr>
              <w:jc w:val="center"/>
              <w:ind w:left="50"/>
              <w:spacing w:after="0"/>
              <w:rPr>
                <w:sz w:val="20"/>
                <w:szCs w:val="20"/>
                <w:color w:val="auto"/>
              </w:rPr>
            </w:pPr>
            <w:r>
              <w:rPr>
                <w:rFonts w:ascii="Arial" w:cs="Arial" w:eastAsia="Arial" w:hAnsi="Arial"/>
                <w:sz w:val="18"/>
                <w:szCs w:val="18"/>
                <w:color w:val="auto"/>
                <w:w w:val="90"/>
              </w:rPr>
              <w:t>47,720</w:t>
            </w:r>
          </w:p>
        </w:tc>
        <w:tc>
          <w:tcPr>
            <w:tcW w:w="258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90"/>
              </w:rPr>
              <w:t>31,813</w:t>
            </w: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Kris Sennesael</w:t>
            </w:r>
          </w:p>
        </w:tc>
        <w:tc>
          <w:tcPr>
            <w:tcW w:w="3320" w:type="dxa"/>
            <w:vAlign w:val="bottom"/>
          </w:tcPr>
          <w:p>
            <w:pPr>
              <w:jc w:val="center"/>
              <w:ind w:left="110"/>
              <w:spacing w:after="0"/>
              <w:rPr>
                <w:sz w:val="20"/>
                <w:szCs w:val="20"/>
                <w:color w:val="auto"/>
              </w:rPr>
            </w:pPr>
            <w:r>
              <w:rPr>
                <w:rFonts w:ascii="Arial" w:cs="Arial" w:eastAsia="Arial" w:hAnsi="Arial"/>
                <w:sz w:val="18"/>
                <w:szCs w:val="18"/>
                <w:color w:val="auto"/>
                <w:w w:val="88"/>
              </w:rPr>
              <w:t>$4,025,000</w:t>
            </w:r>
          </w:p>
        </w:tc>
        <w:tc>
          <w:tcPr>
            <w:tcW w:w="3280" w:type="dxa"/>
            <w:vAlign w:val="bottom"/>
          </w:tcPr>
          <w:p>
            <w:pPr>
              <w:jc w:val="center"/>
              <w:ind w:left="50"/>
              <w:spacing w:after="0"/>
              <w:rPr>
                <w:sz w:val="20"/>
                <w:szCs w:val="20"/>
                <w:color w:val="auto"/>
              </w:rPr>
            </w:pPr>
            <w:r>
              <w:rPr>
                <w:rFonts w:ascii="Arial" w:cs="Arial" w:eastAsia="Arial" w:hAnsi="Arial"/>
                <w:sz w:val="18"/>
                <w:szCs w:val="18"/>
                <w:color w:val="auto"/>
                <w:w w:val="90"/>
              </w:rPr>
              <w:t>15,064</w:t>
            </w:r>
          </w:p>
        </w:tc>
        <w:tc>
          <w:tcPr>
            <w:tcW w:w="2580" w:type="dxa"/>
            <w:vAlign w:val="bottom"/>
          </w:tcPr>
          <w:p>
            <w:pPr>
              <w:jc w:val="center"/>
              <w:ind w:left="30"/>
              <w:spacing w:after="0"/>
              <w:rPr>
                <w:sz w:val="20"/>
                <w:szCs w:val="20"/>
                <w:color w:val="auto"/>
              </w:rPr>
            </w:pPr>
            <w:r>
              <w:rPr>
                <w:rFonts w:ascii="Arial" w:cs="Arial" w:eastAsia="Arial" w:hAnsi="Arial"/>
                <w:sz w:val="18"/>
                <w:szCs w:val="18"/>
                <w:color w:val="auto"/>
                <w:w w:val="90"/>
              </w:rPr>
              <w:t>10,043</w:t>
            </w:r>
          </w:p>
        </w:tc>
      </w:tr>
      <w:tr>
        <w:trPr>
          <w:trHeight w:val="230"/>
        </w:trPr>
        <w:tc>
          <w:tcPr>
            <w:tcW w:w="2060" w:type="dxa"/>
            <w:vAlign w:val="bottom"/>
            <w:shd w:val="clear" w:color="auto" w:fill="D9D9D9"/>
          </w:tcPr>
          <w:p>
            <w:pPr>
              <w:ind w:left="20"/>
              <w:spacing w:after="0"/>
              <w:rPr>
                <w:sz w:val="20"/>
                <w:szCs w:val="20"/>
                <w:color w:val="auto"/>
              </w:rPr>
            </w:pPr>
            <w:r>
              <w:rPr>
                <w:rFonts w:ascii="Arial" w:cs="Arial" w:eastAsia="Arial" w:hAnsi="Arial"/>
                <w:sz w:val="18"/>
                <w:szCs w:val="18"/>
                <w:color w:val="auto"/>
              </w:rPr>
              <w:t>Reza Kasnavi</w:t>
            </w:r>
          </w:p>
        </w:tc>
        <w:tc>
          <w:tcPr>
            <w:tcW w:w="3320" w:type="dxa"/>
            <w:vAlign w:val="bottom"/>
            <w:shd w:val="clear" w:color="auto" w:fill="D9D9D9"/>
          </w:tcPr>
          <w:p>
            <w:pPr>
              <w:jc w:val="center"/>
              <w:ind w:left="110"/>
              <w:spacing w:after="0"/>
              <w:rPr>
                <w:sz w:val="20"/>
                <w:szCs w:val="20"/>
                <w:color w:val="auto"/>
              </w:rPr>
            </w:pPr>
            <w:r>
              <w:rPr>
                <w:rFonts w:ascii="Arial" w:cs="Arial" w:eastAsia="Arial" w:hAnsi="Arial"/>
                <w:sz w:val="18"/>
                <w:szCs w:val="18"/>
                <w:color w:val="auto"/>
                <w:w w:val="88"/>
              </w:rPr>
              <w:t>$3,910,000</w:t>
            </w:r>
          </w:p>
        </w:tc>
        <w:tc>
          <w:tcPr>
            <w:tcW w:w="3280" w:type="dxa"/>
            <w:vAlign w:val="bottom"/>
            <w:shd w:val="clear" w:color="auto" w:fill="D9D9D9"/>
          </w:tcPr>
          <w:p>
            <w:pPr>
              <w:jc w:val="center"/>
              <w:ind w:left="50"/>
              <w:spacing w:after="0"/>
              <w:rPr>
                <w:sz w:val="20"/>
                <w:szCs w:val="20"/>
                <w:color w:val="auto"/>
              </w:rPr>
            </w:pPr>
            <w:r>
              <w:rPr>
                <w:rFonts w:ascii="Arial" w:cs="Arial" w:eastAsia="Arial" w:hAnsi="Arial"/>
                <w:sz w:val="18"/>
                <w:szCs w:val="18"/>
                <w:color w:val="auto"/>
                <w:w w:val="90"/>
              </w:rPr>
              <w:t>14,634</w:t>
            </w:r>
          </w:p>
        </w:tc>
        <w:tc>
          <w:tcPr>
            <w:tcW w:w="258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93"/>
              </w:rPr>
              <w:t>9,756</w:t>
            </w: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Carlos S. Bori</w:t>
            </w:r>
          </w:p>
        </w:tc>
        <w:tc>
          <w:tcPr>
            <w:tcW w:w="3320" w:type="dxa"/>
            <w:vAlign w:val="bottom"/>
          </w:tcPr>
          <w:p>
            <w:pPr>
              <w:jc w:val="center"/>
              <w:ind w:left="110"/>
              <w:spacing w:after="0"/>
              <w:rPr>
                <w:sz w:val="20"/>
                <w:szCs w:val="20"/>
                <w:color w:val="auto"/>
              </w:rPr>
            </w:pPr>
            <w:r>
              <w:rPr>
                <w:rFonts w:ascii="Arial" w:cs="Arial" w:eastAsia="Arial" w:hAnsi="Arial"/>
                <w:sz w:val="18"/>
                <w:szCs w:val="18"/>
                <w:color w:val="auto"/>
                <w:w w:val="88"/>
              </w:rPr>
              <w:t>$3,910,000</w:t>
            </w:r>
          </w:p>
        </w:tc>
        <w:tc>
          <w:tcPr>
            <w:tcW w:w="3280" w:type="dxa"/>
            <w:vAlign w:val="bottom"/>
          </w:tcPr>
          <w:p>
            <w:pPr>
              <w:jc w:val="center"/>
              <w:ind w:left="50"/>
              <w:spacing w:after="0"/>
              <w:rPr>
                <w:sz w:val="20"/>
                <w:szCs w:val="20"/>
                <w:color w:val="auto"/>
              </w:rPr>
            </w:pPr>
            <w:r>
              <w:rPr>
                <w:rFonts w:ascii="Arial" w:cs="Arial" w:eastAsia="Arial" w:hAnsi="Arial"/>
                <w:sz w:val="18"/>
                <w:szCs w:val="18"/>
                <w:color w:val="auto"/>
                <w:w w:val="90"/>
              </w:rPr>
              <w:t>14,634</w:t>
            </w:r>
          </w:p>
        </w:tc>
        <w:tc>
          <w:tcPr>
            <w:tcW w:w="2580" w:type="dxa"/>
            <w:vAlign w:val="bottom"/>
          </w:tcPr>
          <w:p>
            <w:pPr>
              <w:jc w:val="center"/>
              <w:ind w:left="30"/>
              <w:spacing w:after="0"/>
              <w:rPr>
                <w:sz w:val="20"/>
                <w:szCs w:val="20"/>
                <w:color w:val="auto"/>
              </w:rPr>
            </w:pPr>
            <w:r>
              <w:rPr>
                <w:rFonts w:ascii="Arial" w:cs="Arial" w:eastAsia="Arial" w:hAnsi="Arial"/>
                <w:sz w:val="18"/>
                <w:szCs w:val="18"/>
                <w:color w:val="auto"/>
                <w:w w:val="93"/>
              </w:rPr>
              <w:t>9,756</w:t>
            </w:r>
          </w:p>
        </w:tc>
      </w:tr>
      <w:tr>
        <w:trPr>
          <w:trHeight w:val="230"/>
        </w:trPr>
        <w:tc>
          <w:tcPr>
            <w:tcW w:w="2060" w:type="dxa"/>
            <w:vAlign w:val="bottom"/>
            <w:shd w:val="clear" w:color="auto" w:fill="D9D9D9"/>
          </w:tcPr>
          <w:p>
            <w:pPr>
              <w:ind w:left="20"/>
              <w:spacing w:after="0"/>
              <w:rPr>
                <w:sz w:val="20"/>
                <w:szCs w:val="20"/>
                <w:color w:val="auto"/>
              </w:rPr>
            </w:pPr>
            <w:r>
              <w:rPr>
                <w:rFonts w:ascii="Arial" w:cs="Arial" w:eastAsia="Arial" w:hAnsi="Arial"/>
                <w:sz w:val="18"/>
                <w:szCs w:val="18"/>
                <w:color w:val="auto"/>
              </w:rPr>
              <w:t>Robert J. Terry</w:t>
            </w:r>
          </w:p>
        </w:tc>
        <w:tc>
          <w:tcPr>
            <w:tcW w:w="3320" w:type="dxa"/>
            <w:vAlign w:val="bottom"/>
            <w:shd w:val="clear" w:color="auto" w:fill="D9D9D9"/>
          </w:tcPr>
          <w:p>
            <w:pPr>
              <w:jc w:val="center"/>
              <w:ind w:left="110"/>
              <w:spacing w:after="0"/>
              <w:rPr>
                <w:sz w:val="20"/>
                <w:szCs w:val="20"/>
                <w:color w:val="auto"/>
              </w:rPr>
            </w:pPr>
            <w:r>
              <w:rPr>
                <w:rFonts w:ascii="Arial" w:cs="Arial" w:eastAsia="Arial" w:hAnsi="Arial"/>
                <w:sz w:val="18"/>
                <w:szCs w:val="18"/>
                <w:color w:val="auto"/>
                <w:w w:val="88"/>
              </w:rPr>
              <w:t>$3,220,000</w:t>
            </w:r>
          </w:p>
        </w:tc>
        <w:tc>
          <w:tcPr>
            <w:tcW w:w="3280" w:type="dxa"/>
            <w:vAlign w:val="bottom"/>
            <w:shd w:val="clear" w:color="auto" w:fill="D9D9D9"/>
          </w:tcPr>
          <w:p>
            <w:pPr>
              <w:jc w:val="center"/>
              <w:ind w:left="50"/>
              <w:spacing w:after="0"/>
              <w:rPr>
                <w:sz w:val="20"/>
                <w:szCs w:val="20"/>
                <w:color w:val="auto"/>
              </w:rPr>
            </w:pPr>
            <w:r>
              <w:rPr>
                <w:rFonts w:ascii="Arial" w:cs="Arial" w:eastAsia="Arial" w:hAnsi="Arial"/>
                <w:sz w:val="18"/>
                <w:szCs w:val="18"/>
                <w:color w:val="auto"/>
                <w:w w:val="90"/>
              </w:rPr>
              <w:t>12,051</w:t>
            </w:r>
          </w:p>
        </w:tc>
        <w:tc>
          <w:tcPr>
            <w:tcW w:w="258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93"/>
              </w:rPr>
              <w:t>8,034</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50" w:lineRule="auto"/>
        <w:tabs>
          <w:tab w:leader="none" w:pos="2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TSR percentile ranking, in accordance with the provisions of ASC 718.</w:t>
      </w:r>
    </w:p>
    <w:p>
      <w:pPr>
        <w:spacing w:after="0" w:line="1" w:lineRule="exact"/>
        <w:rPr>
          <w:rFonts w:ascii="Arial" w:cs="Arial" w:eastAsia="Arial" w:hAnsi="Arial"/>
          <w:sz w:val="18"/>
          <w:szCs w:val="18"/>
          <w:color w:val="auto"/>
        </w:rPr>
      </w:pPr>
    </w:p>
    <w:p>
      <w:pPr>
        <w:ind w:left="260" w:hanging="252"/>
        <w:spacing w:after="0" w:line="260" w:lineRule="auto"/>
        <w:tabs>
          <w:tab w:leader="none" w:pos="2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the dollar value of the award, divided by $160.31 per share, which was the closing price of the Company’s common stock on the Nasdaq Global Select Market on November 10, 2021.</w:t>
      </w:r>
    </w:p>
    <w:p>
      <w:pPr>
        <w:spacing w:after="0" w:line="185"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FY22 PSAs</w:t>
      </w:r>
    </w:p>
    <w:p>
      <w:pPr>
        <w:spacing w:after="0" w:line="225"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PSAs granted on November 10, 2021 (the “FY22 PSAs”), have both “performance” and “continued employment” conditions that must be met in order for the executive to receive shares underlying the award.</w:t>
      </w:r>
    </w:p>
    <w:p>
      <w:pPr>
        <w:spacing w:after="0" w:line="170"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“performance” condition of the FY22 PSAs compares the Company’s performance under three distinct metrics during the applicable performance period against a range of pre-established targets, as follows: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Aggregate Target</w:t>
            </w:r>
          </w:p>
        </w:tc>
        <w:tc>
          <w:tcPr>
            <w:tcW w:w="19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8"/>
              </w:rPr>
              <w:t>Level Shares</w:t>
            </w:r>
          </w:p>
        </w:tc>
        <w:tc>
          <w:tcPr>
            <w:tcW w:w="190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Performance Period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Vesting</w:t>
            </w:r>
          </w:p>
        </w:tc>
        <w:tc>
          <w:tcPr>
            <w:tcW w:w="0" w:type="dxa"/>
            <w:vAlign w:val="bottom"/>
          </w:tcPr>
          <w:p>
            <w:pPr>
              <w:spacing w:after="0"/>
              <w:rPr>
                <w:sz w:val="1"/>
                <w:szCs w:val="1"/>
                <w:color w:val="auto"/>
              </w:rPr>
            </w:pPr>
          </w:p>
        </w:tc>
      </w:tr>
      <w:tr>
        <w:trPr>
          <w:trHeight w:val="188"/>
        </w:trPr>
        <w:tc>
          <w:tcPr>
            <w:tcW w:w="416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color w:val="auto"/>
                <w:w w:val="89"/>
              </w:rPr>
              <w:t>Target Level Shares with Respect to Emerging Revenue</w:t>
            </w:r>
          </w:p>
        </w:tc>
        <w:tc>
          <w:tcPr>
            <w:tcW w:w="26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25%</w:t>
            </w:r>
          </w:p>
        </w:tc>
        <w:tc>
          <w:tcPr>
            <w:tcW w:w="190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color w:val="auto"/>
                <w:w w:val="91"/>
              </w:rPr>
              <w:t>Fiscal Year</w:t>
            </w:r>
          </w:p>
        </w:tc>
        <w:tc>
          <w:tcPr>
            <w:tcW w:w="186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color w:val="auto"/>
                <w:w w:val="90"/>
              </w:rPr>
              <w:t>100% at the End of Year</w:t>
            </w:r>
          </w:p>
        </w:tc>
        <w:tc>
          <w:tcPr>
            <w:tcW w:w="0" w:type="dxa"/>
            <w:vAlign w:val="bottom"/>
          </w:tcPr>
          <w:p>
            <w:pPr>
              <w:spacing w:after="0"/>
              <w:rPr>
                <w:sz w:val="1"/>
                <w:szCs w:val="1"/>
                <w:color w:val="auto"/>
              </w:rPr>
            </w:pPr>
          </w:p>
        </w:tc>
      </w:tr>
      <w:tr>
        <w:trPr>
          <w:trHeight w:val="136"/>
        </w:trPr>
        <w:tc>
          <w:tcPr>
            <w:tcW w:w="41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4"/>
              </w:rPr>
              <w:t>Growth Metric (1)</w:t>
            </w:r>
          </w:p>
        </w:tc>
        <w:tc>
          <w:tcPr>
            <w:tcW w:w="2660" w:type="dxa"/>
            <w:vAlign w:val="bottom"/>
            <w:vMerge w:val="continue"/>
            <w:shd w:val="clear" w:color="auto" w:fill="DBDBDB"/>
          </w:tcPr>
          <w:p>
            <w:pPr>
              <w:spacing w:after="0"/>
              <w:rPr>
                <w:sz w:val="11"/>
                <w:szCs w:val="11"/>
                <w:color w:val="auto"/>
              </w:rPr>
            </w:pPr>
          </w:p>
        </w:tc>
        <w:tc>
          <w:tcPr>
            <w:tcW w:w="1900" w:type="dxa"/>
            <w:vAlign w:val="bottom"/>
            <w:vMerge w:val="restart"/>
            <w:shd w:val="clear" w:color="auto" w:fill="DBDBDB"/>
          </w:tcPr>
          <w:p>
            <w:pPr>
              <w:jc w:val="right"/>
              <w:ind w:right="630"/>
              <w:spacing w:after="0"/>
              <w:rPr>
                <w:sz w:val="20"/>
                <w:szCs w:val="20"/>
                <w:color w:val="auto"/>
              </w:rPr>
            </w:pPr>
            <w:r>
              <w:rPr>
                <w:rFonts w:ascii="Arial" w:cs="Arial" w:eastAsia="Arial" w:hAnsi="Arial"/>
                <w:sz w:val="18"/>
                <w:szCs w:val="18"/>
                <w:color w:val="auto"/>
              </w:rPr>
              <w:t>2022</w:t>
            </w:r>
          </w:p>
        </w:tc>
        <w:tc>
          <w:tcPr>
            <w:tcW w:w="18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88"/>
              </w:rPr>
              <w:t>Two</w:t>
            </w:r>
          </w:p>
        </w:tc>
        <w:tc>
          <w:tcPr>
            <w:tcW w:w="0" w:type="dxa"/>
            <w:vAlign w:val="bottom"/>
          </w:tcPr>
          <w:p>
            <w:pPr>
              <w:spacing w:after="0"/>
              <w:rPr>
                <w:sz w:val="1"/>
                <w:szCs w:val="1"/>
                <w:color w:val="auto"/>
              </w:rPr>
            </w:pPr>
          </w:p>
        </w:tc>
      </w:tr>
      <w:tr>
        <w:trPr>
          <w:trHeight w:val="94"/>
        </w:trPr>
        <w:tc>
          <w:tcPr>
            <w:tcW w:w="4160" w:type="dxa"/>
            <w:vAlign w:val="bottom"/>
            <w:vMerge w:val="continue"/>
            <w:shd w:val="clear" w:color="auto" w:fill="DBDBDB"/>
          </w:tcPr>
          <w:p>
            <w:pPr>
              <w:spacing w:after="0"/>
              <w:rPr>
                <w:sz w:val="8"/>
                <w:szCs w:val="8"/>
                <w:color w:val="auto"/>
              </w:rPr>
            </w:pPr>
          </w:p>
        </w:tc>
        <w:tc>
          <w:tcPr>
            <w:tcW w:w="2660" w:type="dxa"/>
            <w:vAlign w:val="bottom"/>
            <w:shd w:val="clear" w:color="auto" w:fill="DBDBDB"/>
          </w:tcPr>
          <w:p>
            <w:pPr>
              <w:spacing w:after="0"/>
              <w:rPr>
                <w:sz w:val="8"/>
                <w:szCs w:val="8"/>
                <w:color w:val="auto"/>
              </w:rPr>
            </w:pPr>
          </w:p>
        </w:tc>
        <w:tc>
          <w:tcPr>
            <w:tcW w:w="1900" w:type="dxa"/>
            <w:vAlign w:val="bottom"/>
            <w:vMerge w:val="continue"/>
            <w:shd w:val="clear" w:color="auto" w:fill="DBDBDB"/>
          </w:tcPr>
          <w:p>
            <w:pPr>
              <w:spacing w:after="0"/>
              <w:rPr>
                <w:sz w:val="8"/>
                <w:szCs w:val="8"/>
                <w:color w:val="auto"/>
              </w:rPr>
            </w:pPr>
          </w:p>
        </w:tc>
        <w:tc>
          <w:tcPr>
            <w:tcW w:w="18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160" w:type="dxa"/>
            <w:vAlign w:val="bottom"/>
          </w:tcPr>
          <w:p>
            <w:pPr>
              <w:jc w:val="center"/>
              <w:spacing w:after="0" w:line="189" w:lineRule="exact"/>
              <w:rPr>
                <w:sz w:val="20"/>
                <w:szCs w:val="20"/>
                <w:color w:val="auto"/>
              </w:rPr>
            </w:pPr>
            <w:r>
              <w:rPr>
                <w:rFonts w:ascii="Arial" w:cs="Arial" w:eastAsia="Arial" w:hAnsi="Arial"/>
                <w:sz w:val="18"/>
                <w:szCs w:val="18"/>
                <w:color w:val="auto"/>
                <w:w w:val="92"/>
              </w:rPr>
              <w:t>Target Level Shares with Respect to EBITDA Margin</w:t>
            </w:r>
          </w:p>
        </w:tc>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94"/>
              </w:rPr>
              <w:t>25%</w:t>
            </w:r>
          </w:p>
        </w:tc>
        <w:tc>
          <w:tcPr>
            <w:tcW w:w="1900" w:type="dxa"/>
            <w:vAlign w:val="bottom"/>
          </w:tcPr>
          <w:p>
            <w:pPr>
              <w:jc w:val="center"/>
              <w:spacing w:after="0" w:line="189" w:lineRule="exact"/>
              <w:rPr>
                <w:sz w:val="20"/>
                <w:szCs w:val="20"/>
                <w:color w:val="auto"/>
              </w:rPr>
            </w:pPr>
            <w:r>
              <w:rPr>
                <w:rFonts w:ascii="Arial" w:cs="Arial" w:eastAsia="Arial" w:hAnsi="Arial"/>
                <w:sz w:val="18"/>
                <w:szCs w:val="18"/>
                <w:color w:val="auto"/>
                <w:w w:val="88"/>
              </w:rPr>
              <w:t>Fiscal Years</w:t>
            </w: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0"/>
              </w:rPr>
              <w:t>100% at the End of Year</w:t>
            </w:r>
          </w:p>
        </w:tc>
        <w:tc>
          <w:tcPr>
            <w:tcW w:w="0" w:type="dxa"/>
            <w:vAlign w:val="bottom"/>
          </w:tcPr>
          <w:p>
            <w:pPr>
              <w:spacing w:after="0"/>
              <w:rPr>
                <w:sz w:val="1"/>
                <w:szCs w:val="1"/>
                <w:color w:val="auto"/>
              </w:rPr>
            </w:pPr>
          </w:p>
        </w:tc>
      </w:tr>
      <w:tr>
        <w:trPr>
          <w:trHeight w:val="136"/>
        </w:trPr>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3"/>
              </w:rPr>
              <w:t>Percentile Ranking Metric (2)</w:t>
            </w:r>
          </w:p>
        </w:tc>
        <w:tc>
          <w:tcPr>
            <w:tcW w:w="2660" w:type="dxa"/>
            <w:vAlign w:val="bottom"/>
            <w:vMerge w:val="continue"/>
          </w:tcPr>
          <w:p>
            <w:pPr>
              <w:spacing w:after="0"/>
              <w:rPr>
                <w:sz w:val="11"/>
                <w:szCs w:val="11"/>
                <w:color w:val="auto"/>
              </w:rPr>
            </w:pPr>
          </w:p>
        </w:tc>
        <w:tc>
          <w:tcPr>
            <w:tcW w:w="1900" w:type="dxa"/>
            <w:vAlign w:val="bottom"/>
            <w:vMerge w:val="restart"/>
          </w:tcPr>
          <w:p>
            <w:pPr>
              <w:jc w:val="right"/>
              <w:ind w:right="410"/>
              <w:spacing w:after="0"/>
              <w:rPr>
                <w:sz w:val="20"/>
                <w:szCs w:val="20"/>
                <w:color w:val="auto"/>
              </w:rPr>
            </w:pPr>
            <w:r>
              <w:rPr>
                <w:rFonts w:ascii="Arial" w:cs="Arial" w:eastAsia="Arial" w:hAnsi="Arial"/>
                <w:sz w:val="18"/>
                <w:szCs w:val="18"/>
                <w:color w:val="auto"/>
              </w:rPr>
              <w:t>2022- 2023</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88"/>
              </w:rPr>
              <w:t>Two</w:t>
            </w:r>
          </w:p>
        </w:tc>
        <w:tc>
          <w:tcPr>
            <w:tcW w:w="0" w:type="dxa"/>
            <w:vAlign w:val="bottom"/>
          </w:tcPr>
          <w:p>
            <w:pPr>
              <w:spacing w:after="0"/>
              <w:rPr>
                <w:sz w:val="1"/>
                <w:szCs w:val="1"/>
                <w:color w:val="auto"/>
              </w:rPr>
            </w:pPr>
          </w:p>
        </w:tc>
      </w:tr>
      <w:tr>
        <w:trPr>
          <w:trHeight w:val="94"/>
        </w:trPr>
        <w:tc>
          <w:tcPr>
            <w:tcW w:w="416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Target Level Shares with Respect to TSR Percentile</w:t>
            </w:r>
          </w:p>
        </w:tc>
        <w:tc>
          <w:tcPr>
            <w:tcW w:w="2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4"/>
              </w:rPr>
              <w:t>50%</w:t>
            </w:r>
          </w:p>
        </w:tc>
        <w:tc>
          <w:tcPr>
            <w:tcW w:w="19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Fiscal Years 2022–2024</w:t>
            </w:r>
          </w:p>
        </w:tc>
        <w:tc>
          <w:tcPr>
            <w:tcW w:w="1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100% at the End of Year</w:t>
            </w:r>
          </w:p>
        </w:tc>
        <w:tc>
          <w:tcPr>
            <w:tcW w:w="0" w:type="dxa"/>
            <w:vAlign w:val="bottom"/>
          </w:tcPr>
          <w:p>
            <w:pPr>
              <w:spacing w:after="0"/>
              <w:rPr>
                <w:sz w:val="1"/>
                <w:szCs w:val="1"/>
                <w:color w:val="auto"/>
              </w:rPr>
            </w:pPr>
          </w:p>
        </w:tc>
      </w:tr>
      <w:tr>
        <w:trPr>
          <w:trHeight w:val="148"/>
        </w:trPr>
        <w:tc>
          <w:tcPr>
            <w:tcW w:w="4160" w:type="dxa"/>
            <w:vAlign w:val="bottom"/>
            <w:shd w:val="clear" w:color="auto" w:fill="DBDBDB"/>
          </w:tcPr>
          <w:p>
            <w:pPr>
              <w:jc w:val="center"/>
              <w:spacing w:after="0" w:line="149" w:lineRule="exact"/>
              <w:rPr>
                <w:sz w:val="20"/>
                <w:szCs w:val="20"/>
                <w:color w:val="auto"/>
              </w:rPr>
            </w:pPr>
            <w:r>
              <w:rPr>
                <w:rFonts w:ascii="Arial" w:cs="Arial" w:eastAsia="Arial" w:hAnsi="Arial"/>
                <w:sz w:val="17"/>
                <w:szCs w:val="17"/>
                <w:color w:val="auto"/>
              </w:rPr>
              <w:t>Ranking Metric (3)</w:t>
            </w:r>
          </w:p>
        </w:tc>
        <w:tc>
          <w:tcPr>
            <w:tcW w:w="2660" w:type="dxa"/>
            <w:vAlign w:val="bottom"/>
            <w:shd w:val="clear" w:color="auto" w:fill="DBDBDB"/>
          </w:tcPr>
          <w:p>
            <w:pPr>
              <w:spacing w:after="0"/>
              <w:rPr>
                <w:sz w:val="12"/>
                <w:szCs w:val="12"/>
                <w:color w:val="auto"/>
              </w:rPr>
            </w:pPr>
          </w:p>
        </w:tc>
        <w:tc>
          <w:tcPr>
            <w:tcW w:w="1900" w:type="dxa"/>
            <w:vAlign w:val="bottom"/>
            <w:shd w:val="clear" w:color="auto" w:fill="DBDBDB"/>
          </w:tcPr>
          <w:p>
            <w:pPr>
              <w:spacing w:after="0"/>
              <w:rPr>
                <w:sz w:val="12"/>
                <w:szCs w:val="12"/>
                <w:color w:val="auto"/>
              </w:rPr>
            </w:pPr>
          </w:p>
        </w:tc>
        <w:tc>
          <w:tcPr>
            <w:tcW w:w="1860" w:type="dxa"/>
            <w:vAlign w:val="bottom"/>
            <w:shd w:val="clear" w:color="auto" w:fill="DBDBDB"/>
          </w:tcPr>
          <w:p>
            <w:pPr>
              <w:jc w:val="center"/>
              <w:spacing w:after="0" w:line="149" w:lineRule="exact"/>
              <w:rPr>
                <w:sz w:val="20"/>
                <w:szCs w:val="20"/>
                <w:color w:val="auto"/>
              </w:rPr>
            </w:pPr>
            <w:r>
              <w:rPr>
                <w:rFonts w:ascii="Arial" w:cs="Arial" w:eastAsia="Arial" w:hAnsi="Arial"/>
                <w:sz w:val="17"/>
                <w:szCs w:val="17"/>
                <w:color w:val="auto"/>
                <w:w w:val="94"/>
              </w:rPr>
              <w:t>Three</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right="20" w:hanging="252"/>
        <w:spacing w:after="0" w:line="250" w:lineRule="auto"/>
        <w:tabs>
          <w:tab w:leader="none" w:pos="3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emerging revenue growth metric measures the Company’s year-over-year revenue growth in certain key product categories, each of which represents an identified longer-term growth market for the Company.</w:t>
      </w:r>
    </w:p>
    <w:p>
      <w:pPr>
        <w:jc w:val="both"/>
        <w:ind w:left="260" w:hanging="252"/>
        <w:spacing w:after="0" w:line="242" w:lineRule="auto"/>
        <w:tabs>
          <w:tab w:leader="none" w:pos="2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EBITDA margin percentile ranking metric measures the Company’s EBITDA margin achieved relative to the companies in our FY22 Peer Group during a two-year performance period comprising the Company’s fiscal years 2022 and 2023. For purposes of the EBITDA margin percentile ranking metric, EBITDA margin is calculated by dividing EBITDA by revenue for the applicable period, where EBITDA is defined as non-GAAP operating income, plus depreciation and amortization, for the applicable period. With respect to the Company and each FY22 Peer Group company, EBITDA and revenue are calculated based on publicly reported financial information for the applicable period (which for the FY22 Peer Group companies consists of the eight-quarter period that ends closest to, but not later than, October 1, 2023).</w:t>
      </w:r>
      <w:r>
        <w:rPr>
          <w:rFonts w:ascii="Arial" w:cs="Arial" w:eastAsia="Arial" w:hAnsi="Arial"/>
          <w:sz w:val="23"/>
          <w:szCs w:val="23"/>
          <w:color w:val="0000FF"/>
          <w:vertAlign w:val="superscript"/>
        </w:rPr>
        <w:t>2</w:t>
      </w:r>
      <w:r>
        <w:rPr>
          <w:rFonts w:ascii="Arial" w:cs="Arial" w:eastAsia="Arial" w:hAnsi="Arial"/>
          <w:sz w:val="18"/>
          <w:szCs w:val="18"/>
          <w:color w:val="auto"/>
        </w:rPr>
        <w:t xml:space="preserve"> When calculating the Company’s EBITDA margin, the impact of any acquisition or disposition occurring within the performance period is excluded if the revenue attributable to such acquisition or disposition exceeds $50 million during such period.</w:t>
      </w:r>
    </w:p>
    <w:p>
      <w:pPr>
        <w:jc w:val="both"/>
        <w:ind w:left="260" w:hanging="252"/>
        <w:spacing w:after="0" w:line="269" w:lineRule="auto"/>
        <w:tabs>
          <w:tab w:leader="none" w:pos="27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TSR percentile ranking metric measures the Company’s percentile ranking achieved with respect to its peer group. The peer group for purposes of the TSR percentile ranking metric includes each of the companies in the Philadelphia Semiconductor Index as of November 10, 2021 but excludes any such company that during the three-year performance period is acquired by or merged with (or enters into an agreement to be acquired by or merged with) another entity. For purposes of the PSA award, TSR for the Company and for each company in the peer group is calculated using a starting price and ending price, which consist of the average of the closing prices for each trading day during the sixty (60) consecutive calendar days ending on, and including, the last trading day before the measurement period begins and the last trading day of the measurement period, respectively, assuming dividend reinvestment and adjusting for stock splits, as applicable.</w:t>
      </w:r>
    </w:p>
    <w:p>
      <w:pPr>
        <w:spacing w:after="0" w:line="180"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 refreshes in some cases. Recognizing that a significant driver of long-term growth is our ability to identify and execute on emerging revenue growth opportunities, the Compensation Committee retained emerging revenue growth as a key metric and determined that 25% of the target value under the FY22 PSAs should continue to be measured based on a one-year performance period. Specifically, the Compensation Committee retained emerging revenue growth as a one-year metric appropriate for focusing our management team on long-term value creation, given that revenue growth over the next several years is highly dependent on executing in certain product categories that have higher growth potential. In light of stockholder feedback following the 2021 Annual Meeting of Stockholders, the Compensation Committee determined that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3" w:lineRule="exact"/>
        <w:rPr>
          <w:sz w:val="20"/>
          <w:szCs w:val="20"/>
          <w:color w:val="auto"/>
        </w:rPr>
      </w:pPr>
    </w:p>
    <w:p>
      <w:pPr>
        <w:ind w:right="180" w:firstLine="8"/>
        <w:spacing w:after="0" w:line="224" w:lineRule="auto"/>
        <w:tabs>
          <w:tab w:leader="none" w:pos="103"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When calculating the EBITDA margin percentile ranking, the performance of a company in the FY22 Peer Group will be included if during the performance period such company in the FY22 Peer Group publicly reports quarterly financial results for at least six consecutive quarters out of the eight applicable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6" w:name="page17"/>
    <w:bookmarkEnd w:id="16"/>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earned pursuant to the emerging revenue growth metric would not vest until the two-year anniversary of the grant date.</w:t>
      </w:r>
    </w:p>
    <w:p>
      <w:pPr>
        <w:spacing w:after="0" w:line="225"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For the FY22 PSAs, the Compensation Committee determined, in part in response to stockholder feedback, to replace the one-year design win metric used in PSAs granted in fiscal years 2020 and 2021 with a two-year EBITDA margin percentile ranking metric that measures our performance relative to our FY22 Peer Group. The previously used design win metric measured our success in achieving specific product design wins with a key customer that were governed by contractual confidentiality obligations, so we could not publicly disclose threshold, target and maximum performance goals for that metric. The EBITDA margin percentile ranking metric provides enhanced transparency because the threshold, target and maximum performance goals can be clearly disclosed. To incentivize above-median performance, the Compensation Committee set the target percentile for the EBITDA margin percentile ranking metric at the 55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our FY22 Peer Group.</w:t>
      </w:r>
    </w:p>
    <w:p>
      <w:pPr>
        <w:spacing w:after="0" w:line="94"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As in prior years, the remaining half of the target value under the FY22 PSAs was based on three-year TSR percentile ranking, which the Compensation Committee believed provides an appropriate balance to the one-year and two-year measurement periods.</w:t>
      </w:r>
    </w:p>
    <w:p>
      <w:pPr>
        <w:spacing w:after="0" w:line="157" w:lineRule="exact"/>
        <w:rPr>
          <w:sz w:val="20"/>
          <w:szCs w:val="20"/>
          <w:color w:val="auto"/>
        </w:rPr>
      </w:pPr>
    </w:p>
    <w:p>
      <w:pPr>
        <w:ind w:right="160" w:firstLine="389"/>
        <w:spacing w:after="0" w:line="261" w:lineRule="auto"/>
        <w:rPr>
          <w:sz w:val="20"/>
          <w:szCs w:val="20"/>
          <w:color w:val="auto"/>
        </w:rPr>
      </w:pPr>
      <w:r>
        <w:rPr>
          <w:rFonts w:ascii="Arial" w:cs="Arial" w:eastAsia="Arial" w:hAnsi="Arial"/>
          <w:sz w:val="18"/>
          <w:szCs w:val="18"/>
          <w:color w:val="auto"/>
        </w:rPr>
        <w:t>The specific pre-established performance goals under the emerging revenue growth, EBITDA margin percentile ranking and TSR percentile ranking metrics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Company Metric</w:t>
            </w:r>
          </w:p>
        </w:tc>
        <w:tc>
          <w:tcPr>
            <w:tcW w:w="2280" w:type="dxa"/>
            <w:vAlign w:val="bottom"/>
          </w:tcPr>
          <w:p>
            <w:pPr>
              <w:ind w:left="1100"/>
              <w:spacing w:after="0"/>
              <w:rPr>
                <w:sz w:val="20"/>
                <w:szCs w:val="20"/>
                <w:color w:val="auto"/>
              </w:rPr>
            </w:pPr>
            <w:r>
              <w:rPr>
                <w:rFonts w:ascii="Arial" w:cs="Arial" w:eastAsia="Arial" w:hAnsi="Arial"/>
                <w:sz w:val="18"/>
                <w:szCs w:val="18"/>
                <w:b w:val="1"/>
                <w:bCs w:val="1"/>
                <w:color w:val="auto"/>
              </w:rPr>
              <w:t>Threshold</w:t>
            </w:r>
          </w:p>
        </w:tc>
        <w:tc>
          <w:tcPr>
            <w:tcW w:w="1280" w:type="dxa"/>
            <w:vAlign w:val="bottom"/>
          </w:tcPr>
          <w:p>
            <w:pPr>
              <w:ind w:left="380"/>
              <w:spacing w:after="0"/>
              <w:rPr>
                <w:sz w:val="20"/>
                <w:szCs w:val="20"/>
                <w:color w:val="auto"/>
              </w:rPr>
            </w:pPr>
            <w:r>
              <w:rPr>
                <w:rFonts w:ascii="Arial" w:cs="Arial" w:eastAsia="Arial" w:hAnsi="Arial"/>
                <w:sz w:val="18"/>
                <w:szCs w:val="18"/>
                <w:b w:val="1"/>
                <w:bCs w:val="1"/>
                <w:color w:val="auto"/>
              </w:rPr>
              <w:t>Target</w:t>
            </w:r>
          </w:p>
        </w:tc>
        <w:tc>
          <w:tcPr>
            <w:tcW w:w="1500" w:type="dxa"/>
            <w:vAlign w:val="bottom"/>
          </w:tcPr>
          <w:p>
            <w:pPr>
              <w:ind w:left="380"/>
              <w:spacing w:after="0"/>
              <w:rPr>
                <w:sz w:val="20"/>
                <w:szCs w:val="20"/>
                <w:color w:val="auto"/>
              </w:rPr>
            </w:pPr>
            <w:r>
              <w:rPr>
                <w:rFonts w:ascii="Arial" w:cs="Arial" w:eastAsia="Arial" w:hAnsi="Arial"/>
                <w:sz w:val="18"/>
                <w:szCs w:val="18"/>
                <w:b w:val="1"/>
                <w:bCs w:val="1"/>
                <w:color w:val="auto"/>
              </w:rPr>
              <w:t>Maximum</w:t>
            </w:r>
          </w:p>
        </w:tc>
      </w:tr>
      <w:tr>
        <w:trPr>
          <w:trHeight w:val="229"/>
        </w:trPr>
        <w:tc>
          <w:tcPr>
            <w:tcW w:w="6180" w:type="dxa"/>
            <w:vAlign w:val="bottom"/>
            <w:shd w:val="clear" w:color="auto" w:fill="DBDBDB"/>
          </w:tcPr>
          <w:p>
            <w:pPr>
              <w:jc w:val="center"/>
              <w:ind w:left="710"/>
              <w:spacing w:after="0"/>
              <w:rPr>
                <w:sz w:val="20"/>
                <w:szCs w:val="20"/>
                <w:color w:val="auto"/>
              </w:rPr>
            </w:pPr>
            <w:r>
              <w:rPr>
                <w:rFonts w:ascii="Arial" w:cs="Arial" w:eastAsia="Arial" w:hAnsi="Arial"/>
                <w:sz w:val="18"/>
                <w:szCs w:val="18"/>
                <w:color w:val="auto"/>
                <w:w w:val="90"/>
              </w:rPr>
              <w:t>1-year Emerging Revenue Growth (%)</w:t>
            </w:r>
          </w:p>
        </w:tc>
        <w:tc>
          <w:tcPr>
            <w:tcW w:w="2280" w:type="dxa"/>
            <w:vAlign w:val="bottom"/>
            <w:shd w:val="clear" w:color="auto" w:fill="DBDBDB"/>
          </w:tcPr>
          <w:p>
            <w:pPr>
              <w:jc w:val="center"/>
              <w:ind w:left="610"/>
              <w:spacing w:after="0"/>
              <w:rPr>
                <w:sz w:val="20"/>
                <w:szCs w:val="20"/>
                <w:color w:val="auto"/>
              </w:rPr>
            </w:pPr>
            <w:r>
              <w:rPr>
                <w:rFonts w:ascii="Arial" w:cs="Arial" w:eastAsia="Arial" w:hAnsi="Arial"/>
                <w:sz w:val="18"/>
                <w:szCs w:val="18"/>
                <w:color w:val="auto"/>
                <w:w w:val="92"/>
              </w:rPr>
              <w:t>2.5%</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10.0%</w:t>
            </w:r>
          </w:p>
        </w:tc>
        <w:tc>
          <w:tcPr>
            <w:tcW w:w="15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20.0%</w:t>
            </w:r>
          </w:p>
        </w:tc>
      </w:tr>
      <w:tr>
        <w:trPr>
          <w:trHeight w:val="229"/>
        </w:trPr>
        <w:tc>
          <w:tcPr>
            <w:tcW w:w="6180" w:type="dxa"/>
            <w:vAlign w:val="bottom"/>
          </w:tcPr>
          <w:p>
            <w:pPr>
              <w:jc w:val="center"/>
              <w:ind w:left="710"/>
              <w:spacing w:after="0"/>
              <w:rPr>
                <w:sz w:val="20"/>
                <w:szCs w:val="20"/>
                <w:color w:val="auto"/>
              </w:rPr>
            </w:pPr>
            <w:r>
              <w:rPr>
                <w:rFonts w:ascii="Arial" w:cs="Arial" w:eastAsia="Arial" w:hAnsi="Arial"/>
                <w:sz w:val="18"/>
                <w:szCs w:val="18"/>
                <w:color w:val="auto"/>
                <w:w w:val="93"/>
              </w:rPr>
              <w:t>2-year EBITDA Margin Percentile Ranking</w:t>
            </w:r>
          </w:p>
        </w:tc>
        <w:tc>
          <w:tcPr>
            <w:tcW w:w="2280" w:type="dxa"/>
            <w:vAlign w:val="bottom"/>
          </w:tcPr>
          <w:p>
            <w:pPr>
              <w:jc w:val="center"/>
              <w:ind w:left="630"/>
              <w:spacing w:after="0"/>
              <w:rPr>
                <w:sz w:val="20"/>
                <w:szCs w:val="20"/>
                <w:color w:val="auto"/>
              </w:rPr>
            </w:pPr>
            <w:r>
              <w:rPr>
                <w:rFonts w:ascii="Arial" w:cs="Arial" w:eastAsia="Arial" w:hAnsi="Arial"/>
                <w:sz w:val="18"/>
                <w:szCs w:val="18"/>
                <w:color w:val="auto"/>
                <w:w w:val="91"/>
              </w:rPr>
              <w:t>25th</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55th</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75th</w:t>
            </w:r>
          </w:p>
        </w:tc>
      </w:tr>
      <w:tr>
        <w:trPr>
          <w:trHeight w:val="230"/>
        </w:trPr>
        <w:tc>
          <w:tcPr>
            <w:tcW w:w="6180" w:type="dxa"/>
            <w:vAlign w:val="bottom"/>
            <w:shd w:val="clear" w:color="auto" w:fill="DBDBDB"/>
          </w:tcPr>
          <w:p>
            <w:pPr>
              <w:jc w:val="center"/>
              <w:ind w:left="710"/>
              <w:spacing w:after="0"/>
              <w:rPr>
                <w:sz w:val="20"/>
                <w:szCs w:val="20"/>
                <w:color w:val="auto"/>
              </w:rPr>
            </w:pPr>
            <w:r>
              <w:rPr>
                <w:rFonts w:ascii="Arial" w:cs="Arial" w:eastAsia="Arial" w:hAnsi="Arial"/>
                <w:sz w:val="18"/>
                <w:szCs w:val="18"/>
                <w:color w:val="auto"/>
                <w:w w:val="91"/>
              </w:rPr>
              <w:t>3-year TSR Percentile Ranking</w:t>
            </w:r>
          </w:p>
        </w:tc>
        <w:tc>
          <w:tcPr>
            <w:tcW w:w="2280" w:type="dxa"/>
            <w:vAlign w:val="bottom"/>
            <w:shd w:val="clear" w:color="auto" w:fill="DBDBDB"/>
          </w:tcPr>
          <w:p>
            <w:pPr>
              <w:jc w:val="center"/>
              <w:ind w:left="630"/>
              <w:spacing w:after="0"/>
              <w:rPr>
                <w:sz w:val="20"/>
                <w:szCs w:val="20"/>
                <w:color w:val="auto"/>
              </w:rPr>
            </w:pPr>
            <w:r>
              <w:rPr>
                <w:rFonts w:ascii="Arial" w:cs="Arial" w:eastAsia="Arial" w:hAnsi="Arial"/>
                <w:sz w:val="18"/>
                <w:szCs w:val="18"/>
                <w:color w:val="auto"/>
                <w:w w:val="91"/>
              </w:rPr>
              <w:t>25th</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55th</w:t>
            </w:r>
          </w:p>
        </w:tc>
        <w:tc>
          <w:tcPr>
            <w:tcW w:w="15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90th</w:t>
            </w:r>
          </w:p>
        </w:tc>
      </w:tr>
    </w:tbl>
    <w:p>
      <w:pPr>
        <w:spacing w:after="0" w:line="296"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As with the Incentive Plan, the pre-established targets under the FY22 PSAs were established by the Compensation Committee after reviewing the Company’s historical operating results and growth rates as well as the Company’s expected future results relative to peers and were designed to require significant effort and operational success on the part of our executives and the Company:</w:t>
      </w:r>
    </w:p>
    <w:p>
      <w:pPr>
        <w:spacing w:after="0" w:line="184" w:lineRule="exact"/>
        <w:rPr>
          <w:sz w:val="20"/>
          <w:szCs w:val="20"/>
          <w:color w:val="auto"/>
        </w:rPr>
      </w:pPr>
    </w:p>
    <w:p>
      <w:pPr>
        <w:jc w:val="both"/>
        <w:ind w:left="660" w:hanging="328"/>
        <w:spacing w:after="0" w:line="29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Emerging Revenue Growth Metric: The target level was set at 10%, representing above-market annual growth, the maximum level was set at 20%, which the Compensation Committee believed represented outstanding performance that would be difficult to achieve, and the threshold level was set at 2.5% as a result of continued market uncertainties related to the COVID-19 pandemic. The threshold, target and maximum levels vary year to year as a result of the composition of what, as part of the Company’s product portfolio, comprises emerging revenue. For fiscal year 2022, emerging revenue growth was based on driving growth in the following key product categories: automotive, BAW-enabled device (i.e., a product containing at least one bulk acoustic wave filter) and audio device products, as well as products sold by Mixed Signal Solutions (i.e., the Infrastructure and Automotive business that the Company acquired from Silicon Laboratories, Inc. in July 2021) (“MSS”).</w:t>
      </w:r>
    </w:p>
    <w:p>
      <w:pPr>
        <w:spacing w:after="0" w:line="161" w:lineRule="exact"/>
        <w:rPr>
          <w:rFonts w:ascii="Arial" w:cs="Arial" w:eastAsia="Arial" w:hAnsi="Arial"/>
          <w:sz w:val="16"/>
          <w:szCs w:val="16"/>
          <w:color w:val="auto"/>
        </w:rPr>
      </w:pPr>
    </w:p>
    <w:p>
      <w:pPr>
        <w:ind w:left="660" w:hanging="328"/>
        <w:spacing w:after="0" w:line="22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Margin Percentile Ranking Metric: The Compensation Committee set the target percentile at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FY22 Peer Group in order to further incentivize above-median performance.</w:t>
      </w:r>
    </w:p>
    <w:p>
      <w:pPr>
        <w:spacing w:after="0" w:line="198" w:lineRule="exact"/>
        <w:rPr>
          <w:rFonts w:ascii="Arial" w:cs="Arial" w:eastAsia="Arial" w:hAnsi="Arial"/>
          <w:sz w:val="18"/>
          <w:szCs w:val="18"/>
          <w:color w:val="auto"/>
        </w:rPr>
      </w:pPr>
    </w:p>
    <w:p>
      <w:pPr>
        <w:ind w:left="660" w:hanging="328"/>
        <w:spacing w:after="0" w:line="22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TSR Percentile Ranking Metric: Consistent with the prior year’s award, the Compensation Committee set the target percentile at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applicable peer group in order to further incentivize above-median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firstLine="389"/>
        <w:spacing w:after="0" w:line="277" w:lineRule="auto"/>
        <w:rPr>
          <w:sz w:val="20"/>
          <w:szCs w:val="20"/>
          <w:color w:val="auto"/>
        </w:rPr>
      </w:pPr>
      <w:r>
        <w:rPr>
          <w:rFonts w:ascii="Arial" w:cs="Arial" w:eastAsia="Arial" w:hAnsi="Arial"/>
          <w:sz w:val="18"/>
          <w:szCs w:val="18"/>
          <w:color w:val="auto"/>
        </w:rPr>
        <w:t>The number of shares issuable under the FY22 PSAs corresponds to the level of achievement of the performance goals, as follows (subject to linear interpolation for amounts between “threshold” and “target” or “target” and “maximum”):</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 Achieved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Threshold</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4"/>
              </w:rPr>
              <w:t>Target</w:t>
            </w:r>
          </w:p>
        </w:tc>
        <w:tc>
          <w:tcPr>
            <w:tcW w:w="120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88"/>
        </w:trPr>
        <w:tc>
          <w:tcPr>
            <w:tcW w:w="6120" w:type="dxa"/>
            <w:vAlign w:val="bottom"/>
            <w:shd w:val="clear" w:color="auto" w:fill="DBDBDB"/>
          </w:tcPr>
          <w:p>
            <w:pPr>
              <w:jc w:val="center"/>
              <w:ind w:right="70"/>
              <w:spacing w:after="0" w:line="189" w:lineRule="exact"/>
              <w:rPr>
                <w:sz w:val="20"/>
                <w:szCs w:val="20"/>
                <w:color w:val="auto"/>
              </w:rPr>
            </w:pPr>
            <w:r>
              <w:rPr>
                <w:rFonts w:ascii="Arial" w:cs="Arial" w:eastAsia="Arial" w:hAnsi="Arial"/>
                <w:sz w:val="18"/>
                <w:szCs w:val="18"/>
                <w:color w:val="auto"/>
                <w:w w:val="90"/>
              </w:rPr>
              <w:t>% of Target Level Shares Earned with Respect to Emerging Revenue Growth</w:t>
            </w:r>
          </w:p>
        </w:tc>
        <w:tc>
          <w:tcPr>
            <w:tcW w:w="1040" w:type="dxa"/>
            <w:vAlign w:val="bottom"/>
            <w:vMerge w:val="restart"/>
            <w:shd w:val="clear" w:color="auto" w:fill="DBDBDB"/>
          </w:tcPr>
          <w:p>
            <w:pPr>
              <w:jc w:val="center"/>
              <w:ind w:left="70"/>
              <w:spacing w:after="0"/>
              <w:rPr>
                <w:sz w:val="20"/>
                <w:szCs w:val="20"/>
                <w:color w:val="auto"/>
              </w:rPr>
            </w:pPr>
            <w:r>
              <w:rPr>
                <w:rFonts w:ascii="Arial" w:cs="Arial" w:eastAsia="Arial" w:hAnsi="Arial"/>
                <w:sz w:val="18"/>
                <w:szCs w:val="18"/>
                <w:color w:val="auto"/>
                <w:w w:val="88"/>
              </w:rPr>
              <w:t>50%</w:t>
            </w:r>
          </w:p>
        </w:tc>
        <w:tc>
          <w:tcPr>
            <w:tcW w:w="18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vMerge w:val="restart"/>
            <w:shd w:val="clear" w:color="auto" w:fill="DBDBDB"/>
          </w:tcPr>
          <w:p>
            <w:pPr>
              <w:jc w:val="center"/>
              <w:ind w:right="25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36"/>
        </w:trPr>
        <w:tc>
          <w:tcPr>
            <w:tcW w:w="6120" w:type="dxa"/>
            <w:vAlign w:val="bottom"/>
            <w:vMerge w:val="restart"/>
            <w:shd w:val="clear" w:color="auto" w:fill="DBDBDB"/>
          </w:tcPr>
          <w:p>
            <w:pPr>
              <w:jc w:val="center"/>
              <w:ind w:right="70"/>
              <w:spacing w:after="0"/>
              <w:rPr>
                <w:sz w:val="20"/>
                <w:szCs w:val="20"/>
                <w:color w:val="auto"/>
              </w:rPr>
            </w:pPr>
            <w:r>
              <w:rPr>
                <w:rFonts w:ascii="Arial" w:cs="Arial" w:eastAsia="Arial" w:hAnsi="Arial"/>
                <w:sz w:val="18"/>
                <w:szCs w:val="18"/>
                <w:color w:val="auto"/>
                <w:w w:val="97"/>
              </w:rPr>
              <w:t>Metric</w:t>
            </w:r>
          </w:p>
        </w:tc>
        <w:tc>
          <w:tcPr>
            <w:tcW w:w="1040" w:type="dxa"/>
            <w:vAlign w:val="bottom"/>
            <w:vMerge w:val="continue"/>
            <w:shd w:val="clear" w:color="auto" w:fill="DBDBDB"/>
          </w:tcPr>
          <w:p>
            <w:pPr>
              <w:spacing w:after="0"/>
              <w:rPr>
                <w:sz w:val="11"/>
                <w:szCs w:val="11"/>
                <w:color w:val="auto"/>
              </w:rPr>
            </w:pPr>
          </w:p>
        </w:tc>
        <w:tc>
          <w:tcPr>
            <w:tcW w:w="1820" w:type="dxa"/>
            <w:vAlign w:val="bottom"/>
            <w:vMerge w:val="continue"/>
            <w:shd w:val="clear" w:color="auto" w:fill="DBDBDB"/>
          </w:tcPr>
          <w:p>
            <w:pPr>
              <w:spacing w:after="0"/>
              <w:rPr>
                <w:sz w:val="11"/>
                <w:szCs w:val="11"/>
                <w:color w:val="auto"/>
              </w:rPr>
            </w:pPr>
          </w:p>
        </w:tc>
        <w:tc>
          <w:tcPr>
            <w:tcW w:w="120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120" w:type="dxa"/>
            <w:vAlign w:val="bottom"/>
            <w:vMerge w:val="continue"/>
            <w:shd w:val="clear" w:color="auto" w:fill="DBDBDB"/>
          </w:tcPr>
          <w:p>
            <w:pPr>
              <w:spacing w:after="0"/>
              <w:rPr>
                <w:sz w:val="8"/>
                <w:szCs w:val="8"/>
                <w:color w:val="auto"/>
              </w:rPr>
            </w:pPr>
          </w:p>
        </w:tc>
        <w:tc>
          <w:tcPr>
            <w:tcW w:w="1040" w:type="dxa"/>
            <w:vAlign w:val="bottom"/>
            <w:shd w:val="clear" w:color="auto" w:fill="DBDBDB"/>
          </w:tcPr>
          <w:p>
            <w:pPr>
              <w:spacing w:after="0"/>
              <w:rPr>
                <w:sz w:val="8"/>
                <w:szCs w:val="8"/>
                <w:color w:val="auto"/>
              </w:rPr>
            </w:pPr>
          </w:p>
        </w:tc>
        <w:tc>
          <w:tcPr>
            <w:tcW w:w="1820" w:type="dxa"/>
            <w:vAlign w:val="bottom"/>
            <w:shd w:val="clear" w:color="auto" w:fill="DBDBDB"/>
          </w:tcPr>
          <w:p>
            <w:pPr>
              <w:spacing w:after="0"/>
              <w:rPr>
                <w:sz w:val="8"/>
                <w:szCs w:val="8"/>
                <w:color w:val="auto"/>
              </w:rPr>
            </w:pPr>
          </w:p>
        </w:tc>
        <w:tc>
          <w:tcPr>
            <w:tcW w:w="12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612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1"/>
              </w:rPr>
              <w:t>% of Target Level Shares Earned with Respect to EBITDA Margin Percentile</w:t>
            </w:r>
          </w:p>
        </w:tc>
        <w:tc>
          <w:tcPr>
            <w:tcW w:w="1040" w:type="dxa"/>
            <w:vAlign w:val="bottom"/>
            <w:vMerge w:val="restart"/>
          </w:tcPr>
          <w:p>
            <w:pPr>
              <w:jc w:val="center"/>
              <w:ind w:left="70"/>
              <w:spacing w:after="0"/>
              <w:rPr>
                <w:sz w:val="20"/>
                <w:szCs w:val="20"/>
                <w:color w:val="auto"/>
              </w:rPr>
            </w:pPr>
            <w:r>
              <w:rPr>
                <w:rFonts w:ascii="Arial" w:cs="Arial" w:eastAsia="Arial" w:hAnsi="Arial"/>
                <w:sz w:val="18"/>
                <w:szCs w:val="18"/>
                <w:color w:val="auto"/>
                <w:w w:val="88"/>
              </w:rPr>
              <w:t>50%</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36"/>
        </w:trPr>
        <w:tc>
          <w:tcPr>
            <w:tcW w:w="612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Ranking Metric</w:t>
            </w:r>
          </w:p>
        </w:tc>
        <w:tc>
          <w:tcPr>
            <w:tcW w:w="104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1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DBDBDB"/>
          </w:tcPr>
          <w:p>
            <w:pPr>
              <w:jc w:val="center"/>
              <w:ind w:right="90"/>
              <w:spacing w:after="0"/>
              <w:rPr>
                <w:sz w:val="20"/>
                <w:szCs w:val="20"/>
                <w:color w:val="auto"/>
              </w:rPr>
            </w:pPr>
            <w:r>
              <w:rPr>
                <w:rFonts w:ascii="Arial" w:cs="Arial" w:eastAsia="Arial" w:hAnsi="Arial"/>
                <w:sz w:val="18"/>
                <w:szCs w:val="18"/>
                <w:color w:val="auto"/>
                <w:w w:val="90"/>
              </w:rPr>
              <w:t>% of Target Level Shares Earned with Respect to TSR Percentile Ranking Metric</w:t>
            </w:r>
          </w:p>
        </w:tc>
        <w:tc>
          <w:tcPr>
            <w:tcW w:w="1040" w:type="dxa"/>
            <w:vAlign w:val="bottom"/>
            <w:shd w:val="clear" w:color="auto" w:fill="DBDBDB"/>
          </w:tcPr>
          <w:p>
            <w:pPr>
              <w:jc w:val="center"/>
              <w:ind w:left="70"/>
              <w:spacing w:after="0"/>
              <w:rPr>
                <w:sz w:val="20"/>
                <w:szCs w:val="20"/>
                <w:color w:val="auto"/>
              </w:rPr>
            </w:pPr>
            <w:r>
              <w:rPr>
                <w:rFonts w:ascii="Arial" w:cs="Arial" w:eastAsia="Arial" w:hAnsi="Arial"/>
                <w:sz w:val="18"/>
                <w:szCs w:val="18"/>
                <w:color w:val="auto"/>
                <w:w w:val="88"/>
              </w:rPr>
              <w:t>50%</w:t>
            </w:r>
          </w:p>
        </w:tc>
        <w:tc>
          <w:tcPr>
            <w:tcW w:w="18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shd w:val="clear" w:color="auto" w:fill="DBDBDB"/>
          </w:tcPr>
          <w:p>
            <w:pPr>
              <w:jc w:val="center"/>
              <w:ind w:right="250"/>
              <w:spacing w:after="0"/>
              <w:rPr>
                <w:sz w:val="20"/>
                <w:szCs w:val="20"/>
                <w:color w:val="auto"/>
              </w:rPr>
            </w:pPr>
            <w:r>
              <w:rPr>
                <w:rFonts w:ascii="Arial" w:cs="Arial" w:eastAsia="Arial" w:hAnsi="Arial"/>
                <w:sz w:val="18"/>
                <w:szCs w:val="18"/>
                <w:color w:val="auto"/>
                <w:w w:val="91"/>
              </w:rPr>
              <w:t>300%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389"/>
        <w:spacing w:after="0" w:line="305" w:lineRule="auto"/>
        <w:rPr>
          <w:sz w:val="20"/>
          <w:szCs w:val="20"/>
          <w:color w:val="auto"/>
        </w:rPr>
      </w:pPr>
      <w:r>
        <w:rPr>
          <w:rFonts w:ascii="Arial" w:cs="Arial" w:eastAsia="Arial" w:hAnsi="Arial"/>
          <w:sz w:val="16"/>
          <w:szCs w:val="16"/>
          <w:color w:val="auto"/>
        </w:rPr>
        <w:t>The “continued employment” condition of the FY22 PSAs provides that, to the extent that the performance goals are met, the shares earned under such metrics would vest as follows (provided, in each case, that the executive remains employed by the Company through each such vesting date):</w:t>
      </w:r>
    </w:p>
    <w:p>
      <w:pPr>
        <w:spacing w:after="0" w:line="1" w:lineRule="exact"/>
        <w:rPr>
          <w:sz w:val="20"/>
          <w:szCs w:val="20"/>
          <w:color w:val="auto"/>
        </w:rPr>
      </w:pPr>
    </w:p>
    <w:tbl>
      <w:tblPr>
        <w:tblLayout w:type="fixed"/>
        <w:tblInd w:w="140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b w:val="1"/>
                <w:bCs w:val="1"/>
                <w:color w:val="auto"/>
              </w:rPr>
              <w:t>Anniversary of Grant Date (1)</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Two Year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Three Year</w:t>
            </w:r>
          </w:p>
        </w:tc>
        <w:tc>
          <w:tcPr>
            <w:tcW w:w="0" w:type="dxa"/>
            <w:vAlign w:val="bottom"/>
          </w:tcPr>
          <w:p>
            <w:pPr>
              <w:spacing w:after="0"/>
              <w:rPr>
                <w:sz w:val="1"/>
                <w:szCs w:val="1"/>
                <w:color w:val="auto"/>
              </w:rPr>
            </w:pPr>
          </w:p>
        </w:tc>
      </w:tr>
      <w:tr>
        <w:trPr>
          <w:trHeight w:val="176"/>
        </w:trPr>
        <w:tc>
          <w:tcPr>
            <w:tcW w:w="5300" w:type="dxa"/>
            <w:vAlign w:val="bottom"/>
            <w:shd w:val="clear" w:color="auto" w:fill="DBDBDB"/>
          </w:tcPr>
          <w:p>
            <w:pPr>
              <w:jc w:val="center"/>
              <w:ind w:right="110"/>
              <w:spacing w:after="0" w:line="176" w:lineRule="exact"/>
              <w:rPr>
                <w:sz w:val="20"/>
                <w:szCs w:val="20"/>
                <w:color w:val="auto"/>
              </w:rPr>
            </w:pPr>
            <w:r>
              <w:rPr>
                <w:rFonts w:ascii="Arial" w:cs="Arial" w:eastAsia="Arial" w:hAnsi="Arial"/>
                <w:sz w:val="18"/>
                <w:szCs w:val="18"/>
                <w:color w:val="auto"/>
                <w:w w:val="90"/>
              </w:rPr>
              <w:t>% of Shares Earned with Respect to Emerging Revenue Growth</w:t>
            </w:r>
          </w:p>
        </w:tc>
        <w:tc>
          <w:tcPr>
            <w:tcW w:w="1480" w:type="dxa"/>
            <w:vAlign w:val="bottom"/>
            <w:vMerge w:val="restart"/>
            <w:shd w:val="clear" w:color="auto" w:fill="DBDBDB"/>
          </w:tcPr>
          <w:p>
            <w:pPr>
              <w:jc w:val="center"/>
              <w:ind w:right="50"/>
              <w:spacing w:after="0"/>
              <w:rPr>
                <w:sz w:val="20"/>
                <w:szCs w:val="20"/>
                <w:color w:val="auto"/>
              </w:rPr>
            </w:pPr>
            <w:r>
              <w:rPr>
                <w:rFonts w:ascii="Arial" w:cs="Arial" w:eastAsia="Arial" w:hAnsi="Arial"/>
                <w:sz w:val="18"/>
                <w:szCs w:val="18"/>
                <w:color w:val="auto"/>
                <w:w w:val="91"/>
              </w:rPr>
              <w:t>100%</w:t>
            </w:r>
          </w:p>
        </w:tc>
        <w:tc>
          <w:tcPr>
            <w:tcW w:w="16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00" w:type="dxa"/>
            <w:vAlign w:val="bottom"/>
            <w:vMerge w:val="restart"/>
            <w:shd w:val="clear" w:color="auto" w:fill="DBDBDB"/>
          </w:tcPr>
          <w:p>
            <w:pPr>
              <w:jc w:val="center"/>
              <w:ind w:right="110"/>
              <w:spacing w:after="0"/>
              <w:rPr>
                <w:sz w:val="20"/>
                <w:szCs w:val="20"/>
                <w:color w:val="auto"/>
              </w:rPr>
            </w:pPr>
            <w:r>
              <w:rPr>
                <w:rFonts w:ascii="Arial" w:cs="Arial" w:eastAsia="Arial" w:hAnsi="Arial"/>
                <w:sz w:val="18"/>
                <w:szCs w:val="18"/>
                <w:color w:val="auto"/>
                <w:w w:val="93"/>
              </w:rPr>
              <w:t>Metric</w:t>
            </w:r>
          </w:p>
        </w:tc>
        <w:tc>
          <w:tcPr>
            <w:tcW w:w="1480" w:type="dxa"/>
            <w:vAlign w:val="bottom"/>
            <w:vMerge w:val="continue"/>
            <w:shd w:val="clear" w:color="auto" w:fill="DBDBDB"/>
          </w:tcPr>
          <w:p>
            <w:pPr>
              <w:spacing w:after="0"/>
              <w:rPr>
                <w:sz w:val="12"/>
                <w:szCs w:val="12"/>
                <w:color w:val="auto"/>
              </w:rPr>
            </w:pPr>
          </w:p>
        </w:tc>
        <w:tc>
          <w:tcPr>
            <w:tcW w:w="16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300" w:type="dxa"/>
            <w:vAlign w:val="bottom"/>
            <w:vMerge w:val="continue"/>
            <w:shd w:val="clear" w:color="auto" w:fill="DBDBDB"/>
          </w:tcPr>
          <w:p>
            <w:pPr>
              <w:spacing w:after="0"/>
              <w:rPr>
                <w:sz w:val="8"/>
                <w:szCs w:val="8"/>
                <w:color w:val="auto"/>
              </w:rPr>
            </w:pPr>
          </w:p>
        </w:tc>
        <w:tc>
          <w:tcPr>
            <w:tcW w:w="1480" w:type="dxa"/>
            <w:vAlign w:val="bottom"/>
            <w:shd w:val="clear" w:color="auto" w:fill="DBDBDB"/>
          </w:tcPr>
          <w:p>
            <w:pPr>
              <w:spacing w:after="0"/>
              <w:rPr>
                <w:sz w:val="8"/>
                <w:szCs w:val="8"/>
                <w:color w:val="auto"/>
              </w:rPr>
            </w:pPr>
          </w:p>
        </w:tc>
        <w:tc>
          <w:tcPr>
            <w:tcW w:w="16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3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1"/>
              </w:rPr>
              <w:t>% of Shares Earned with Respect to EBITDA Margin Percentile</w:t>
            </w:r>
          </w:p>
        </w:tc>
        <w:tc>
          <w:tcPr>
            <w:tcW w:w="1480" w:type="dxa"/>
            <w:vAlign w:val="bottom"/>
            <w:vMerge w:val="restart"/>
          </w:tcPr>
          <w:p>
            <w:pPr>
              <w:jc w:val="center"/>
              <w:ind w:right="50"/>
              <w:spacing w:after="0"/>
              <w:rPr>
                <w:sz w:val="20"/>
                <w:szCs w:val="20"/>
                <w:color w:val="auto"/>
              </w:rPr>
            </w:pPr>
            <w:r>
              <w:rPr>
                <w:rFonts w:ascii="Arial" w:cs="Arial" w:eastAsia="Arial" w:hAnsi="Arial"/>
                <w:sz w:val="18"/>
                <w:szCs w:val="18"/>
                <w:color w:val="auto"/>
                <w:w w:val="91"/>
              </w:rPr>
              <w:t>100%</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0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Ranking Metric</w:t>
            </w:r>
          </w:p>
        </w:tc>
        <w:tc>
          <w:tcPr>
            <w:tcW w:w="148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30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DBDBDB"/>
          </w:tcPr>
          <w:p>
            <w:pPr>
              <w:jc w:val="center"/>
              <w:ind w:right="110"/>
              <w:spacing w:after="0"/>
              <w:rPr>
                <w:sz w:val="20"/>
                <w:szCs w:val="20"/>
                <w:color w:val="auto"/>
              </w:rPr>
            </w:pPr>
            <w:r>
              <w:rPr>
                <w:rFonts w:ascii="Arial" w:cs="Arial" w:eastAsia="Arial" w:hAnsi="Arial"/>
                <w:sz w:val="18"/>
                <w:szCs w:val="18"/>
                <w:color w:val="auto"/>
                <w:w w:val="90"/>
              </w:rPr>
              <w:t>% of Shares Earned with Respect to TSR Percentile Ranking Metric</w:t>
            </w:r>
          </w:p>
        </w:tc>
        <w:tc>
          <w:tcPr>
            <w:tcW w:w="1480" w:type="dxa"/>
            <w:vAlign w:val="bottom"/>
            <w:shd w:val="clear" w:color="auto" w:fill="DBDBDB"/>
          </w:tcPr>
          <w:p>
            <w:pPr>
              <w:spacing w:after="0"/>
              <w:rPr>
                <w:sz w:val="20"/>
                <w:szCs w:val="20"/>
                <w:color w:val="auto"/>
              </w:rPr>
            </w:pPr>
          </w:p>
        </w:tc>
        <w:tc>
          <w:tcPr>
            <w:tcW w:w="1680" w:type="dxa"/>
            <w:vAlign w:val="bottom"/>
            <w:shd w:val="clear" w:color="auto" w:fill="DBDBDB"/>
          </w:tcPr>
          <w:p>
            <w:pPr>
              <w:jc w:val="right"/>
              <w:ind w:right="5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line="26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termination by reason of death or permanent disability, the holder of an FY22 PSA (or the holder’s estate) would receive any earned but unissued shares that would have been issuable thereunder during the remaining term of the award.</w:t>
      </w:r>
    </w:p>
    <w:p>
      <w:pPr>
        <w:spacing w:after="0" w:line="212" w:lineRule="exact"/>
        <w:rPr>
          <w:sz w:val="20"/>
          <w:szCs w:val="20"/>
          <w:color w:val="auto"/>
        </w:rPr>
      </w:pPr>
    </w:p>
    <w:p>
      <w:pPr>
        <w:jc w:val="both"/>
        <w:ind w:right="20" w:firstLine="389"/>
        <w:spacing w:after="0" w:line="259" w:lineRule="auto"/>
        <w:rPr>
          <w:sz w:val="20"/>
          <w:szCs w:val="20"/>
          <w:color w:val="auto"/>
        </w:rPr>
      </w:pPr>
      <w:r>
        <w:rPr>
          <w:rFonts w:ascii="Arial" w:cs="Arial" w:eastAsia="Arial" w:hAnsi="Arial"/>
          <w:sz w:val="18"/>
          <w:szCs w:val="18"/>
          <w:color w:val="auto"/>
        </w:rPr>
        <w:t>During fiscal year 2021, the base period against which fiscal year 2022 emerging revenue performance was measured, the Company achieved revenue in the specified key product categories of $1,387 million. The base period emerging revenue included revenue from the automotive, BAW-enabled device and audio product categories, as well as revenue generated by MSS, which was acquired by the Company in July 2021, including MSS’s revenue during fiscal year 2021 that preceded the acquisition.</w:t>
      </w:r>
    </w:p>
    <w:p>
      <w:pPr>
        <w:spacing w:after="0" w:line="187" w:lineRule="exact"/>
        <w:rPr>
          <w:sz w:val="20"/>
          <w:szCs w:val="20"/>
          <w:color w:val="auto"/>
        </w:rPr>
      </w:pPr>
    </w:p>
    <w:p>
      <w:pPr>
        <w:jc w:val="both"/>
        <w:ind w:firstLine="389"/>
        <w:spacing w:after="0" w:line="279" w:lineRule="auto"/>
        <w:rPr>
          <w:sz w:val="20"/>
          <w:szCs w:val="20"/>
          <w:color w:val="auto"/>
        </w:rPr>
      </w:pPr>
      <w:r>
        <w:rPr>
          <w:rFonts w:ascii="Arial" w:cs="Arial" w:eastAsia="Arial" w:hAnsi="Arial"/>
          <w:sz w:val="17"/>
          <w:szCs w:val="17"/>
          <w:color w:val="auto"/>
        </w:rPr>
        <w:t>During fiscal year 2022, the Company achieved revenue in the specified key product categories of $2,205 million, representing emerging revenue growth of 59%, which exceeds the “maximum” level of performance. This growth was driven by strong performance in the BAW-enabled and MSS product categories. This resulted in the Company achieving 200% of the target level of shares for such metric. The shares earned under this metric will be issued in November 2023, provided that the Named Executive Officer meets the continued employment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PSAs at the End of Fiscal Year 2022</w:t>
      </w:r>
    </w:p>
    <w:p>
      <w:pPr>
        <w:spacing w:after="0" w:line="225" w:lineRule="exact"/>
        <w:rPr>
          <w:sz w:val="20"/>
          <w:szCs w:val="20"/>
          <w:color w:val="auto"/>
        </w:rPr>
      </w:pPr>
    </w:p>
    <w:p>
      <w:pPr>
        <w:jc w:val="both"/>
        <w:ind w:firstLine="389"/>
        <w:spacing w:after="0" w:line="260" w:lineRule="auto"/>
        <w:rPr>
          <w:sz w:val="20"/>
          <w:szCs w:val="20"/>
          <w:color w:val="auto"/>
        </w:rPr>
      </w:pPr>
      <w:r>
        <w:rPr>
          <w:rFonts w:ascii="Arial" w:cs="Arial" w:eastAsia="Arial" w:hAnsi="Arial"/>
          <w:sz w:val="17"/>
          <w:szCs w:val="17"/>
          <w:color w:val="auto"/>
        </w:rPr>
        <w:t>As summarized in the table below of the annual PSA grants made to Named Executive Officers since our fiscal year ended September 28, 2018 (“fiscal year 2018”) (the first year in which the Compensation Committee awarded PSAs subject to a metric measured over a three-year performance period), achievement of the TSR percentile ranking metric under the FY22 PSAs, which is subject to a three-year performance period, will be determined following the conclusion of the Company’s fiscal year ending September 27, 2024 (“fiscal year 2024”). During the three-year performance period under the fiscal year 2020 PSAs comprising the Company’s fiscal years 2020, 2021, and 2022, the Company achieved a TSR of 37% resulting in its ranking in the 23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percentile against the applicable peer group. As a result of failing to achieve the threshold TSR percentile ranking metric, no shares were earned by the Named Executive Officers with respect to such metric, and all PSAs with respect to such metric were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8" w:name="page19"/>
    <w:bookmarkEnd w:id="18"/>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PSA Fiscal</w:t>
            </w:r>
          </w:p>
        </w:tc>
        <w:tc>
          <w:tcPr>
            <w:tcW w:w="12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0" w:type="dxa"/>
            <w:vAlign w:val="bottom"/>
          </w:tcPr>
          <w:p>
            <w:pPr>
              <w:spacing w:after="0"/>
              <w:rPr>
                <w:sz w:val="1"/>
                <w:szCs w:val="1"/>
                <w:color w:val="auto"/>
              </w:rPr>
            </w:pPr>
          </w:p>
        </w:tc>
      </w:tr>
      <w:tr>
        <w:trPr>
          <w:trHeight w:val="234"/>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Grant Date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4"/>
              </w:rPr>
              <w:t>Metric</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4"/>
              </w:rPr>
              <w:t>(% of Target)</w:t>
            </w:r>
          </w:p>
        </w:tc>
        <w:tc>
          <w:tcPr>
            <w:tcW w:w="0" w:type="dxa"/>
            <w:vAlign w:val="bottom"/>
          </w:tcPr>
          <w:p>
            <w:pPr>
              <w:spacing w:after="0"/>
              <w:rPr>
                <w:sz w:val="1"/>
                <w:szCs w:val="1"/>
                <w:color w:val="auto"/>
              </w:rPr>
            </w:pPr>
          </w:p>
        </w:tc>
      </w:tr>
      <w:tr>
        <w:trPr>
          <w:trHeight w:val="243"/>
        </w:trPr>
        <w:tc>
          <w:tcPr>
            <w:tcW w:w="12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2"/>
              </w:rPr>
              <w:t>FY18</w:t>
            </w:r>
          </w:p>
        </w:tc>
        <w:tc>
          <w:tcPr>
            <w:tcW w:w="128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89"/>
              </w:rPr>
              <w:t>11/7/2017</w:t>
            </w:r>
          </w:p>
        </w:tc>
        <w:tc>
          <w:tcPr>
            <w:tcW w:w="3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6"/>
              </w:rPr>
              <w:t>Non-GAAP EBITDA Growth</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FY18</w:t>
            </w:r>
          </w:p>
        </w:tc>
        <w:tc>
          <w:tcPr>
            <w:tcW w:w="3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0"/>
              </w:rPr>
              <w:t>99.8%</w:t>
            </w:r>
          </w:p>
        </w:tc>
        <w:tc>
          <w:tcPr>
            <w:tcW w:w="0" w:type="dxa"/>
            <w:vAlign w:val="bottom"/>
          </w:tcPr>
          <w:p>
            <w:pPr>
              <w:spacing w:after="0"/>
              <w:rPr>
                <w:sz w:val="1"/>
                <w:szCs w:val="1"/>
                <w:color w:val="auto"/>
              </w:rPr>
            </w:pPr>
          </w:p>
        </w:tc>
      </w:tr>
      <w:tr>
        <w:trPr>
          <w:trHeight w:val="135"/>
        </w:trPr>
        <w:tc>
          <w:tcPr>
            <w:tcW w:w="1260" w:type="dxa"/>
            <w:vAlign w:val="bottom"/>
            <w:vMerge w:val="continue"/>
            <w:shd w:val="clear" w:color="auto" w:fill="DBDBDB"/>
          </w:tcPr>
          <w:p>
            <w:pPr>
              <w:spacing w:after="0"/>
              <w:rPr>
                <w:sz w:val="11"/>
                <w:szCs w:val="11"/>
                <w:color w:val="auto"/>
              </w:rPr>
            </w:pPr>
          </w:p>
        </w:tc>
        <w:tc>
          <w:tcPr>
            <w:tcW w:w="1280" w:type="dxa"/>
            <w:vAlign w:val="bottom"/>
            <w:vMerge w:val="continue"/>
            <w:shd w:val="clear" w:color="auto" w:fill="DBDBDB"/>
          </w:tcPr>
          <w:p>
            <w:pPr>
              <w:spacing w:after="0"/>
              <w:rPr>
                <w:sz w:val="11"/>
                <w:szCs w:val="11"/>
                <w:color w:val="auto"/>
              </w:rPr>
            </w:pPr>
          </w:p>
        </w:tc>
        <w:tc>
          <w:tcPr>
            <w:tcW w:w="38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5"/>
              </w:rPr>
              <w:t>FY18–FY20</w:t>
            </w:r>
          </w:p>
        </w:tc>
        <w:tc>
          <w:tcPr>
            <w:tcW w:w="330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DBDBDB"/>
            </w:tcBorders>
            <w:shd w:val="clear" w:color="auto" w:fill="DBDBDB"/>
          </w:tcPr>
          <w:p>
            <w:pPr>
              <w:spacing w:after="0"/>
              <w:rPr>
                <w:sz w:val="12"/>
                <w:szCs w:val="12"/>
                <w:color w:val="auto"/>
              </w:rPr>
            </w:pPr>
          </w:p>
        </w:tc>
        <w:tc>
          <w:tcPr>
            <w:tcW w:w="1280" w:type="dxa"/>
            <w:vAlign w:val="bottom"/>
            <w:tcBorders>
              <w:bottom w:val="single" w:sz="8" w:color="DBDBDB"/>
            </w:tcBorders>
            <w:shd w:val="clear" w:color="auto" w:fill="DBDBDB"/>
          </w:tcPr>
          <w:p>
            <w:pPr>
              <w:spacing w:after="0"/>
              <w:rPr>
                <w:sz w:val="12"/>
                <w:szCs w:val="12"/>
                <w:color w:val="auto"/>
              </w:rPr>
            </w:pPr>
          </w:p>
        </w:tc>
        <w:tc>
          <w:tcPr>
            <w:tcW w:w="3860" w:type="dxa"/>
            <w:vAlign w:val="bottom"/>
            <w:tcBorders>
              <w:bottom w:val="single" w:sz="8" w:color="DBDBDB"/>
            </w:tcBorders>
            <w:vMerge w:val="continue"/>
            <w:shd w:val="clear" w:color="auto" w:fill="DBDBDB"/>
          </w:tcPr>
          <w:p>
            <w:pPr>
              <w:spacing w:after="0"/>
              <w:rPr>
                <w:sz w:val="12"/>
                <w:szCs w:val="12"/>
                <w:color w:val="auto"/>
              </w:rPr>
            </w:pPr>
          </w:p>
        </w:tc>
        <w:tc>
          <w:tcPr>
            <w:tcW w:w="1540" w:type="dxa"/>
            <w:vAlign w:val="bottom"/>
            <w:tcBorders>
              <w:bottom w:val="single" w:sz="8" w:color="DBDBDB"/>
            </w:tcBorders>
            <w:vMerge w:val="continue"/>
            <w:shd w:val="clear" w:color="auto" w:fill="DBDBDB"/>
          </w:tcPr>
          <w:p>
            <w:pPr>
              <w:spacing w:after="0"/>
              <w:rPr>
                <w:sz w:val="12"/>
                <w:szCs w:val="12"/>
                <w:color w:val="auto"/>
              </w:rPr>
            </w:pPr>
          </w:p>
        </w:tc>
        <w:tc>
          <w:tcPr>
            <w:tcW w:w="3300" w:type="dxa"/>
            <w:vAlign w:val="bottom"/>
            <w:tcBorders>
              <w:bottom w:val="single" w:sz="8" w:color="DBDBDB"/>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2"/>
              </w:rPr>
              <w:t>FY19</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9"/>
              </w:rPr>
              <w:t>11/6/2018</w:t>
            </w:r>
          </w:p>
        </w:tc>
        <w:tc>
          <w:tcPr>
            <w:tcW w:w="3860" w:type="dxa"/>
            <w:vAlign w:val="bottom"/>
          </w:tcPr>
          <w:p>
            <w:pPr>
              <w:jc w:val="center"/>
              <w:spacing w:after="0"/>
              <w:rPr>
                <w:sz w:val="20"/>
                <w:szCs w:val="20"/>
                <w:color w:val="auto"/>
              </w:rPr>
            </w:pPr>
            <w:r>
              <w:rPr>
                <w:rFonts w:ascii="Arial" w:cs="Arial" w:eastAsia="Arial" w:hAnsi="Arial"/>
                <w:sz w:val="18"/>
                <w:szCs w:val="18"/>
                <w:color w:val="auto"/>
                <w:w w:val="96"/>
              </w:rPr>
              <w:t>Non-GAAP EBITDA Growth</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FY19</w:t>
            </w: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135"/>
        </w:trPr>
        <w:tc>
          <w:tcPr>
            <w:tcW w:w="12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3860" w:type="dxa"/>
            <w:vAlign w:val="bottom"/>
            <w:vMerge w:val="restart"/>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5"/>
              </w:rPr>
              <w:t>FY19–FY21</w:t>
            </w:r>
          </w:p>
        </w:tc>
        <w:tc>
          <w:tcPr>
            <w:tcW w:w="3300" w:type="dxa"/>
            <w:vAlign w:val="bottom"/>
            <w:vMerge w:val="restart"/>
          </w:tcPr>
          <w:p>
            <w:pPr>
              <w:jc w:val="center"/>
              <w:spacing w:after="0"/>
              <w:rPr>
                <w:sz w:val="20"/>
                <w:szCs w:val="20"/>
                <w:color w:val="auto"/>
              </w:rPr>
            </w:pPr>
            <w:r>
              <w:rPr>
                <w:rFonts w:ascii="Arial" w:cs="Arial" w:eastAsia="Arial" w:hAnsi="Arial"/>
                <w:sz w:val="18"/>
                <w:szCs w:val="18"/>
                <w:color w:val="auto"/>
                <w:w w:val="90"/>
              </w:rPr>
              <w:t>74.1%</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6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Emerging Revenue Growth</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FY20</w:t>
            </w:r>
          </w:p>
        </w:tc>
        <w:tc>
          <w:tcPr>
            <w:tcW w:w="3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97"/>
        </w:trPr>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FY20</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11/5/2019</w:t>
            </w:r>
          </w:p>
        </w:tc>
        <w:tc>
          <w:tcPr>
            <w:tcW w:w="3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3"/>
              </w:rPr>
              <w:t>Design Wins</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FY20</w:t>
            </w:r>
          </w:p>
        </w:tc>
        <w:tc>
          <w:tcPr>
            <w:tcW w:w="3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91"/>
        </w:trPr>
        <w:tc>
          <w:tcPr>
            <w:tcW w:w="1260" w:type="dxa"/>
            <w:vAlign w:val="bottom"/>
            <w:tcBorders>
              <w:bottom w:val="single" w:sz="8" w:color="DBDBDB"/>
            </w:tcBorders>
            <w:shd w:val="clear" w:color="auto" w:fill="DBDBDB"/>
          </w:tcPr>
          <w:p>
            <w:pPr>
              <w:spacing w:after="0"/>
              <w:rPr>
                <w:sz w:val="24"/>
                <w:szCs w:val="24"/>
                <w:color w:val="auto"/>
              </w:rPr>
            </w:pPr>
          </w:p>
        </w:tc>
        <w:tc>
          <w:tcPr>
            <w:tcW w:w="1280" w:type="dxa"/>
            <w:vAlign w:val="bottom"/>
            <w:tcBorders>
              <w:bottom w:val="single" w:sz="8" w:color="DBDBDB"/>
            </w:tcBorders>
            <w:shd w:val="clear" w:color="auto" w:fill="DBDBDB"/>
          </w:tcPr>
          <w:p>
            <w:pPr>
              <w:spacing w:after="0"/>
              <w:rPr>
                <w:sz w:val="24"/>
                <w:szCs w:val="24"/>
                <w:color w:val="auto"/>
              </w:rPr>
            </w:pPr>
          </w:p>
        </w:tc>
        <w:tc>
          <w:tcPr>
            <w:tcW w:w="3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5"/>
              </w:rPr>
              <w:t>FY20–FY22</w:t>
            </w:r>
          </w:p>
        </w:tc>
        <w:tc>
          <w:tcPr>
            <w:tcW w:w="33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Emerging Revenue Growth</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FY21</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2"/>
              </w:rPr>
              <w:t>FY21</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3860" w:type="dxa"/>
            <w:vAlign w:val="bottom"/>
          </w:tcPr>
          <w:p>
            <w:pPr>
              <w:jc w:val="center"/>
              <w:spacing w:after="0"/>
              <w:rPr>
                <w:sz w:val="20"/>
                <w:szCs w:val="20"/>
                <w:color w:val="auto"/>
              </w:rPr>
            </w:pPr>
            <w:r>
              <w:rPr>
                <w:rFonts w:ascii="Arial" w:cs="Arial" w:eastAsia="Arial" w:hAnsi="Arial"/>
                <w:sz w:val="18"/>
                <w:szCs w:val="18"/>
                <w:color w:val="auto"/>
                <w:w w:val="93"/>
              </w:rPr>
              <w:t>Design Wins</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FY21</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FY21–FY23</w:t>
            </w: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Perf. Period in Progress (1)</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Emerging Revenue Growth</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FY22</w:t>
            </w:r>
          </w:p>
        </w:tc>
        <w:tc>
          <w:tcPr>
            <w:tcW w:w="3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70"/>
        </w:trPr>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2"/>
              </w:rPr>
              <w:t>FY22</w:t>
            </w:r>
          </w:p>
        </w:tc>
        <w:tc>
          <w:tcPr>
            <w:tcW w:w="12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11/10/2021</w:t>
            </w:r>
          </w:p>
        </w:tc>
        <w:tc>
          <w:tcPr>
            <w:tcW w:w="3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4"/>
              </w:rPr>
              <w:t>EBITDA Margin Percentile Ranking</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FY22–FY23</w:t>
            </w:r>
          </w:p>
        </w:tc>
        <w:tc>
          <w:tcPr>
            <w:tcW w:w="3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Perf. Period in Progress (2)</w:t>
            </w:r>
          </w:p>
        </w:tc>
        <w:tc>
          <w:tcPr>
            <w:tcW w:w="0" w:type="dxa"/>
            <w:vAlign w:val="bottom"/>
          </w:tcPr>
          <w:p>
            <w:pPr>
              <w:spacing w:after="0"/>
              <w:rPr>
                <w:sz w:val="1"/>
                <w:szCs w:val="1"/>
                <w:color w:val="auto"/>
              </w:rPr>
            </w:pPr>
          </w:p>
        </w:tc>
      </w:tr>
      <w:tr>
        <w:trPr>
          <w:trHeight w:val="270"/>
        </w:trPr>
        <w:tc>
          <w:tcPr>
            <w:tcW w:w="126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3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1"/>
              </w:rPr>
              <w:t>3-year TSR Percentile Ranking</w:t>
            </w:r>
          </w:p>
        </w:tc>
        <w:tc>
          <w:tcPr>
            <w:tcW w:w="15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5"/>
              </w:rPr>
              <w:t>FY22–FY24</w:t>
            </w:r>
          </w:p>
        </w:tc>
        <w:tc>
          <w:tcPr>
            <w:tcW w:w="33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9"/>
              </w:rPr>
              <w:t>Perf. Period in Progress (3)</w:t>
            </w:r>
          </w:p>
        </w:tc>
        <w:tc>
          <w:tcPr>
            <w:tcW w:w="0" w:type="dxa"/>
            <w:vAlign w:val="bottom"/>
          </w:tcPr>
          <w:p>
            <w:pPr>
              <w:spacing w:after="0"/>
              <w:rPr>
                <w:sz w:val="1"/>
                <w:szCs w:val="1"/>
                <w:color w:val="auto"/>
              </w:rPr>
            </w:pPr>
          </w:p>
        </w:tc>
      </w:tr>
      <w:tr>
        <w:trPr>
          <w:trHeight w:val="27"/>
        </w:trPr>
        <w:tc>
          <w:tcPr>
            <w:tcW w:w="126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386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33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January 20, 2023, performance under this metric during the applicable performance period was below the “threshold” level of performance.</w:t>
      </w:r>
    </w:p>
    <w:p>
      <w:pPr>
        <w:spacing w:after="0" w:line="20" w:lineRule="exact"/>
        <w:rPr>
          <w:rFonts w:ascii="Arial" w:cs="Arial" w:eastAsia="Arial" w:hAnsi="Arial"/>
          <w:sz w:val="17"/>
          <w:szCs w:val="17"/>
          <w:color w:val="auto"/>
        </w:rPr>
      </w:pPr>
    </w:p>
    <w:p>
      <w:pPr>
        <w:ind w:left="260" w:hanging="252"/>
        <w:spacing w:after="0" w:line="250" w:lineRule="auto"/>
        <w:tabs>
          <w:tab w:leader="none" w:pos="2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January 20, 2023, performance under this metric during the applicable performance period was between the “target” and “maximum” levels of performance.</w:t>
      </w: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of January 20, 2023, performance under this metric during the applicable performance period was below the “threshold” level of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Compensation and Benefits</w:t>
      </w:r>
    </w:p>
    <w:p>
      <w:pPr>
        <w:spacing w:after="0" w:line="225"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p>
    <w:p>
      <w:pPr>
        <w:spacing w:after="0" w:line="177"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We offered executives the opportunity to participate in a reimbursement program for fiscal year 2022 providing up to an aggregate of $20,000 to each executive for the purchase of financial planning services, estate planning services, personal tax planning and preparation services, and/or an executive physical. No tax gross-up was provided for such reimbursements. In fiscal year 2022, each of the Named Executive Officers received reimbursement in connection with such services.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Severance and Change-in-Control Benefits</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control arrangements with the Named Executive Officers can be found immediately below and further below under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Change in Control.</w:t>
      </w:r>
      <w:r>
        <w:rPr>
          <w:rFonts w:ascii="Arial" w:cs="Arial" w:eastAsia="Arial" w:hAnsi="Arial"/>
          <w:sz w:val="18"/>
          <w:szCs w:val="18"/>
          <w:color w:val="auto"/>
        </w:rPr>
        <w:t>”</w:t>
      </w:r>
    </w:p>
    <w:p>
      <w:pPr>
        <w:spacing w:after="0" w:line="170"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p>
    <w:p>
      <w:pPr>
        <w:spacing w:after="0" w:line="177"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 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Stock Ownership Requirements</w:t>
      </w:r>
    </w:p>
    <w:p>
      <w:pPr>
        <w:spacing w:after="0" w:line="225"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8"/>
          <w:szCs w:val="18"/>
          <w:color w:val="auto"/>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are each required to hold the </w:t>
      </w:r>
      <w:r>
        <w:rPr>
          <w:rFonts w:ascii="Arial" w:cs="Arial" w:eastAsia="Arial" w:hAnsi="Arial"/>
          <w:sz w:val="18"/>
          <w:szCs w:val="18"/>
          <w:i w:val="1"/>
          <w:iCs w:val="1"/>
          <w:color w:val="auto"/>
        </w:rPr>
        <w:t>lower</w:t>
      </w:r>
      <w:r>
        <w:rPr>
          <w:rFonts w:ascii="Arial" w:cs="Arial" w:eastAsia="Arial" w:hAnsi="Arial"/>
          <w:sz w:val="18"/>
          <w:szCs w:val="18"/>
          <w:color w:val="auto"/>
        </w:rPr>
        <w:t xml:space="preserve"> of (a) the number of shares with a fair market value equal to the applicable multiple of such executive’s current base salary, or (b) the applicable number of shares, each as set forth in the table below. All of our Named Executive Officers are in compliance with the executive officer stock ownership guidelines as of the date hereof.</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2700" w:type="dxa"/>
            <w:vAlign w:val="bottom"/>
          </w:tcPr>
          <w:p>
            <w:pPr>
              <w:ind w:left="760"/>
              <w:spacing w:after="0"/>
              <w:rPr>
                <w:sz w:val="20"/>
                <w:szCs w:val="20"/>
                <w:color w:val="auto"/>
              </w:rPr>
            </w:pPr>
            <w:r>
              <w:rPr>
                <w:rFonts w:ascii="Arial" w:cs="Arial" w:eastAsia="Arial" w:hAnsi="Arial"/>
                <w:sz w:val="18"/>
                <w:szCs w:val="18"/>
                <w:b w:val="1"/>
                <w:bCs w:val="1"/>
                <w:color w:val="auto"/>
              </w:rPr>
              <w:t>Multiple of</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2700" w:type="dxa"/>
            <w:vAlign w:val="bottom"/>
          </w:tcPr>
          <w:p>
            <w:pPr>
              <w:ind w:left="320"/>
              <w:spacing w:after="0"/>
              <w:rPr>
                <w:sz w:val="20"/>
                <w:szCs w:val="20"/>
                <w:color w:val="auto"/>
              </w:rPr>
            </w:pPr>
            <w:r>
              <w:rPr>
                <w:rFonts w:ascii="Arial" w:cs="Arial" w:eastAsia="Arial" w:hAnsi="Arial"/>
                <w:sz w:val="18"/>
                <w:szCs w:val="18"/>
                <w:b w:val="1"/>
                <w:bCs w:val="1"/>
                <w:color w:val="auto"/>
              </w:rPr>
              <w:t>Annual Base Salary (1)</w:t>
            </w:r>
          </w:p>
        </w:tc>
        <w:tc>
          <w:tcPr>
            <w:tcW w:w="1880" w:type="dxa"/>
            <w:vAlign w:val="bottom"/>
          </w:tcPr>
          <w:p>
            <w:pPr>
              <w:ind w:left="60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29"/>
        </w:trPr>
        <w:tc>
          <w:tcPr>
            <w:tcW w:w="3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Executive Officer</w:t>
            </w:r>
          </w:p>
        </w:tc>
        <w:tc>
          <w:tcPr>
            <w:tcW w:w="2700" w:type="dxa"/>
            <w:vAlign w:val="bottom"/>
            <w:shd w:val="clear" w:color="auto" w:fill="DBDBDB"/>
          </w:tcPr>
          <w:p>
            <w:pPr>
              <w:jc w:val="center"/>
              <w:ind w:right="190"/>
              <w:spacing w:after="0"/>
              <w:rPr>
                <w:sz w:val="20"/>
                <w:szCs w:val="20"/>
                <w:color w:val="auto"/>
              </w:rPr>
            </w:pPr>
            <w:r>
              <w:rPr>
                <w:rFonts w:ascii="Arial" w:cs="Arial" w:eastAsia="Arial" w:hAnsi="Arial"/>
                <w:sz w:val="18"/>
                <w:szCs w:val="18"/>
                <w:color w:val="auto"/>
                <w:w w:val="99"/>
              </w:rPr>
              <w:t>6</w:t>
            </w:r>
          </w:p>
        </w:tc>
        <w:tc>
          <w:tcPr>
            <w:tcW w:w="18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96,900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700" w:type="dxa"/>
            <w:vAlign w:val="bottom"/>
          </w:tcPr>
          <w:p>
            <w:pPr>
              <w:jc w:val="center"/>
              <w:ind w:right="190"/>
              <w:spacing w:after="0"/>
              <w:rPr>
                <w:sz w:val="20"/>
                <w:szCs w:val="20"/>
                <w:color w:val="auto"/>
              </w:rPr>
            </w:pPr>
            <w:r>
              <w:rPr>
                <w:rFonts w:ascii="Arial" w:cs="Arial" w:eastAsia="Arial" w:hAnsi="Arial"/>
                <w:sz w:val="18"/>
                <w:szCs w:val="18"/>
                <w:color w:val="auto"/>
                <w:w w:val="87"/>
              </w:rPr>
              <w:t>2.5</w:t>
            </w:r>
          </w:p>
        </w:tc>
        <w:tc>
          <w:tcPr>
            <w:tcW w:w="1880" w:type="dxa"/>
            <w:vAlign w:val="bottom"/>
          </w:tcPr>
          <w:p>
            <w:pPr>
              <w:ind w:left="6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188"/>
        </w:trPr>
        <w:tc>
          <w:tcPr>
            <w:tcW w:w="3120" w:type="dxa"/>
            <w:vAlign w:val="bottom"/>
            <w:shd w:val="clear" w:color="auto" w:fill="D9D9D9"/>
          </w:tcPr>
          <w:p>
            <w:pPr>
              <w:ind w:left="20"/>
              <w:spacing w:after="0" w:line="189" w:lineRule="exact"/>
              <w:rPr>
                <w:sz w:val="20"/>
                <w:szCs w:val="20"/>
                <w:color w:val="auto"/>
              </w:rPr>
            </w:pPr>
            <w:r>
              <w:rPr>
                <w:rFonts w:ascii="Arial" w:cs="Arial" w:eastAsia="Arial" w:hAnsi="Arial"/>
                <w:sz w:val="18"/>
                <w:szCs w:val="18"/>
                <w:color w:val="auto"/>
                <w:w w:val="98"/>
              </w:rPr>
              <w:t>Senior Vice President, Technology and</w:t>
            </w:r>
          </w:p>
        </w:tc>
        <w:tc>
          <w:tcPr>
            <w:tcW w:w="2700" w:type="dxa"/>
            <w:vAlign w:val="bottom"/>
            <w:vMerge w:val="restart"/>
            <w:shd w:val="clear" w:color="auto" w:fill="D9D9D9"/>
          </w:tcPr>
          <w:p>
            <w:pPr>
              <w:jc w:val="center"/>
              <w:ind w:right="190"/>
              <w:spacing w:after="0"/>
              <w:rPr>
                <w:sz w:val="20"/>
                <w:szCs w:val="20"/>
                <w:color w:val="auto"/>
              </w:rPr>
            </w:pPr>
            <w:r>
              <w:rPr>
                <w:rFonts w:ascii="Arial" w:cs="Arial" w:eastAsia="Arial" w:hAnsi="Arial"/>
                <w:sz w:val="18"/>
                <w:szCs w:val="18"/>
                <w:color w:val="auto"/>
                <w:w w:val="87"/>
              </w:rPr>
              <w:t>2.5</w:t>
            </w:r>
          </w:p>
        </w:tc>
        <w:tc>
          <w:tcPr>
            <w:tcW w:w="1880" w:type="dxa"/>
            <w:vAlign w:val="bottom"/>
            <w:vMerge w:val="restart"/>
            <w:shd w:val="clear" w:color="auto" w:fill="D9D9D9"/>
          </w:tcPr>
          <w:p>
            <w:pPr>
              <w:ind w:left="62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136"/>
        </w:trPr>
        <w:tc>
          <w:tcPr>
            <w:tcW w:w="3120" w:type="dxa"/>
            <w:vAlign w:val="bottom"/>
            <w:vMerge w:val="restart"/>
            <w:shd w:val="clear" w:color="auto" w:fill="D9D9D9"/>
          </w:tcPr>
          <w:p>
            <w:pPr>
              <w:ind w:left="20"/>
              <w:spacing w:after="0"/>
              <w:rPr>
                <w:sz w:val="20"/>
                <w:szCs w:val="20"/>
                <w:color w:val="auto"/>
              </w:rPr>
            </w:pPr>
            <w:r>
              <w:rPr>
                <w:rFonts w:ascii="Arial" w:cs="Arial" w:eastAsia="Arial" w:hAnsi="Arial"/>
                <w:sz w:val="18"/>
                <w:szCs w:val="18"/>
                <w:color w:val="auto"/>
              </w:rPr>
              <w:t>Manufacturing</w:t>
            </w:r>
          </w:p>
        </w:tc>
        <w:tc>
          <w:tcPr>
            <w:tcW w:w="2700" w:type="dxa"/>
            <w:vAlign w:val="bottom"/>
            <w:vMerge w:val="continue"/>
            <w:shd w:val="clear" w:color="auto" w:fill="D9D9D9"/>
          </w:tcPr>
          <w:p>
            <w:pPr>
              <w:spacing w:after="0"/>
              <w:rPr>
                <w:sz w:val="11"/>
                <w:szCs w:val="11"/>
                <w:color w:val="auto"/>
              </w:rPr>
            </w:pPr>
          </w:p>
        </w:tc>
        <w:tc>
          <w:tcPr>
            <w:tcW w:w="188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shd w:val="clear" w:color="auto" w:fill="D9D9D9"/>
          </w:tcPr>
          <w:p>
            <w:pPr>
              <w:spacing w:after="0"/>
              <w:rPr>
                <w:sz w:val="8"/>
                <w:szCs w:val="8"/>
                <w:color w:val="auto"/>
              </w:rPr>
            </w:pPr>
          </w:p>
        </w:tc>
        <w:tc>
          <w:tcPr>
            <w:tcW w:w="2700" w:type="dxa"/>
            <w:vAlign w:val="bottom"/>
            <w:shd w:val="clear" w:color="auto" w:fill="D9D9D9"/>
          </w:tcPr>
          <w:p>
            <w:pPr>
              <w:spacing w:after="0"/>
              <w:rPr>
                <w:sz w:val="8"/>
                <w:szCs w:val="8"/>
                <w:color w:val="auto"/>
              </w:rPr>
            </w:pPr>
          </w:p>
        </w:tc>
        <w:tc>
          <w:tcPr>
            <w:tcW w:w="188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line="189" w:lineRule="exact"/>
              <w:rPr>
                <w:sz w:val="20"/>
                <w:szCs w:val="20"/>
                <w:color w:val="auto"/>
              </w:rPr>
            </w:pPr>
            <w:r>
              <w:rPr>
                <w:rFonts w:ascii="Arial" w:cs="Arial" w:eastAsia="Arial" w:hAnsi="Arial"/>
                <w:sz w:val="18"/>
                <w:szCs w:val="18"/>
                <w:color w:val="auto"/>
              </w:rPr>
              <w:t>Senior Vice President, Sales and</w:t>
            </w:r>
          </w:p>
        </w:tc>
        <w:tc>
          <w:tcPr>
            <w:tcW w:w="2700" w:type="dxa"/>
            <w:vAlign w:val="bottom"/>
            <w:vMerge w:val="restart"/>
          </w:tcPr>
          <w:p>
            <w:pPr>
              <w:jc w:val="center"/>
              <w:ind w:right="190"/>
              <w:spacing w:after="0"/>
              <w:rPr>
                <w:sz w:val="20"/>
                <w:szCs w:val="20"/>
                <w:color w:val="auto"/>
              </w:rPr>
            </w:pPr>
            <w:r>
              <w:rPr>
                <w:rFonts w:ascii="Arial" w:cs="Arial" w:eastAsia="Arial" w:hAnsi="Arial"/>
                <w:sz w:val="18"/>
                <w:szCs w:val="18"/>
                <w:color w:val="auto"/>
                <w:w w:val="87"/>
              </w:rPr>
              <w:t>2.5</w:t>
            </w:r>
          </w:p>
        </w:tc>
        <w:tc>
          <w:tcPr>
            <w:tcW w:w="1880" w:type="dxa"/>
            <w:vAlign w:val="bottom"/>
            <w:vMerge w:val="restart"/>
          </w:tcPr>
          <w:p>
            <w:pPr>
              <w:ind w:left="620"/>
              <w:spacing w:after="0"/>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136"/>
        </w:trPr>
        <w:tc>
          <w:tcPr>
            <w:tcW w:w="3120" w:type="dxa"/>
            <w:vAlign w:val="bottom"/>
            <w:vMerge w:val="restart"/>
          </w:tcPr>
          <w:p>
            <w:pPr>
              <w:ind w:left="20"/>
              <w:spacing w:after="0"/>
              <w:rPr>
                <w:sz w:val="20"/>
                <w:szCs w:val="20"/>
                <w:color w:val="auto"/>
              </w:rPr>
            </w:pPr>
            <w:r>
              <w:rPr>
                <w:rFonts w:ascii="Arial" w:cs="Arial" w:eastAsia="Arial" w:hAnsi="Arial"/>
                <w:sz w:val="18"/>
                <w:szCs w:val="18"/>
                <w:color w:val="auto"/>
              </w:rPr>
              <w:t>Marketing</w:t>
            </w:r>
          </w:p>
        </w:tc>
        <w:tc>
          <w:tcPr>
            <w:tcW w:w="2700" w:type="dxa"/>
            <w:vAlign w:val="bottom"/>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12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D9D9D9"/>
          </w:tcPr>
          <w:p>
            <w:pPr>
              <w:ind w:left="20"/>
              <w:spacing w:after="0" w:line="189" w:lineRule="exact"/>
              <w:rPr>
                <w:sz w:val="20"/>
                <w:szCs w:val="20"/>
                <w:color w:val="auto"/>
              </w:rPr>
            </w:pPr>
            <w:r>
              <w:rPr>
                <w:rFonts w:ascii="Arial" w:cs="Arial" w:eastAsia="Arial" w:hAnsi="Arial"/>
                <w:sz w:val="18"/>
                <w:szCs w:val="18"/>
                <w:color w:val="auto"/>
              </w:rPr>
              <w:t>Senior Vice President and General</w:t>
            </w:r>
          </w:p>
        </w:tc>
        <w:tc>
          <w:tcPr>
            <w:tcW w:w="2700" w:type="dxa"/>
            <w:vAlign w:val="bottom"/>
            <w:vMerge w:val="restart"/>
            <w:shd w:val="clear" w:color="auto" w:fill="D9D9D9"/>
          </w:tcPr>
          <w:p>
            <w:pPr>
              <w:jc w:val="center"/>
              <w:ind w:right="190"/>
              <w:spacing w:after="0"/>
              <w:rPr>
                <w:sz w:val="20"/>
                <w:szCs w:val="20"/>
                <w:color w:val="auto"/>
              </w:rPr>
            </w:pPr>
            <w:r>
              <w:rPr>
                <w:rFonts w:ascii="Arial" w:cs="Arial" w:eastAsia="Arial" w:hAnsi="Arial"/>
                <w:sz w:val="18"/>
                <w:szCs w:val="18"/>
                <w:color w:val="auto"/>
                <w:w w:val="87"/>
              </w:rPr>
              <w:t>2.5</w:t>
            </w:r>
          </w:p>
        </w:tc>
        <w:tc>
          <w:tcPr>
            <w:tcW w:w="1880" w:type="dxa"/>
            <w:vAlign w:val="bottom"/>
            <w:vMerge w:val="restart"/>
            <w:shd w:val="clear" w:color="auto" w:fill="D9D9D9"/>
          </w:tcPr>
          <w:p>
            <w:pPr>
              <w:ind w:left="620"/>
              <w:spacing w:after="0"/>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136"/>
        </w:trPr>
        <w:tc>
          <w:tcPr>
            <w:tcW w:w="3120" w:type="dxa"/>
            <w:vAlign w:val="bottom"/>
            <w:vMerge w:val="restart"/>
            <w:shd w:val="clear" w:color="auto" w:fill="D9D9D9"/>
          </w:tcPr>
          <w:p>
            <w:pPr>
              <w:ind w:left="20"/>
              <w:spacing w:after="0"/>
              <w:rPr>
                <w:sz w:val="20"/>
                <w:szCs w:val="20"/>
                <w:color w:val="auto"/>
              </w:rPr>
            </w:pPr>
            <w:r>
              <w:rPr>
                <w:rFonts w:ascii="Arial" w:cs="Arial" w:eastAsia="Arial" w:hAnsi="Arial"/>
                <w:sz w:val="18"/>
                <w:szCs w:val="18"/>
                <w:color w:val="auto"/>
              </w:rPr>
              <w:t>Counsel</w:t>
            </w:r>
          </w:p>
        </w:tc>
        <w:tc>
          <w:tcPr>
            <w:tcW w:w="2700" w:type="dxa"/>
            <w:vAlign w:val="bottom"/>
            <w:vMerge w:val="continue"/>
            <w:shd w:val="clear" w:color="auto" w:fill="D9D9D9"/>
          </w:tcPr>
          <w:p>
            <w:pPr>
              <w:spacing w:after="0"/>
              <w:rPr>
                <w:sz w:val="11"/>
                <w:szCs w:val="11"/>
                <w:color w:val="auto"/>
              </w:rPr>
            </w:pPr>
          </w:p>
        </w:tc>
        <w:tc>
          <w:tcPr>
            <w:tcW w:w="188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120" w:type="dxa"/>
            <w:vAlign w:val="bottom"/>
            <w:vMerge w:val="continue"/>
            <w:shd w:val="clear" w:color="auto" w:fill="D9D9D9"/>
          </w:tcPr>
          <w:p>
            <w:pPr>
              <w:spacing w:after="0"/>
              <w:rPr>
                <w:sz w:val="8"/>
                <w:szCs w:val="8"/>
                <w:color w:val="auto"/>
              </w:rPr>
            </w:pPr>
          </w:p>
        </w:tc>
        <w:tc>
          <w:tcPr>
            <w:tcW w:w="2700" w:type="dxa"/>
            <w:vAlign w:val="bottom"/>
            <w:shd w:val="clear" w:color="auto" w:fill="D9D9D9"/>
          </w:tcPr>
          <w:p>
            <w:pPr>
              <w:spacing w:after="0"/>
              <w:rPr>
                <w:sz w:val="8"/>
                <w:szCs w:val="8"/>
                <w:color w:val="auto"/>
              </w:rPr>
            </w:pPr>
          </w:p>
        </w:tc>
        <w:tc>
          <w:tcPr>
            <w:tcW w:w="188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77" w:lineRule="auto"/>
        <w:tabs>
          <w:tab w:leader="none" w:pos="4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purposes of the executive officer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0" w:name="page21"/>
    <w:bookmarkEnd w:id="20"/>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Recoupment Policy (“Clawback”)</w:t>
      </w:r>
    </w:p>
    <w:p>
      <w:pPr>
        <w:spacing w:after="0" w:line="225"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auto"/>
        </w:rPr>
        <w:t>In March 2022, the Company adopted an executive compensation recoupment policy that applies to both cash and equity incentive compensation for executive officers. Under this policy, if we are required to prepare an accounting restatement for one or more periods due to material noncompliance with any financial 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 The Company is planning to adopt an updated executive compensation recoupment policy that will be in compliance with new SEC and Nasdaq rules when such rules become effective</w:t>
      </w:r>
      <w:r>
        <w:rPr>
          <w:rFonts w:ascii="Arial" w:cs="Arial" w:eastAsia="Arial" w:hAnsi="Arial"/>
          <w:sz w:val="16"/>
          <w:szCs w:val="16"/>
          <w:b w:val="1"/>
          <w:bCs w:val="1"/>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Prohibition on Hedging and Certain Other Transactions</w:t>
      </w:r>
    </w:p>
    <w:p>
      <w:pPr>
        <w:spacing w:after="0" w:line="225"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We prohibit our directors, officers, and employees (or any of their designees) from directly or indirectly engaging in the following transactions with respect to securities of the Company:</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short, including short sales “against the box”;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buying or selling put or call options; or</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p>
    <w:p>
      <w:pPr>
        <w:spacing w:after="0" w:line="165"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In addition, we prohibit our directors, officers, and employees from purchasing Company securities on margin, borrowing against Company securities held in a margin account, or pledging Company securities as collateral for a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Internal Revenue Code Section 162(m)</w:t>
      </w:r>
    </w:p>
    <w:p>
      <w:pPr>
        <w:spacing w:after="0" w:line="225"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For fiscal year 2022,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Compensation Tables for Named Executive Officers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80" w:firstLine="389"/>
        <w:spacing w:after="0" w:line="269" w:lineRule="auto"/>
        <w:rPr>
          <w:sz w:val="20"/>
          <w:szCs w:val="20"/>
          <w:color w:val="auto"/>
        </w:rPr>
      </w:pPr>
      <w:r>
        <w:rPr>
          <w:rFonts w:ascii="Arial" w:cs="Arial" w:eastAsia="Arial" w:hAnsi="Arial"/>
          <w:sz w:val="18"/>
          <w:szCs w:val="18"/>
          <w:color w:val="auto"/>
        </w:rPr>
        <w:t>The following table summarizes compensation earned by, or awarded or paid to, our Named Executive Officers for fiscal year 2022, fiscal year 2021, and fiscal year 2020.</w:t>
      </w: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w w:val="89"/>
              </w:rPr>
              <w:t>Stock</w:t>
            </w:r>
          </w:p>
        </w:tc>
        <w:tc>
          <w:tcPr>
            <w:tcW w:w="142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6"/>
              </w:rPr>
              <w:t>Non-Equity</w:t>
            </w:r>
          </w:p>
        </w:tc>
        <w:tc>
          <w:tcPr>
            <w:tcW w:w="1560" w:type="dxa"/>
            <w:vAlign w:val="bottom"/>
            <w:vMerge w:val="restart"/>
          </w:tcPr>
          <w:p>
            <w:pPr>
              <w:jc w:val="center"/>
              <w:ind w:right="293"/>
              <w:spacing w:after="0"/>
              <w:rPr>
                <w:sz w:val="20"/>
                <w:szCs w:val="20"/>
                <w:color w:val="auto"/>
              </w:rPr>
            </w:pPr>
            <w:r>
              <w:rPr>
                <w:rFonts w:ascii="Arial" w:cs="Arial" w:eastAsia="Arial" w:hAnsi="Arial"/>
                <w:sz w:val="14"/>
                <w:szCs w:val="14"/>
                <w:b w:val="1"/>
                <w:bCs w:val="1"/>
                <w:color w:val="auto"/>
                <w:w w:val="98"/>
              </w:rPr>
              <w:t>All Other</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Salary</w:t>
            </w:r>
          </w:p>
        </w:tc>
        <w:tc>
          <w:tcPr>
            <w:tcW w:w="1260" w:type="dxa"/>
            <w:vAlign w:val="bottom"/>
            <w:vMerge w:val="continue"/>
          </w:tcPr>
          <w:p>
            <w:pPr>
              <w:spacing w:after="0"/>
              <w:rPr>
                <w:sz w:val="12"/>
                <w:szCs w:val="12"/>
                <w:color w:val="auto"/>
              </w:rPr>
            </w:pPr>
          </w:p>
        </w:tc>
        <w:tc>
          <w:tcPr>
            <w:tcW w:w="142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60" w:type="dxa"/>
            <w:vAlign w:val="bottom"/>
            <w:vMerge w:val="continue"/>
          </w:tcPr>
          <w:p>
            <w:pPr>
              <w:spacing w:after="0"/>
              <w:rPr>
                <w:sz w:val="12"/>
                <w:szCs w:val="12"/>
                <w:color w:val="auto"/>
              </w:rPr>
            </w:pPr>
          </w:p>
        </w:tc>
        <w:tc>
          <w:tcPr>
            <w:tcW w:w="11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3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continue"/>
          </w:tcPr>
          <w:p>
            <w:pPr>
              <w:spacing w:after="0"/>
              <w:rPr>
                <w:sz w:val="12"/>
                <w:szCs w:val="12"/>
                <w:color w:val="auto"/>
              </w:rPr>
            </w:pPr>
          </w:p>
        </w:tc>
        <w:tc>
          <w:tcPr>
            <w:tcW w:w="1260" w:type="dxa"/>
            <w:vAlign w:val="bottom"/>
          </w:tcPr>
          <w:p>
            <w:pPr>
              <w:jc w:val="center"/>
              <w:ind w:right="233"/>
              <w:spacing w:after="0" w:line="145" w:lineRule="exact"/>
              <w:rPr>
                <w:sz w:val="20"/>
                <w:szCs w:val="20"/>
                <w:color w:val="auto"/>
              </w:rPr>
            </w:pPr>
            <w:r>
              <w:rPr>
                <w:rFonts w:ascii="Arial" w:cs="Arial" w:eastAsia="Arial" w:hAnsi="Arial"/>
                <w:sz w:val="14"/>
                <w:szCs w:val="14"/>
                <w:b w:val="1"/>
                <w:bCs w:val="1"/>
                <w:color w:val="auto"/>
                <w:w w:val="90"/>
              </w:rPr>
              <w:t>Awards</w:t>
            </w:r>
          </w:p>
        </w:tc>
        <w:tc>
          <w:tcPr>
            <w:tcW w:w="1420" w:type="dxa"/>
            <w:vAlign w:val="bottom"/>
          </w:tcPr>
          <w:p>
            <w:pPr>
              <w:jc w:val="center"/>
              <w:ind w:right="174"/>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560" w:type="dxa"/>
            <w:vAlign w:val="bottom"/>
          </w:tcPr>
          <w:p>
            <w:pPr>
              <w:jc w:val="center"/>
              <w:ind w:right="273"/>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2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ind w:right="233"/>
              <w:spacing w:after="0"/>
              <w:rPr>
                <w:sz w:val="20"/>
                <w:szCs w:val="20"/>
                <w:color w:val="auto"/>
              </w:rPr>
            </w:pPr>
            <w:r>
              <w:rPr>
                <w:rFonts w:ascii="Arial" w:cs="Arial" w:eastAsia="Arial" w:hAnsi="Arial"/>
                <w:sz w:val="14"/>
                <w:szCs w:val="14"/>
                <w:b w:val="1"/>
                <w:bCs w:val="1"/>
                <w:color w:val="auto"/>
                <w:w w:val="99"/>
              </w:rPr>
              <w:t>($)(1)</w:t>
            </w:r>
          </w:p>
        </w:tc>
        <w:tc>
          <w:tcPr>
            <w:tcW w:w="1420" w:type="dxa"/>
            <w:vAlign w:val="bottom"/>
          </w:tcPr>
          <w:p>
            <w:pPr>
              <w:jc w:val="center"/>
              <w:ind w:right="154"/>
              <w:spacing w:after="0"/>
              <w:rPr>
                <w:sz w:val="20"/>
                <w:szCs w:val="20"/>
                <w:color w:val="auto"/>
              </w:rPr>
            </w:pPr>
            <w:r>
              <w:rPr>
                <w:rFonts w:ascii="Arial" w:cs="Arial" w:eastAsia="Arial" w:hAnsi="Arial"/>
                <w:sz w:val="14"/>
                <w:szCs w:val="14"/>
                <w:b w:val="1"/>
                <w:bCs w:val="1"/>
                <w:color w:val="auto"/>
                <w:w w:val="99"/>
              </w:rPr>
              <w:t>($)(2)</w:t>
            </w:r>
          </w:p>
        </w:tc>
        <w:tc>
          <w:tcPr>
            <w:tcW w:w="1560" w:type="dxa"/>
            <w:vAlign w:val="bottom"/>
          </w:tcPr>
          <w:p>
            <w:pPr>
              <w:jc w:val="center"/>
              <w:ind w:right="293"/>
              <w:spacing w:after="0"/>
              <w:rPr>
                <w:sz w:val="20"/>
                <w:szCs w:val="20"/>
                <w:color w:val="auto"/>
              </w:rPr>
            </w:pPr>
            <w:r>
              <w:rPr>
                <w:rFonts w:ascii="Arial" w:cs="Arial" w:eastAsia="Arial" w:hAnsi="Arial"/>
                <w:sz w:val="14"/>
                <w:szCs w:val="14"/>
                <w:b w:val="1"/>
                <w:bCs w:val="1"/>
                <w:color w:val="auto"/>
                <w:w w:val="99"/>
              </w:rPr>
              <w:t>($)(3)</w:t>
            </w: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2"/>
        </w:trPr>
        <w:tc>
          <w:tcPr>
            <w:tcW w:w="3320" w:type="dxa"/>
            <w:vAlign w:val="bottom"/>
          </w:tcPr>
          <w:p>
            <w:pPr>
              <w:ind w:left="20"/>
              <w:spacing w:after="0"/>
              <w:rPr>
                <w:sz w:val="20"/>
                <w:szCs w:val="20"/>
                <w:color w:val="auto"/>
              </w:rPr>
            </w:pPr>
            <w:r>
              <w:rPr>
                <w:rFonts w:ascii="Arial" w:cs="Arial" w:eastAsia="Arial" w:hAnsi="Arial"/>
                <w:sz w:val="18"/>
                <w:szCs w:val="18"/>
                <w:color w:val="auto"/>
              </w:rPr>
              <w:t>Liam K. Griffin</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2022</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1,124,289</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13,087,793</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2,423,906</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31,174</w:t>
            </w:r>
          </w:p>
        </w:tc>
        <w:tc>
          <w:tcPr>
            <w:tcW w:w="1100" w:type="dxa"/>
            <w:vAlign w:val="bottom"/>
          </w:tcPr>
          <w:p>
            <w:pPr>
              <w:jc w:val="right"/>
              <w:spacing w:after="0"/>
              <w:rPr>
                <w:sz w:val="20"/>
                <w:szCs w:val="20"/>
                <w:color w:val="auto"/>
              </w:rPr>
            </w:pPr>
            <w:r>
              <w:rPr>
                <w:rFonts w:ascii="Arial" w:cs="Arial" w:eastAsia="Arial" w:hAnsi="Arial"/>
                <w:sz w:val="18"/>
                <w:szCs w:val="18"/>
                <w:color w:val="auto"/>
              </w:rPr>
              <w:t>16,667,162</w:t>
            </w:r>
          </w:p>
        </w:tc>
        <w:tc>
          <w:tcPr>
            <w:tcW w:w="0" w:type="dxa"/>
            <w:vAlign w:val="bottom"/>
          </w:tcPr>
          <w:p>
            <w:pPr>
              <w:spacing w:after="0"/>
              <w:rPr>
                <w:sz w:val="1"/>
                <w:szCs w:val="1"/>
                <w:color w:val="auto"/>
              </w:rPr>
            </w:pPr>
          </w:p>
        </w:tc>
      </w:tr>
      <w:tr>
        <w:trPr>
          <w:trHeight w:val="230"/>
        </w:trPr>
        <w:tc>
          <w:tcPr>
            <w:tcW w:w="3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Chairman, Chief Executive Officer</w:t>
            </w:r>
          </w:p>
        </w:tc>
        <w:tc>
          <w:tcPr>
            <w:tcW w:w="1360" w:type="dxa"/>
            <w:vAlign w:val="bottom"/>
            <w:shd w:val="clear" w:color="auto" w:fill="DBDBDB"/>
          </w:tcPr>
          <w:p>
            <w:pPr>
              <w:jc w:val="right"/>
              <w:ind w:right="131"/>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1,070,223</w:t>
            </w:r>
          </w:p>
        </w:tc>
        <w:tc>
          <w:tcPr>
            <w:tcW w:w="12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11,612,745</w:t>
            </w:r>
          </w:p>
        </w:tc>
        <w:tc>
          <w:tcPr>
            <w:tcW w:w="142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3,440,000</w:t>
            </w:r>
          </w:p>
        </w:tc>
        <w:tc>
          <w:tcPr>
            <w:tcW w:w="1560" w:type="dxa"/>
            <w:vAlign w:val="bottom"/>
            <w:shd w:val="clear" w:color="auto" w:fill="DBDBDB"/>
          </w:tcPr>
          <w:p>
            <w:pPr>
              <w:jc w:val="right"/>
              <w:ind w:right="173"/>
              <w:spacing w:after="0"/>
              <w:rPr>
                <w:sz w:val="20"/>
                <w:szCs w:val="20"/>
                <w:color w:val="auto"/>
              </w:rPr>
            </w:pPr>
            <w:r>
              <w:rPr>
                <w:rFonts w:ascii="Arial" w:cs="Arial" w:eastAsia="Arial" w:hAnsi="Arial"/>
                <w:sz w:val="18"/>
                <w:szCs w:val="18"/>
                <w:color w:val="auto"/>
              </w:rPr>
              <w:t>27,453</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16,150,421</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and President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2020</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1,043,888</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17,430,589</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3,292,800</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33,162</w:t>
            </w:r>
          </w:p>
        </w:tc>
        <w:tc>
          <w:tcPr>
            <w:tcW w:w="1100" w:type="dxa"/>
            <w:vAlign w:val="bottom"/>
          </w:tcPr>
          <w:p>
            <w:pPr>
              <w:jc w:val="right"/>
              <w:spacing w:after="0"/>
              <w:rPr>
                <w:sz w:val="20"/>
                <w:szCs w:val="20"/>
                <w:color w:val="auto"/>
              </w:rPr>
            </w:pPr>
            <w:r>
              <w:rPr>
                <w:rFonts w:ascii="Arial" w:cs="Arial" w:eastAsia="Arial" w:hAnsi="Arial"/>
                <w:sz w:val="18"/>
                <w:szCs w:val="18"/>
                <w:color w:val="auto"/>
              </w:rPr>
              <w:t>21,800,439</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w:t>
            </w:r>
          </w:p>
        </w:tc>
        <w:tc>
          <w:tcPr>
            <w:tcW w:w="1360" w:type="dxa"/>
            <w:vAlign w:val="bottom"/>
            <w:shd w:val="clear" w:color="auto" w:fill="DBDBDB"/>
          </w:tcPr>
          <w:p>
            <w:pPr>
              <w:jc w:val="right"/>
              <w:ind w:right="131"/>
              <w:spacing w:after="0"/>
              <w:rPr>
                <w:sz w:val="20"/>
                <w:szCs w:val="20"/>
                <w:color w:val="auto"/>
              </w:rPr>
            </w:pPr>
            <w:r>
              <w:rPr>
                <w:rFonts w:ascii="Arial" w:cs="Arial" w:eastAsia="Arial" w:hAnsi="Arial"/>
                <w:sz w:val="18"/>
                <w:szCs w:val="18"/>
                <w:color w:val="auto"/>
              </w:rPr>
              <w:t>2022</w:t>
            </w:r>
          </w:p>
        </w:tc>
        <w:tc>
          <w:tcPr>
            <w:tcW w:w="122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585,092</w:t>
            </w:r>
          </w:p>
        </w:tc>
        <w:tc>
          <w:tcPr>
            <w:tcW w:w="12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4,131,556</w:t>
            </w:r>
          </w:p>
        </w:tc>
        <w:tc>
          <w:tcPr>
            <w:tcW w:w="142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788,306</w:t>
            </w:r>
          </w:p>
        </w:tc>
        <w:tc>
          <w:tcPr>
            <w:tcW w:w="1560" w:type="dxa"/>
            <w:vAlign w:val="bottom"/>
            <w:shd w:val="clear" w:color="auto" w:fill="DBDBDB"/>
          </w:tcPr>
          <w:p>
            <w:pPr>
              <w:jc w:val="right"/>
              <w:ind w:right="173"/>
              <w:spacing w:after="0"/>
              <w:rPr>
                <w:sz w:val="20"/>
                <w:szCs w:val="20"/>
                <w:color w:val="auto"/>
              </w:rPr>
            </w:pPr>
            <w:r>
              <w:rPr>
                <w:rFonts w:ascii="Arial" w:cs="Arial" w:eastAsia="Arial" w:hAnsi="Arial"/>
                <w:sz w:val="18"/>
                <w:szCs w:val="18"/>
                <w:color w:val="auto"/>
              </w:rPr>
              <w:t>17,384</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5,522,338</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Senior Vice President and</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2021</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556,885</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3,589,223</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1,120,000</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15,203</w:t>
            </w:r>
          </w:p>
        </w:tc>
        <w:tc>
          <w:tcPr>
            <w:tcW w:w="1100" w:type="dxa"/>
            <w:vAlign w:val="bottom"/>
          </w:tcPr>
          <w:p>
            <w:pPr>
              <w:jc w:val="right"/>
              <w:spacing w:after="0"/>
              <w:rPr>
                <w:sz w:val="20"/>
                <w:szCs w:val="20"/>
                <w:color w:val="auto"/>
              </w:rPr>
            </w:pPr>
            <w:r>
              <w:rPr>
                <w:rFonts w:ascii="Arial" w:cs="Arial" w:eastAsia="Arial" w:hAnsi="Arial"/>
                <w:sz w:val="18"/>
                <w:szCs w:val="18"/>
                <w:color w:val="auto"/>
              </w:rPr>
              <w:t>5,281,311</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Chief Financial Officer</w:t>
            </w:r>
          </w:p>
        </w:tc>
        <w:tc>
          <w:tcPr>
            <w:tcW w:w="1360" w:type="dxa"/>
            <w:vAlign w:val="bottom"/>
            <w:shd w:val="clear" w:color="auto" w:fill="DBDBDB"/>
          </w:tcPr>
          <w:p>
            <w:pPr>
              <w:jc w:val="right"/>
              <w:ind w:right="131"/>
              <w:spacing w:after="0"/>
              <w:rPr>
                <w:sz w:val="20"/>
                <w:szCs w:val="20"/>
                <w:color w:val="auto"/>
              </w:rPr>
            </w:pPr>
            <w:r>
              <w:rPr>
                <w:rFonts w:ascii="Arial" w:cs="Arial" w:eastAsia="Arial" w:hAnsi="Arial"/>
                <w:sz w:val="18"/>
                <w:szCs w:val="18"/>
                <w:color w:val="auto"/>
              </w:rPr>
              <w:t>2020</w:t>
            </w:r>
          </w:p>
        </w:tc>
        <w:tc>
          <w:tcPr>
            <w:tcW w:w="122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537,192</w:t>
            </w:r>
          </w:p>
        </w:tc>
        <w:tc>
          <w:tcPr>
            <w:tcW w:w="12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5,677,593</w:t>
            </w:r>
          </w:p>
        </w:tc>
        <w:tc>
          <w:tcPr>
            <w:tcW w:w="142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1,060,000</w:t>
            </w:r>
          </w:p>
        </w:tc>
        <w:tc>
          <w:tcPr>
            <w:tcW w:w="1560" w:type="dxa"/>
            <w:vAlign w:val="bottom"/>
            <w:shd w:val="clear" w:color="auto" w:fill="DBDBDB"/>
          </w:tcPr>
          <w:p>
            <w:pPr>
              <w:jc w:val="right"/>
              <w:ind w:right="173"/>
              <w:spacing w:after="0"/>
              <w:rPr>
                <w:sz w:val="20"/>
                <w:szCs w:val="20"/>
                <w:color w:val="auto"/>
              </w:rPr>
            </w:pPr>
            <w:r>
              <w:rPr>
                <w:rFonts w:ascii="Arial" w:cs="Arial" w:eastAsia="Arial" w:hAnsi="Arial"/>
                <w:sz w:val="18"/>
                <w:szCs w:val="18"/>
                <w:color w:val="auto"/>
              </w:rPr>
              <w:t>18,591</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7,293,376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Reza Kasnavi(4)</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2022</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553,677</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4,013,570</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597,396</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33,910</w:t>
            </w:r>
          </w:p>
        </w:tc>
        <w:tc>
          <w:tcPr>
            <w:tcW w:w="1100" w:type="dxa"/>
            <w:vAlign w:val="bottom"/>
          </w:tcPr>
          <w:p>
            <w:pPr>
              <w:jc w:val="right"/>
              <w:spacing w:after="0"/>
              <w:rPr>
                <w:sz w:val="20"/>
                <w:szCs w:val="20"/>
                <w:color w:val="auto"/>
              </w:rPr>
            </w:pPr>
            <w:r>
              <w:rPr>
                <w:rFonts w:ascii="Arial" w:cs="Arial" w:eastAsia="Arial" w:hAnsi="Arial"/>
                <w:sz w:val="18"/>
                <w:szCs w:val="18"/>
                <w:color w:val="auto"/>
              </w:rPr>
              <w:t>5,198,553</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260"/>
              <w:spacing w:after="0"/>
              <w:rPr>
                <w:sz w:val="20"/>
                <w:szCs w:val="20"/>
                <w:color w:val="auto"/>
              </w:rPr>
            </w:pPr>
            <w:r>
              <w:rPr>
                <w:rFonts w:ascii="Arial" w:cs="Arial" w:eastAsia="Arial" w:hAnsi="Arial"/>
                <w:sz w:val="18"/>
                <w:szCs w:val="18"/>
                <w:color w:val="auto"/>
              </w:rPr>
              <w:t>Senior Vice President,</w:t>
            </w:r>
          </w:p>
        </w:tc>
        <w:tc>
          <w:tcPr>
            <w:tcW w:w="1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Technology and Manufacturing</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Carlos S. Bori</w:t>
            </w:r>
          </w:p>
        </w:tc>
        <w:tc>
          <w:tcPr>
            <w:tcW w:w="1360" w:type="dxa"/>
            <w:vAlign w:val="bottom"/>
            <w:shd w:val="clear" w:color="auto" w:fill="DBDBDB"/>
          </w:tcPr>
          <w:p>
            <w:pPr>
              <w:jc w:val="right"/>
              <w:ind w:right="131"/>
              <w:spacing w:after="0"/>
              <w:rPr>
                <w:sz w:val="20"/>
                <w:szCs w:val="20"/>
                <w:color w:val="auto"/>
              </w:rPr>
            </w:pPr>
            <w:r>
              <w:rPr>
                <w:rFonts w:ascii="Arial" w:cs="Arial" w:eastAsia="Arial" w:hAnsi="Arial"/>
                <w:sz w:val="18"/>
                <w:szCs w:val="18"/>
                <w:color w:val="auto"/>
              </w:rPr>
              <w:t>2022</w:t>
            </w:r>
          </w:p>
        </w:tc>
        <w:tc>
          <w:tcPr>
            <w:tcW w:w="122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515,327</w:t>
            </w:r>
          </w:p>
        </w:tc>
        <w:tc>
          <w:tcPr>
            <w:tcW w:w="12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4,013,570</w:t>
            </w:r>
          </w:p>
        </w:tc>
        <w:tc>
          <w:tcPr>
            <w:tcW w:w="142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557,713</w:t>
            </w:r>
          </w:p>
        </w:tc>
        <w:tc>
          <w:tcPr>
            <w:tcW w:w="1560" w:type="dxa"/>
            <w:vAlign w:val="bottom"/>
            <w:shd w:val="clear" w:color="auto" w:fill="DBDBDB"/>
          </w:tcPr>
          <w:p>
            <w:pPr>
              <w:jc w:val="right"/>
              <w:ind w:right="173"/>
              <w:spacing w:after="0"/>
              <w:rPr>
                <w:sz w:val="20"/>
                <w:szCs w:val="20"/>
                <w:color w:val="auto"/>
              </w:rPr>
            </w:pPr>
            <w:r>
              <w:rPr>
                <w:rFonts w:ascii="Arial" w:cs="Arial" w:eastAsia="Arial" w:hAnsi="Arial"/>
                <w:sz w:val="18"/>
                <w:szCs w:val="18"/>
                <w:color w:val="auto"/>
              </w:rPr>
              <w:t>15,324</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5,101,934</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2021</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473,131</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3,061,420</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760,000</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17,154</w:t>
            </w:r>
          </w:p>
        </w:tc>
        <w:tc>
          <w:tcPr>
            <w:tcW w:w="1100" w:type="dxa"/>
            <w:vAlign w:val="bottom"/>
          </w:tcPr>
          <w:p>
            <w:pPr>
              <w:jc w:val="right"/>
              <w:spacing w:after="0"/>
              <w:rPr>
                <w:sz w:val="20"/>
                <w:szCs w:val="20"/>
                <w:color w:val="auto"/>
              </w:rPr>
            </w:pPr>
            <w:r>
              <w:rPr>
                <w:rFonts w:ascii="Arial" w:cs="Arial" w:eastAsia="Arial" w:hAnsi="Arial"/>
                <w:sz w:val="18"/>
                <w:szCs w:val="18"/>
                <w:color w:val="auto"/>
              </w:rPr>
              <w:t>4,311,705</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DBDBDB"/>
          </w:tcPr>
          <w:p>
            <w:pPr>
              <w:jc w:val="right"/>
              <w:ind w:right="131"/>
              <w:spacing w:after="0"/>
              <w:rPr>
                <w:sz w:val="20"/>
                <w:szCs w:val="20"/>
                <w:color w:val="auto"/>
              </w:rPr>
            </w:pPr>
            <w:r>
              <w:rPr>
                <w:rFonts w:ascii="Arial" w:cs="Arial" w:eastAsia="Arial" w:hAnsi="Arial"/>
                <w:sz w:val="18"/>
                <w:szCs w:val="18"/>
                <w:color w:val="auto"/>
              </w:rPr>
              <w:t>2020</w:t>
            </w:r>
          </w:p>
        </w:tc>
        <w:tc>
          <w:tcPr>
            <w:tcW w:w="122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463,189</w:t>
            </w:r>
          </w:p>
        </w:tc>
        <w:tc>
          <w:tcPr>
            <w:tcW w:w="12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4,856,262</w:t>
            </w:r>
          </w:p>
        </w:tc>
        <w:tc>
          <w:tcPr>
            <w:tcW w:w="142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731,200</w:t>
            </w:r>
          </w:p>
        </w:tc>
        <w:tc>
          <w:tcPr>
            <w:tcW w:w="1560" w:type="dxa"/>
            <w:vAlign w:val="bottom"/>
            <w:shd w:val="clear" w:color="auto" w:fill="DBDBDB"/>
          </w:tcPr>
          <w:p>
            <w:pPr>
              <w:jc w:val="right"/>
              <w:ind w:right="173"/>
              <w:spacing w:after="0"/>
              <w:rPr>
                <w:sz w:val="20"/>
                <w:szCs w:val="20"/>
                <w:color w:val="auto"/>
              </w:rPr>
            </w:pPr>
            <w:r>
              <w:rPr>
                <w:rFonts w:ascii="Arial" w:cs="Arial" w:eastAsia="Arial" w:hAnsi="Arial"/>
                <w:sz w:val="18"/>
                <w:szCs w:val="18"/>
                <w:color w:val="auto"/>
              </w:rPr>
              <w:t>15,444</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6,066,095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Robert J. Terry</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2022</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518,885</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3,305,147</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559,858</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22,731</w:t>
            </w:r>
          </w:p>
        </w:tc>
        <w:tc>
          <w:tcPr>
            <w:tcW w:w="1100" w:type="dxa"/>
            <w:vAlign w:val="bottom"/>
          </w:tcPr>
          <w:p>
            <w:pPr>
              <w:jc w:val="right"/>
              <w:spacing w:after="0"/>
              <w:rPr>
                <w:sz w:val="20"/>
                <w:szCs w:val="20"/>
                <w:color w:val="auto"/>
              </w:rPr>
            </w:pPr>
            <w:r>
              <w:rPr>
                <w:rFonts w:ascii="Arial" w:cs="Arial" w:eastAsia="Arial" w:hAnsi="Arial"/>
                <w:sz w:val="18"/>
                <w:szCs w:val="18"/>
                <w:color w:val="auto"/>
              </w:rPr>
              <w:t>4,406,621</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Senior Vice President,</w:t>
            </w:r>
          </w:p>
        </w:tc>
        <w:tc>
          <w:tcPr>
            <w:tcW w:w="1360" w:type="dxa"/>
            <w:vAlign w:val="bottom"/>
            <w:shd w:val="clear" w:color="auto" w:fill="DBDBDB"/>
          </w:tcPr>
          <w:p>
            <w:pPr>
              <w:jc w:val="right"/>
              <w:ind w:right="131"/>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490,027</w:t>
            </w:r>
          </w:p>
        </w:tc>
        <w:tc>
          <w:tcPr>
            <w:tcW w:w="1260" w:type="dxa"/>
            <w:vAlign w:val="bottom"/>
            <w:shd w:val="clear" w:color="auto" w:fill="DBDBDB"/>
          </w:tcPr>
          <w:p>
            <w:pPr>
              <w:jc w:val="right"/>
              <w:ind w:right="53"/>
              <w:spacing w:after="0"/>
              <w:rPr>
                <w:sz w:val="20"/>
                <w:szCs w:val="20"/>
                <w:color w:val="auto"/>
              </w:rPr>
            </w:pPr>
            <w:r>
              <w:rPr>
                <w:rFonts w:ascii="Arial" w:cs="Arial" w:eastAsia="Arial" w:hAnsi="Arial"/>
                <w:sz w:val="18"/>
                <w:szCs w:val="18"/>
                <w:color w:val="auto"/>
              </w:rPr>
              <w:t>2,850,298</w:t>
            </w:r>
          </w:p>
        </w:tc>
        <w:tc>
          <w:tcPr>
            <w:tcW w:w="1420" w:type="dxa"/>
            <w:vAlign w:val="bottom"/>
            <w:shd w:val="clear" w:color="auto" w:fill="DBDBDB"/>
          </w:tcPr>
          <w:p>
            <w:pPr>
              <w:jc w:val="right"/>
              <w:ind w:right="54"/>
              <w:spacing w:after="0"/>
              <w:rPr>
                <w:sz w:val="20"/>
                <w:szCs w:val="20"/>
                <w:color w:val="auto"/>
              </w:rPr>
            </w:pPr>
            <w:r>
              <w:rPr>
                <w:rFonts w:ascii="Arial" w:cs="Arial" w:eastAsia="Arial" w:hAnsi="Arial"/>
                <w:sz w:val="18"/>
                <w:szCs w:val="18"/>
                <w:color w:val="auto"/>
              </w:rPr>
              <w:t>787,200</w:t>
            </w:r>
          </w:p>
        </w:tc>
        <w:tc>
          <w:tcPr>
            <w:tcW w:w="1560" w:type="dxa"/>
            <w:vAlign w:val="bottom"/>
            <w:shd w:val="clear" w:color="auto" w:fill="DBDBDB"/>
          </w:tcPr>
          <w:p>
            <w:pPr>
              <w:jc w:val="right"/>
              <w:ind w:right="173"/>
              <w:spacing w:after="0"/>
              <w:rPr>
                <w:sz w:val="20"/>
                <w:szCs w:val="20"/>
                <w:color w:val="auto"/>
              </w:rPr>
            </w:pPr>
            <w:r>
              <w:rPr>
                <w:rFonts w:ascii="Arial" w:cs="Arial" w:eastAsia="Arial" w:hAnsi="Arial"/>
                <w:sz w:val="18"/>
                <w:szCs w:val="18"/>
                <w:color w:val="auto"/>
              </w:rPr>
              <w:t>16,045</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4,143,570</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General Counsel and Secretary</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2020</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479,396</w:t>
            </w: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4,431,833</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756,800</w:t>
            </w:r>
          </w:p>
        </w:tc>
        <w:tc>
          <w:tcPr>
            <w:tcW w:w="1560" w:type="dxa"/>
            <w:vAlign w:val="bottom"/>
          </w:tcPr>
          <w:p>
            <w:pPr>
              <w:jc w:val="right"/>
              <w:ind w:right="173"/>
              <w:spacing w:after="0"/>
              <w:rPr>
                <w:sz w:val="20"/>
                <w:szCs w:val="20"/>
                <w:color w:val="auto"/>
              </w:rPr>
            </w:pPr>
            <w:r>
              <w:rPr>
                <w:rFonts w:ascii="Arial" w:cs="Arial" w:eastAsia="Arial" w:hAnsi="Arial"/>
                <w:sz w:val="18"/>
                <w:szCs w:val="18"/>
                <w:color w:val="auto"/>
              </w:rPr>
              <w:t>15,994</w:t>
            </w:r>
          </w:p>
        </w:tc>
        <w:tc>
          <w:tcPr>
            <w:tcW w:w="1100" w:type="dxa"/>
            <w:vAlign w:val="bottom"/>
          </w:tcPr>
          <w:p>
            <w:pPr>
              <w:jc w:val="right"/>
              <w:spacing w:after="0"/>
              <w:rPr>
                <w:sz w:val="20"/>
                <w:szCs w:val="20"/>
                <w:color w:val="auto"/>
              </w:rPr>
            </w:pPr>
            <w:r>
              <w:rPr>
                <w:rFonts w:ascii="Arial" w:cs="Arial" w:eastAsia="Arial" w:hAnsi="Arial"/>
                <w:sz w:val="18"/>
                <w:szCs w:val="18"/>
                <w:color w:val="auto"/>
              </w:rPr>
              <w:t>5,684,023</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65" w:lineRule="auto"/>
        <w:tabs>
          <w:tab w:leader="none" w:pos="2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amounts in the Stock Awards column represent the grant date fair values, computed in accordance with the provisions of FASB ASC Topic 718— Compensation—Stock Compensation (“ASC 718”), of PSAs and RSUs granted during the applicable fiscal year, without regard to estimated forfeiture rates. For fiscal years 2020, 2021, and 2022, assuming the highest level of performance achievement with respect to the PSAs, the grant date fair values of the Stock Awards would be as follows: Mr. Griffin (FY 2020: $25,430,512; FY 2021: $14,912,691; FY 2022: $16,912,789), Mr. Sennesael (FY 2020: $6,637,546; FY 2021: $4,609,190; FY 2022: $5,339,011), Mr. Kasnavi (FY 2022: $5,886,558), Mr. Bori (FY 2020: $5,666,259; FY 2021: $3,931,401; FY 2022: $5,186,558), and Mr. Terry (FY 2020: $5,211,819; FY 2021: $3,660,286; FY 2022: $4,271,095). For a description of the assumptions used in calculating the fair value of equity awards in fiscal year 2022 under ASC 718, see Note 10 of the Company’s financial statements included in the Company’s Annual Report on Form 10-K filed with the SEC on November 23, 2022.</w:t>
      </w:r>
    </w:p>
    <w:p>
      <w:pPr>
        <w:spacing w:after="0" w:line="1" w:lineRule="exact"/>
        <w:rPr>
          <w:rFonts w:ascii="Arial" w:cs="Arial" w:eastAsia="Arial" w:hAnsi="Arial"/>
          <w:sz w:val="17"/>
          <w:szCs w:val="17"/>
          <w:color w:val="auto"/>
        </w:rPr>
      </w:pPr>
    </w:p>
    <w:p>
      <w:pPr>
        <w:ind w:left="260" w:hanging="252"/>
        <w:spacing w:after="0" w:line="250" w:lineRule="auto"/>
        <w:tabs>
          <w:tab w:leader="none" w:pos="2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amounts paid to the Named Executive Officers pursuant to the executive incentive plan adopted by the Compensation Committee for each year indicated.</w:t>
      </w:r>
    </w:p>
    <w:p>
      <w:pPr>
        <w:jc w:val="both"/>
        <w:ind w:left="260" w:hanging="252"/>
        <w:spacing w:after="0" w:line="250" w:lineRule="auto"/>
        <w:tabs>
          <w:tab w:leader="none" w:pos="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Compensation” includes the Company’s contributions to the executive’s 401(k) Plan account, the cost of group term life insurance premiums, and financial planning benefits. For fiscal year 2022, it specifically includes $12,200 in Company contributions to each Named Executive Officer’s 401(k) Plan account, as well as $14,072, $2,562, $20,000, and $7,791 in financial planning benefits for Messrs. Griffin, Sennesael, Kasnavi and Terry, respectively.</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Kasnavi was not a Named Executive Officer prior to fiscal year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Table</w:t>
      </w:r>
    </w:p>
    <w:p>
      <w:pPr>
        <w:spacing w:after="0" w:line="225" w:lineRule="exact"/>
        <w:rPr>
          <w:sz w:val="20"/>
          <w:szCs w:val="20"/>
          <w:color w:val="auto"/>
        </w:rPr>
      </w:pPr>
    </w:p>
    <w:p>
      <w:pPr>
        <w:ind w:right="20" w:firstLine="389"/>
        <w:spacing w:after="0" w:line="277" w:lineRule="auto"/>
        <w:rPr>
          <w:sz w:val="20"/>
          <w:szCs w:val="20"/>
          <w:color w:val="auto"/>
        </w:rPr>
      </w:pPr>
      <w:r>
        <w:rPr>
          <w:rFonts w:ascii="Arial" w:cs="Arial" w:eastAsia="Arial" w:hAnsi="Arial"/>
          <w:sz w:val="18"/>
          <w:szCs w:val="18"/>
          <w:color w:val="auto"/>
        </w:rPr>
        <w:t>The following table summarizes all grants of plan-based awards made to the Named Executive Officers in fiscal year 2022, including incentive awards payable under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auto"/>
                <w:w w:val="98"/>
              </w:rPr>
              <w:t>All Other</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89"/>
              </w:rPr>
              <w:t>Stock</w:t>
            </w:r>
          </w:p>
        </w:tc>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2840" w:type="dxa"/>
            <w:vAlign w:val="bottom"/>
            <w:gridSpan w:val="3"/>
            <w:vMerge w:val="restart"/>
          </w:tcPr>
          <w:p>
            <w:pPr>
              <w:jc w:val="center"/>
              <w:ind w:right="75"/>
              <w:spacing w:after="0"/>
              <w:rPr>
                <w:sz w:val="20"/>
                <w:szCs w:val="20"/>
                <w:color w:val="auto"/>
              </w:rPr>
            </w:pPr>
            <w:r>
              <w:rPr>
                <w:rFonts w:ascii="Arial" w:cs="Arial" w:eastAsia="Arial" w:hAnsi="Arial"/>
                <w:sz w:val="14"/>
                <w:szCs w:val="14"/>
                <w:b w:val="1"/>
                <w:bCs w:val="1"/>
                <w:color w:val="auto"/>
                <w:w w:val="92"/>
              </w:rPr>
              <w:t>Estimated Future Payouts</w:t>
            </w:r>
          </w:p>
        </w:tc>
        <w:tc>
          <w:tcPr>
            <w:tcW w:w="1100" w:type="dxa"/>
            <w:vAlign w:val="bottom"/>
          </w:tcPr>
          <w:p>
            <w:pPr>
              <w:jc w:val="center"/>
              <w:ind w:right="181"/>
              <w:spacing w:after="0" w:line="145"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2840" w:type="dxa"/>
            <w:vAlign w:val="bottom"/>
            <w:gridSpan w:val="3"/>
            <w:vMerge w:val="continue"/>
          </w:tcPr>
          <w:p>
            <w:pPr>
              <w:spacing w:after="0"/>
              <w:rPr>
                <w:sz w:val="12"/>
                <w:szCs w:val="12"/>
                <w:color w:val="auto"/>
              </w:rPr>
            </w:pPr>
          </w:p>
        </w:tc>
        <w:tc>
          <w:tcPr>
            <w:tcW w:w="1100" w:type="dxa"/>
            <w:vAlign w:val="bottom"/>
          </w:tcPr>
          <w:p>
            <w:pPr>
              <w:jc w:val="center"/>
              <w:ind w:right="201"/>
              <w:spacing w:after="0" w:line="139" w:lineRule="exact"/>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gridSpan w:val="3"/>
          </w:tcPr>
          <w:p>
            <w:pPr>
              <w:jc w:val="center"/>
              <w:ind w:left="718"/>
              <w:spacing w:after="0" w:line="145" w:lineRule="exact"/>
              <w:rPr>
                <w:sz w:val="20"/>
                <w:szCs w:val="20"/>
                <w:color w:val="auto"/>
              </w:rPr>
            </w:pPr>
            <w:r>
              <w:rPr>
                <w:rFonts w:ascii="Arial" w:cs="Arial" w:eastAsia="Arial" w:hAnsi="Arial"/>
                <w:sz w:val="14"/>
                <w:szCs w:val="14"/>
                <w:b w:val="1"/>
                <w:bCs w:val="1"/>
                <w:color w:val="auto"/>
                <w:w w:val="94"/>
              </w:rPr>
              <w:t>Non-Equity Incentive Plan</w:t>
            </w:r>
          </w:p>
        </w:tc>
        <w:tc>
          <w:tcPr>
            <w:tcW w:w="860" w:type="dxa"/>
            <w:vAlign w:val="bottom"/>
          </w:tcPr>
          <w:p>
            <w:pPr>
              <w:spacing w:after="0"/>
              <w:rPr>
                <w:sz w:val="12"/>
                <w:szCs w:val="12"/>
                <w:color w:val="auto"/>
              </w:rPr>
            </w:pPr>
          </w:p>
        </w:tc>
        <w:tc>
          <w:tcPr>
            <w:tcW w:w="2840" w:type="dxa"/>
            <w:vAlign w:val="bottom"/>
            <w:gridSpan w:val="3"/>
          </w:tcPr>
          <w:p>
            <w:pPr>
              <w:jc w:val="center"/>
              <w:ind w:right="75"/>
              <w:spacing w:after="0" w:line="145" w:lineRule="exact"/>
              <w:rPr>
                <w:sz w:val="20"/>
                <w:szCs w:val="20"/>
                <w:color w:val="auto"/>
              </w:rPr>
            </w:pPr>
            <w:r>
              <w:rPr>
                <w:rFonts w:ascii="Arial" w:cs="Arial" w:eastAsia="Arial" w:hAnsi="Arial"/>
                <w:sz w:val="14"/>
                <w:szCs w:val="14"/>
                <w:b w:val="1"/>
                <w:bCs w:val="1"/>
                <w:color w:val="auto"/>
                <w:w w:val="95"/>
              </w:rPr>
              <w:t>Under Equity Incentive Plan</w:t>
            </w:r>
          </w:p>
        </w:tc>
        <w:tc>
          <w:tcPr>
            <w:tcW w:w="1100" w:type="dxa"/>
            <w:vAlign w:val="bottom"/>
          </w:tcPr>
          <w:p>
            <w:pPr>
              <w:jc w:val="center"/>
              <w:ind w:right="181"/>
              <w:spacing w:after="0" w:line="145" w:lineRule="exact"/>
              <w:rPr>
                <w:sz w:val="20"/>
                <w:szCs w:val="20"/>
                <w:color w:val="auto"/>
              </w:rPr>
            </w:pPr>
            <w:r>
              <w:rPr>
                <w:rFonts w:ascii="Arial" w:cs="Arial" w:eastAsia="Arial" w:hAnsi="Arial"/>
                <w:sz w:val="14"/>
                <w:szCs w:val="14"/>
                <w:b w:val="1"/>
                <w:bCs w:val="1"/>
                <w:color w:val="auto"/>
                <w:w w:val="87"/>
              </w:rPr>
              <w:t>Shares of</w:t>
            </w:r>
          </w:p>
        </w:tc>
        <w:tc>
          <w:tcPr>
            <w:tcW w:w="1300" w:type="dxa"/>
            <w:vAlign w:val="bottom"/>
          </w:tcPr>
          <w:p>
            <w:pPr>
              <w:jc w:val="center"/>
              <w:ind w:right="117"/>
              <w:spacing w:after="0" w:line="14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Awards(1)</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Awards(2)</w:t>
            </w:r>
          </w:p>
        </w:tc>
        <w:tc>
          <w:tcPr>
            <w:tcW w:w="1000" w:type="dxa"/>
            <w:vAlign w:val="bottom"/>
          </w:tcPr>
          <w:p>
            <w:pPr>
              <w:spacing w:after="0"/>
              <w:rPr>
                <w:sz w:val="16"/>
                <w:szCs w:val="16"/>
                <w:color w:val="auto"/>
              </w:rPr>
            </w:pPr>
          </w:p>
        </w:tc>
        <w:tc>
          <w:tcPr>
            <w:tcW w:w="1100" w:type="dxa"/>
            <w:vAlign w:val="bottom"/>
          </w:tcPr>
          <w:p>
            <w:pPr>
              <w:jc w:val="center"/>
              <w:ind w:right="181"/>
              <w:spacing w:after="0"/>
              <w:rPr>
                <w:sz w:val="20"/>
                <w:szCs w:val="20"/>
                <w:color w:val="auto"/>
              </w:rPr>
            </w:pPr>
            <w:r>
              <w:rPr>
                <w:rFonts w:ascii="Arial" w:cs="Arial" w:eastAsia="Arial" w:hAnsi="Arial"/>
                <w:sz w:val="14"/>
                <w:szCs w:val="14"/>
                <w:b w:val="1"/>
                <w:bCs w:val="1"/>
                <w:color w:val="auto"/>
                <w:w w:val="95"/>
              </w:rPr>
              <w:t>Stock Or</w:t>
            </w: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51"/>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6"/>
              </w:rPr>
              <w:t>Grant</w:t>
            </w:r>
          </w:p>
        </w:tc>
        <w:tc>
          <w:tcPr>
            <w:tcW w:w="1160" w:type="dxa"/>
            <w:vAlign w:val="bottom"/>
          </w:tcPr>
          <w:p>
            <w:pPr>
              <w:ind w:left="220"/>
              <w:spacing w:after="0" w:line="151" w:lineRule="exact"/>
              <w:rPr>
                <w:sz w:val="20"/>
                <w:szCs w:val="20"/>
                <w:color w:val="auto"/>
              </w:rPr>
            </w:pPr>
            <w:r>
              <w:rPr>
                <w:rFonts w:ascii="Arial" w:cs="Arial" w:eastAsia="Arial" w:hAnsi="Arial"/>
                <w:sz w:val="14"/>
                <w:szCs w:val="14"/>
                <w:b w:val="1"/>
                <w:bCs w:val="1"/>
                <w:color w:val="auto"/>
              </w:rPr>
              <w:t>Threshold</w:t>
            </w:r>
          </w:p>
        </w:tc>
        <w:tc>
          <w:tcPr>
            <w:tcW w:w="1080" w:type="dxa"/>
            <w:vAlign w:val="bottom"/>
          </w:tcPr>
          <w:p>
            <w:pPr>
              <w:jc w:val="right"/>
              <w:ind w:right="377"/>
              <w:spacing w:after="0" w:line="151" w:lineRule="exact"/>
              <w:rPr>
                <w:sz w:val="20"/>
                <w:szCs w:val="20"/>
                <w:color w:val="auto"/>
              </w:rPr>
            </w:pPr>
            <w:r>
              <w:rPr>
                <w:rFonts w:ascii="Arial" w:cs="Arial" w:eastAsia="Arial" w:hAnsi="Arial"/>
                <w:sz w:val="14"/>
                <w:szCs w:val="14"/>
                <w:b w:val="1"/>
                <w:bCs w:val="1"/>
                <w:color w:val="auto"/>
              </w:rPr>
              <w:t>Target</w:t>
            </w:r>
          </w:p>
        </w:tc>
        <w:tc>
          <w:tcPr>
            <w:tcW w:w="1100" w:type="dxa"/>
            <w:vAlign w:val="bottom"/>
            <w:gridSpan w:val="2"/>
          </w:tcPr>
          <w:p>
            <w:pPr>
              <w:jc w:val="right"/>
              <w:ind w:right="233"/>
              <w:spacing w:after="0" w:line="151" w:lineRule="exact"/>
              <w:rPr>
                <w:sz w:val="20"/>
                <w:szCs w:val="20"/>
                <w:color w:val="auto"/>
              </w:rPr>
            </w:pPr>
            <w:r>
              <w:rPr>
                <w:rFonts w:ascii="Arial" w:cs="Arial" w:eastAsia="Arial" w:hAnsi="Arial"/>
                <w:sz w:val="14"/>
                <w:szCs w:val="14"/>
                <w:b w:val="1"/>
                <w:bCs w:val="1"/>
                <w:color w:val="auto"/>
              </w:rPr>
              <w:t>Maximum</w:t>
            </w:r>
          </w:p>
        </w:tc>
        <w:tc>
          <w:tcPr>
            <w:tcW w:w="960" w:type="dxa"/>
            <w:vAlign w:val="bottom"/>
          </w:tcPr>
          <w:p>
            <w:pPr>
              <w:jc w:val="right"/>
              <w:ind w:right="158"/>
              <w:spacing w:after="0" w:line="151" w:lineRule="exact"/>
              <w:rPr>
                <w:sz w:val="20"/>
                <w:szCs w:val="20"/>
                <w:color w:val="auto"/>
              </w:rPr>
            </w:pPr>
            <w:r>
              <w:rPr>
                <w:rFonts w:ascii="Arial" w:cs="Arial" w:eastAsia="Arial" w:hAnsi="Arial"/>
                <w:sz w:val="14"/>
                <w:szCs w:val="14"/>
                <w:b w:val="1"/>
                <w:bCs w:val="1"/>
                <w:color w:val="auto"/>
              </w:rPr>
              <w:t>Threshold</w:t>
            </w:r>
          </w:p>
        </w:tc>
        <w:tc>
          <w:tcPr>
            <w:tcW w:w="880" w:type="dxa"/>
            <w:vAlign w:val="bottom"/>
          </w:tcPr>
          <w:p>
            <w:pPr>
              <w:jc w:val="center"/>
              <w:ind w:right="37"/>
              <w:spacing w:after="0" w:line="151" w:lineRule="exact"/>
              <w:rPr>
                <w:sz w:val="20"/>
                <w:szCs w:val="20"/>
                <w:color w:val="auto"/>
              </w:rPr>
            </w:pPr>
            <w:r>
              <w:rPr>
                <w:rFonts w:ascii="Arial" w:cs="Arial" w:eastAsia="Arial" w:hAnsi="Arial"/>
                <w:sz w:val="14"/>
                <w:szCs w:val="14"/>
                <w:b w:val="1"/>
                <w:bCs w:val="1"/>
                <w:color w:val="auto"/>
                <w:w w:val="93"/>
              </w:rPr>
              <w:t>Target</w:t>
            </w:r>
          </w:p>
        </w:tc>
        <w:tc>
          <w:tcPr>
            <w:tcW w:w="1000" w:type="dxa"/>
            <w:vAlign w:val="bottom"/>
          </w:tcPr>
          <w:p>
            <w:pPr>
              <w:jc w:val="right"/>
              <w:ind w:right="175"/>
              <w:spacing w:after="0" w:line="151" w:lineRule="exact"/>
              <w:rPr>
                <w:sz w:val="20"/>
                <w:szCs w:val="20"/>
                <w:color w:val="auto"/>
              </w:rPr>
            </w:pPr>
            <w:r>
              <w:rPr>
                <w:rFonts w:ascii="Arial" w:cs="Arial" w:eastAsia="Arial" w:hAnsi="Arial"/>
                <w:sz w:val="14"/>
                <w:szCs w:val="14"/>
                <w:b w:val="1"/>
                <w:bCs w:val="1"/>
                <w:color w:val="auto"/>
              </w:rPr>
              <w:t>Maximum</w:t>
            </w:r>
          </w:p>
        </w:tc>
        <w:tc>
          <w:tcPr>
            <w:tcW w:w="1100" w:type="dxa"/>
            <w:vAlign w:val="bottom"/>
          </w:tcPr>
          <w:p>
            <w:pPr>
              <w:jc w:val="center"/>
              <w:ind w:right="181"/>
              <w:spacing w:after="0" w:line="151" w:lineRule="exact"/>
              <w:rPr>
                <w:sz w:val="20"/>
                <w:szCs w:val="20"/>
                <w:color w:val="auto"/>
              </w:rPr>
            </w:pPr>
            <w:r>
              <w:rPr>
                <w:rFonts w:ascii="Arial" w:cs="Arial" w:eastAsia="Arial" w:hAnsi="Arial"/>
                <w:sz w:val="14"/>
                <w:szCs w:val="14"/>
                <w:b w:val="1"/>
                <w:bCs w:val="1"/>
                <w:color w:val="auto"/>
                <w:w w:val="91"/>
              </w:rPr>
              <w:t>Units</w:t>
            </w:r>
          </w:p>
        </w:tc>
        <w:tc>
          <w:tcPr>
            <w:tcW w:w="1300" w:type="dxa"/>
            <w:vAlign w:val="bottom"/>
          </w:tcPr>
          <w:p>
            <w:pPr>
              <w:jc w:val="center"/>
              <w:ind w:right="117"/>
              <w:spacing w:after="0" w:line="151"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86"/>
        </w:trPr>
        <w:tc>
          <w:tcPr>
            <w:tcW w:w="140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6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7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auto"/>
                <w:w w:val="99"/>
              </w:rPr>
              <w:t>(#)(3)</w:t>
            </w: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Awards ($)</w:t>
            </w:r>
          </w:p>
        </w:tc>
        <w:tc>
          <w:tcPr>
            <w:tcW w:w="0" w:type="dxa"/>
            <w:vAlign w:val="bottom"/>
          </w:tcPr>
          <w:p>
            <w:pPr>
              <w:spacing w:after="0"/>
              <w:rPr>
                <w:sz w:val="1"/>
                <w:szCs w:val="1"/>
                <w:color w:val="auto"/>
              </w:rPr>
            </w:pPr>
          </w:p>
        </w:tc>
      </w:tr>
      <w:tr>
        <w:trPr>
          <w:trHeight w:val="242"/>
        </w:trPr>
        <w:tc>
          <w:tcPr>
            <w:tcW w:w="1400" w:type="dxa"/>
            <w:vAlign w:val="bottom"/>
          </w:tcPr>
          <w:p>
            <w:pPr>
              <w:ind w:left="20"/>
              <w:spacing w:after="0"/>
              <w:rPr>
                <w:sz w:val="20"/>
                <w:szCs w:val="20"/>
                <w:color w:val="auto"/>
              </w:rPr>
            </w:pPr>
            <w:r>
              <w:rPr>
                <w:rFonts w:ascii="Arial" w:cs="Arial" w:eastAsia="Arial" w:hAnsi="Arial"/>
                <w:sz w:val="18"/>
                <w:szCs w:val="18"/>
                <w:color w:val="auto"/>
              </w:rPr>
              <w:t>Liam K. Griffin</w:t>
            </w:r>
          </w:p>
        </w:tc>
        <w:tc>
          <w:tcPr>
            <w:tcW w:w="1260" w:type="dxa"/>
            <w:vAlign w:val="bottom"/>
          </w:tcPr>
          <w:p>
            <w:pPr>
              <w:spacing w:after="0"/>
              <w:rPr>
                <w:sz w:val="21"/>
                <w:szCs w:val="21"/>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904,000</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1,808,000</w:t>
            </w:r>
          </w:p>
        </w:tc>
        <w:tc>
          <w:tcPr>
            <w:tcW w:w="24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89"/>
              </w:rPr>
              <w:t>3,616,000</w:t>
            </w: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0" w:type="dxa"/>
            <w:vAlign w:val="bottom"/>
            <w:shd w:val="clear" w:color="auto" w:fill="DBDBDB"/>
          </w:tcPr>
          <w:p>
            <w:pPr>
              <w:spacing w:after="0"/>
              <w:rPr>
                <w:sz w:val="19"/>
                <w:szCs w:val="19"/>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23,860</w:t>
            </w:r>
          </w:p>
        </w:tc>
        <w:tc>
          <w:tcPr>
            <w:tcW w:w="880" w:type="dxa"/>
            <w:vAlign w:val="bottom"/>
            <w:shd w:val="clear" w:color="auto" w:fill="DBDBDB"/>
          </w:tcPr>
          <w:p>
            <w:pPr>
              <w:ind w:left="280"/>
              <w:spacing w:after="0"/>
              <w:rPr>
                <w:sz w:val="20"/>
                <w:szCs w:val="20"/>
                <w:color w:val="auto"/>
              </w:rPr>
            </w:pPr>
            <w:r>
              <w:rPr>
                <w:rFonts w:ascii="Arial" w:cs="Arial" w:eastAsia="Arial" w:hAnsi="Arial"/>
                <w:sz w:val="18"/>
                <w:szCs w:val="18"/>
                <w:color w:val="auto"/>
              </w:rPr>
              <w:t>47,720</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119,300</w:t>
            </w:r>
          </w:p>
        </w:tc>
        <w:tc>
          <w:tcPr>
            <w:tcW w:w="1100" w:type="dxa"/>
            <w:vAlign w:val="bottom"/>
            <w:shd w:val="clear" w:color="auto" w:fill="DBDBDB"/>
          </w:tcPr>
          <w:p>
            <w:pPr>
              <w:spacing w:after="0"/>
              <w:rPr>
                <w:sz w:val="19"/>
                <w:szCs w:val="19"/>
                <w:color w:val="auto"/>
              </w:rPr>
            </w:pPr>
          </w:p>
        </w:tc>
        <w:tc>
          <w:tcPr>
            <w:tcW w:w="1300" w:type="dxa"/>
            <w:vAlign w:val="bottom"/>
            <w:shd w:val="clear" w:color="auto" w:fill="DBDBDB"/>
          </w:tcPr>
          <w:p>
            <w:pPr>
              <w:ind w:left="360"/>
              <w:spacing w:after="0"/>
              <w:rPr>
                <w:sz w:val="20"/>
                <w:szCs w:val="20"/>
                <w:color w:val="auto"/>
              </w:rPr>
            </w:pPr>
            <w:r>
              <w:rPr>
                <w:rFonts w:ascii="Arial" w:cs="Arial" w:eastAsia="Arial" w:hAnsi="Arial"/>
                <w:sz w:val="18"/>
                <w:szCs w:val="18"/>
                <w:color w:val="auto"/>
                <w:w w:val="90"/>
              </w:rPr>
              <w:t>7,987,851(4)</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jc w:val="right"/>
              <w:ind w:right="141"/>
              <w:spacing w:after="0"/>
              <w:rPr>
                <w:sz w:val="20"/>
                <w:szCs w:val="20"/>
                <w:color w:val="auto"/>
              </w:rPr>
            </w:pPr>
            <w:r>
              <w:rPr>
                <w:rFonts w:ascii="Arial" w:cs="Arial" w:eastAsia="Arial" w:hAnsi="Arial"/>
                <w:sz w:val="18"/>
                <w:szCs w:val="18"/>
                <w:color w:val="auto"/>
              </w:rPr>
              <w:t>31,813</w:t>
            </w:r>
          </w:p>
        </w:tc>
        <w:tc>
          <w:tcPr>
            <w:tcW w:w="1300" w:type="dxa"/>
            <w:vAlign w:val="bottom"/>
          </w:tcPr>
          <w:p>
            <w:pPr>
              <w:ind w:left="360"/>
              <w:spacing w:after="0"/>
              <w:rPr>
                <w:sz w:val="20"/>
                <w:szCs w:val="20"/>
                <w:color w:val="auto"/>
              </w:rPr>
            </w:pPr>
            <w:r>
              <w:rPr>
                <w:rFonts w:ascii="Arial" w:cs="Arial" w:eastAsia="Arial" w:hAnsi="Arial"/>
                <w:sz w:val="18"/>
                <w:szCs w:val="18"/>
                <w:color w:val="auto"/>
                <w:w w:val="90"/>
              </w:rPr>
              <w:t>5,099,942(5)</w:t>
            </w:r>
          </w:p>
        </w:tc>
        <w:tc>
          <w:tcPr>
            <w:tcW w:w="0" w:type="dxa"/>
            <w:vAlign w:val="bottom"/>
          </w:tcPr>
          <w:p>
            <w:pPr>
              <w:spacing w:after="0"/>
              <w:rPr>
                <w:sz w:val="1"/>
                <w:szCs w:val="1"/>
                <w:color w:val="auto"/>
              </w:rPr>
            </w:pPr>
          </w:p>
        </w:tc>
      </w:tr>
      <w:tr>
        <w:trPr>
          <w:trHeight w:val="230"/>
        </w:trPr>
        <w:tc>
          <w:tcPr>
            <w:tcW w:w="1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w:t>
            </w:r>
          </w:p>
        </w:tc>
        <w:tc>
          <w:tcPr>
            <w:tcW w:w="1260" w:type="dxa"/>
            <w:vAlign w:val="bottom"/>
            <w:shd w:val="clear" w:color="auto" w:fill="DBDBDB"/>
          </w:tcPr>
          <w:p>
            <w:pPr>
              <w:spacing w:after="0"/>
              <w:rPr>
                <w:sz w:val="19"/>
                <w:szCs w:val="19"/>
                <w:color w:val="auto"/>
              </w:rPr>
            </w:pPr>
          </w:p>
        </w:tc>
        <w:tc>
          <w:tcPr>
            <w:tcW w:w="11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294,000</w:t>
            </w:r>
          </w:p>
        </w:tc>
        <w:tc>
          <w:tcPr>
            <w:tcW w:w="1080" w:type="dxa"/>
            <w:vAlign w:val="bottom"/>
            <w:shd w:val="clear" w:color="auto" w:fill="DBDBDB"/>
          </w:tcPr>
          <w:p>
            <w:pPr>
              <w:jc w:val="right"/>
              <w:ind w:right="37"/>
              <w:spacing w:after="0"/>
              <w:rPr>
                <w:sz w:val="20"/>
                <w:szCs w:val="20"/>
                <w:color w:val="auto"/>
              </w:rPr>
            </w:pPr>
            <w:r>
              <w:rPr>
                <w:rFonts w:ascii="Arial" w:cs="Arial" w:eastAsia="Arial" w:hAnsi="Arial"/>
                <w:sz w:val="18"/>
                <w:szCs w:val="18"/>
                <w:color w:val="auto"/>
              </w:rPr>
              <w:t>588,000</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w w:val="89"/>
              </w:rPr>
              <w:t>1,176,000</w:t>
            </w: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7,532</w:t>
            </w:r>
          </w:p>
        </w:tc>
        <w:tc>
          <w:tcPr>
            <w:tcW w:w="880" w:type="dxa"/>
            <w:vAlign w:val="bottom"/>
          </w:tcPr>
          <w:p>
            <w:pPr>
              <w:ind w:left="280"/>
              <w:spacing w:after="0"/>
              <w:rPr>
                <w:sz w:val="20"/>
                <w:szCs w:val="20"/>
                <w:color w:val="auto"/>
              </w:rPr>
            </w:pPr>
            <w:r>
              <w:rPr>
                <w:rFonts w:ascii="Arial" w:cs="Arial" w:eastAsia="Arial" w:hAnsi="Arial"/>
                <w:sz w:val="18"/>
                <w:szCs w:val="18"/>
                <w:color w:val="auto"/>
              </w:rPr>
              <w:t>15,064</w:t>
            </w:r>
          </w:p>
        </w:tc>
        <w:tc>
          <w:tcPr>
            <w:tcW w:w="1000" w:type="dxa"/>
            <w:vAlign w:val="bottom"/>
          </w:tcPr>
          <w:p>
            <w:pPr>
              <w:jc w:val="right"/>
              <w:spacing w:after="0"/>
              <w:rPr>
                <w:sz w:val="20"/>
                <w:szCs w:val="20"/>
                <w:color w:val="auto"/>
              </w:rPr>
            </w:pPr>
            <w:r>
              <w:rPr>
                <w:rFonts w:ascii="Arial" w:cs="Arial" w:eastAsia="Arial" w:hAnsi="Arial"/>
                <w:sz w:val="18"/>
                <w:szCs w:val="18"/>
                <w:color w:val="auto"/>
              </w:rPr>
              <w:t>37,660</w:t>
            </w:r>
          </w:p>
        </w:tc>
        <w:tc>
          <w:tcPr>
            <w:tcW w:w="1100" w:type="dxa"/>
            <w:vAlign w:val="bottom"/>
          </w:tcPr>
          <w:p>
            <w:pPr>
              <w:spacing w:after="0"/>
              <w:rPr>
                <w:sz w:val="19"/>
                <w:szCs w:val="19"/>
                <w:color w:val="auto"/>
              </w:rPr>
            </w:pPr>
          </w:p>
        </w:tc>
        <w:tc>
          <w:tcPr>
            <w:tcW w:w="1300" w:type="dxa"/>
            <w:vAlign w:val="bottom"/>
          </w:tcPr>
          <w:p>
            <w:pPr>
              <w:ind w:left="360"/>
              <w:spacing w:after="0"/>
              <w:rPr>
                <w:sz w:val="20"/>
                <w:szCs w:val="20"/>
                <w:color w:val="auto"/>
              </w:rPr>
            </w:pPr>
            <w:r>
              <w:rPr>
                <w:rFonts w:ascii="Arial" w:cs="Arial" w:eastAsia="Arial" w:hAnsi="Arial"/>
                <w:sz w:val="18"/>
                <w:szCs w:val="18"/>
                <w:color w:val="auto"/>
                <w:w w:val="90"/>
              </w:rPr>
              <w:t>2,521,563(4)</w:t>
            </w:r>
          </w:p>
        </w:tc>
        <w:tc>
          <w:tcPr>
            <w:tcW w:w="0" w:type="dxa"/>
            <w:vAlign w:val="bottom"/>
          </w:tcPr>
          <w:p>
            <w:pPr>
              <w:spacing w:after="0"/>
              <w:rPr>
                <w:sz w:val="1"/>
                <w:szCs w:val="1"/>
                <w:color w:val="auto"/>
              </w:rPr>
            </w:pPr>
          </w:p>
        </w:tc>
      </w:tr>
      <w:tr>
        <w:trPr>
          <w:trHeight w:val="230"/>
        </w:trPr>
        <w:tc>
          <w:tcPr>
            <w:tcW w:w="1400" w:type="dxa"/>
            <w:vAlign w:val="bottom"/>
            <w:shd w:val="clear" w:color="auto" w:fill="DBDBDB"/>
          </w:tcPr>
          <w:p>
            <w:pPr>
              <w:spacing w:after="0"/>
              <w:rPr>
                <w:sz w:val="19"/>
                <w:szCs w:val="19"/>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41"/>
              <w:spacing w:after="0"/>
              <w:rPr>
                <w:sz w:val="20"/>
                <w:szCs w:val="20"/>
                <w:color w:val="auto"/>
              </w:rPr>
            </w:pPr>
            <w:r>
              <w:rPr>
                <w:rFonts w:ascii="Arial" w:cs="Arial" w:eastAsia="Arial" w:hAnsi="Arial"/>
                <w:sz w:val="18"/>
                <w:szCs w:val="18"/>
                <w:color w:val="auto"/>
              </w:rPr>
              <w:t>10,043</w:t>
            </w:r>
          </w:p>
        </w:tc>
        <w:tc>
          <w:tcPr>
            <w:tcW w:w="1300" w:type="dxa"/>
            <w:vAlign w:val="bottom"/>
            <w:shd w:val="clear" w:color="auto" w:fill="DBDBDB"/>
          </w:tcPr>
          <w:p>
            <w:pPr>
              <w:ind w:left="360"/>
              <w:spacing w:after="0"/>
              <w:rPr>
                <w:sz w:val="20"/>
                <w:szCs w:val="20"/>
                <w:color w:val="auto"/>
              </w:rPr>
            </w:pPr>
            <w:r>
              <w:rPr>
                <w:rFonts w:ascii="Arial" w:cs="Arial" w:eastAsia="Arial" w:hAnsi="Arial"/>
                <w:sz w:val="18"/>
                <w:szCs w:val="18"/>
                <w:color w:val="auto"/>
                <w:w w:val="90"/>
              </w:rPr>
              <w:t>1,609,993(5)</w:t>
            </w:r>
          </w:p>
        </w:tc>
        <w:tc>
          <w:tcPr>
            <w:tcW w:w="0" w:type="dxa"/>
            <w:vAlign w:val="bottom"/>
          </w:tcPr>
          <w:p>
            <w:pPr>
              <w:spacing w:after="0"/>
              <w:rPr>
                <w:sz w:val="1"/>
                <w:szCs w:val="1"/>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Reza Kasnavi</w:t>
            </w:r>
          </w:p>
        </w:tc>
        <w:tc>
          <w:tcPr>
            <w:tcW w:w="1260" w:type="dxa"/>
            <w:vAlign w:val="bottom"/>
          </w:tcPr>
          <w:p>
            <w:pPr>
              <w:spacing w:after="0"/>
              <w:rPr>
                <w:sz w:val="19"/>
                <w:szCs w:val="19"/>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222,800</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445,600</w:t>
            </w:r>
          </w:p>
        </w:tc>
        <w:tc>
          <w:tcPr>
            <w:tcW w:w="24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891,200</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shd w:val="clear" w:color="auto" w:fill="DBDBDB"/>
          </w:tcPr>
          <w:p>
            <w:pPr>
              <w:spacing w:after="0"/>
              <w:rPr>
                <w:sz w:val="19"/>
                <w:szCs w:val="19"/>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7,317</w:t>
            </w:r>
          </w:p>
        </w:tc>
        <w:tc>
          <w:tcPr>
            <w:tcW w:w="880" w:type="dxa"/>
            <w:vAlign w:val="bottom"/>
            <w:shd w:val="clear" w:color="auto" w:fill="DBDBDB"/>
          </w:tcPr>
          <w:p>
            <w:pPr>
              <w:ind w:left="280"/>
              <w:spacing w:after="0"/>
              <w:rPr>
                <w:sz w:val="20"/>
                <w:szCs w:val="20"/>
                <w:color w:val="auto"/>
              </w:rPr>
            </w:pPr>
            <w:r>
              <w:rPr>
                <w:rFonts w:ascii="Arial" w:cs="Arial" w:eastAsia="Arial" w:hAnsi="Arial"/>
                <w:sz w:val="18"/>
                <w:szCs w:val="18"/>
                <w:color w:val="auto"/>
              </w:rPr>
              <w:t>14,634</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36,585</w:t>
            </w:r>
          </w:p>
        </w:tc>
        <w:tc>
          <w:tcPr>
            <w:tcW w:w="1100" w:type="dxa"/>
            <w:vAlign w:val="bottom"/>
            <w:shd w:val="clear" w:color="auto" w:fill="DBDBDB"/>
          </w:tcPr>
          <w:p>
            <w:pPr>
              <w:spacing w:after="0"/>
              <w:rPr>
                <w:sz w:val="19"/>
                <w:szCs w:val="19"/>
                <w:color w:val="auto"/>
              </w:rPr>
            </w:pPr>
          </w:p>
        </w:tc>
        <w:tc>
          <w:tcPr>
            <w:tcW w:w="1300" w:type="dxa"/>
            <w:vAlign w:val="bottom"/>
            <w:shd w:val="clear" w:color="auto" w:fill="DBDBDB"/>
          </w:tcPr>
          <w:p>
            <w:pPr>
              <w:ind w:left="360"/>
              <w:spacing w:after="0"/>
              <w:rPr>
                <w:sz w:val="20"/>
                <w:szCs w:val="20"/>
                <w:color w:val="auto"/>
              </w:rPr>
            </w:pPr>
            <w:r>
              <w:rPr>
                <w:rFonts w:ascii="Arial" w:cs="Arial" w:eastAsia="Arial" w:hAnsi="Arial"/>
                <w:sz w:val="18"/>
                <w:szCs w:val="18"/>
                <w:color w:val="auto"/>
                <w:w w:val="90"/>
              </w:rPr>
              <w:t>2,449,585(4)</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jc w:val="right"/>
              <w:ind w:right="141"/>
              <w:spacing w:after="0"/>
              <w:rPr>
                <w:sz w:val="20"/>
                <w:szCs w:val="20"/>
                <w:color w:val="auto"/>
              </w:rPr>
            </w:pPr>
            <w:r>
              <w:rPr>
                <w:rFonts w:ascii="Arial" w:cs="Arial" w:eastAsia="Arial" w:hAnsi="Arial"/>
                <w:sz w:val="18"/>
                <w:szCs w:val="18"/>
                <w:color w:val="auto"/>
              </w:rPr>
              <w:t>9,756</w:t>
            </w:r>
          </w:p>
        </w:tc>
        <w:tc>
          <w:tcPr>
            <w:tcW w:w="1300" w:type="dxa"/>
            <w:vAlign w:val="bottom"/>
          </w:tcPr>
          <w:p>
            <w:pPr>
              <w:ind w:left="360"/>
              <w:spacing w:after="0"/>
              <w:rPr>
                <w:sz w:val="20"/>
                <w:szCs w:val="20"/>
                <w:color w:val="auto"/>
              </w:rPr>
            </w:pPr>
            <w:r>
              <w:rPr>
                <w:rFonts w:ascii="Arial" w:cs="Arial" w:eastAsia="Arial" w:hAnsi="Arial"/>
                <w:sz w:val="18"/>
                <w:szCs w:val="18"/>
                <w:color w:val="auto"/>
                <w:w w:val="90"/>
              </w:rPr>
              <w:t>1,563,984(5)</w:t>
            </w:r>
          </w:p>
        </w:tc>
        <w:tc>
          <w:tcPr>
            <w:tcW w:w="0" w:type="dxa"/>
            <w:vAlign w:val="bottom"/>
          </w:tcPr>
          <w:p>
            <w:pPr>
              <w:spacing w:after="0"/>
              <w:rPr>
                <w:sz w:val="1"/>
                <w:szCs w:val="1"/>
                <w:color w:val="auto"/>
              </w:rPr>
            </w:pPr>
          </w:p>
        </w:tc>
      </w:tr>
      <w:tr>
        <w:trPr>
          <w:trHeight w:val="229"/>
        </w:trPr>
        <w:tc>
          <w:tcPr>
            <w:tcW w:w="1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Carlos S. Bori</w:t>
            </w:r>
          </w:p>
        </w:tc>
        <w:tc>
          <w:tcPr>
            <w:tcW w:w="1260" w:type="dxa"/>
            <w:vAlign w:val="bottom"/>
            <w:shd w:val="clear" w:color="auto" w:fill="DBDBDB"/>
          </w:tcPr>
          <w:p>
            <w:pPr>
              <w:spacing w:after="0"/>
              <w:rPr>
                <w:sz w:val="19"/>
                <w:szCs w:val="19"/>
                <w:color w:val="auto"/>
              </w:rPr>
            </w:pPr>
          </w:p>
        </w:tc>
        <w:tc>
          <w:tcPr>
            <w:tcW w:w="1160" w:type="dxa"/>
            <w:vAlign w:val="bottom"/>
            <w:shd w:val="clear" w:color="auto" w:fill="DBDBDB"/>
          </w:tcPr>
          <w:p>
            <w:pPr>
              <w:ind w:left="440"/>
              <w:spacing w:after="0"/>
              <w:rPr>
                <w:sz w:val="20"/>
                <w:szCs w:val="20"/>
                <w:color w:val="auto"/>
              </w:rPr>
            </w:pPr>
            <w:r>
              <w:rPr>
                <w:rFonts w:ascii="Arial" w:cs="Arial" w:eastAsia="Arial" w:hAnsi="Arial"/>
                <w:sz w:val="18"/>
                <w:szCs w:val="18"/>
                <w:color w:val="auto"/>
              </w:rPr>
              <w:t>208,000</w:t>
            </w:r>
          </w:p>
        </w:tc>
        <w:tc>
          <w:tcPr>
            <w:tcW w:w="1080" w:type="dxa"/>
            <w:vAlign w:val="bottom"/>
            <w:shd w:val="clear" w:color="auto" w:fill="DBDBDB"/>
          </w:tcPr>
          <w:p>
            <w:pPr>
              <w:jc w:val="right"/>
              <w:ind w:right="37"/>
              <w:spacing w:after="0"/>
              <w:rPr>
                <w:sz w:val="20"/>
                <w:szCs w:val="20"/>
                <w:color w:val="auto"/>
              </w:rPr>
            </w:pPr>
            <w:r>
              <w:rPr>
                <w:rFonts w:ascii="Arial" w:cs="Arial" w:eastAsia="Arial" w:hAnsi="Arial"/>
                <w:sz w:val="18"/>
                <w:szCs w:val="18"/>
                <w:color w:val="auto"/>
              </w:rPr>
              <w:t>416,000</w:t>
            </w: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ind w:right="33"/>
              <w:spacing w:after="0"/>
              <w:rPr>
                <w:sz w:val="20"/>
                <w:szCs w:val="20"/>
                <w:color w:val="auto"/>
              </w:rPr>
            </w:pPr>
            <w:r>
              <w:rPr>
                <w:rFonts w:ascii="Arial" w:cs="Arial" w:eastAsia="Arial" w:hAnsi="Arial"/>
                <w:sz w:val="18"/>
                <w:szCs w:val="18"/>
                <w:color w:val="auto"/>
              </w:rPr>
              <w:t>832,000</w:t>
            </w: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7,317</w:t>
            </w:r>
          </w:p>
        </w:tc>
        <w:tc>
          <w:tcPr>
            <w:tcW w:w="880" w:type="dxa"/>
            <w:vAlign w:val="bottom"/>
          </w:tcPr>
          <w:p>
            <w:pPr>
              <w:ind w:left="280"/>
              <w:spacing w:after="0"/>
              <w:rPr>
                <w:sz w:val="20"/>
                <w:szCs w:val="20"/>
                <w:color w:val="auto"/>
              </w:rPr>
            </w:pPr>
            <w:r>
              <w:rPr>
                <w:rFonts w:ascii="Arial" w:cs="Arial" w:eastAsia="Arial" w:hAnsi="Arial"/>
                <w:sz w:val="18"/>
                <w:szCs w:val="18"/>
                <w:color w:val="auto"/>
              </w:rPr>
              <w:t>14,634</w:t>
            </w:r>
          </w:p>
        </w:tc>
        <w:tc>
          <w:tcPr>
            <w:tcW w:w="1000" w:type="dxa"/>
            <w:vAlign w:val="bottom"/>
          </w:tcPr>
          <w:p>
            <w:pPr>
              <w:jc w:val="right"/>
              <w:spacing w:after="0"/>
              <w:rPr>
                <w:sz w:val="20"/>
                <w:szCs w:val="20"/>
                <w:color w:val="auto"/>
              </w:rPr>
            </w:pPr>
            <w:r>
              <w:rPr>
                <w:rFonts w:ascii="Arial" w:cs="Arial" w:eastAsia="Arial" w:hAnsi="Arial"/>
                <w:sz w:val="18"/>
                <w:szCs w:val="18"/>
                <w:color w:val="auto"/>
              </w:rPr>
              <w:t>36,585</w:t>
            </w:r>
          </w:p>
        </w:tc>
        <w:tc>
          <w:tcPr>
            <w:tcW w:w="1100" w:type="dxa"/>
            <w:vAlign w:val="bottom"/>
          </w:tcPr>
          <w:p>
            <w:pPr>
              <w:spacing w:after="0"/>
              <w:rPr>
                <w:sz w:val="19"/>
                <w:szCs w:val="19"/>
                <w:color w:val="auto"/>
              </w:rPr>
            </w:pPr>
          </w:p>
        </w:tc>
        <w:tc>
          <w:tcPr>
            <w:tcW w:w="1300" w:type="dxa"/>
            <w:vAlign w:val="bottom"/>
          </w:tcPr>
          <w:p>
            <w:pPr>
              <w:ind w:left="360"/>
              <w:spacing w:after="0"/>
              <w:rPr>
                <w:sz w:val="20"/>
                <w:szCs w:val="20"/>
                <w:color w:val="auto"/>
              </w:rPr>
            </w:pPr>
            <w:r>
              <w:rPr>
                <w:rFonts w:ascii="Arial" w:cs="Arial" w:eastAsia="Arial" w:hAnsi="Arial"/>
                <w:sz w:val="18"/>
                <w:szCs w:val="18"/>
                <w:color w:val="auto"/>
                <w:w w:val="90"/>
              </w:rPr>
              <w:t>2,449,585(4)</w:t>
            </w:r>
          </w:p>
        </w:tc>
        <w:tc>
          <w:tcPr>
            <w:tcW w:w="0" w:type="dxa"/>
            <w:vAlign w:val="bottom"/>
          </w:tcPr>
          <w:p>
            <w:pPr>
              <w:spacing w:after="0"/>
              <w:rPr>
                <w:sz w:val="1"/>
                <w:szCs w:val="1"/>
                <w:color w:val="auto"/>
              </w:rPr>
            </w:pPr>
          </w:p>
        </w:tc>
      </w:tr>
      <w:tr>
        <w:trPr>
          <w:trHeight w:val="229"/>
        </w:trPr>
        <w:tc>
          <w:tcPr>
            <w:tcW w:w="1400" w:type="dxa"/>
            <w:vAlign w:val="bottom"/>
            <w:shd w:val="clear" w:color="auto" w:fill="DBDBDB"/>
          </w:tcPr>
          <w:p>
            <w:pPr>
              <w:spacing w:after="0"/>
              <w:rPr>
                <w:sz w:val="19"/>
                <w:szCs w:val="19"/>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141"/>
              <w:spacing w:after="0"/>
              <w:rPr>
                <w:sz w:val="20"/>
                <w:szCs w:val="20"/>
                <w:color w:val="auto"/>
              </w:rPr>
            </w:pPr>
            <w:r>
              <w:rPr>
                <w:rFonts w:ascii="Arial" w:cs="Arial" w:eastAsia="Arial" w:hAnsi="Arial"/>
                <w:sz w:val="18"/>
                <w:szCs w:val="18"/>
                <w:color w:val="auto"/>
              </w:rPr>
              <w:t>9,756</w:t>
            </w:r>
          </w:p>
        </w:tc>
        <w:tc>
          <w:tcPr>
            <w:tcW w:w="1300" w:type="dxa"/>
            <w:vAlign w:val="bottom"/>
            <w:shd w:val="clear" w:color="auto" w:fill="DBDBDB"/>
          </w:tcPr>
          <w:p>
            <w:pPr>
              <w:ind w:left="360"/>
              <w:spacing w:after="0"/>
              <w:rPr>
                <w:sz w:val="20"/>
                <w:szCs w:val="20"/>
                <w:color w:val="auto"/>
              </w:rPr>
            </w:pPr>
            <w:r>
              <w:rPr>
                <w:rFonts w:ascii="Arial" w:cs="Arial" w:eastAsia="Arial" w:hAnsi="Arial"/>
                <w:sz w:val="18"/>
                <w:szCs w:val="18"/>
                <w:color w:val="auto"/>
                <w:w w:val="90"/>
              </w:rPr>
              <w:t>1,563,984(5)</w:t>
            </w:r>
          </w:p>
        </w:tc>
        <w:tc>
          <w:tcPr>
            <w:tcW w:w="0" w:type="dxa"/>
            <w:vAlign w:val="bottom"/>
          </w:tcPr>
          <w:p>
            <w:pPr>
              <w:spacing w:after="0"/>
              <w:rPr>
                <w:sz w:val="1"/>
                <w:szCs w:val="1"/>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Robert J. Terry</w:t>
            </w:r>
          </w:p>
        </w:tc>
        <w:tc>
          <w:tcPr>
            <w:tcW w:w="1260" w:type="dxa"/>
            <w:vAlign w:val="bottom"/>
          </w:tcPr>
          <w:p>
            <w:pPr>
              <w:spacing w:after="0"/>
              <w:rPr>
                <w:sz w:val="19"/>
                <w:szCs w:val="19"/>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208,800</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417,600</w:t>
            </w:r>
          </w:p>
        </w:tc>
        <w:tc>
          <w:tcPr>
            <w:tcW w:w="24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835,200</w:t>
            </w: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DBDBDB"/>
          </w:tcPr>
          <w:p>
            <w:pPr>
              <w:spacing w:after="0"/>
              <w:rPr>
                <w:sz w:val="19"/>
                <w:szCs w:val="19"/>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6,025</w:t>
            </w:r>
          </w:p>
        </w:tc>
        <w:tc>
          <w:tcPr>
            <w:tcW w:w="880" w:type="dxa"/>
            <w:vAlign w:val="bottom"/>
            <w:shd w:val="clear" w:color="auto" w:fill="DBDBDB"/>
          </w:tcPr>
          <w:p>
            <w:pPr>
              <w:ind w:left="280"/>
              <w:spacing w:after="0"/>
              <w:rPr>
                <w:sz w:val="20"/>
                <w:szCs w:val="20"/>
                <w:color w:val="auto"/>
              </w:rPr>
            </w:pPr>
            <w:r>
              <w:rPr>
                <w:rFonts w:ascii="Arial" w:cs="Arial" w:eastAsia="Arial" w:hAnsi="Arial"/>
                <w:sz w:val="18"/>
                <w:szCs w:val="18"/>
                <w:color w:val="auto"/>
              </w:rPr>
              <w:t>12,051</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30,127</w:t>
            </w:r>
          </w:p>
        </w:tc>
        <w:tc>
          <w:tcPr>
            <w:tcW w:w="1100" w:type="dxa"/>
            <w:vAlign w:val="bottom"/>
            <w:shd w:val="clear" w:color="auto" w:fill="DBDBDB"/>
          </w:tcPr>
          <w:p>
            <w:pPr>
              <w:spacing w:after="0"/>
              <w:rPr>
                <w:sz w:val="19"/>
                <w:szCs w:val="19"/>
                <w:color w:val="auto"/>
              </w:rPr>
            </w:pPr>
          </w:p>
        </w:tc>
        <w:tc>
          <w:tcPr>
            <w:tcW w:w="1300" w:type="dxa"/>
            <w:vAlign w:val="bottom"/>
            <w:shd w:val="clear" w:color="auto" w:fill="DBDBDB"/>
          </w:tcPr>
          <w:p>
            <w:pPr>
              <w:ind w:left="360"/>
              <w:spacing w:after="0"/>
              <w:rPr>
                <w:sz w:val="20"/>
                <w:szCs w:val="20"/>
                <w:color w:val="auto"/>
              </w:rPr>
            </w:pPr>
            <w:r>
              <w:rPr>
                <w:rFonts w:ascii="Arial" w:cs="Arial" w:eastAsia="Arial" w:hAnsi="Arial"/>
                <w:sz w:val="18"/>
                <w:szCs w:val="18"/>
                <w:color w:val="auto"/>
                <w:w w:val="90"/>
              </w:rPr>
              <w:t>2,017,217(4)</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11/10/2021</w:t>
            </w: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jc w:val="right"/>
              <w:ind w:right="141"/>
              <w:spacing w:after="0"/>
              <w:rPr>
                <w:sz w:val="20"/>
                <w:szCs w:val="20"/>
                <w:color w:val="auto"/>
              </w:rPr>
            </w:pPr>
            <w:r>
              <w:rPr>
                <w:rFonts w:ascii="Arial" w:cs="Arial" w:eastAsia="Arial" w:hAnsi="Arial"/>
                <w:sz w:val="18"/>
                <w:szCs w:val="18"/>
                <w:color w:val="auto"/>
              </w:rPr>
              <w:t>8,034</w:t>
            </w:r>
          </w:p>
        </w:tc>
        <w:tc>
          <w:tcPr>
            <w:tcW w:w="1300" w:type="dxa"/>
            <w:vAlign w:val="bottom"/>
          </w:tcPr>
          <w:p>
            <w:pPr>
              <w:ind w:left="360"/>
              <w:spacing w:after="0"/>
              <w:rPr>
                <w:sz w:val="20"/>
                <w:szCs w:val="20"/>
                <w:color w:val="auto"/>
              </w:rPr>
            </w:pPr>
            <w:r>
              <w:rPr>
                <w:rFonts w:ascii="Arial" w:cs="Arial" w:eastAsia="Arial" w:hAnsi="Arial"/>
                <w:sz w:val="18"/>
                <w:szCs w:val="18"/>
                <w:color w:val="auto"/>
                <w:w w:val="90"/>
              </w:rPr>
              <w:t>1,287,931(5)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260" w:hanging="252"/>
        <w:spacing w:after="0" w:line="265" w:lineRule="auto"/>
        <w:tabs>
          <w:tab w:leader="none" w:pos="29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amounts shown represent the potential value of awards earned under the Incentive Plan. The amounts actually paid to the Named Executive Officers under the Incentive Plan are shown above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under “</w:t>
      </w:r>
      <w:r>
        <w:rPr>
          <w:rFonts w:ascii="Arial" w:cs="Arial" w:eastAsia="Arial" w:hAnsi="Arial"/>
          <w:sz w:val="17"/>
          <w:szCs w:val="17"/>
          <w:i w:val="1"/>
          <w:iCs w:val="1"/>
          <w:color w:val="auto"/>
        </w:rPr>
        <w:t>Non-Equity Incentive Plan Compensation</w:t>
      </w:r>
      <w:r>
        <w:rPr>
          <w:rFonts w:ascii="Arial" w:cs="Arial" w:eastAsia="Arial" w:hAnsi="Arial"/>
          <w:sz w:val="17"/>
          <w:szCs w:val="17"/>
          <w:color w:val="auto"/>
        </w:rPr>
        <w:t>.” For a more complete description of the Incentive Plan, please see description above under “</w:t>
      </w:r>
      <w:r>
        <w:rPr>
          <w:rFonts w:ascii="Arial" w:cs="Arial" w:eastAsia="Arial" w:hAnsi="Arial"/>
          <w:sz w:val="17"/>
          <w:szCs w:val="17"/>
          <w:i w:val="1"/>
          <w:iCs w:val="1"/>
          <w:color w:val="auto"/>
        </w:rPr>
        <w:t>Components of Compensation—Short-Term Incentives</w:t>
      </w:r>
      <w:r>
        <w:rPr>
          <w:rFonts w:ascii="Arial" w:cs="Arial" w:eastAsia="Arial" w:hAnsi="Arial"/>
          <w:sz w:val="17"/>
          <w:szCs w:val="17"/>
          <w:color w:val="auto"/>
        </w:rPr>
        <w:t>.”</w:t>
      </w:r>
    </w:p>
    <w:p>
      <w:pPr>
        <w:ind w:left="260" w:hanging="252"/>
        <w:spacing w:after="0" w:line="265" w:lineRule="auto"/>
        <w:tabs>
          <w:tab w:leader="none" w:pos="2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amounts shown represent shares potentially issuable pursuant to the FY22 PSAs granted on November 10, 2021, under the Company’s 2015 Long-Term Incentive Plan, as described above under “</w:t>
      </w:r>
      <w:r>
        <w:rPr>
          <w:rFonts w:ascii="Arial" w:cs="Arial" w:eastAsia="Arial" w:hAnsi="Arial"/>
          <w:sz w:val="17"/>
          <w:szCs w:val="17"/>
          <w:i w:val="1"/>
          <w:iCs w:val="1"/>
          <w:color w:val="auto"/>
        </w:rPr>
        <w:t>Components of Compensation—Long-Term Stock-Based Compensation</w:t>
      </w:r>
      <w:r>
        <w:rPr>
          <w:rFonts w:ascii="Arial" w:cs="Arial" w:eastAsia="Arial" w:hAnsi="Arial"/>
          <w:sz w:val="17"/>
          <w:szCs w:val="17"/>
          <w:color w:val="auto"/>
        </w:rPr>
        <w:t>.”</w:t>
      </w:r>
    </w:p>
    <w:p>
      <w:pPr>
        <w:jc w:val="both"/>
        <w:ind w:left="260" w:hanging="252"/>
        <w:spacing w:after="0" w:line="250" w:lineRule="auto"/>
        <w:tabs>
          <w:tab w:leader="none" w:pos="2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underlying RSU awards granted under the Company’s 2015 Long-Term Incentive Plan. Each RSU award vests over four years at a rate of twenty-five percent (25%) per year commencing one year after the grant date and on each subsequent anniversary of the grant date for the following three years, provided the executive remains employed by the Company through each such vesting date.</w:t>
      </w:r>
    </w:p>
    <w:p>
      <w:pPr>
        <w:spacing w:after="0" w:line="1" w:lineRule="exact"/>
        <w:rPr>
          <w:rFonts w:ascii="Arial" w:cs="Arial" w:eastAsia="Arial" w:hAnsi="Arial"/>
          <w:sz w:val="18"/>
          <w:szCs w:val="18"/>
          <w:color w:val="auto"/>
        </w:rPr>
      </w:pPr>
    </w:p>
    <w:p>
      <w:pPr>
        <w:jc w:val="both"/>
        <w:ind w:left="260" w:hanging="252"/>
        <w:spacing w:after="0" w:line="265" w:lineRule="auto"/>
        <w:tabs>
          <w:tab w:leader="none" w:pos="291"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Reflects the grant date fair value of the FY22 PSAs, computed in accordance with the provisions of ASC 718, using (a) a Monte Carlo simulation (which weights the probability of multiple potential outcomes) to value the portion of the award related to TSR percentile ranking, and (b) a price of $160.31 per share, which was the closing sale price of the Company’s common stock on the Nasdaq Global Select Market on November 10, 2021, to value the portion of the award related to emerging revenue growth and design wins, assuming performance at the “target” level. For a description of the assumptions used in calculating the fair value of equity awards granted in fiscal year 2022 under ASC 718, see Note 10 of the Company’s financial statements included in the Company’s Annual Report on Form 10-K filed with the SEC on November 23, 2022.</w:t>
      </w:r>
    </w:p>
    <w:p>
      <w:pPr>
        <w:ind w:left="260" w:right="20" w:hanging="252"/>
        <w:spacing w:after="0" w:line="323" w:lineRule="auto"/>
        <w:tabs>
          <w:tab w:leader="none" w:pos="2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Reflects the grant date fair value of the RSUs granted on November 10, 2021, computed in accordance with the provisions of ASC 718 using a price of $160.31 per share, which was the closing price of the Company’s common stock on the Nasdaq Global Select Market on November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23" w:name="page24"/>
    <w:bookmarkEnd w:id="23"/>
    <w:p>
      <w:pPr>
        <w:ind w:left="400"/>
        <w:spacing w:after="0"/>
        <w:rPr>
          <w:sz w:val="20"/>
          <w:szCs w:val="20"/>
          <w:color w:val="auto"/>
        </w:rPr>
      </w:pPr>
      <w:r>
        <w:rPr>
          <w:rFonts w:ascii="Arial" w:cs="Arial" w:eastAsia="Arial" w:hAnsi="Arial"/>
          <w:sz w:val="18"/>
          <w:szCs w:val="18"/>
          <w:b w:val="1"/>
          <w:bCs w:val="1"/>
          <w:i w:val="1"/>
          <w:iCs w:val="1"/>
          <w:color w:val="auto"/>
        </w:rPr>
        <w:t>Outstanding Equity Awards at Fiscal Year End Table</w:t>
      </w:r>
    </w:p>
    <w:p>
      <w:pPr>
        <w:spacing w:after="0" w:line="225"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The following table summarizes the unvested stock awards and all stock options held by the Named Executive Officers as of the end of fiscal year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80" w:type="dxa"/>
            <w:vAlign w:val="bottom"/>
            <w:gridSpan w:val="2"/>
          </w:tcPr>
          <w:p>
            <w:pPr>
              <w:ind w:left="700"/>
              <w:spacing w:after="0"/>
              <w:rPr>
                <w:sz w:val="20"/>
                <w:szCs w:val="20"/>
                <w:color w:val="auto"/>
              </w:rPr>
            </w:pPr>
            <w:r>
              <w:rPr>
                <w:rFonts w:ascii="Arial" w:cs="Arial" w:eastAsia="Arial" w:hAnsi="Arial"/>
                <w:sz w:val="14"/>
                <w:szCs w:val="14"/>
                <w:b w:val="1"/>
                <w:bCs w:val="1"/>
                <w:color w:val="auto"/>
              </w:rPr>
              <w:t>Option Awards</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00" w:type="dxa"/>
            <w:vAlign w:val="bottom"/>
            <w:gridSpan w:val="2"/>
          </w:tcPr>
          <w:p>
            <w:pPr>
              <w:jc w:val="right"/>
              <w:ind w:right="848"/>
              <w:spacing w:after="0"/>
              <w:rPr>
                <w:sz w:val="20"/>
                <w:szCs w:val="20"/>
                <w:color w:val="auto"/>
              </w:rPr>
            </w:pPr>
            <w:r>
              <w:rPr>
                <w:rFonts w:ascii="Arial" w:cs="Arial" w:eastAsia="Arial" w:hAnsi="Arial"/>
                <w:sz w:val="14"/>
                <w:szCs w:val="14"/>
                <w:b w:val="1"/>
                <w:bCs w:val="1"/>
                <w:color w:val="auto"/>
              </w:rPr>
              <w:t>Stock Awards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8"/>
              </w:rPr>
              <w:t>Equity</w:t>
            </w:r>
          </w:p>
        </w:tc>
        <w:tc>
          <w:tcPr>
            <w:tcW w:w="124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4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Incentive</w:t>
            </w: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4"/>
              </w:rPr>
              <w:t>Plan</w:t>
            </w:r>
          </w:p>
        </w:tc>
        <w:tc>
          <w:tcPr>
            <w:tcW w:w="12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w w:val="98"/>
              </w:rPr>
              <w:t>Number</w:t>
            </w:r>
          </w:p>
        </w:tc>
        <w:tc>
          <w:tcPr>
            <w:tcW w:w="122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Market</w:t>
            </w: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Number</w:t>
            </w: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2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7"/>
              </w:rPr>
              <w:t>Number of</w:t>
            </w:r>
          </w:p>
        </w:tc>
        <w:tc>
          <w:tcPr>
            <w:tcW w:w="13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w w:val="87"/>
              </w:rPr>
              <w:t>of Shares</w:t>
            </w:r>
          </w:p>
        </w:tc>
        <w:tc>
          <w:tcPr>
            <w:tcW w:w="122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1"/>
              </w:rPr>
              <w:t>Value of</w:t>
            </w:r>
          </w:p>
        </w:tc>
        <w:tc>
          <w:tcPr>
            <w:tcW w:w="128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w w:val="95"/>
              </w:rPr>
              <w:t>of Unearned</w:t>
            </w:r>
          </w:p>
        </w:tc>
        <w:tc>
          <w:tcPr>
            <w:tcW w:w="12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4"/>
              </w:rPr>
              <w:t>or Units</w:t>
            </w:r>
          </w:p>
        </w:tc>
        <w:tc>
          <w:tcPr>
            <w:tcW w:w="1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89"/>
              </w:rPr>
              <w:t>Shares</w:t>
            </w: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Shares,</w:t>
            </w: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0"/>
              </w:rPr>
              <w:t>of Stock</w:t>
            </w:r>
          </w:p>
        </w:tc>
        <w:tc>
          <w:tcPr>
            <w:tcW w:w="1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or Units</w:t>
            </w: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Units or</w:t>
            </w: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2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2"/>
              </w:rPr>
              <w:t>Underlying</w:t>
            </w:r>
          </w:p>
        </w:tc>
        <w:tc>
          <w:tcPr>
            <w:tcW w:w="138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tcPr>
          <w:p>
            <w:pPr>
              <w:spacing w:after="0"/>
              <w:rPr>
                <w:sz w:val="11"/>
                <w:szCs w:val="11"/>
                <w:color w:val="auto"/>
              </w:rPr>
            </w:pPr>
          </w:p>
        </w:tc>
        <w:tc>
          <w:tcPr>
            <w:tcW w:w="126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w w:val="93"/>
              </w:rPr>
              <w:t>that</w:t>
            </w:r>
          </w:p>
        </w:tc>
        <w:tc>
          <w:tcPr>
            <w:tcW w:w="122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0"/>
              </w:rPr>
              <w:t>of Stock</w:t>
            </w:r>
          </w:p>
        </w:tc>
        <w:tc>
          <w:tcPr>
            <w:tcW w:w="128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w w:val="97"/>
              </w:rPr>
              <w:t>other</w:t>
            </w:r>
          </w:p>
        </w:tc>
        <w:tc>
          <w:tcPr>
            <w:tcW w:w="12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0" w:type="dxa"/>
            <w:vAlign w:val="bottom"/>
            <w:vMerge w:val="continue"/>
          </w:tcPr>
          <w:p>
            <w:pPr>
              <w:spacing w:after="0"/>
              <w:rPr>
                <w:sz w:val="12"/>
                <w:szCs w:val="12"/>
                <w:color w:val="auto"/>
              </w:rPr>
            </w:pPr>
          </w:p>
        </w:tc>
        <w:tc>
          <w:tcPr>
            <w:tcW w:w="126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5"/>
              </w:rPr>
              <w:t>Have</w:t>
            </w:r>
          </w:p>
        </w:tc>
        <w:tc>
          <w:tcPr>
            <w:tcW w:w="1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that</w:t>
            </w:r>
          </w:p>
        </w:tc>
        <w:tc>
          <w:tcPr>
            <w:tcW w:w="12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Rights</w:t>
            </w: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other Rights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Options</w:t>
            </w:r>
          </w:p>
        </w:tc>
        <w:tc>
          <w:tcPr>
            <w:tcW w:w="138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Options</w:t>
            </w:r>
          </w:p>
        </w:tc>
        <w:tc>
          <w:tcPr>
            <w:tcW w:w="12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vMerge w:val="continue"/>
          </w:tcPr>
          <w:p>
            <w:pPr>
              <w:spacing w:after="0"/>
              <w:rPr>
                <w:sz w:val="12"/>
                <w:szCs w:val="12"/>
                <w:color w:val="auto"/>
              </w:rPr>
            </w:pPr>
          </w:p>
        </w:tc>
        <w:tc>
          <w:tcPr>
            <w:tcW w:w="12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4"/>
              </w:rPr>
              <w:t>Not</w:t>
            </w:r>
          </w:p>
        </w:tc>
        <w:tc>
          <w:tcPr>
            <w:tcW w:w="1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5"/>
              </w:rPr>
              <w:t>Have Not</w:t>
            </w:r>
          </w:p>
        </w:tc>
        <w:tc>
          <w:tcPr>
            <w:tcW w:w="12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8"/>
              </w:rPr>
              <w:t>that Have</w:t>
            </w:r>
          </w:p>
        </w:tc>
        <w:tc>
          <w:tcPr>
            <w:tcW w:w="12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3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3"/>
              </w:rPr>
              <w:t>(#)</w:t>
            </w:r>
          </w:p>
        </w:tc>
        <w:tc>
          <w:tcPr>
            <w:tcW w:w="138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248"/>
              <w:spacing w:after="0" w:line="135"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w w:val="96"/>
              </w:rPr>
              <w:t>Expiration</w:t>
            </w:r>
          </w:p>
        </w:tc>
        <w:tc>
          <w:tcPr>
            <w:tcW w:w="1260" w:type="dxa"/>
            <w:vAlign w:val="bottom"/>
          </w:tcPr>
          <w:p>
            <w:pPr>
              <w:jc w:val="center"/>
              <w:ind w:right="268"/>
              <w:spacing w:after="0" w:line="135" w:lineRule="exact"/>
              <w:rPr>
                <w:sz w:val="20"/>
                <w:szCs w:val="20"/>
                <w:color w:val="auto"/>
              </w:rPr>
            </w:pPr>
            <w:r>
              <w:rPr>
                <w:rFonts w:ascii="Arial" w:cs="Arial" w:eastAsia="Arial" w:hAnsi="Arial"/>
                <w:sz w:val="14"/>
                <w:szCs w:val="14"/>
                <w:b w:val="1"/>
                <w:bCs w:val="1"/>
                <w:color w:val="auto"/>
                <w:w w:val="87"/>
              </w:rPr>
              <w:t>Vested</w:t>
            </w:r>
          </w:p>
        </w:tc>
        <w:tc>
          <w:tcPr>
            <w:tcW w:w="1220" w:type="dxa"/>
            <w:vAlign w:val="bottom"/>
          </w:tcPr>
          <w:p>
            <w:pPr>
              <w:jc w:val="center"/>
              <w:ind w:right="228"/>
              <w:spacing w:after="0" w:line="135" w:lineRule="exact"/>
              <w:rPr>
                <w:sz w:val="20"/>
                <w:szCs w:val="20"/>
                <w:color w:val="auto"/>
              </w:rPr>
            </w:pPr>
            <w:r>
              <w:rPr>
                <w:rFonts w:ascii="Arial" w:cs="Arial" w:eastAsia="Arial" w:hAnsi="Arial"/>
                <w:sz w:val="14"/>
                <w:szCs w:val="14"/>
                <w:b w:val="1"/>
                <w:bCs w:val="1"/>
                <w:color w:val="auto"/>
                <w:w w:val="87"/>
              </w:rPr>
              <w:t>Vested</w:t>
            </w:r>
          </w:p>
        </w:tc>
        <w:tc>
          <w:tcPr>
            <w:tcW w:w="128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w w:val="90"/>
              </w:rPr>
              <w:t>Not Vested</w:t>
            </w:r>
          </w:p>
        </w:tc>
        <w:tc>
          <w:tcPr>
            <w:tcW w:w="12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90"/>
        </w:trPr>
        <w:tc>
          <w:tcPr>
            <w:tcW w:w="1120" w:type="dxa"/>
            <w:vAlign w:val="bottom"/>
            <w:vMerge w:val="continue"/>
          </w:tcPr>
          <w:p>
            <w:pPr>
              <w:spacing w:after="0"/>
              <w:rPr>
                <w:sz w:val="16"/>
                <w:szCs w:val="16"/>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Exercisable</w:t>
            </w:r>
          </w:p>
        </w:tc>
        <w:tc>
          <w:tcPr>
            <w:tcW w:w="138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Unexercisable</w:t>
            </w:r>
          </w:p>
        </w:tc>
        <w:tc>
          <w:tcPr>
            <w:tcW w:w="1200" w:type="dxa"/>
            <w:vAlign w:val="bottom"/>
          </w:tcPr>
          <w:p>
            <w:pPr>
              <w:jc w:val="center"/>
              <w:ind w:right="248"/>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9"/>
              </w:rPr>
              <w:t>($)(1)</w:t>
            </w: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center"/>
              <w:ind w:right="68"/>
              <w:spacing w:after="0"/>
              <w:rPr>
                <w:sz w:val="20"/>
                <w:szCs w:val="20"/>
                <w:color w:val="auto"/>
              </w:rPr>
            </w:pP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189"/>
        </w:trPr>
        <w:tc>
          <w:tcPr>
            <w:tcW w:w="1120" w:type="dxa"/>
            <w:vAlign w:val="bottom"/>
          </w:tcPr>
          <w:p>
            <w:pPr>
              <w:ind w:left="20"/>
              <w:spacing w:after="0"/>
              <w:rPr>
                <w:sz w:val="20"/>
                <w:szCs w:val="20"/>
                <w:color w:val="auto"/>
              </w:rPr>
            </w:pPr>
            <w:r>
              <w:rPr>
                <w:rFonts w:ascii="Arial" w:cs="Arial" w:eastAsia="Arial" w:hAnsi="Arial"/>
                <w:sz w:val="14"/>
                <w:szCs w:val="14"/>
                <w:color w:val="auto"/>
              </w:rPr>
              <w:t>Liam K. Griffin</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13,211</w:t>
            </w:r>
          </w:p>
        </w:tc>
        <w:tc>
          <w:tcPr>
            <w:tcW w:w="1380" w:type="dxa"/>
            <w:vAlign w:val="bottom"/>
          </w:tcPr>
          <w:p>
            <w:pPr>
              <w:ind w:left="10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77.66</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11/9/2023</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22,936(2)</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1,955,753</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15,194(8)</w:t>
            </w:r>
          </w:p>
        </w:tc>
        <w:tc>
          <w:tcPr>
            <w:tcW w:w="1240" w:type="dxa"/>
            <w:vAlign w:val="bottom"/>
          </w:tcPr>
          <w:p>
            <w:pPr>
              <w:jc w:val="right"/>
              <w:spacing w:after="0"/>
              <w:rPr>
                <w:sz w:val="20"/>
                <w:szCs w:val="20"/>
                <w:color w:val="auto"/>
              </w:rPr>
            </w:pPr>
            <w:r>
              <w:rPr>
                <w:rFonts w:ascii="Arial" w:cs="Arial" w:eastAsia="Arial" w:hAnsi="Arial"/>
                <w:sz w:val="14"/>
                <w:szCs w:val="14"/>
                <w:color w:val="auto"/>
              </w:rPr>
              <w:t>1,295,592</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23,860(3)</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2,034,542</w:t>
            </w:r>
          </w:p>
        </w:tc>
        <w:tc>
          <w:tcPr>
            <w:tcW w:w="1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11,468(9)</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977,876</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12,100(4)</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1,031,767</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35,790(10)</w:t>
            </w:r>
          </w:p>
        </w:tc>
        <w:tc>
          <w:tcPr>
            <w:tcW w:w="1240" w:type="dxa"/>
            <w:vAlign w:val="bottom"/>
          </w:tcPr>
          <w:p>
            <w:pPr>
              <w:jc w:val="right"/>
              <w:spacing w:after="0"/>
              <w:rPr>
                <w:sz w:val="20"/>
                <w:szCs w:val="20"/>
                <w:color w:val="auto"/>
              </w:rPr>
            </w:pPr>
            <w:r>
              <w:rPr>
                <w:rFonts w:ascii="Arial" w:cs="Arial" w:eastAsia="Arial" w:hAnsi="Arial"/>
                <w:sz w:val="14"/>
                <w:szCs w:val="14"/>
                <w:color w:val="auto"/>
              </w:rPr>
              <w:t>3,051,813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20,258(5)</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1,727,400</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22,937(6)</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1,955,838</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31,813(7)</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2,712,694</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20"/>
              <w:spacing w:after="0"/>
              <w:rPr>
                <w:sz w:val="20"/>
                <w:szCs w:val="20"/>
                <w:color w:val="auto"/>
              </w:rPr>
            </w:pPr>
            <w:r>
              <w:rPr>
                <w:rFonts w:ascii="Arial" w:cs="Arial" w:eastAsia="Arial" w:hAnsi="Arial"/>
                <w:sz w:val="14"/>
                <w:szCs w:val="14"/>
                <w:color w:val="auto"/>
              </w:rPr>
              <w:t>Kris Sennesael</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40,000</w:t>
            </w:r>
          </w:p>
        </w:tc>
        <w:tc>
          <w:tcPr>
            <w:tcW w:w="1380" w:type="dxa"/>
            <w:vAlign w:val="bottom"/>
          </w:tcPr>
          <w:p>
            <w:pPr>
              <w:ind w:left="104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75.22</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8/29/2023</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7,088(2)</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604,394</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4,862(8)</w:t>
            </w:r>
          </w:p>
        </w:tc>
        <w:tc>
          <w:tcPr>
            <w:tcW w:w="1240" w:type="dxa"/>
            <w:vAlign w:val="bottom"/>
          </w:tcPr>
          <w:p>
            <w:pPr>
              <w:jc w:val="right"/>
              <w:spacing w:after="0"/>
              <w:rPr>
                <w:sz w:val="20"/>
                <w:szCs w:val="20"/>
                <w:color w:val="auto"/>
              </w:rPr>
            </w:pPr>
            <w:r>
              <w:rPr>
                <w:rFonts w:ascii="Arial" w:cs="Arial" w:eastAsia="Arial" w:hAnsi="Arial"/>
                <w:sz w:val="14"/>
                <w:szCs w:val="14"/>
                <w:color w:val="auto"/>
              </w:rPr>
              <w:t>414,583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12,770</w:t>
            </w:r>
          </w:p>
        </w:tc>
        <w:tc>
          <w:tcPr>
            <w:tcW w:w="1380" w:type="dxa"/>
            <w:vAlign w:val="bottom"/>
            <w:tcBorders>
              <w:bottom w:val="single" w:sz="8" w:color="DBDBDB"/>
            </w:tcBorders>
            <w:shd w:val="clear" w:color="auto" w:fill="DBDBDB"/>
          </w:tcPr>
          <w:p>
            <w:pPr>
              <w:ind w:left="10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77.66</w:t>
            </w:r>
          </w:p>
        </w:tc>
        <w:tc>
          <w:tcPr>
            <w:tcW w:w="126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11/9/2023</w:t>
            </w: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7,532(3)</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642,254</w:t>
            </w:r>
          </w:p>
        </w:tc>
        <w:tc>
          <w:tcPr>
            <w:tcW w:w="1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3,544(9)</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302,197</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3,388(4)</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288,895</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11,298(10)</w:t>
            </w:r>
          </w:p>
        </w:tc>
        <w:tc>
          <w:tcPr>
            <w:tcW w:w="1240" w:type="dxa"/>
            <w:vAlign w:val="bottom"/>
          </w:tcPr>
          <w:p>
            <w:pPr>
              <w:jc w:val="right"/>
              <w:spacing w:after="0"/>
              <w:rPr>
                <w:sz w:val="20"/>
                <w:szCs w:val="20"/>
                <w:color w:val="auto"/>
              </w:rPr>
            </w:pPr>
            <w:r>
              <w:rPr>
                <w:rFonts w:ascii="Arial" w:cs="Arial" w:eastAsia="Arial" w:hAnsi="Arial"/>
                <w:sz w:val="14"/>
                <w:szCs w:val="14"/>
                <w:color w:val="auto"/>
              </w:rPr>
              <w:t>963,380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6,482(5)</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552,720</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7,089(6)</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604,479</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10,043(7)</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856,367</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20"/>
              <w:spacing w:after="0"/>
              <w:rPr>
                <w:sz w:val="20"/>
                <w:szCs w:val="20"/>
                <w:color w:val="auto"/>
              </w:rPr>
            </w:pPr>
            <w:r>
              <w:rPr>
                <w:rFonts w:ascii="Arial" w:cs="Arial" w:eastAsia="Arial" w:hAnsi="Arial"/>
                <w:sz w:val="14"/>
                <w:szCs w:val="14"/>
                <w:color w:val="auto"/>
              </w:rPr>
              <w:t>Reza Kasnavi</w:t>
            </w: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6,880(2)</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586,658</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4,102(8)</w:t>
            </w:r>
          </w:p>
        </w:tc>
        <w:tc>
          <w:tcPr>
            <w:tcW w:w="1240" w:type="dxa"/>
            <w:vAlign w:val="bottom"/>
          </w:tcPr>
          <w:p>
            <w:pPr>
              <w:jc w:val="right"/>
              <w:spacing w:after="0"/>
              <w:rPr>
                <w:sz w:val="20"/>
                <w:szCs w:val="20"/>
                <w:color w:val="auto"/>
              </w:rPr>
            </w:pPr>
            <w:r>
              <w:rPr>
                <w:rFonts w:ascii="Arial" w:cs="Arial" w:eastAsia="Arial" w:hAnsi="Arial"/>
                <w:sz w:val="14"/>
                <w:szCs w:val="14"/>
                <w:color w:val="auto"/>
              </w:rPr>
              <w:t>349,778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7,318(3)</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624,006</w:t>
            </w:r>
          </w:p>
        </w:tc>
        <w:tc>
          <w:tcPr>
            <w:tcW w:w="1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3,440(9)</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293,329</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2,420(4)</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206,353</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10,974(10)</w:t>
            </w:r>
          </w:p>
        </w:tc>
        <w:tc>
          <w:tcPr>
            <w:tcW w:w="1240" w:type="dxa"/>
            <w:vAlign w:val="bottom"/>
          </w:tcPr>
          <w:p>
            <w:pPr>
              <w:jc w:val="right"/>
              <w:spacing w:after="0"/>
              <w:rPr>
                <w:sz w:val="20"/>
                <w:szCs w:val="20"/>
                <w:color w:val="auto"/>
              </w:rPr>
            </w:pPr>
            <w:r>
              <w:rPr>
                <w:rFonts w:ascii="Arial" w:cs="Arial" w:eastAsia="Arial" w:hAnsi="Arial"/>
                <w:sz w:val="14"/>
                <w:szCs w:val="14"/>
                <w:color w:val="auto"/>
              </w:rPr>
              <w:t>935,753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5,470(5)</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466,427</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6,880(6)</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586,658</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9,756(7)</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831,894</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20"/>
              <w:spacing w:after="0"/>
              <w:rPr>
                <w:sz w:val="20"/>
                <w:szCs w:val="20"/>
                <w:color w:val="auto"/>
              </w:rPr>
            </w:pPr>
            <w:r>
              <w:rPr>
                <w:rFonts w:ascii="Arial" w:cs="Arial" w:eastAsia="Arial" w:hAnsi="Arial"/>
                <w:sz w:val="14"/>
                <w:szCs w:val="14"/>
                <w:color w:val="auto"/>
              </w:rPr>
              <w:t>Carlos S. Bori</w:t>
            </w: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6,046(2)</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515,542</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4,102(8)</w:t>
            </w:r>
          </w:p>
        </w:tc>
        <w:tc>
          <w:tcPr>
            <w:tcW w:w="1240" w:type="dxa"/>
            <w:vAlign w:val="bottom"/>
          </w:tcPr>
          <w:p>
            <w:pPr>
              <w:jc w:val="right"/>
              <w:spacing w:after="0"/>
              <w:rPr>
                <w:sz w:val="20"/>
                <w:szCs w:val="20"/>
                <w:color w:val="auto"/>
              </w:rPr>
            </w:pPr>
            <w:r>
              <w:rPr>
                <w:rFonts w:ascii="Arial" w:cs="Arial" w:eastAsia="Arial" w:hAnsi="Arial"/>
                <w:sz w:val="14"/>
                <w:szCs w:val="14"/>
                <w:color w:val="auto"/>
              </w:rPr>
              <w:t>349,778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7,318(3)</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624,006</w:t>
            </w:r>
          </w:p>
        </w:tc>
        <w:tc>
          <w:tcPr>
            <w:tcW w:w="1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3,023(9)</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257,771</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3,267(4)</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278,577</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10,974(10)</w:t>
            </w:r>
          </w:p>
        </w:tc>
        <w:tc>
          <w:tcPr>
            <w:tcW w:w="1240" w:type="dxa"/>
            <w:vAlign w:val="bottom"/>
          </w:tcPr>
          <w:p>
            <w:pPr>
              <w:jc w:val="right"/>
              <w:spacing w:after="0"/>
              <w:rPr>
                <w:sz w:val="20"/>
                <w:szCs w:val="20"/>
                <w:color w:val="auto"/>
              </w:rPr>
            </w:pPr>
            <w:r>
              <w:rPr>
                <w:rFonts w:ascii="Arial" w:cs="Arial" w:eastAsia="Arial" w:hAnsi="Arial"/>
                <w:sz w:val="14"/>
                <w:szCs w:val="14"/>
                <w:color w:val="auto"/>
              </w:rPr>
              <w:t>935,753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5,470(5)</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466,427</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6,046(6)</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515,542</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9,756(7)</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831,894</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20"/>
              <w:spacing w:after="0"/>
              <w:rPr>
                <w:sz w:val="20"/>
                <w:szCs w:val="20"/>
                <w:color w:val="auto"/>
              </w:rPr>
            </w:pPr>
            <w:r>
              <w:rPr>
                <w:rFonts w:ascii="Arial" w:cs="Arial" w:eastAsia="Arial" w:hAnsi="Arial"/>
                <w:sz w:val="14"/>
                <w:szCs w:val="14"/>
                <w:color w:val="auto"/>
              </w:rPr>
              <w:t>Robert J. Terry</w:t>
            </w: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5,628(2)</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479,900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3,950(8)</w:t>
            </w:r>
          </w:p>
        </w:tc>
        <w:tc>
          <w:tcPr>
            <w:tcW w:w="1240" w:type="dxa"/>
            <w:vAlign w:val="bottom"/>
          </w:tcPr>
          <w:p>
            <w:pPr>
              <w:jc w:val="right"/>
              <w:spacing w:after="0"/>
              <w:rPr>
                <w:sz w:val="20"/>
                <w:szCs w:val="20"/>
                <w:color w:val="auto"/>
              </w:rPr>
            </w:pPr>
            <w:r>
              <w:rPr>
                <w:rFonts w:ascii="Arial" w:cs="Arial" w:eastAsia="Arial" w:hAnsi="Arial"/>
                <w:sz w:val="14"/>
                <w:szCs w:val="14"/>
                <w:color w:val="auto"/>
              </w:rPr>
              <w:t>336,816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6,026(3)</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513,837</w:t>
            </w:r>
          </w:p>
        </w:tc>
        <w:tc>
          <w:tcPr>
            <w:tcW w:w="12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2,815(9)</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240,035</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2,057(4)</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175,400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9,038(10)</w:t>
            </w:r>
          </w:p>
        </w:tc>
        <w:tc>
          <w:tcPr>
            <w:tcW w:w="1240" w:type="dxa"/>
            <w:vAlign w:val="bottom"/>
          </w:tcPr>
          <w:p>
            <w:pPr>
              <w:jc w:val="right"/>
              <w:spacing w:after="0"/>
              <w:rPr>
                <w:sz w:val="20"/>
                <w:szCs w:val="20"/>
                <w:color w:val="auto"/>
              </w:rPr>
            </w:pPr>
            <w:r>
              <w:rPr>
                <w:rFonts w:ascii="Arial" w:cs="Arial" w:eastAsia="Arial" w:hAnsi="Arial"/>
                <w:sz w:val="14"/>
                <w:szCs w:val="14"/>
                <w:color w:val="auto"/>
              </w:rPr>
              <w:t>770,670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5,266(5)</w:t>
            </w:r>
          </w:p>
        </w:tc>
        <w:tc>
          <w:tcPr>
            <w:tcW w:w="122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449,032</w:t>
            </w:r>
          </w:p>
        </w:tc>
        <w:tc>
          <w:tcPr>
            <w:tcW w:w="128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5,629(6)</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479,985</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2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8,034(7)</w:t>
            </w:r>
          </w:p>
        </w:tc>
        <w:tc>
          <w:tcPr>
            <w:tcW w:w="1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685,059</w:t>
            </w:r>
          </w:p>
        </w:tc>
        <w:tc>
          <w:tcPr>
            <w:tcW w:w="128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DBDBDB"/>
          </w:tcPr>
          <w:p>
            <w:pPr>
              <w:spacing w:after="0" w:line="20" w:lineRule="exact"/>
              <w:rPr>
                <w:sz w:val="1"/>
                <w:szCs w:val="1"/>
                <w:color w:val="auto"/>
              </w:rPr>
            </w:pPr>
          </w:p>
        </w:tc>
        <w:tc>
          <w:tcPr>
            <w:tcW w:w="1280" w:type="dxa"/>
            <w:vAlign w:val="bottom"/>
            <w:shd w:val="clear" w:color="auto" w:fill="DBDBDB"/>
          </w:tcPr>
          <w:p>
            <w:pPr>
              <w:spacing w:after="0" w:line="20" w:lineRule="exact"/>
              <w:rPr>
                <w:sz w:val="1"/>
                <w:szCs w:val="1"/>
                <w:color w:val="auto"/>
              </w:rPr>
            </w:pPr>
          </w:p>
        </w:tc>
        <w:tc>
          <w:tcPr>
            <w:tcW w:w="1380" w:type="dxa"/>
            <w:vAlign w:val="bottom"/>
            <w:shd w:val="clear" w:color="auto" w:fill="DBDBDB"/>
          </w:tcPr>
          <w:p>
            <w:pPr>
              <w:spacing w:after="0" w:line="20" w:lineRule="exact"/>
              <w:rPr>
                <w:sz w:val="1"/>
                <w:szCs w:val="1"/>
                <w:color w:val="auto"/>
              </w:rPr>
            </w:pPr>
          </w:p>
        </w:tc>
        <w:tc>
          <w:tcPr>
            <w:tcW w:w="1200" w:type="dxa"/>
            <w:vAlign w:val="bottom"/>
            <w:shd w:val="clear" w:color="auto" w:fill="DBDBDB"/>
          </w:tcPr>
          <w:p>
            <w:pPr>
              <w:spacing w:after="0" w:line="20" w:lineRule="exact"/>
              <w:rPr>
                <w:sz w:val="1"/>
                <w:szCs w:val="1"/>
                <w:color w:val="auto"/>
              </w:rPr>
            </w:pPr>
          </w:p>
        </w:tc>
        <w:tc>
          <w:tcPr>
            <w:tcW w:w="1260" w:type="dxa"/>
            <w:vAlign w:val="bottom"/>
            <w:shd w:val="clear" w:color="auto" w:fill="DBDBDB"/>
          </w:tcPr>
          <w:p>
            <w:pPr>
              <w:spacing w:after="0" w:line="20" w:lineRule="exact"/>
              <w:rPr>
                <w:sz w:val="1"/>
                <w:szCs w:val="1"/>
                <w:color w:val="auto"/>
              </w:rPr>
            </w:pPr>
          </w:p>
        </w:tc>
        <w:tc>
          <w:tcPr>
            <w:tcW w:w="126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1280" w:type="dxa"/>
            <w:vAlign w:val="bottom"/>
            <w:shd w:val="clear" w:color="auto" w:fill="DBDBDB"/>
          </w:tcPr>
          <w:p>
            <w:pPr>
              <w:spacing w:after="0" w:line="20" w:lineRule="exact"/>
              <w:rPr>
                <w:sz w:val="1"/>
                <w:szCs w:val="1"/>
                <w:color w:val="auto"/>
              </w:rPr>
            </w:pPr>
          </w:p>
        </w:tc>
        <w:tc>
          <w:tcPr>
            <w:tcW w:w="12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line="250"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a price of $85.27 per share, which was the closing sale price of the Company’s common stock on the Nasdaq Global Select Market on September 30, 2022.</w:t>
      </w:r>
    </w:p>
    <w:p>
      <w:pPr>
        <w:ind w:left="260" w:hanging="252"/>
        <w:spacing w:after="0" w:line="260"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issuable under the fiscal year 2021 PSAs (“FY21 PSAs”) with respect to the remaining 50% of earned shares under two metrics, each of which was measured over a one-year performance period consisting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4" w:name="page25"/>
    <w:bookmarkEnd w:id="24"/>
    <w:p>
      <w:pPr>
        <w:ind w:left="260" w:right="20"/>
        <w:spacing w:after="0" w:line="258" w:lineRule="auto"/>
        <w:rPr>
          <w:sz w:val="20"/>
          <w:szCs w:val="20"/>
          <w:color w:val="auto"/>
        </w:rPr>
      </w:pPr>
      <w:r>
        <w:rPr>
          <w:rFonts w:ascii="Arial" w:cs="Arial" w:eastAsia="Arial" w:hAnsi="Arial"/>
          <w:sz w:val="18"/>
          <w:szCs w:val="18"/>
          <w:color w:val="auto"/>
        </w:rPr>
        <w:t>the Company’s fiscal year 2021, and each of which vested 50% at the end of FY21 and 50% at the end of FY22, assuming achievement at the “maximum” level of performance, and which were issued on November 11, 2022.</w:t>
      </w:r>
    </w:p>
    <w:p>
      <w:pPr>
        <w:spacing w:after="0" w:line="1" w:lineRule="exact"/>
        <w:rPr>
          <w:sz w:val="20"/>
          <w:szCs w:val="20"/>
          <w:color w:val="auto"/>
        </w:rPr>
      </w:pPr>
    </w:p>
    <w:p>
      <w:pPr>
        <w:jc w:val="both"/>
        <w:ind w:left="260" w:hanging="252"/>
        <w:spacing w:after="0" w:line="250" w:lineRule="auto"/>
        <w:tabs>
          <w:tab w:leader="none" w:pos="2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the FY22 PSAs (awarded on November 10, 2021, as described above under “</w:t>
      </w:r>
      <w:r>
        <w:rPr>
          <w:rFonts w:ascii="Arial" w:cs="Arial" w:eastAsia="Arial" w:hAnsi="Arial"/>
          <w:sz w:val="18"/>
          <w:szCs w:val="18"/>
          <w:i w:val="1"/>
          <w:iCs w:val="1"/>
          <w:color w:val="auto"/>
        </w:rPr>
        <w:t>Components of Compensation—Long-Term Stock-Based Compensation</w:t>
      </w:r>
      <w:r>
        <w:rPr>
          <w:rFonts w:ascii="Arial" w:cs="Arial" w:eastAsia="Arial" w:hAnsi="Arial"/>
          <w:sz w:val="18"/>
          <w:szCs w:val="18"/>
          <w:color w:val="auto"/>
        </w:rPr>
        <w:t>”) with respect to the emerging revenue growth metric measured over a one-year performance period consisting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fiscal year 2022, assuming achievement at the “maximum” level of performance. One hundred percent (100%) of the shares to be earned under the FY22 PSAs with respect to this metric will be issued on November 10, 2023, to the extent earned and provided that the executive meets the continued employment condition.</w:t>
      </w:r>
    </w:p>
    <w:p>
      <w:pPr>
        <w:spacing w:after="0" w:line="1" w:lineRule="exact"/>
        <w:rPr>
          <w:rFonts w:ascii="Arial" w:cs="Arial" w:eastAsia="Arial" w:hAnsi="Arial"/>
          <w:sz w:val="18"/>
          <w:szCs w:val="18"/>
          <w:color w:val="auto"/>
        </w:rPr>
      </w:pPr>
    </w:p>
    <w:p>
      <w:pPr>
        <w:ind w:left="260" w:hanging="252"/>
        <w:spacing w:after="0" w:line="250" w:lineRule="auto"/>
        <w:tabs>
          <w:tab w:leader="none" w:pos="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November 6, 2018, under the Company’s 2015 Long-Term Incentive Plan. The RSU award vested at a rate of 25% per year on each anniversary of the grant date until it became fully vested on November 6, 2022.</w:t>
      </w:r>
    </w:p>
    <w:p>
      <w:pPr>
        <w:ind w:left="260" w:hanging="252"/>
        <w:spacing w:after="0" w:line="250" w:lineRule="auto"/>
        <w:tabs>
          <w:tab w:leader="none" w:pos="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November 5, 2019, under the Company’s 2015 Long-Term Incentive Plan. The RSU award vests at a rate of 25% per year on each anniversary of the grant date through November 5, 2023.</w:t>
      </w:r>
    </w:p>
    <w:p>
      <w:pPr>
        <w:ind w:left="260" w:hanging="252"/>
        <w:spacing w:after="0" w:line="250"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November 11, 2020, under the Company’s 2015 Long-Term Incentive Plan. The RSU award vests at a rate of 25% per year on each anniversary of the grant date through November 11, 2024.</w:t>
      </w:r>
    </w:p>
    <w:p>
      <w:pPr>
        <w:ind w:left="260" w:hanging="252"/>
        <w:spacing w:after="0" w:line="250"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an RSU award granted on November 10, 2021, under the Company’s 2015 Long-Term Incentive Plan. The RSU award vests at a rate of 25% per year on each anniversary of the grant date through November 10, 2025.</w:t>
      </w:r>
    </w:p>
    <w:p>
      <w:pPr>
        <w:jc w:val="both"/>
        <w:ind w:left="260" w:hanging="252"/>
        <w:spacing w:after="0" w:line="250" w:lineRule="auto"/>
        <w:tabs>
          <w:tab w:leader="none" w:pos="3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the fiscal year 2020 PSAs (the “FY20 PSAs”) with respect to the TSR percentile ranking metric, assuming achievement at the “threshold” level of performance. This portion of the FY20 PSAs, which was subject to a three-year performance period, would have been issued November 5, 2022, had it been achieved.</w:t>
      </w:r>
    </w:p>
    <w:p>
      <w:pPr>
        <w:spacing w:after="0" w:line="1" w:lineRule="exact"/>
        <w:rPr>
          <w:rFonts w:ascii="Arial" w:cs="Arial" w:eastAsia="Arial" w:hAnsi="Arial"/>
          <w:sz w:val="18"/>
          <w:szCs w:val="18"/>
          <w:color w:val="auto"/>
        </w:rPr>
      </w:pPr>
    </w:p>
    <w:p>
      <w:pPr>
        <w:jc w:val="both"/>
        <w:ind w:left="260" w:hanging="252"/>
        <w:spacing w:after="0" w:line="250" w:lineRule="auto"/>
        <w:tabs>
          <w:tab w:leader="none" w:pos="2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issuable under the FY21 PSAs with respect to the TSR percentile ranking metric, assuming achievement at the “threshold” level of performance. This portion of the FY21 PSAs, which is subject to a three-year performance period, will be issued on November 11, 2023, to the extent earned and provided that the executive meets the continued employment condition.</w:t>
      </w:r>
    </w:p>
    <w:p>
      <w:pPr>
        <w:spacing w:after="0" w:line="1" w:lineRule="exact"/>
        <w:rPr>
          <w:rFonts w:ascii="Arial" w:cs="Arial" w:eastAsia="Arial" w:hAnsi="Arial"/>
          <w:sz w:val="18"/>
          <w:szCs w:val="18"/>
          <w:color w:val="auto"/>
        </w:rPr>
      </w:pPr>
    </w:p>
    <w:p>
      <w:pPr>
        <w:jc w:val="both"/>
        <w:ind w:left="260" w:hanging="252"/>
        <w:spacing w:after="0" w:line="269" w:lineRule="auto"/>
        <w:tabs>
          <w:tab w:leader="none" w:pos="3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shares issuable under the FY22 PSAs (awarded on November 10, 2021, as described above under “</w:t>
      </w:r>
      <w:r>
        <w:rPr>
          <w:rFonts w:ascii="Arial" w:cs="Arial" w:eastAsia="Arial" w:hAnsi="Arial"/>
          <w:sz w:val="17"/>
          <w:szCs w:val="17"/>
          <w:i w:val="1"/>
          <w:iCs w:val="1"/>
          <w:color w:val="auto"/>
        </w:rPr>
        <w:t>Components of Compensation—Long-Term Stock-Based Compensation</w:t>
      </w:r>
      <w:r>
        <w:rPr>
          <w:rFonts w:ascii="Arial" w:cs="Arial" w:eastAsia="Arial" w:hAnsi="Arial"/>
          <w:sz w:val="17"/>
          <w:szCs w:val="17"/>
          <w:color w:val="auto"/>
        </w:rPr>
        <w:t>”) with respect to the TSR percentile ranking metric, assuming achievement at the “threshold” level of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This portion of the FY22 PSAs, which is subject to a three-year performance period, will be issued on November 10, 2024, to the extent earned and provided that the executive meets the continued employment condition. Also represents shares issuable under the FY22 PSAs with respect to the EBITDA margin percentile ranking metric measured over a two-year performance period consisting of the Company’s fiscal years 2022 and 2023, assuming achievement at the “maximum” level of performance. This portion of the FY22 PSAs will be issued on November 10, 2023, to the extent earned and provided that the executive meets the continued employment condition.</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Option Exercises and Stock Vested Table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Named Executive Officers’ option exercises and stock award vesting during fiscal year 2022.</w:t>
      </w: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Arial" w:cs="Arial" w:eastAsia="Arial" w:hAnsi="Arial"/>
                <w:sz w:val="14"/>
                <w:szCs w:val="14"/>
                <w:b w:val="1"/>
                <w:bCs w:val="1"/>
                <w:color w:val="auto"/>
              </w:rPr>
              <w:t>Option Awards</w:t>
            </w:r>
          </w:p>
        </w:tc>
        <w:tc>
          <w:tcPr>
            <w:tcW w:w="166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660" w:type="dxa"/>
            <w:vAlign w:val="bottom"/>
          </w:tcPr>
          <w:p>
            <w:pPr>
              <w:jc w:val="center"/>
              <w:ind w:right="597"/>
              <w:spacing w:after="0"/>
              <w:rPr>
                <w:sz w:val="20"/>
                <w:szCs w:val="20"/>
                <w:color w:val="auto"/>
              </w:rPr>
            </w:pPr>
            <w:r>
              <w:rPr>
                <w:rFonts w:ascii="Arial" w:cs="Arial" w:eastAsia="Arial" w:hAnsi="Arial"/>
                <w:sz w:val="14"/>
                <w:szCs w:val="14"/>
                <w:b w:val="1"/>
                <w:bCs w:val="1"/>
                <w:color w:val="auto"/>
                <w:w w:val="91"/>
              </w:rPr>
              <w:t>Value Realized</w:t>
            </w:r>
          </w:p>
        </w:tc>
        <w:tc>
          <w:tcPr>
            <w:tcW w:w="2240" w:type="dxa"/>
            <w:vAlign w:val="bottom"/>
          </w:tcPr>
          <w:p>
            <w:pPr>
              <w:jc w:val="center"/>
              <w:ind w:right="558"/>
              <w:spacing w:after="0"/>
              <w:rPr>
                <w:sz w:val="20"/>
                <w:szCs w:val="20"/>
                <w:color w:val="auto"/>
              </w:rPr>
            </w:pPr>
            <w:r>
              <w:rPr>
                <w:rFonts w:ascii="Arial" w:cs="Arial" w:eastAsia="Arial" w:hAnsi="Arial"/>
                <w:sz w:val="14"/>
                <w:szCs w:val="14"/>
                <w:b w:val="1"/>
                <w:bCs w:val="1"/>
                <w:color w:val="auto"/>
                <w:w w:val="92"/>
              </w:rPr>
              <w:t>Number of Shares</w:t>
            </w:r>
          </w:p>
        </w:tc>
        <w:tc>
          <w:tcPr>
            <w:tcW w:w="1460" w:type="dxa"/>
            <w:vAlign w:val="bottom"/>
          </w:tcPr>
          <w:p>
            <w:pPr>
              <w:jc w:val="center"/>
              <w:ind w:right="397"/>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8"/>
        </w:trPr>
        <w:tc>
          <w:tcPr>
            <w:tcW w:w="1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660" w:type="dxa"/>
            <w:vAlign w:val="bottom"/>
          </w:tcPr>
          <w:p>
            <w:pPr>
              <w:jc w:val="center"/>
              <w:ind w:right="597"/>
              <w:spacing w:after="0" w:line="149" w:lineRule="exact"/>
              <w:rPr>
                <w:sz w:val="20"/>
                <w:szCs w:val="20"/>
                <w:color w:val="auto"/>
              </w:rPr>
            </w:pPr>
            <w:r>
              <w:rPr>
                <w:rFonts w:ascii="Arial" w:cs="Arial" w:eastAsia="Arial" w:hAnsi="Arial"/>
                <w:sz w:val="14"/>
                <w:szCs w:val="14"/>
                <w:b w:val="1"/>
                <w:bCs w:val="1"/>
                <w:color w:val="auto"/>
                <w:w w:val="89"/>
              </w:rPr>
              <w:t>on Exercise</w:t>
            </w:r>
          </w:p>
        </w:tc>
        <w:tc>
          <w:tcPr>
            <w:tcW w:w="2240" w:type="dxa"/>
            <w:vAlign w:val="bottom"/>
          </w:tcPr>
          <w:p>
            <w:pPr>
              <w:jc w:val="center"/>
              <w:ind w:right="558"/>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1460" w:type="dxa"/>
            <w:vAlign w:val="bottom"/>
          </w:tcPr>
          <w:p>
            <w:pPr>
              <w:jc w:val="center"/>
              <w:ind w:right="417"/>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86"/>
        </w:trPr>
        <w:tc>
          <w:tcPr>
            <w:tcW w:w="1900" w:type="dxa"/>
            <w:vAlign w:val="bottom"/>
            <w:vMerge w:val="continue"/>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60" w:type="dxa"/>
            <w:vAlign w:val="bottom"/>
          </w:tcPr>
          <w:p>
            <w:pPr>
              <w:jc w:val="center"/>
              <w:ind w:right="597"/>
              <w:spacing w:after="0"/>
              <w:rPr>
                <w:sz w:val="20"/>
                <w:szCs w:val="20"/>
                <w:color w:val="auto"/>
              </w:rPr>
            </w:pPr>
            <w:r>
              <w:rPr>
                <w:rFonts w:ascii="Arial" w:cs="Arial" w:eastAsia="Arial" w:hAnsi="Arial"/>
                <w:sz w:val="14"/>
                <w:szCs w:val="14"/>
                <w:b w:val="1"/>
                <w:bCs w:val="1"/>
                <w:color w:val="auto"/>
                <w:w w:val="99"/>
              </w:rPr>
              <w:t>($)(1)</w:t>
            </w:r>
          </w:p>
        </w:tc>
        <w:tc>
          <w:tcPr>
            <w:tcW w:w="2240" w:type="dxa"/>
            <w:vAlign w:val="bottom"/>
          </w:tcPr>
          <w:p>
            <w:pPr>
              <w:jc w:val="center"/>
              <w:ind w:right="558"/>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Pr>
          <w:p>
            <w:pPr>
              <w:jc w:val="center"/>
              <w:ind w:right="397"/>
              <w:spacing w:after="0"/>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242"/>
        </w:trPr>
        <w:tc>
          <w:tcPr>
            <w:tcW w:w="1900" w:type="dxa"/>
            <w:vAlign w:val="bottom"/>
          </w:tcPr>
          <w:p>
            <w:pPr>
              <w:ind w:left="20"/>
              <w:spacing w:after="0"/>
              <w:rPr>
                <w:sz w:val="20"/>
                <w:szCs w:val="20"/>
                <w:color w:val="auto"/>
              </w:rPr>
            </w:pPr>
            <w:r>
              <w:rPr>
                <w:rFonts w:ascii="Arial" w:cs="Arial" w:eastAsia="Arial" w:hAnsi="Arial"/>
                <w:sz w:val="18"/>
                <w:szCs w:val="18"/>
                <w:color w:val="auto"/>
              </w:rPr>
              <w:t>Liam K. Griffin</w:t>
            </w:r>
          </w:p>
        </w:tc>
        <w:tc>
          <w:tcPr>
            <w:tcW w:w="292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418"/>
              <w:spacing w:after="0"/>
              <w:rPr>
                <w:sz w:val="20"/>
                <w:szCs w:val="20"/>
                <w:color w:val="auto"/>
              </w:rPr>
            </w:pPr>
            <w:r>
              <w:rPr>
                <w:rFonts w:ascii="Arial" w:cs="Arial" w:eastAsia="Arial" w:hAnsi="Arial"/>
                <w:sz w:val="18"/>
                <w:szCs w:val="18"/>
                <w:color w:val="auto"/>
              </w:rPr>
              <w:t>211,274</w:t>
            </w:r>
          </w:p>
        </w:tc>
        <w:tc>
          <w:tcPr>
            <w:tcW w:w="1460" w:type="dxa"/>
            <w:vAlign w:val="bottom"/>
          </w:tcPr>
          <w:p>
            <w:pPr>
              <w:jc w:val="right"/>
              <w:spacing w:after="0"/>
              <w:rPr>
                <w:sz w:val="20"/>
                <w:szCs w:val="20"/>
                <w:color w:val="auto"/>
              </w:rPr>
            </w:pPr>
            <w:r>
              <w:rPr>
                <w:rFonts w:ascii="Arial" w:cs="Arial" w:eastAsia="Arial" w:hAnsi="Arial"/>
                <w:sz w:val="18"/>
                <w:szCs w:val="18"/>
                <w:color w:val="auto"/>
              </w:rPr>
              <w:t>34,766,022</w:t>
            </w:r>
          </w:p>
        </w:tc>
        <w:tc>
          <w:tcPr>
            <w:tcW w:w="0" w:type="dxa"/>
            <w:vAlign w:val="bottom"/>
          </w:tcPr>
          <w:p>
            <w:pPr>
              <w:spacing w:after="0"/>
              <w:rPr>
                <w:sz w:val="1"/>
                <w:szCs w:val="1"/>
                <w:color w:val="auto"/>
              </w:rPr>
            </w:pPr>
          </w:p>
        </w:tc>
      </w:tr>
      <w:tr>
        <w:trPr>
          <w:trHeight w:val="229"/>
        </w:trPr>
        <w:tc>
          <w:tcPr>
            <w:tcW w:w="1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w:t>
            </w:r>
          </w:p>
        </w:tc>
        <w:tc>
          <w:tcPr>
            <w:tcW w:w="2920" w:type="dxa"/>
            <w:vAlign w:val="bottom"/>
            <w:shd w:val="clear" w:color="auto" w:fill="DBDBDB"/>
          </w:tcPr>
          <w:p>
            <w:pPr>
              <w:jc w:val="right"/>
              <w:ind w:right="438"/>
              <w:spacing w:after="0"/>
              <w:rPr>
                <w:sz w:val="20"/>
                <w:szCs w:val="20"/>
                <w:color w:val="auto"/>
              </w:rPr>
            </w:pPr>
            <w:r>
              <w:rPr>
                <w:rFonts w:ascii="Arial" w:cs="Arial" w:eastAsia="Arial" w:hAnsi="Arial"/>
                <w:sz w:val="18"/>
                <w:szCs w:val="18"/>
                <w:color w:val="auto"/>
              </w:rPr>
              <w:t>—</w:t>
            </w:r>
          </w:p>
        </w:tc>
        <w:tc>
          <w:tcPr>
            <w:tcW w:w="1660" w:type="dxa"/>
            <w:vAlign w:val="bottom"/>
            <w:shd w:val="clear" w:color="auto" w:fill="DBDBDB"/>
          </w:tcPr>
          <w:p>
            <w:pPr>
              <w:jc w:val="right"/>
              <w:ind w:right="97"/>
              <w:spacing w:after="0"/>
              <w:rPr>
                <w:sz w:val="20"/>
                <w:szCs w:val="20"/>
                <w:color w:val="auto"/>
              </w:rPr>
            </w:pPr>
            <w:r>
              <w:rPr>
                <w:rFonts w:ascii="Arial" w:cs="Arial" w:eastAsia="Arial" w:hAnsi="Arial"/>
                <w:sz w:val="18"/>
                <w:szCs w:val="18"/>
                <w:color w:val="auto"/>
              </w:rPr>
              <w:t>—</w:t>
            </w:r>
          </w:p>
        </w:tc>
        <w:tc>
          <w:tcPr>
            <w:tcW w:w="2240" w:type="dxa"/>
            <w:vAlign w:val="bottom"/>
            <w:shd w:val="clear" w:color="auto" w:fill="DBDBDB"/>
          </w:tcPr>
          <w:p>
            <w:pPr>
              <w:jc w:val="right"/>
              <w:ind w:right="418"/>
              <w:spacing w:after="0"/>
              <w:rPr>
                <w:sz w:val="20"/>
                <w:szCs w:val="20"/>
                <w:color w:val="auto"/>
              </w:rPr>
            </w:pPr>
            <w:r>
              <w:rPr>
                <w:rFonts w:ascii="Arial" w:cs="Arial" w:eastAsia="Arial" w:hAnsi="Arial"/>
                <w:sz w:val="18"/>
                <w:szCs w:val="18"/>
                <w:color w:val="auto"/>
              </w:rPr>
              <w:t>44,111</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7,265,809</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Reza Kasnavi</w:t>
            </w:r>
          </w:p>
        </w:tc>
        <w:tc>
          <w:tcPr>
            <w:tcW w:w="292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418"/>
              <w:spacing w:after="0"/>
              <w:rPr>
                <w:sz w:val="20"/>
                <w:szCs w:val="20"/>
                <w:color w:val="auto"/>
              </w:rPr>
            </w:pPr>
            <w:r>
              <w:rPr>
                <w:rFonts w:ascii="Arial" w:cs="Arial" w:eastAsia="Arial" w:hAnsi="Arial"/>
                <w:sz w:val="18"/>
                <w:szCs w:val="18"/>
                <w:color w:val="auto"/>
              </w:rPr>
              <w:t>37,369</w:t>
            </w:r>
          </w:p>
        </w:tc>
        <w:tc>
          <w:tcPr>
            <w:tcW w:w="1460" w:type="dxa"/>
            <w:vAlign w:val="bottom"/>
          </w:tcPr>
          <w:p>
            <w:pPr>
              <w:jc w:val="right"/>
              <w:spacing w:after="0"/>
              <w:rPr>
                <w:sz w:val="20"/>
                <w:szCs w:val="20"/>
                <w:color w:val="auto"/>
              </w:rPr>
            </w:pPr>
            <w:r>
              <w:rPr>
                <w:rFonts w:ascii="Arial" w:cs="Arial" w:eastAsia="Arial" w:hAnsi="Arial"/>
                <w:sz w:val="18"/>
                <w:szCs w:val="18"/>
                <w:color w:val="auto"/>
              </w:rPr>
              <w:t>6,145,714</w:t>
            </w:r>
          </w:p>
        </w:tc>
        <w:tc>
          <w:tcPr>
            <w:tcW w:w="0" w:type="dxa"/>
            <w:vAlign w:val="bottom"/>
          </w:tcPr>
          <w:p>
            <w:pPr>
              <w:spacing w:after="0"/>
              <w:rPr>
                <w:sz w:val="1"/>
                <w:szCs w:val="1"/>
                <w:color w:val="auto"/>
              </w:rPr>
            </w:pPr>
          </w:p>
        </w:tc>
      </w:tr>
      <w:tr>
        <w:trPr>
          <w:trHeight w:val="230"/>
        </w:trPr>
        <w:tc>
          <w:tcPr>
            <w:tcW w:w="1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Carlos S. Bori</w:t>
            </w:r>
          </w:p>
        </w:tc>
        <w:tc>
          <w:tcPr>
            <w:tcW w:w="2920" w:type="dxa"/>
            <w:vAlign w:val="bottom"/>
            <w:shd w:val="clear" w:color="auto" w:fill="DBDBDB"/>
          </w:tcPr>
          <w:p>
            <w:pPr>
              <w:jc w:val="right"/>
              <w:ind w:right="438"/>
              <w:spacing w:after="0"/>
              <w:rPr>
                <w:sz w:val="20"/>
                <w:szCs w:val="20"/>
                <w:color w:val="auto"/>
              </w:rPr>
            </w:pPr>
            <w:r>
              <w:rPr>
                <w:rFonts w:ascii="Arial" w:cs="Arial" w:eastAsia="Arial" w:hAnsi="Arial"/>
                <w:sz w:val="18"/>
                <w:szCs w:val="18"/>
                <w:color w:val="auto"/>
              </w:rPr>
              <w:t>—</w:t>
            </w:r>
          </w:p>
        </w:tc>
        <w:tc>
          <w:tcPr>
            <w:tcW w:w="1660" w:type="dxa"/>
            <w:vAlign w:val="bottom"/>
            <w:shd w:val="clear" w:color="auto" w:fill="DBDBDB"/>
          </w:tcPr>
          <w:p>
            <w:pPr>
              <w:jc w:val="right"/>
              <w:ind w:right="97"/>
              <w:spacing w:after="0"/>
              <w:rPr>
                <w:sz w:val="20"/>
                <w:szCs w:val="20"/>
                <w:color w:val="auto"/>
              </w:rPr>
            </w:pPr>
            <w:r>
              <w:rPr>
                <w:rFonts w:ascii="Arial" w:cs="Arial" w:eastAsia="Arial" w:hAnsi="Arial"/>
                <w:sz w:val="18"/>
                <w:szCs w:val="18"/>
                <w:color w:val="auto"/>
              </w:rPr>
              <w:t>—</w:t>
            </w:r>
          </w:p>
        </w:tc>
        <w:tc>
          <w:tcPr>
            <w:tcW w:w="2240" w:type="dxa"/>
            <w:vAlign w:val="bottom"/>
            <w:shd w:val="clear" w:color="auto" w:fill="DBDBDB"/>
          </w:tcPr>
          <w:p>
            <w:pPr>
              <w:jc w:val="right"/>
              <w:ind w:right="418"/>
              <w:spacing w:after="0"/>
              <w:rPr>
                <w:sz w:val="20"/>
                <w:szCs w:val="20"/>
                <w:color w:val="auto"/>
              </w:rPr>
            </w:pPr>
            <w:r>
              <w:rPr>
                <w:rFonts w:ascii="Arial" w:cs="Arial" w:eastAsia="Arial" w:hAnsi="Arial"/>
                <w:sz w:val="18"/>
                <w:szCs w:val="18"/>
                <w:color w:val="auto"/>
              </w:rPr>
              <w:t>39,291</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6,476,473</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Robert J. Terry</w:t>
            </w:r>
          </w:p>
        </w:tc>
        <w:tc>
          <w:tcPr>
            <w:tcW w:w="2920" w:type="dxa"/>
            <w:vAlign w:val="bottom"/>
          </w:tcPr>
          <w:p>
            <w:pPr>
              <w:jc w:val="right"/>
              <w:ind w:right="438"/>
              <w:spacing w:after="0"/>
              <w:rPr>
                <w:sz w:val="20"/>
                <w:szCs w:val="20"/>
                <w:color w:val="auto"/>
              </w:rPr>
            </w:pPr>
            <w:r>
              <w:rPr>
                <w:rFonts w:ascii="Arial" w:cs="Arial" w:eastAsia="Arial" w:hAnsi="Arial"/>
                <w:sz w:val="18"/>
                <w:szCs w:val="18"/>
                <w:color w:val="auto"/>
              </w:rPr>
              <w:t>502</w:t>
            </w:r>
          </w:p>
        </w:tc>
        <w:tc>
          <w:tcPr>
            <w:tcW w:w="1660" w:type="dxa"/>
            <w:vAlign w:val="bottom"/>
          </w:tcPr>
          <w:p>
            <w:pPr>
              <w:jc w:val="right"/>
              <w:ind w:right="97"/>
              <w:spacing w:after="0"/>
              <w:rPr>
                <w:sz w:val="20"/>
                <w:szCs w:val="20"/>
                <w:color w:val="auto"/>
              </w:rPr>
            </w:pPr>
            <w:r>
              <w:rPr>
                <w:rFonts w:ascii="Arial" w:cs="Arial" w:eastAsia="Arial" w:hAnsi="Arial"/>
                <w:sz w:val="18"/>
                <w:szCs w:val="18"/>
                <w:color w:val="auto"/>
              </w:rPr>
              <w:t>8,398</w:t>
            </w:r>
          </w:p>
        </w:tc>
        <w:tc>
          <w:tcPr>
            <w:tcW w:w="2240" w:type="dxa"/>
            <w:vAlign w:val="bottom"/>
          </w:tcPr>
          <w:p>
            <w:pPr>
              <w:jc w:val="right"/>
              <w:ind w:right="418"/>
              <w:spacing w:after="0"/>
              <w:rPr>
                <w:sz w:val="20"/>
                <w:szCs w:val="20"/>
                <w:color w:val="auto"/>
              </w:rPr>
            </w:pPr>
            <w:r>
              <w:rPr>
                <w:rFonts w:ascii="Arial" w:cs="Arial" w:eastAsia="Arial" w:hAnsi="Arial"/>
                <w:sz w:val="18"/>
                <w:szCs w:val="18"/>
                <w:color w:val="auto"/>
              </w:rPr>
              <w:t>32,101</w:t>
            </w:r>
          </w:p>
        </w:tc>
        <w:tc>
          <w:tcPr>
            <w:tcW w:w="1460" w:type="dxa"/>
            <w:vAlign w:val="bottom"/>
          </w:tcPr>
          <w:p>
            <w:pPr>
              <w:jc w:val="right"/>
              <w:spacing w:after="0"/>
              <w:rPr>
                <w:sz w:val="20"/>
                <w:szCs w:val="20"/>
                <w:color w:val="auto"/>
              </w:rPr>
            </w:pPr>
            <w:r>
              <w:rPr>
                <w:rFonts w:ascii="Arial" w:cs="Arial" w:eastAsia="Arial" w:hAnsi="Arial"/>
                <w:sz w:val="18"/>
                <w:szCs w:val="18"/>
                <w:color w:val="auto"/>
              </w:rPr>
              <w:t>5,280,556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line="250" w:lineRule="auto"/>
        <w:tabs>
          <w:tab w:leader="none" w:pos="2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value realized on exercise is based on the amount by which the market price of a share of the Company’s common stock at the time of exercise exceeded the applicable exercise price per share of the exercised option.</w:t>
      </w:r>
    </w:p>
    <w:p>
      <w:pPr>
        <w:ind w:left="260" w:hanging="252"/>
        <w:spacing w:after="0" w:line="260" w:lineRule="auto"/>
        <w:tabs>
          <w:tab w:leader="none" w:pos="2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Mr. Griffin</w:t>
      </w:r>
    </w:p>
    <w:p>
      <w:pPr>
        <w:spacing w:after="0" w:line="22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7"/>
          <w:szCs w:val="17"/>
          <w:color w:val="auto"/>
        </w:rPr>
        <w:t>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unissued and that he would have earned had he remained employed through the end of the applicable performance period; and (iii) provided he is eligible for and timely elects to continue receiving group medical coverage,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213" w:lineRule="exact"/>
        <w:rPr>
          <w:sz w:val="20"/>
          <w:szCs w:val="20"/>
          <w:color w:val="auto"/>
        </w:rPr>
      </w:pPr>
    </w:p>
    <w:p>
      <w:pPr>
        <w:jc w:val="both"/>
        <w:ind w:firstLine="389"/>
        <w:spacing w:after="0" w:line="260" w:lineRule="auto"/>
        <w:rPr>
          <w:sz w:val="20"/>
          <w:szCs w:val="20"/>
          <w:color w:val="auto"/>
        </w:rPr>
      </w:pPr>
      <w:r>
        <w:rPr>
          <w:rFonts w:ascii="Arial" w:cs="Arial" w:eastAsia="Arial" w:hAnsi="Arial"/>
          <w:sz w:val="17"/>
          <w:szCs w:val="17"/>
          <w:color w:val="auto"/>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2</w:t>
      </w:r>
      <w:r>
        <w:rPr>
          <w:rFonts w:ascii="Arial" w:cs="Arial" w:eastAsia="Arial" w:hAnsi="Arial"/>
          <w:sz w:val="17"/>
          <w:szCs w:val="17"/>
          <w:color w:val="auto"/>
        </w:rPr>
        <w:t>) times the sum of (A) his annual base salary immediately prior to the change in control, and (B) the CIC Bonus Amount (as defined below); (ii) 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219"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exist for such award immediately prior to the change in control, then such awards would accelerate in full as of the change in control.</w:t>
      </w:r>
    </w:p>
    <w:p>
      <w:pPr>
        <w:spacing w:after="0" w:line="252"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w:t>
      </w:r>
    </w:p>
    <w:p>
      <w:pPr>
        <w:spacing w:after="0" w:line="192"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203"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211" w:lineRule="exact"/>
        <w:rPr>
          <w:sz w:val="20"/>
          <w:szCs w:val="20"/>
          <w:color w:val="auto"/>
        </w:rPr>
      </w:pPr>
    </w:p>
    <w:p>
      <w:pPr>
        <w:jc w:val="both"/>
        <w:ind w:firstLine="389"/>
        <w:spacing w:after="0" w:line="270" w:lineRule="auto"/>
        <w:rPr>
          <w:sz w:val="20"/>
          <w:szCs w:val="20"/>
          <w:color w:val="auto"/>
        </w:rPr>
      </w:pPr>
      <w:r>
        <w:rPr>
          <w:rFonts w:ascii="Arial" w:cs="Arial" w:eastAsia="Arial" w:hAnsi="Arial"/>
          <w:sz w:val="17"/>
          <w:szCs w:val="17"/>
          <w:color w:val="auto"/>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Mr. Sennesael, Mr. Kasnavi, Mr. Bori, and Mr. Terry</w:t>
      </w:r>
    </w:p>
    <w:p>
      <w:pPr>
        <w:spacing w:after="0" w:line="225"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The Company entered into Change in Control / Severance Agreements with each of Mr. Sennesael, Mr. Kasnavi, Mr. Bori, and Mr. Terry on August 29, 2016, November 9, 2016, November 9, 2016, and November 10, 2016, respectively. Each such Change in Control / Severance Agreement is referred to herein as a “CIC Agreement.”</w:t>
      </w:r>
    </w:p>
    <w:p>
      <w:pPr>
        <w:spacing w:after="0" w:line="211" w:lineRule="exact"/>
        <w:rPr>
          <w:sz w:val="20"/>
          <w:szCs w:val="20"/>
          <w:color w:val="auto"/>
        </w:rPr>
      </w:pPr>
    </w:p>
    <w:p>
      <w:pPr>
        <w:jc w:val="both"/>
        <w:ind w:firstLine="389"/>
        <w:spacing w:after="0" w:line="242" w:lineRule="auto"/>
        <w:rPr>
          <w:sz w:val="20"/>
          <w:szCs w:val="20"/>
          <w:color w:val="auto"/>
        </w:rPr>
      </w:pPr>
      <w:r>
        <w:rPr>
          <w:rFonts w:ascii="Arial" w:cs="Arial" w:eastAsia="Arial" w:hAnsi="Arial"/>
          <w:sz w:val="18"/>
          <w:szCs w:val="18"/>
          <w:color w:val="auto"/>
        </w:rPr>
        <w:t>Each CIC Agreement sets out severance benefits that become payable if, within the period of time commencing three (3) months prior to and ending twelve (12) months following a change in control, the executive officer’s employment is either (i) terminated by the Company without cause, or (ii) terminated by the executive for good reason (for each such executive, a “Qualifying Termination”). The severance benefits provided to the executive in such circumstances would consist of the following: (i) a lump sum payment equal to one and one-half (1</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23"/>
          <w:szCs w:val="23"/>
          <w:color w:val="auto"/>
          <w:vertAlign w:val="subscript"/>
        </w:rPr>
        <w:t>2</w:t>
      </w:r>
      <w:r>
        <w:rPr>
          <w:rFonts w:ascii="Arial" w:cs="Arial" w:eastAsia="Arial" w:hAnsi="Arial"/>
          <w:sz w:val="18"/>
          <w:szCs w:val="18"/>
          <w:color w:val="auto"/>
        </w:rPr>
        <w:t>) times the sum of (A) his or her annual base salary immediately prior to the change in control, and (B) the CIC Bonus Amount; (ii) all of the executive’s then-outstanding stock options would remain exercisable for a period of eighteen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7" w:name="page28"/>
    <w:bookmarkEnd w:id="27"/>
    <w:p>
      <w:pPr>
        <w:ind w:left="360" w:hanging="352"/>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months after the termination date (but not beyond the expiration of their respective maximum terms); and (iii) COBRA continuation for up to eighteen</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months after the termination date.</w:t>
      </w:r>
    </w:p>
    <w:p>
      <w:pPr>
        <w:spacing w:after="0" w:line="238"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Each CIC Agreement also provides that in the event of a Qualifying Termination, the executive is entitled to full acceleration of the vesting of all of his or her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12"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biweekly compensation continuation payments for a period of twelve (12) months, with each such compensation continuation payment being equal to the aggregate payment amount divided by twenty-six (26), where the aggregate payment is equal to the sum of (x) his or her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222" w:lineRule="exact"/>
        <w:rPr>
          <w:sz w:val="20"/>
          <w:szCs w:val="20"/>
          <w:color w:val="auto"/>
        </w:rPr>
      </w:pPr>
    </w:p>
    <w:p>
      <w:pPr>
        <w:jc w:val="both"/>
        <w:ind w:firstLine="389"/>
        <w:spacing w:after="0" w:line="290" w:lineRule="auto"/>
        <w:rPr>
          <w:sz w:val="20"/>
          <w:szCs w:val="20"/>
          <w:color w:val="auto"/>
        </w:rPr>
      </w:pPr>
      <w:r>
        <w:rPr>
          <w:rFonts w:ascii="Arial" w:cs="Arial" w:eastAsia="Arial" w:hAnsi="Arial"/>
          <w:sz w:val="16"/>
          <w:szCs w:val="16"/>
          <w:color w:val="auto"/>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92"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or she had received all of the payments due.</w:t>
      </w:r>
    </w:p>
    <w:p>
      <w:pPr>
        <w:spacing w:after="0" w:line="203"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Additionally, each CIC Agreement requires that the executive sign a release of claims in favor of the Company before he or she is eligible to receive any benefits under the agreement. Each CIC Agreement also contains non-solicitation provisions applicable to the executive while he or she is employed by the Company and for a period of twelve (12) months following the termination of his or her employment.</w:t>
      </w:r>
    </w:p>
    <w:p>
      <w:pPr>
        <w:spacing w:after="0" w:line="192" w:lineRule="exact"/>
        <w:rPr>
          <w:sz w:val="20"/>
          <w:szCs w:val="20"/>
          <w:color w:val="auto"/>
        </w:rPr>
      </w:pPr>
    </w:p>
    <w:p>
      <w:pPr>
        <w:jc w:val="both"/>
        <w:ind w:right="20" w:firstLine="389"/>
        <w:spacing w:after="0" w:line="277" w:lineRule="auto"/>
        <w:rPr>
          <w:sz w:val="20"/>
          <w:szCs w:val="20"/>
          <w:color w:val="auto"/>
        </w:rPr>
      </w:pPr>
      <w:r>
        <w:rPr>
          <w:rFonts w:ascii="Arial" w:cs="Arial" w:eastAsia="Arial" w:hAnsi="Arial"/>
          <w:sz w:val="18"/>
          <w:szCs w:val="18"/>
          <w:color w:val="auto"/>
        </w:rPr>
        <w:t>The terms “change in control,” “cause,” and “good reason” are each defined in the CIC Agreements. Change in control means, in summary: (i) the acquisition by a person or a group of 40% or more of the outstanding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7"/>
          <w:szCs w:val="17"/>
          <w:color w:val="auto"/>
        </w:rPr>
        <w:t>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04"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The following table summarizes the payments and benefits that would be made to the Named Executive Officers as of September 30, 2022, in the following circumstances as of such date:</w:t>
      </w:r>
    </w:p>
    <w:p>
      <w:pPr>
        <w:spacing w:after="0" w:line="1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without cause outside of a change in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without cause or for good reason in connection with a change in control;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a termination of employment because of death or disability.</w:t>
      </w:r>
    </w:p>
    <w:p>
      <w:pPr>
        <w:spacing w:after="0" w:line="225" w:lineRule="exact"/>
        <w:rPr>
          <w:sz w:val="20"/>
          <w:szCs w:val="20"/>
          <w:color w:val="auto"/>
        </w:rPr>
      </w:pPr>
    </w:p>
    <w:p>
      <w:pPr>
        <w:ind w:firstLine="389"/>
        <w:spacing w:after="0" w:line="308" w:lineRule="auto"/>
        <w:rPr>
          <w:sz w:val="20"/>
          <w:szCs w:val="20"/>
          <w:color w:val="auto"/>
        </w:rPr>
      </w:pPr>
      <w:r>
        <w:rPr>
          <w:rFonts w:ascii="Arial" w:cs="Arial" w:eastAsia="Arial" w:hAnsi="Arial"/>
          <w:sz w:val="17"/>
          <w:szCs w:val="17"/>
          <w:color w:val="auto"/>
        </w:rPr>
        <w:t>The accelerated equity values in the table reflect a price of $85.27 per share, which was the closing sale price of the Company’s common stock on the Nasdaq Global Select Market on September 30, 2022. The table does not reflect any equity awards made after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3"/>
              </w:rPr>
              <w:t>Termination</w:t>
            </w:r>
          </w:p>
        </w:tc>
        <w:tc>
          <w:tcPr>
            <w:tcW w:w="176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Termination</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760" w:type="dxa"/>
            <w:vAlign w:val="bottom"/>
          </w:tcPr>
          <w:p>
            <w:pPr>
              <w:jc w:val="center"/>
              <w:ind w:right="270"/>
              <w:spacing w:after="0" w:line="181" w:lineRule="exact"/>
              <w:rPr>
                <w:sz w:val="20"/>
                <w:szCs w:val="20"/>
                <w:color w:val="auto"/>
              </w:rPr>
            </w:pPr>
            <w:r>
              <w:rPr>
                <w:rFonts w:ascii="Arial" w:cs="Arial" w:eastAsia="Arial" w:hAnsi="Arial"/>
                <w:sz w:val="18"/>
                <w:szCs w:val="18"/>
                <w:b w:val="1"/>
                <w:bCs w:val="1"/>
                <w:color w:val="auto"/>
                <w:w w:val="89"/>
              </w:rPr>
              <w:t>w/o Cause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w/o Cause</w:t>
            </w: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92"/>
              </w:rPr>
              <w:t>or for Good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Outside</w:t>
            </w: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5"/>
              </w:rPr>
              <w:t>Reason,</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40" w:type="dxa"/>
            <w:vAlign w:val="bottom"/>
          </w:tcPr>
          <w:p>
            <w:pPr>
              <w:jc w:val="center"/>
              <w:ind w:right="130"/>
              <w:spacing w:after="0" w:line="189" w:lineRule="exact"/>
              <w:rPr>
                <w:sz w:val="20"/>
                <w:szCs w:val="20"/>
                <w:color w:val="auto"/>
              </w:rPr>
            </w:pPr>
            <w:r>
              <w:rPr>
                <w:rFonts w:ascii="Arial" w:cs="Arial" w:eastAsia="Arial" w:hAnsi="Arial"/>
                <w:sz w:val="18"/>
                <w:szCs w:val="18"/>
                <w:b w:val="1"/>
                <w:bCs w:val="1"/>
                <w:color w:val="auto"/>
                <w:w w:val="89"/>
              </w:rPr>
              <w:t>Change in</w:t>
            </w:r>
          </w:p>
        </w:tc>
        <w:tc>
          <w:tcPr>
            <w:tcW w:w="1760" w:type="dxa"/>
            <w:vAlign w:val="bottom"/>
          </w:tcPr>
          <w:p>
            <w:pPr>
              <w:jc w:val="center"/>
              <w:ind w:right="270"/>
              <w:spacing w:after="0" w:line="189" w:lineRule="exact"/>
              <w:rPr>
                <w:sz w:val="20"/>
                <w:szCs w:val="20"/>
                <w:color w:val="auto"/>
              </w:rPr>
            </w:pPr>
            <w:r>
              <w:rPr>
                <w:rFonts w:ascii="Arial" w:cs="Arial" w:eastAsia="Arial" w:hAnsi="Arial"/>
                <w:sz w:val="18"/>
                <w:szCs w:val="18"/>
                <w:b w:val="1"/>
                <w:bCs w:val="1"/>
                <w:color w:val="auto"/>
                <w:w w:val="95"/>
              </w:rPr>
              <w:t>After</w:t>
            </w: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0"/>
              </w:rPr>
              <w:t>Death/</w:t>
            </w:r>
          </w:p>
        </w:tc>
        <w:tc>
          <w:tcPr>
            <w:tcW w:w="0" w:type="dxa"/>
            <w:vAlign w:val="bottom"/>
          </w:tcPr>
          <w:p>
            <w:pPr>
              <w:spacing w:after="0"/>
              <w:rPr>
                <w:sz w:val="1"/>
                <w:szCs w:val="1"/>
                <w:color w:val="auto"/>
              </w:rPr>
            </w:pPr>
          </w:p>
        </w:tc>
      </w:tr>
      <w:tr>
        <w:trPr>
          <w:trHeight w:val="176"/>
        </w:trPr>
        <w:tc>
          <w:tcPr>
            <w:tcW w:w="1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4340" w:type="dxa"/>
            <w:vAlign w:val="bottom"/>
            <w:vMerge w:val="restart"/>
          </w:tcPr>
          <w:p>
            <w:pPr>
              <w:ind w:left="2140"/>
              <w:spacing w:after="0"/>
              <w:rPr>
                <w:sz w:val="20"/>
                <w:szCs w:val="20"/>
                <w:color w:val="auto"/>
              </w:rPr>
            </w:pPr>
            <w:r>
              <w:rPr>
                <w:rFonts w:ascii="Arial" w:cs="Arial" w:eastAsia="Arial" w:hAnsi="Arial"/>
                <w:sz w:val="18"/>
                <w:szCs w:val="18"/>
                <w:b w:val="1"/>
                <w:bCs w:val="1"/>
                <w:color w:val="auto"/>
              </w:rPr>
              <w:t>Benefit</w:t>
            </w:r>
          </w:p>
        </w:tc>
        <w:tc>
          <w:tcPr>
            <w:tcW w:w="20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3"/>
              </w:rPr>
              <w:t>Control</w:t>
            </w:r>
          </w:p>
        </w:tc>
        <w:tc>
          <w:tcPr>
            <w:tcW w:w="176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91"/>
              </w:rPr>
              <w:t>Change in</w:t>
            </w: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Disability</w:t>
            </w:r>
          </w:p>
        </w:tc>
        <w:tc>
          <w:tcPr>
            <w:tcW w:w="0" w:type="dxa"/>
            <w:vAlign w:val="bottom"/>
          </w:tcPr>
          <w:p>
            <w:pPr>
              <w:spacing w:after="0"/>
              <w:rPr>
                <w:sz w:val="1"/>
                <w:szCs w:val="1"/>
                <w:color w:val="auto"/>
              </w:rPr>
            </w:pPr>
          </w:p>
        </w:tc>
      </w:tr>
      <w:tr>
        <w:trPr>
          <w:trHeight w:val="229"/>
        </w:trPr>
        <w:tc>
          <w:tcPr>
            <w:tcW w:w="1900" w:type="dxa"/>
            <w:vAlign w:val="bottom"/>
            <w:vMerge w:val="continue"/>
          </w:tcPr>
          <w:p>
            <w:pPr>
              <w:spacing w:after="0"/>
              <w:rPr>
                <w:sz w:val="19"/>
                <w:szCs w:val="19"/>
                <w:color w:val="auto"/>
              </w:rPr>
            </w:pPr>
          </w:p>
        </w:tc>
        <w:tc>
          <w:tcPr>
            <w:tcW w:w="4340" w:type="dxa"/>
            <w:vAlign w:val="bottom"/>
            <w:vMerge w:val="continue"/>
          </w:tcPr>
          <w:p>
            <w:pPr>
              <w:spacing w:after="0"/>
              <w:rPr>
                <w:sz w:val="19"/>
                <w:szCs w:val="19"/>
                <w:color w:val="auto"/>
              </w:rPr>
            </w:pPr>
          </w:p>
        </w:tc>
        <w:tc>
          <w:tcPr>
            <w:tcW w:w="2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($)(1)</w:t>
            </w:r>
          </w:p>
        </w:tc>
        <w:tc>
          <w:tcPr>
            <w:tcW w:w="176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Control ($)</w:t>
            </w: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Liam K. Griffin(2)</w:t>
            </w:r>
          </w:p>
        </w:tc>
        <w:tc>
          <w:tcPr>
            <w:tcW w:w="4340" w:type="dxa"/>
            <w:vAlign w:val="bottom"/>
          </w:tcPr>
          <w:p>
            <w:pPr>
              <w:ind w:left="520"/>
              <w:spacing w:after="0"/>
              <w:rPr>
                <w:sz w:val="20"/>
                <w:szCs w:val="20"/>
                <w:color w:val="auto"/>
              </w:rPr>
            </w:pPr>
            <w:r>
              <w:rPr>
                <w:rFonts w:ascii="Arial" w:cs="Arial" w:eastAsia="Arial" w:hAnsi="Arial"/>
                <w:sz w:val="18"/>
                <w:szCs w:val="18"/>
                <w:color w:val="auto"/>
              </w:rPr>
              <w:t>Salary and Short-Term Incentive</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6,276,038(3)</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7,845,047(4)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Accelerated RSUs</w:t>
            </w:r>
          </w:p>
        </w:tc>
        <w:tc>
          <w:tcPr>
            <w:tcW w:w="20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7,427,699</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7,427,699</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7,427,699</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color w:val="auto"/>
              </w:rPr>
              <w:t>Accelerated PSAs (5)</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11,924,753</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11,924,753</w:t>
            </w:r>
          </w:p>
        </w:tc>
        <w:tc>
          <w:tcPr>
            <w:tcW w:w="1200" w:type="dxa"/>
            <w:vAlign w:val="bottom"/>
          </w:tcPr>
          <w:p>
            <w:pPr>
              <w:jc w:val="right"/>
              <w:spacing w:after="0"/>
              <w:rPr>
                <w:sz w:val="20"/>
                <w:szCs w:val="20"/>
                <w:color w:val="auto"/>
              </w:rPr>
            </w:pPr>
            <w:r>
              <w:rPr>
                <w:rFonts w:ascii="Arial" w:cs="Arial" w:eastAsia="Arial" w:hAnsi="Arial"/>
                <w:sz w:val="18"/>
                <w:szCs w:val="18"/>
                <w:color w:val="auto"/>
              </w:rPr>
              <w:t>11,924,753</w:t>
            </w:r>
          </w:p>
        </w:tc>
        <w:tc>
          <w:tcPr>
            <w:tcW w:w="0" w:type="dxa"/>
            <w:vAlign w:val="bottom"/>
          </w:tcPr>
          <w:p>
            <w:pPr>
              <w:spacing w:after="0"/>
              <w:rPr>
                <w:sz w:val="1"/>
                <w:szCs w:val="1"/>
                <w:color w:val="auto"/>
              </w:rPr>
            </w:pPr>
          </w:p>
        </w:tc>
      </w:tr>
      <w:tr>
        <w:trPr>
          <w:trHeight w:val="229"/>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Medical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33,052</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39,662</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25,661,542</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27,237,161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19,352,452</w:t>
            </w:r>
          </w:p>
        </w:tc>
        <w:tc>
          <w:tcPr>
            <w:tcW w:w="0" w:type="dxa"/>
            <w:vAlign w:val="bottom"/>
          </w:tcPr>
          <w:p>
            <w:pPr>
              <w:spacing w:after="0"/>
              <w:rPr>
                <w:sz w:val="1"/>
                <w:szCs w:val="1"/>
                <w:color w:val="auto"/>
              </w:rPr>
            </w:pPr>
          </w:p>
        </w:tc>
      </w:tr>
      <w:tr>
        <w:trPr>
          <w:trHeight w:val="20"/>
        </w:trPr>
        <w:tc>
          <w:tcPr>
            <w:tcW w:w="1900" w:type="dxa"/>
            <w:vAlign w:val="bottom"/>
            <w:tcBorders>
              <w:bottom w:val="single" w:sz="8" w:color="DBDBDB"/>
            </w:tcBorders>
          </w:tcPr>
          <w:p>
            <w:pPr>
              <w:spacing w:after="0" w:line="20" w:lineRule="exact"/>
              <w:rPr>
                <w:sz w:val="1"/>
                <w:szCs w:val="1"/>
                <w:color w:val="auto"/>
              </w:rPr>
            </w:pPr>
          </w:p>
        </w:tc>
        <w:tc>
          <w:tcPr>
            <w:tcW w:w="4340" w:type="dxa"/>
            <w:vAlign w:val="bottom"/>
            <w:tcBorders>
              <w:bottom w:val="single" w:sz="8" w:color="DBDBDB"/>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Sennesael(2)</w:t>
            </w: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Salary and Short-Term Incentive</w:t>
            </w:r>
          </w:p>
        </w:tc>
        <w:tc>
          <w:tcPr>
            <w:tcW w:w="20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588,000(6)</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1,853,233(7)</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color w:val="auto"/>
              </w:rPr>
              <w:t>Accelerated RSUs</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2,302,460</w:t>
            </w:r>
          </w:p>
        </w:tc>
        <w:tc>
          <w:tcPr>
            <w:tcW w:w="1200" w:type="dxa"/>
            <w:vAlign w:val="bottom"/>
          </w:tcPr>
          <w:p>
            <w:pPr>
              <w:jc w:val="right"/>
              <w:spacing w:after="0"/>
              <w:rPr>
                <w:sz w:val="20"/>
                <w:szCs w:val="20"/>
                <w:color w:val="auto"/>
              </w:rPr>
            </w:pPr>
            <w:r>
              <w:rPr>
                <w:rFonts w:ascii="Arial" w:cs="Arial" w:eastAsia="Arial" w:hAnsi="Arial"/>
                <w:sz w:val="18"/>
                <w:szCs w:val="18"/>
                <w:color w:val="auto"/>
              </w:rPr>
              <w:t>2,302,460</w:t>
            </w:r>
          </w:p>
        </w:tc>
        <w:tc>
          <w:tcPr>
            <w:tcW w:w="0" w:type="dxa"/>
            <w:vAlign w:val="bottom"/>
          </w:tcPr>
          <w:p>
            <w:pPr>
              <w:spacing w:after="0"/>
              <w:rPr>
                <w:sz w:val="1"/>
                <w:szCs w:val="1"/>
                <w:color w:val="auto"/>
              </w:rPr>
            </w:pPr>
          </w:p>
        </w:tc>
      </w:tr>
      <w:tr>
        <w:trPr>
          <w:trHeight w:val="229"/>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Accelerated PSAs (5)</w:t>
            </w:r>
          </w:p>
        </w:tc>
        <w:tc>
          <w:tcPr>
            <w:tcW w:w="20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3,749,578</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3,749,578</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DBDBDB"/>
            </w:tcBorders>
          </w:tcPr>
          <w:p>
            <w:pPr>
              <w:spacing w:after="0"/>
              <w:rPr>
                <w:sz w:val="19"/>
                <w:szCs w:val="19"/>
                <w:color w:val="auto"/>
              </w:rPr>
            </w:pPr>
          </w:p>
        </w:tc>
        <w:tc>
          <w:tcPr>
            <w:tcW w:w="4340" w:type="dxa"/>
            <w:vAlign w:val="bottom"/>
            <w:tcBorders>
              <w:bottom w:val="single" w:sz="8" w:color="DBDBDB"/>
            </w:tcBorders>
          </w:tcPr>
          <w:p>
            <w:pPr>
              <w:ind w:left="520"/>
              <w:spacing w:after="0"/>
              <w:rPr>
                <w:sz w:val="20"/>
                <w:szCs w:val="20"/>
                <w:color w:val="auto"/>
              </w:rPr>
            </w:pPr>
            <w:r>
              <w:rPr>
                <w:rFonts w:ascii="Arial" w:cs="Arial" w:eastAsia="Arial" w:hAnsi="Arial"/>
                <w:sz w:val="18"/>
                <w:szCs w:val="18"/>
                <w:color w:val="auto"/>
              </w:rPr>
              <w:t>Medical</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26,441</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39,662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900" w:type="dxa"/>
            <w:vAlign w:val="bottom"/>
            <w:tcBorders>
              <w:bottom w:val="single" w:sz="8" w:color="DBDBDB"/>
            </w:tcBorders>
            <w:shd w:val="clear" w:color="auto" w:fill="DBDBDB"/>
          </w:tcPr>
          <w:p>
            <w:pPr>
              <w:spacing w:after="0"/>
              <w:rPr>
                <w:sz w:val="21"/>
                <w:szCs w:val="21"/>
                <w:color w:val="auto"/>
              </w:rPr>
            </w:pPr>
          </w:p>
        </w:tc>
        <w:tc>
          <w:tcPr>
            <w:tcW w:w="4340" w:type="dxa"/>
            <w:vAlign w:val="bottom"/>
            <w:tcBorders>
              <w:bottom w:val="single" w:sz="8" w:color="DBDBDB"/>
            </w:tcBorders>
            <w:shd w:val="clear" w:color="auto" w:fill="DBDBDB"/>
          </w:tcPr>
          <w:p>
            <w:pPr>
              <w:ind w:left="5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614,441</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7,944,933</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6,052,038</w:t>
            </w:r>
          </w:p>
        </w:tc>
        <w:tc>
          <w:tcPr>
            <w:tcW w:w="0" w:type="dxa"/>
            <w:vAlign w:val="bottom"/>
          </w:tcPr>
          <w:p>
            <w:pPr>
              <w:spacing w:after="0"/>
              <w:rPr>
                <w:sz w:val="1"/>
                <w:szCs w:val="1"/>
                <w:color w:val="auto"/>
              </w:rPr>
            </w:pPr>
          </w:p>
        </w:tc>
      </w:tr>
      <w:tr>
        <w:trPr>
          <w:trHeight w:val="20"/>
        </w:trPr>
        <w:tc>
          <w:tcPr>
            <w:tcW w:w="19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Reza Kasnavi(2)</w:t>
            </w:r>
          </w:p>
        </w:tc>
        <w:tc>
          <w:tcPr>
            <w:tcW w:w="4340" w:type="dxa"/>
            <w:vAlign w:val="bottom"/>
            <w:tcBorders>
              <w:top w:val="single" w:sz="8" w:color="DBDBDB"/>
              <w:bottom w:val="single" w:sz="8" w:color="DBDBDB"/>
            </w:tcBorders>
            <w:vMerge w:val="restart"/>
          </w:tcPr>
          <w:p>
            <w:pPr>
              <w:ind w:left="520"/>
              <w:spacing w:after="0"/>
              <w:rPr>
                <w:sz w:val="20"/>
                <w:szCs w:val="20"/>
                <w:color w:val="auto"/>
              </w:rPr>
            </w:pPr>
            <w:r>
              <w:rPr>
                <w:rFonts w:ascii="Arial" w:cs="Arial" w:eastAsia="Arial" w:hAnsi="Arial"/>
                <w:sz w:val="18"/>
                <w:szCs w:val="18"/>
                <w:color w:val="auto"/>
              </w:rPr>
              <w:t>Salary and Short-Term Incentive</w:t>
            </w: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00" w:type="dxa"/>
            <w:vAlign w:val="bottom"/>
            <w:vMerge w:val="continue"/>
          </w:tcPr>
          <w:p>
            <w:pPr>
              <w:spacing w:after="0"/>
              <w:rPr>
                <w:sz w:val="17"/>
                <w:szCs w:val="17"/>
                <w:color w:val="auto"/>
              </w:rPr>
            </w:pPr>
          </w:p>
        </w:tc>
        <w:tc>
          <w:tcPr>
            <w:tcW w:w="4340" w:type="dxa"/>
            <w:vAlign w:val="bottom"/>
            <w:vMerge w:val="continue"/>
          </w:tcPr>
          <w:p>
            <w:pPr>
              <w:spacing w:after="0"/>
              <w:rPr>
                <w:sz w:val="17"/>
                <w:szCs w:val="17"/>
                <w:color w:val="auto"/>
              </w:rPr>
            </w:pPr>
          </w:p>
        </w:tc>
        <w:tc>
          <w:tcPr>
            <w:tcW w:w="20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557,000(6)</w:t>
            </w:r>
          </w:p>
        </w:tc>
        <w:tc>
          <w:tcPr>
            <w:tcW w:w="17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1,528,689(7)</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Accelerated RSUs</w:t>
            </w:r>
          </w:p>
        </w:tc>
        <w:tc>
          <w:tcPr>
            <w:tcW w:w="20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2,091,332</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2,091,332</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color w:val="auto"/>
              </w:rPr>
              <w:t>Accelerated PSAs (5)</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3,535,806</w:t>
            </w:r>
          </w:p>
        </w:tc>
        <w:tc>
          <w:tcPr>
            <w:tcW w:w="1200" w:type="dxa"/>
            <w:vAlign w:val="bottom"/>
          </w:tcPr>
          <w:p>
            <w:pPr>
              <w:jc w:val="right"/>
              <w:spacing w:after="0"/>
              <w:rPr>
                <w:sz w:val="20"/>
                <w:szCs w:val="20"/>
                <w:color w:val="auto"/>
              </w:rPr>
            </w:pPr>
            <w:r>
              <w:rPr>
                <w:rFonts w:ascii="Arial" w:cs="Arial" w:eastAsia="Arial" w:hAnsi="Arial"/>
                <w:sz w:val="18"/>
                <w:szCs w:val="18"/>
                <w:color w:val="auto"/>
              </w:rPr>
              <w:t>3,535,806</w:t>
            </w:r>
          </w:p>
        </w:tc>
        <w:tc>
          <w:tcPr>
            <w:tcW w:w="0" w:type="dxa"/>
            <w:vAlign w:val="bottom"/>
          </w:tcPr>
          <w:p>
            <w:pPr>
              <w:spacing w:after="0"/>
              <w:rPr>
                <w:sz w:val="1"/>
                <w:szCs w:val="1"/>
                <w:color w:val="auto"/>
              </w:rPr>
            </w:pPr>
          </w:p>
        </w:tc>
      </w:tr>
      <w:tr>
        <w:trPr>
          <w:trHeight w:val="230"/>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Medical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8,241</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12,362</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565,241</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7,168,189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5,627,138</w:t>
            </w:r>
          </w:p>
        </w:tc>
        <w:tc>
          <w:tcPr>
            <w:tcW w:w="0" w:type="dxa"/>
            <w:vAlign w:val="bottom"/>
          </w:tcPr>
          <w:p>
            <w:pPr>
              <w:spacing w:after="0"/>
              <w:rPr>
                <w:sz w:val="1"/>
                <w:szCs w:val="1"/>
                <w:color w:val="auto"/>
              </w:rPr>
            </w:pPr>
          </w:p>
        </w:tc>
      </w:tr>
      <w:tr>
        <w:trPr>
          <w:trHeight w:val="20"/>
        </w:trPr>
        <w:tc>
          <w:tcPr>
            <w:tcW w:w="1900" w:type="dxa"/>
            <w:vAlign w:val="bottom"/>
            <w:tcBorders>
              <w:bottom w:val="single" w:sz="8" w:color="DBDBDB"/>
            </w:tcBorders>
          </w:tcPr>
          <w:p>
            <w:pPr>
              <w:spacing w:after="0" w:line="20" w:lineRule="exact"/>
              <w:rPr>
                <w:sz w:val="1"/>
                <w:szCs w:val="1"/>
                <w:color w:val="auto"/>
              </w:rPr>
            </w:pPr>
          </w:p>
        </w:tc>
        <w:tc>
          <w:tcPr>
            <w:tcW w:w="4340" w:type="dxa"/>
            <w:vAlign w:val="bottom"/>
            <w:tcBorders>
              <w:bottom w:val="single" w:sz="8" w:color="DBDBDB"/>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Carlos S. Bori(2)</w:t>
            </w: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Salary and Short-Term Incentive</w:t>
            </w:r>
          </w:p>
        </w:tc>
        <w:tc>
          <w:tcPr>
            <w:tcW w:w="20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520,000(6)</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1,446,787(7)</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color w:val="auto"/>
              </w:rPr>
              <w:t>Accelerated RSUs</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2,092,440</w:t>
            </w:r>
          </w:p>
        </w:tc>
        <w:tc>
          <w:tcPr>
            <w:tcW w:w="1200" w:type="dxa"/>
            <w:vAlign w:val="bottom"/>
          </w:tcPr>
          <w:p>
            <w:pPr>
              <w:jc w:val="right"/>
              <w:spacing w:after="0"/>
              <w:rPr>
                <w:sz w:val="20"/>
                <w:szCs w:val="20"/>
                <w:color w:val="auto"/>
              </w:rPr>
            </w:pPr>
            <w:r>
              <w:rPr>
                <w:rFonts w:ascii="Arial" w:cs="Arial" w:eastAsia="Arial" w:hAnsi="Arial"/>
                <w:sz w:val="18"/>
                <w:szCs w:val="18"/>
                <w:color w:val="auto"/>
              </w:rPr>
              <w:t>2,092,440</w:t>
            </w:r>
          </w:p>
        </w:tc>
        <w:tc>
          <w:tcPr>
            <w:tcW w:w="0" w:type="dxa"/>
            <w:vAlign w:val="bottom"/>
          </w:tcPr>
          <w:p>
            <w:pPr>
              <w:spacing w:after="0"/>
              <w:rPr>
                <w:sz w:val="1"/>
                <w:szCs w:val="1"/>
                <w:color w:val="auto"/>
              </w:rPr>
            </w:pPr>
          </w:p>
        </w:tc>
      </w:tr>
      <w:tr>
        <w:trPr>
          <w:trHeight w:val="229"/>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Accelerated PSAs (5)</w:t>
            </w:r>
          </w:p>
        </w:tc>
        <w:tc>
          <w:tcPr>
            <w:tcW w:w="20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3,393,575</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3,393,575</w:t>
            </w:r>
          </w:p>
        </w:tc>
        <w:tc>
          <w:tcPr>
            <w:tcW w:w="0" w:type="dxa"/>
            <w:vAlign w:val="bottom"/>
          </w:tcPr>
          <w:p>
            <w:pPr>
              <w:spacing w:after="0"/>
              <w:rPr>
                <w:sz w:val="1"/>
                <w:szCs w:val="1"/>
                <w:color w:val="auto"/>
              </w:rPr>
            </w:pPr>
          </w:p>
        </w:tc>
      </w:tr>
      <w:tr>
        <w:trPr>
          <w:trHeight w:val="230"/>
        </w:trPr>
        <w:tc>
          <w:tcPr>
            <w:tcW w:w="1900" w:type="dxa"/>
            <w:vAlign w:val="bottom"/>
            <w:tcBorders>
              <w:bottom w:val="single" w:sz="8" w:color="DBDBDB"/>
            </w:tcBorders>
          </w:tcPr>
          <w:p>
            <w:pPr>
              <w:spacing w:after="0"/>
              <w:rPr>
                <w:sz w:val="19"/>
                <w:szCs w:val="19"/>
                <w:color w:val="auto"/>
              </w:rPr>
            </w:pPr>
          </w:p>
        </w:tc>
        <w:tc>
          <w:tcPr>
            <w:tcW w:w="4340" w:type="dxa"/>
            <w:vAlign w:val="bottom"/>
            <w:tcBorders>
              <w:bottom w:val="single" w:sz="8" w:color="DBDBDB"/>
            </w:tcBorders>
          </w:tcPr>
          <w:p>
            <w:pPr>
              <w:ind w:left="520"/>
              <w:spacing w:after="0"/>
              <w:rPr>
                <w:sz w:val="20"/>
                <w:szCs w:val="20"/>
                <w:color w:val="auto"/>
              </w:rPr>
            </w:pPr>
            <w:r>
              <w:rPr>
                <w:rFonts w:ascii="Arial" w:cs="Arial" w:eastAsia="Arial" w:hAnsi="Arial"/>
                <w:sz w:val="18"/>
                <w:szCs w:val="18"/>
                <w:color w:val="auto"/>
              </w:rPr>
              <w:t>Medical</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26,441</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39,662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900" w:type="dxa"/>
            <w:vAlign w:val="bottom"/>
            <w:tcBorders>
              <w:bottom w:val="single" w:sz="8" w:color="DBDBDB"/>
            </w:tcBorders>
            <w:shd w:val="clear" w:color="auto" w:fill="DBDBDB"/>
          </w:tcPr>
          <w:p>
            <w:pPr>
              <w:spacing w:after="0"/>
              <w:rPr>
                <w:sz w:val="21"/>
                <w:szCs w:val="21"/>
                <w:color w:val="auto"/>
              </w:rPr>
            </w:pPr>
          </w:p>
        </w:tc>
        <w:tc>
          <w:tcPr>
            <w:tcW w:w="4340" w:type="dxa"/>
            <w:vAlign w:val="bottom"/>
            <w:tcBorders>
              <w:bottom w:val="single" w:sz="8" w:color="DBDBDB"/>
            </w:tcBorders>
            <w:shd w:val="clear" w:color="auto" w:fill="DBDBDB"/>
          </w:tcPr>
          <w:p>
            <w:pPr>
              <w:ind w:left="5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546,441</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6,972,464</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5,486,015</w:t>
            </w:r>
          </w:p>
        </w:tc>
        <w:tc>
          <w:tcPr>
            <w:tcW w:w="0" w:type="dxa"/>
            <w:vAlign w:val="bottom"/>
          </w:tcPr>
          <w:p>
            <w:pPr>
              <w:spacing w:after="0"/>
              <w:rPr>
                <w:sz w:val="1"/>
                <w:szCs w:val="1"/>
                <w:color w:val="auto"/>
              </w:rPr>
            </w:pPr>
          </w:p>
        </w:tc>
      </w:tr>
      <w:tr>
        <w:trPr>
          <w:trHeight w:val="20"/>
        </w:trPr>
        <w:tc>
          <w:tcPr>
            <w:tcW w:w="19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Robert J. Terry(2)</w:t>
            </w:r>
          </w:p>
        </w:tc>
        <w:tc>
          <w:tcPr>
            <w:tcW w:w="4340" w:type="dxa"/>
            <w:vAlign w:val="bottom"/>
            <w:tcBorders>
              <w:top w:val="single" w:sz="8" w:color="DBDBDB"/>
              <w:bottom w:val="single" w:sz="8" w:color="DBDBDB"/>
            </w:tcBorders>
            <w:vMerge w:val="restart"/>
          </w:tcPr>
          <w:p>
            <w:pPr>
              <w:ind w:left="520"/>
              <w:spacing w:after="0"/>
              <w:rPr>
                <w:sz w:val="20"/>
                <w:szCs w:val="20"/>
                <w:color w:val="auto"/>
              </w:rPr>
            </w:pPr>
            <w:r>
              <w:rPr>
                <w:rFonts w:ascii="Arial" w:cs="Arial" w:eastAsia="Arial" w:hAnsi="Arial"/>
                <w:sz w:val="18"/>
                <w:szCs w:val="18"/>
                <w:color w:val="auto"/>
              </w:rPr>
              <w:t>Salary and Short-Term Incentive</w:t>
            </w: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00" w:type="dxa"/>
            <w:vAlign w:val="bottom"/>
            <w:vMerge w:val="continue"/>
          </w:tcPr>
          <w:p>
            <w:pPr>
              <w:spacing w:after="0"/>
              <w:rPr>
                <w:sz w:val="17"/>
                <w:szCs w:val="17"/>
                <w:color w:val="auto"/>
              </w:rPr>
            </w:pPr>
          </w:p>
        </w:tc>
        <w:tc>
          <w:tcPr>
            <w:tcW w:w="4340" w:type="dxa"/>
            <w:vAlign w:val="bottom"/>
            <w:vMerge w:val="continue"/>
          </w:tcPr>
          <w:p>
            <w:pPr>
              <w:spacing w:after="0"/>
              <w:rPr>
                <w:sz w:val="17"/>
                <w:szCs w:val="17"/>
                <w:color w:val="auto"/>
              </w:rPr>
            </w:pPr>
          </w:p>
        </w:tc>
        <w:tc>
          <w:tcPr>
            <w:tcW w:w="20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522,000(6)</w:t>
            </w:r>
          </w:p>
        </w:tc>
        <w:tc>
          <w:tcPr>
            <w:tcW w:w="17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1,473,256(7)</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Accelerated RSUs</w:t>
            </w:r>
          </w:p>
        </w:tc>
        <w:tc>
          <w:tcPr>
            <w:tcW w:w="20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1,789,476</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1,789,476</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color w:val="auto"/>
              </w:rPr>
              <w:t>Accelerated PSAs (5)</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3,002,953</w:t>
            </w:r>
          </w:p>
        </w:tc>
        <w:tc>
          <w:tcPr>
            <w:tcW w:w="1200" w:type="dxa"/>
            <w:vAlign w:val="bottom"/>
          </w:tcPr>
          <w:p>
            <w:pPr>
              <w:jc w:val="right"/>
              <w:spacing w:after="0"/>
              <w:rPr>
                <w:sz w:val="20"/>
                <w:szCs w:val="20"/>
                <w:color w:val="auto"/>
              </w:rPr>
            </w:pPr>
            <w:r>
              <w:rPr>
                <w:rFonts w:ascii="Arial" w:cs="Arial" w:eastAsia="Arial" w:hAnsi="Arial"/>
                <w:sz w:val="18"/>
                <w:szCs w:val="18"/>
                <w:color w:val="auto"/>
              </w:rPr>
              <w:t>3,002,953</w:t>
            </w:r>
          </w:p>
        </w:tc>
        <w:tc>
          <w:tcPr>
            <w:tcW w:w="0" w:type="dxa"/>
            <w:vAlign w:val="bottom"/>
          </w:tcPr>
          <w:p>
            <w:pPr>
              <w:spacing w:after="0"/>
              <w:rPr>
                <w:sz w:val="1"/>
                <w:szCs w:val="1"/>
                <w:color w:val="auto"/>
              </w:rPr>
            </w:pPr>
          </w:p>
        </w:tc>
      </w:tr>
      <w:tr>
        <w:trPr>
          <w:trHeight w:val="230"/>
        </w:trPr>
        <w:tc>
          <w:tcPr>
            <w:tcW w:w="1900" w:type="dxa"/>
            <w:vAlign w:val="bottom"/>
            <w:shd w:val="clear" w:color="auto" w:fill="DBDBDB"/>
          </w:tcPr>
          <w:p>
            <w:pPr>
              <w:spacing w:after="0"/>
              <w:rPr>
                <w:sz w:val="19"/>
                <w:szCs w:val="19"/>
                <w:color w:val="auto"/>
              </w:rPr>
            </w:pPr>
          </w:p>
        </w:tc>
        <w:tc>
          <w:tcPr>
            <w:tcW w:w="4340" w:type="dxa"/>
            <w:vAlign w:val="bottom"/>
            <w:shd w:val="clear" w:color="auto" w:fill="DBDBDB"/>
          </w:tcPr>
          <w:p>
            <w:pPr>
              <w:ind w:left="520"/>
              <w:spacing w:after="0"/>
              <w:rPr>
                <w:sz w:val="20"/>
                <w:szCs w:val="20"/>
                <w:color w:val="auto"/>
              </w:rPr>
            </w:pPr>
            <w:r>
              <w:rPr>
                <w:rFonts w:ascii="Arial" w:cs="Arial" w:eastAsia="Arial" w:hAnsi="Arial"/>
                <w:sz w:val="18"/>
                <w:szCs w:val="18"/>
                <w:color w:val="auto"/>
              </w:rPr>
              <w:t>Medical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26,441</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rPr>
              <w:t>39,662</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434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548,441</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6,305,347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4,792,429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Mr. Griffin, includes amounts payable pursuant to a termination for good reason outside of a change in control.</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the value of accrued vacation/paid time off required by law to be paid upon termination.</w:t>
      </w:r>
    </w:p>
    <w:p>
      <w:pPr>
        <w:spacing w:after="0" w:line="9" w:lineRule="exact"/>
        <w:rPr>
          <w:rFonts w:ascii="Arial" w:cs="Arial" w:eastAsia="Arial" w:hAnsi="Arial"/>
          <w:sz w:val="18"/>
          <w:szCs w:val="18"/>
          <w:color w:val="auto"/>
        </w:rPr>
      </w:pPr>
    </w:p>
    <w:p>
      <w:pPr>
        <w:jc w:val="both"/>
        <w:ind w:left="260" w:hanging="252"/>
        <w:spacing w:after="0" w:line="250" w:lineRule="auto"/>
        <w:tabs>
          <w:tab w:leader="none" w:pos="2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an amount equal to two (2) times the sum of (A) Mr. Griffin’s annual base salary as of September 30, 2022, and (B) an Incentive Plan payment, which is equal to the three (3) year average of the actual incentive payments made to Mr. Griffin for fiscal years 2019, 2020, and 2021, since such average is greater than the “target” short-term cash incentive award for fiscal year 2022.</w:t>
      </w:r>
    </w:p>
    <w:p>
      <w:pPr>
        <w:spacing w:after="0" w:line="1" w:lineRule="exact"/>
        <w:rPr>
          <w:rFonts w:ascii="Arial" w:cs="Arial" w:eastAsia="Arial" w:hAnsi="Arial"/>
          <w:sz w:val="18"/>
          <w:szCs w:val="18"/>
          <w:color w:val="auto"/>
        </w:rPr>
      </w:pPr>
    </w:p>
    <w:p>
      <w:pPr>
        <w:jc w:val="both"/>
        <w:ind w:left="260" w:hanging="252"/>
        <w:spacing w:after="0" w:line="250" w:lineRule="auto"/>
        <w:tabs>
          <w:tab w:leader="none" w:pos="2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an amount equal to two and one-half (2½) times the sum of (A) Mr. Griffin’s annual base salary as of September 30, 2022, and (B) an Incentive Plan payment, which is equal to the three (3) year average of the actual incentive payments made to Mr. Griffin for fiscal years 2019, 2020, and 2021, since such average is greater than the “target” short-term cash incentive award for fiscal year 2022.</w:t>
      </w:r>
    </w:p>
    <w:p>
      <w:pPr>
        <w:spacing w:after="0" w:line="1" w:lineRule="exact"/>
        <w:rPr>
          <w:rFonts w:ascii="Arial" w:cs="Arial" w:eastAsia="Arial" w:hAnsi="Arial"/>
          <w:sz w:val="18"/>
          <w:szCs w:val="18"/>
          <w:color w:val="auto"/>
        </w:rPr>
      </w:pPr>
    </w:p>
    <w:p>
      <w:pPr>
        <w:jc w:val="both"/>
        <w:ind w:left="260" w:hanging="252"/>
        <w:spacing w:after="0" w:line="255" w:lineRule="auto"/>
        <w:tabs>
          <w:tab w:leader="none" w:pos="2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value of PSAs that were unvested and outstanding as of September 30, 2022, in accordance with Item 402(j) of Regulation S-K, using the following assumptions: (a) achievement at the “target” level of performance for the FY20 PSAs (3-year TSR percentile ranking metric) scheduled to vest on November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0" w:name="page31"/>
    <w:bookmarkEnd w:id="30"/>
    <w:p>
      <w:pPr>
        <w:ind w:left="260"/>
        <w:spacing w:after="0"/>
        <w:rPr>
          <w:sz w:val="20"/>
          <w:szCs w:val="20"/>
          <w:color w:val="auto"/>
        </w:rPr>
      </w:pPr>
      <w:r>
        <w:rPr>
          <w:rFonts w:ascii="Arial" w:cs="Arial" w:eastAsia="Arial" w:hAnsi="Arial"/>
          <w:sz w:val="16"/>
          <w:szCs w:val="16"/>
          <w:color w:val="auto"/>
        </w:rPr>
        <w:t>based on the Company’s actual TSR relative to the applicable peer group for fiscal years 2020–2022 tracking below the “target” level of performance;</w:t>
      </w:r>
    </w:p>
    <w:p>
      <w:pPr>
        <w:spacing w:after="0" w:line="46" w:lineRule="exact"/>
        <w:rPr>
          <w:sz w:val="20"/>
          <w:szCs w:val="20"/>
          <w:color w:val="auto"/>
        </w:rPr>
      </w:pPr>
    </w:p>
    <w:p>
      <w:pPr>
        <w:jc w:val="both"/>
        <w:ind w:left="260"/>
        <w:spacing w:after="0" w:line="281" w:lineRule="auto"/>
        <w:rPr>
          <w:sz w:val="20"/>
          <w:szCs w:val="20"/>
          <w:color w:val="auto"/>
        </w:rPr>
      </w:pPr>
      <w:r>
        <w:rPr>
          <w:rFonts w:ascii="Arial" w:cs="Arial" w:eastAsia="Arial" w:hAnsi="Arial"/>
          <w:sz w:val="16"/>
          <w:szCs w:val="16"/>
          <w:color w:val="auto"/>
        </w:rPr>
        <w:t>(b) achievement at 200% of the “target” level of performance for the FY21 PSAs (emerging revenue growth and design wins metrics) scheduled to vest on November 11, 2022, based on the Company’s actual achievement at the “maximum” level of performance with respect to both metrics measured over a one-year performance period consisting of the Company’s fiscal year 2021; (c) achievement at the “target” level of performance for the FY21 PSAs (3-year TSR percentile ranking metric) scheduled to vest on November 11, 2023, based on the Company’s TSR relative to the applicable peer group for fiscal years 2021 and 2022 tracking below the “target” level of performance; (d) achievement at 200% of the “target” level of performance for the FY22 PSAs emerging revenue growth metric scheduled to vest on November 10, 2023, based on the Company’s actual achievement at the “maximum” level of performance with respect to the performance metric measured over a one-year performance period consisting of the Company’s fiscal year 2022; (e) achievement at 133% of the “target” level of performance for the FY22 PSAs EBITDA margin percentile ranking metric scheduled to vest on November 10, 2023, based on the Company’s tracking of achievement between the “target” and “maximum” levels of performance with respect to the metric measured over a two-year performance period consisting of the Company’s fiscal year 2022 and fiscal year 2023; and (f) achievement at the “target” level of performance for the FY22 PSAs (3-year TSR percentile ranking metric) scheduled to vest on November 10, 2024, based on the Company’s TSR relative to the applicable peer group for fiscal year 2022 tracking below the “target” level of performance.</w:t>
      </w:r>
    </w:p>
    <w:p>
      <w:pPr>
        <w:spacing w:after="0" w:line="7"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an amount equal to the Named Executive Officer’s annual base salary as of September 30, 2022.</w:t>
      </w:r>
    </w:p>
    <w:p>
      <w:pPr>
        <w:spacing w:after="0" w:line="9" w:lineRule="exact"/>
        <w:rPr>
          <w:rFonts w:ascii="Arial" w:cs="Arial" w:eastAsia="Arial" w:hAnsi="Arial"/>
          <w:sz w:val="18"/>
          <w:szCs w:val="18"/>
          <w:color w:val="auto"/>
        </w:rPr>
      </w:pPr>
    </w:p>
    <w:p>
      <w:pPr>
        <w:jc w:val="both"/>
        <w:ind w:left="260" w:hanging="252"/>
        <w:spacing w:after="0" w:line="253" w:lineRule="auto"/>
        <w:tabs>
          <w:tab w:leader="none" w:pos="2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an amount equal to one and one-half (1½) times the sum of (A) the Named Executive Officer’s annual base salary as of September 30, 2022, and (B) an Incentive Plan payment, which is equal to the three (3) year average of the actual incentive payments made to the Named Executive Officer for fiscal years 2019, 2020, and 2021, since such average is greater than the Named Executive Officer’s “target” short-term cash incentive award for fiscal year 2022.</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CEO Pay Ratio</w:t>
      </w:r>
    </w:p>
    <w:p>
      <w:pPr>
        <w:spacing w:after="0" w:line="225"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Following is an estimate, prepared under applicable SEC rules, of the ratio of the annual total compensation of our Chief Executive Officer to the median of the annual total compensation of our other employees. For fiscal year 2022:</w:t>
      </w:r>
    </w:p>
    <w:p>
      <w:pPr>
        <w:spacing w:after="0" w:line="6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was $16,667,162.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annual total compensation of our median compensated employee was $30,180.</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the foregoing, we estimate that our Chief Executive Officer’s total annual compensation was approximately 552 times that of our median employee.</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 determine the median of the annual total compensation of our employees, we applied the following methodology and material assumptions:</w:t>
      </w:r>
    </w:p>
    <w:p>
      <w:pPr>
        <w:spacing w:after="0" w:line="129" w:lineRule="exact"/>
        <w:rPr>
          <w:sz w:val="20"/>
          <w:szCs w:val="20"/>
          <w:color w:val="auto"/>
        </w:rPr>
      </w:pPr>
    </w:p>
    <w:p>
      <w:pPr>
        <w:jc w:val="both"/>
        <w:ind w:left="660" w:hanging="328"/>
        <w:spacing w:after="0" w:line="25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did not use the de minimis exception to exclude any non-U.S. employees. We have a globally diverse workforce with total headcount of approximately 11,150 as of September 30, 2022, of which approximately 77% are located outside the United States, primarily in locations employing large direct labor forces such as Mexico and Singapore where wages are significantly lower than in the United States. The median employee within our employee population was identified, consistent with prior years, as of the last day of our fiscal year, or September 30, 2022, and is a full-time employee in our Mexicali, Mexico facility.</w:t>
      </w:r>
    </w:p>
    <w:p>
      <w:pPr>
        <w:spacing w:after="0" w:line="214"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identify the median employee, we used a consistently applied compensation measure that included total taxable earnings paid to our 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Using this consistently applied compensation measure, we identified an employee at the median and calculated such employee’s total compensation for fiscal year 2022 in accordance with Item 402(c)(2)(x) of Regulation S-K.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did not use any cost-of-living adjustments in identifying the median employee.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is the amount reported in the “Total” column of our Summary Compensation Table for fiscal year 2022.</w:t>
      </w:r>
    </w:p>
    <w:p>
      <w:pPr>
        <w:spacing w:after="0" w:line="62"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33" w:lineRule="exact"/>
        <w:rPr>
          <w:sz w:val="20"/>
          <w:szCs w:val="20"/>
          <w:color w:val="auto"/>
        </w:rPr>
      </w:pPr>
    </w:p>
    <w:p>
      <w:pPr>
        <w:jc w:val="both"/>
        <w:ind w:firstLine="389"/>
        <w:spacing w:after="0" w:line="301" w:lineRule="auto"/>
        <w:rPr>
          <w:sz w:val="20"/>
          <w:szCs w:val="20"/>
          <w:color w:val="auto"/>
        </w:rPr>
      </w:pPr>
      <w:r>
        <w:rPr>
          <w:rFonts w:ascii="Arial" w:cs="Arial" w:eastAsia="Arial" w:hAnsi="Arial"/>
          <w:sz w:val="16"/>
          <w:szCs w:val="16"/>
          <w:color w:val="auto"/>
        </w:rPr>
        <w:t>The Board of Directors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jc w:val="both"/>
        <w:ind w:firstLine="389"/>
        <w:spacing w:after="0" w:line="272" w:lineRule="auto"/>
        <w:rPr>
          <w:sz w:val="20"/>
          <w:szCs w:val="20"/>
          <w:color w:val="auto"/>
        </w:rPr>
      </w:pPr>
      <w:r>
        <w:rPr>
          <w:rFonts w:ascii="Arial" w:cs="Arial" w:eastAsia="Arial" w:hAnsi="Arial"/>
          <w:sz w:val="17"/>
          <w:szCs w:val="17"/>
          <w:color w:val="auto"/>
        </w:rPr>
        <w:t>Non-employee directors are paid, in quarterly installments, an annual retainer of $80,000 (increased from $75,000 effective February 9, 2022).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Governance Committee ($15,000); non-chair member of Audit Committee ($15,000); non-chair member of Compensation Committee ($10,000); and non-chair member of Nominating and Corporate Governance Committee ($7,500). In addition, the Compensation Committee continues to retain discretion to recommend to the full Board of Directors that additional cash payments be made to a non-employee director for extraordinary service during a fiscal year.</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color w:val="auto"/>
        </w:rPr>
        <w:t>Currently, following each annual meeting of stockholders, each non-employee director who is reelected will receive a grant of RSUs having a value of approximately $225,000 (increased from $200,000 effective February 9, 2022). Any newly appointed non-employee director will receive an initial equity grant of RSUs having a value of approximately $225,000 (increased from $200,000 effective February 9, 2022).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ind w:firstLine="389"/>
        <w:spacing w:after="0" w:line="277" w:lineRule="auto"/>
        <w:rPr>
          <w:sz w:val="20"/>
          <w:szCs w:val="20"/>
          <w:color w:val="auto"/>
        </w:rPr>
      </w:pPr>
      <w:r>
        <w:rPr>
          <w:rFonts w:ascii="Arial" w:cs="Arial" w:eastAsia="Arial" w:hAnsi="Arial"/>
          <w:sz w:val="18"/>
          <w:szCs w:val="18"/>
          <w:color w:val="auto"/>
        </w:rPr>
        <w:t>No director who is also an employee receives separate compensation for services rendered as a director. Mr. Griffin is currently the only director who is also an employee of the Company.</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compensation paid to the Company’s non-employee directors for fiscal year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350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Fees Earned</w:t>
            </w:r>
          </w:p>
        </w:tc>
        <w:tc>
          <w:tcPr>
            <w:tcW w:w="1600" w:type="dxa"/>
            <w:vAlign w:val="bottom"/>
          </w:tcPr>
          <w:p>
            <w:pPr>
              <w:jc w:val="center"/>
              <w:ind w:right="41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0"/>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500" w:type="dxa"/>
            <w:vAlign w:val="bottom"/>
          </w:tcPr>
          <w:p>
            <w:pPr>
              <w:jc w:val="center"/>
              <w:ind w:left="1090"/>
              <w:spacing w:after="0" w:line="181" w:lineRule="exact"/>
              <w:rPr>
                <w:sz w:val="20"/>
                <w:szCs w:val="20"/>
                <w:color w:val="auto"/>
              </w:rPr>
            </w:pPr>
            <w:r>
              <w:rPr>
                <w:rFonts w:ascii="Arial" w:cs="Arial" w:eastAsia="Arial" w:hAnsi="Arial"/>
                <w:sz w:val="18"/>
                <w:szCs w:val="18"/>
                <w:b w:val="1"/>
                <w:bCs w:val="1"/>
                <w:color w:val="auto"/>
                <w:w w:val="91"/>
              </w:rPr>
              <w:t>or Paid in Cash</w:t>
            </w:r>
          </w:p>
        </w:tc>
        <w:tc>
          <w:tcPr>
            <w:tcW w:w="1600" w:type="dxa"/>
            <w:vAlign w:val="bottom"/>
          </w:tcPr>
          <w:p>
            <w:pPr>
              <w:jc w:val="center"/>
              <w:ind w:right="410"/>
              <w:spacing w:after="0" w:line="181" w:lineRule="exact"/>
              <w:rPr>
                <w:sz w:val="20"/>
                <w:szCs w:val="20"/>
                <w:color w:val="auto"/>
              </w:rPr>
            </w:pPr>
            <w:r>
              <w:rPr>
                <w:rFonts w:ascii="Arial" w:cs="Arial" w:eastAsia="Arial" w:hAnsi="Arial"/>
                <w:sz w:val="18"/>
                <w:szCs w:val="18"/>
                <w:b w:val="1"/>
                <w:bCs w:val="1"/>
                <w:color w:val="auto"/>
                <w:w w:val="89"/>
              </w:rPr>
              <w:t>Awards</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vMerge w:val="continue"/>
          </w:tcPr>
          <w:p>
            <w:pPr>
              <w:spacing w:after="0"/>
              <w:rPr>
                <w:sz w:val="19"/>
                <w:szCs w:val="19"/>
                <w:color w:val="auto"/>
              </w:rPr>
            </w:pPr>
          </w:p>
        </w:tc>
        <w:tc>
          <w:tcPr>
            <w:tcW w:w="3500" w:type="dxa"/>
            <w:vAlign w:val="bottom"/>
          </w:tcPr>
          <w:p>
            <w:pPr>
              <w:jc w:val="center"/>
              <w:ind w:left="1090"/>
              <w:spacing w:after="0"/>
              <w:rPr>
                <w:sz w:val="20"/>
                <w:szCs w:val="20"/>
                <w:color w:val="auto"/>
              </w:rPr>
            </w:pPr>
            <w:r>
              <w:rPr>
                <w:rFonts w:ascii="Arial" w:cs="Arial" w:eastAsia="Arial" w:hAnsi="Arial"/>
                <w:sz w:val="18"/>
                <w:szCs w:val="18"/>
                <w:b w:val="1"/>
                <w:bCs w:val="1"/>
                <w:color w:val="auto"/>
                <w:w w:val="90"/>
              </w:rPr>
              <w:t>($)</w:t>
            </w:r>
          </w:p>
        </w:tc>
        <w:tc>
          <w:tcPr>
            <w:tcW w:w="160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($)(1)(2)</w:t>
            </w: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Christine King, Lead Independent Director</w:t>
            </w:r>
          </w:p>
        </w:tc>
        <w:tc>
          <w:tcPr>
            <w:tcW w:w="3500" w:type="dxa"/>
            <w:vAlign w:val="bottom"/>
          </w:tcPr>
          <w:p>
            <w:pPr>
              <w:jc w:val="right"/>
              <w:ind w:right="150"/>
              <w:spacing w:after="0"/>
              <w:rPr>
                <w:sz w:val="20"/>
                <w:szCs w:val="20"/>
                <w:color w:val="auto"/>
              </w:rPr>
            </w:pPr>
            <w:r>
              <w:rPr>
                <w:rFonts w:ascii="Arial" w:cs="Arial" w:eastAsia="Arial" w:hAnsi="Arial"/>
                <w:sz w:val="18"/>
                <w:szCs w:val="18"/>
                <w:color w:val="auto"/>
              </w:rPr>
              <w:t>163,750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188,708</w:t>
            </w:r>
          </w:p>
        </w:tc>
        <w:tc>
          <w:tcPr>
            <w:tcW w:w="1240" w:type="dxa"/>
            <w:vAlign w:val="bottom"/>
          </w:tcPr>
          <w:p>
            <w:pPr>
              <w:jc w:val="right"/>
              <w:spacing w:after="0"/>
              <w:rPr>
                <w:sz w:val="20"/>
                <w:szCs w:val="20"/>
                <w:color w:val="auto"/>
              </w:rPr>
            </w:pPr>
            <w:r>
              <w:rPr>
                <w:rFonts w:ascii="Arial" w:cs="Arial" w:eastAsia="Arial" w:hAnsi="Arial"/>
                <w:sz w:val="18"/>
                <w:szCs w:val="18"/>
                <w:color w:val="auto"/>
              </w:rPr>
              <w:t>352,458</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Alan S. Batey</w:t>
            </w:r>
          </w:p>
        </w:tc>
        <w:tc>
          <w:tcPr>
            <w:tcW w:w="35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87,218</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188,708</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275,926</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Kevin L. Beebe</w:t>
            </w:r>
          </w:p>
        </w:tc>
        <w:tc>
          <w:tcPr>
            <w:tcW w:w="3500" w:type="dxa"/>
            <w:vAlign w:val="bottom"/>
          </w:tcPr>
          <w:p>
            <w:pPr>
              <w:jc w:val="right"/>
              <w:ind w:right="150"/>
              <w:spacing w:after="0"/>
              <w:rPr>
                <w:sz w:val="20"/>
                <w:szCs w:val="20"/>
                <w:color w:val="auto"/>
              </w:rPr>
            </w:pPr>
            <w:r>
              <w:rPr>
                <w:rFonts w:ascii="Arial" w:cs="Arial" w:eastAsia="Arial" w:hAnsi="Arial"/>
                <w:sz w:val="18"/>
                <w:szCs w:val="18"/>
                <w:color w:val="auto"/>
              </w:rPr>
              <w:t>93,750</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188,708</w:t>
            </w:r>
          </w:p>
        </w:tc>
        <w:tc>
          <w:tcPr>
            <w:tcW w:w="1240" w:type="dxa"/>
            <w:vAlign w:val="bottom"/>
          </w:tcPr>
          <w:p>
            <w:pPr>
              <w:jc w:val="right"/>
              <w:spacing w:after="0"/>
              <w:rPr>
                <w:sz w:val="20"/>
                <w:szCs w:val="20"/>
                <w:color w:val="auto"/>
              </w:rPr>
            </w:pPr>
            <w:r>
              <w:rPr>
                <w:rFonts w:ascii="Arial" w:cs="Arial" w:eastAsia="Arial" w:hAnsi="Arial"/>
                <w:sz w:val="18"/>
                <w:szCs w:val="18"/>
                <w:color w:val="auto"/>
              </w:rPr>
              <w:t>282,458</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Timothy R. Furey, Former Director(3)</w:t>
            </w:r>
          </w:p>
        </w:tc>
        <w:tc>
          <w:tcPr>
            <w:tcW w:w="35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61,545</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61,545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Eric J. Guerin</w:t>
            </w:r>
          </w:p>
        </w:tc>
        <w:tc>
          <w:tcPr>
            <w:tcW w:w="3500" w:type="dxa"/>
            <w:vAlign w:val="bottom"/>
          </w:tcPr>
          <w:p>
            <w:pPr>
              <w:jc w:val="right"/>
              <w:ind w:right="150"/>
              <w:spacing w:after="0"/>
              <w:rPr>
                <w:sz w:val="20"/>
                <w:szCs w:val="20"/>
                <w:color w:val="auto"/>
              </w:rPr>
            </w:pPr>
            <w:r>
              <w:rPr>
                <w:rFonts w:ascii="Arial" w:cs="Arial" w:eastAsia="Arial" w:hAnsi="Arial"/>
                <w:sz w:val="18"/>
                <w:szCs w:val="18"/>
                <w:color w:val="auto"/>
              </w:rPr>
              <w:t>56,239</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388,770</w:t>
            </w:r>
          </w:p>
        </w:tc>
        <w:tc>
          <w:tcPr>
            <w:tcW w:w="1240" w:type="dxa"/>
            <w:vAlign w:val="bottom"/>
          </w:tcPr>
          <w:p>
            <w:pPr>
              <w:jc w:val="right"/>
              <w:spacing w:after="0"/>
              <w:rPr>
                <w:sz w:val="20"/>
                <w:szCs w:val="20"/>
                <w:color w:val="auto"/>
              </w:rPr>
            </w:pPr>
            <w:r>
              <w:rPr>
                <w:rFonts w:ascii="Arial" w:cs="Arial" w:eastAsia="Arial" w:hAnsi="Arial"/>
                <w:sz w:val="18"/>
                <w:szCs w:val="18"/>
                <w:color w:val="auto"/>
              </w:rPr>
              <w:t>445,009</w:t>
            </w:r>
          </w:p>
        </w:tc>
        <w:tc>
          <w:tcPr>
            <w:tcW w:w="0" w:type="dxa"/>
            <w:vAlign w:val="bottom"/>
          </w:tcPr>
          <w:p>
            <w:pPr>
              <w:spacing w:after="0"/>
              <w:rPr>
                <w:sz w:val="1"/>
                <w:szCs w:val="1"/>
                <w:color w:val="auto"/>
              </w:rPr>
            </w:pPr>
          </w:p>
        </w:tc>
      </w:tr>
      <w:tr>
        <w:trPr>
          <w:trHeight w:val="229"/>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Suzanne E. McBride</w:t>
            </w:r>
          </w:p>
        </w:tc>
        <w:tc>
          <w:tcPr>
            <w:tcW w:w="35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55,794</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388,751</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444,545</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David P. McGlade</w:t>
            </w:r>
          </w:p>
        </w:tc>
        <w:tc>
          <w:tcPr>
            <w:tcW w:w="3500" w:type="dxa"/>
            <w:vAlign w:val="bottom"/>
          </w:tcPr>
          <w:p>
            <w:pPr>
              <w:jc w:val="right"/>
              <w:ind w:right="150"/>
              <w:spacing w:after="0"/>
              <w:rPr>
                <w:sz w:val="20"/>
                <w:szCs w:val="20"/>
                <w:color w:val="auto"/>
              </w:rPr>
            </w:pPr>
            <w:r>
              <w:rPr>
                <w:rFonts w:ascii="Arial" w:cs="Arial" w:eastAsia="Arial" w:hAnsi="Arial"/>
                <w:sz w:val="18"/>
                <w:szCs w:val="18"/>
                <w:color w:val="auto"/>
              </w:rPr>
              <w:t>117,782</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188,708</w:t>
            </w:r>
          </w:p>
        </w:tc>
        <w:tc>
          <w:tcPr>
            <w:tcW w:w="1240" w:type="dxa"/>
            <w:vAlign w:val="bottom"/>
          </w:tcPr>
          <w:p>
            <w:pPr>
              <w:jc w:val="right"/>
              <w:spacing w:after="0"/>
              <w:rPr>
                <w:sz w:val="20"/>
                <w:szCs w:val="20"/>
                <w:color w:val="auto"/>
              </w:rPr>
            </w:pPr>
            <w:r>
              <w:rPr>
                <w:rFonts w:ascii="Arial" w:cs="Arial" w:eastAsia="Arial" w:hAnsi="Arial"/>
                <w:sz w:val="18"/>
                <w:szCs w:val="18"/>
                <w:color w:val="auto"/>
              </w:rPr>
              <w:t>306,490</w:t>
            </w:r>
          </w:p>
        </w:tc>
        <w:tc>
          <w:tcPr>
            <w:tcW w:w="0" w:type="dxa"/>
            <w:vAlign w:val="bottom"/>
          </w:tcPr>
          <w:p>
            <w:pPr>
              <w:spacing w:after="0"/>
              <w:rPr>
                <w:sz w:val="1"/>
                <w:szCs w:val="1"/>
                <w:color w:val="auto"/>
              </w:rPr>
            </w:pPr>
          </w:p>
        </w:tc>
      </w:tr>
      <w:tr>
        <w:trPr>
          <w:trHeight w:val="230"/>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A. Schriesheim</w:t>
            </w:r>
          </w:p>
        </w:tc>
        <w:tc>
          <w:tcPr>
            <w:tcW w:w="35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103,750</w:t>
            </w:r>
          </w:p>
        </w:tc>
        <w:tc>
          <w:tcPr>
            <w:tcW w:w="16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188,708</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292,458</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Kimberly S. Stevenson, Former Director(3)</w:t>
            </w:r>
          </w:p>
        </w:tc>
        <w:tc>
          <w:tcPr>
            <w:tcW w:w="3500" w:type="dxa"/>
            <w:vAlign w:val="bottom"/>
          </w:tcPr>
          <w:p>
            <w:pPr>
              <w:jc w:val="right"/>
              <w:ind w:right="210"/>
              <w:spacing w:after="0"/>
              <w:rPr>
                <w:sz w:val="20"/>
                <w:szCs w:val="20"/>
                <w:color w:val="auto"/>
              </w:rPr>
            </w:pPr>
            <w:r>
              <w:rPr>
                <w:rFonts w:ascii="Arial" w:cs="Arial" w:eastAsia="Arial" w:hAnsi="Arial"/>
                <w:sz w:val="18"/>
                <w:szCs w:val="18"/>
                <w:color w:val="auto"/>
              </w:rPr>
              <w:t>52,356</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52,356</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260" w:hanging="252"/>
        <w:spacing w:after="0" w:line="260" w:lineRule="auto"/>
        <w:tabs>
          <w:tab w:leader="none" w:pos="5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non-employee members of the Board of Directors who were directors on September 30, 2022 held the following aggregate number of unexercised stock options and unvested RSU awards as of such date:</w:t>
      </w: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4020" w:type="dxa"/>
            <w:vAlign w:val="bottom"/>
          </w:tcPr>
          <w:p>
            <w:pPr>
              <w:jc w:val="center"/>
              <w:ind w:left="1690"/>
              <w:spacing w:after="0" w:line="186" w:lineRule="exact"/>
              <w:rPr>
                <w:sz w:val="20"/>
                <w:szCs w:val="20"/>
                <w:color w:val="auto"/>
              </w:rPr>
            </w:pPr>
            <w:r>
              <w:rPr>
                <w:rFonts w:ascii="Arial" w:cs="Arial" w:eastAsia="Arial" w:hAnsi="Arial"/>
                <w:sz w:val="18"/>
                <w:szCs w:val="18"/>
                <w:b w:val="1"/>
                <w:bCs w:val="1"/>
                <w:color w:val="auto"/>
                <w:w w:val="93"/>
              </w:rPr>
              <w:t>Number of</w:t>
            </w:r>
          </w:p>
        </w:tc>
        <w:tc>
          <w:tcPr>
            <w:tcW w:w="202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90"/>
              </w:rPr>
              <w:t>Number of Shares</w:t>
            </w:r>
          </w:p>
        </w:tc>
      </w:tr>
      <w:tr>
        <w:trPr>
          <w:trHeight w:val="184"/>
        </w:trPr>
        <w:tc>
          <w:tcPr>
            <w:tcW w:w="5200" w:type="dxa"/>
            <w:vAlign w:val="bottom"/>
          </w:tcPr>
          <w:p>
            <w:pPr>
              <w:spacing w:after="0"/>
              <w:rPr>
                <w:sz w:val="16"/>
                <w:szCs w:val="16"/>
                <w:color w:val="auto"/>
              </w:rPr>
            </w:pPr>
          </w:p>
        </w:tc>
        <w:tc>
          <w:tcPr>
            <w:tcW w:w="4020" w:type="dxa"/>
            <w:vAlign w:val="bottom"/>
          </w:tcPr>
          <w:p>
            <w:pPr>
              <w:jc w:val="center"/>
              <w:ind w:left="1690"/>
              <w:spacing w:after="0" w:line="184" w:lineRule="exact"/>
              <w:rPr>
                <w:sz w:val="20"/>
                <w:szCs w:val="20"/>
                <w:color w:val="auto"/>
              </w:rPr>
            </w:pPr>
            <w:r>
              <w:rPr>
                <w:rFonts w:ascii="Arial" w:cs="Arial" w:eastAsia="Arial" w:hAnsi="Arial"/>
                <w:sz w:val="18"/>
                <w:szCs w:val="18"/>
                <w:b w:val="1"/>
                <w:bCs w:val="1"/>
                <w:color w:val="auto"/>
                <w:w w:val="90"/>
              </w:rPr>
              <w:t>Securities Underlying</w:t>
            </w:r>
          </w:p>
        </w:tc>
        <w:tc>
          <w:tcPr>
            <w:tcW w:w="20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7"/>
              </w:rPr>
              <w:t>Subject to</w:t>
            </w:r>
          </w:p>
        </w:tc>
      </w:tr>
      <w:tr>
        <w:trPr>
          <w:trHeight w:val="23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4020" w:type="dxa"/>
            <w:vAlign w:val="bottom"/>
          </w:tcPr>
          <w:p>
            <w:pPr>
              <w:jc w:val="center"/>
              <w:ind w:left="1730"/>
              <w:spacing w:after="0"/>
              <w:rPr>
                <w:sz w:val="20"/>
                <w:szCs w:val="20"/>
                <w:color w:val="auto"/>
              </w:rPr>
            </w:pPr>
            <w:r>
              <w:rPr>
                <w:rFonts w:ascii="Arial" w:cs="Arial" w:eastAsia="Arial" w:hAnsi="Arial"/>
                <w:sz w:val="18"/>
                <w:szCs w:val="18"/>
                <w:b w:val="1"/>
                <w:bCs w:val="1"/>
                <w:color w:val="auto"/>
                <w:w w:val="88"/>
              </w:rPr>
              <w:t>Unexercised Options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Unvested RSUs</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Christine King, Lead Independent Director</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1,900</w:t>
            </w:r>
          </w:p>
        </w:tc>
      </w:tr>
      <w:tr>
        <w:trPr>
          <w:trHeight w:val="230"/>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Alan S. Batey</w:t>
            </w:r>
          </w:p>
        </w:tc>
        <w:tc>
          <w:tcPr>
            <w:tcW w:w="4020" w:type="dxa"/>
            <w:vAlign w:val="bottom"/>
            <w:shd w:val="clear" w:color="auto" w:fill="DBDBDB"/>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1,900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Kevin L. Beebe</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1,900</w:t>
            </w:r>
          </w:p>
        </w:tc>
      </w:tr>
      <w:tr>
        <w:trPr>
          <w:trHeight w:val="230"/>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Eric J. Guerin</w:t>
            </w:r>
          </w:p>
        </w:tc>
        <w:tc>
          <w:tcPr>
            <w:tcW w:w="4020" w:type="dxa"/>
            <w:vAlign w:val="bottom"/>
            <w:shd w:val="clear" w:color="auto" w:fill="DBDBDB"/>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3,240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Suzanne E. McBride</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3,248</w:t>
            </w:r>
          </w:p>
        </w:tc>
      </w:tr>
      <w:tr>
        <w:trPr>
          <w:trHeight w:val="230"/>
        </w:trPr>
        <w:tc>
          <w:tcPr>
            <w:tcW w:w="5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David P. McGlade</w:t>
            </w:r>
          </w:p>
        </w:tc>
        <w:tc>
          <w:tcPr>
            <w:tcW w:w="4020" w:type="dxa"/>
            <w:vAlign w:val="bottom"/>
            <w:shd w:val="clear" w:color="auto" w:fill="DBDBDB"/>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88"/>
              </w:rPr>
              <w:t>1,900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Robert A. Schriesheim</w:t>
            </w:r>
          </w:p>
        </w:tc>
        <w:tc>
          <w:tcPr>
            <w:tcW w:w="4020" w:type="dxa"/>
            <w:vAlign w:val="bottom"/>
          </w:tcPr>
          <w:p>
            <w:pPr>
              <w:jc w:val="center"/>
              <w:ind w:left="17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1,900</w:t>
            </w:r>
          </w:p>
        </w:tc>
      </w:tr>
    </w:tbl>
    <w:p>
      <w:pPr>
        <w:spacing w:after="0" w:line="295" w:lineRule="exact"/>
        <w:rPr>
          <w:sz w:val="20"/>
          <w:szCs w:val="20"/>
          <w:color w:val="auto"/>
        </w:rPr>
      </w:pPr>
    </w:p>
    <w:p>
      <w:pPr>
        <w:jc w:val="both"/>
        <w:ind w:left="260" w:hanging="252"/>
        <w:spacing w:after="0" w:line="284" w:lineRule="auto"/>
        <w:tabs>
          <w:tab w:leader="none" w:pos="4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for each non-employee director elected at the 2022 Annual Meeting of Stockholders (i.e., Ms. King and Messrs. Batey, Beebe, McGlade, and Schriesheim), the grant date fair value of 1,900 RSUs granted on May 11, 2022, computed in accordance with the provisions of ASC 718 using a price of $99.32 per share, which was the closing sale price of the Company’s common stock on the Nasdaq Global Select Market on May 11, 2022. Upon first being elected to serve as a director, new directors received a grant having a grant date fair value approximating $200,000, vesting annually over three years, where the grant date fair value was based on the 30-day average of the stock price on the fifth business day following the director’s appointment. The value in this column also reflects the grant date fair value of 1,340 RSUs granted to Mr. Guerin on January 31, 2022 using a price of $149.30 per share and 1,348 RSUs granted to Ms. McBride on February 2, 2022 using a price of $148.40 per share.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Furey and Ms. Stevenson each served as a director until the 2022 Annual Meeting of Stockholders on May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3" w:name="page34"/>
    <w:bookmarkEnd w:id="33"/>
    <w:p>
      <w:pPr>
        <w:ind w:left="400"/>
        <w:spacing w:after="0"/>
        <w:rPr>
          <w:sz w:val="20"/>
          <w:szCs w:val="20"/>
          <w:color w:val="auto"/>
        </w:rPr>
      </w:pPr>
      <w:r>
        <w:rPr>
          <w:rFonts w:ascii="Arial" w:cs="Arial" w:eastAsia="Arial" w:hAnsi="Arial"/>
          <w:sz w:val="18"/>
          <w:szCs w:val="18"/>
          <w:b w:val="1"/>
          <w:bCs w:val="1"/>
          <w:i w:val="1"/>
          <w:iCs w:val="1"/>
          <w:color w:val="auto"/>
        </w:rPr>
        <w:t>Director Stock Ownership Requirements</w:t>
      </w:r>
    </w:p>
    <w:p>
      <w:pPr>
        <w:spacing w:after="0" w:line="225"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8"/>
          <w:szCs w:val="18"/>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$80,000)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Mr. Guerin and Ms. McBride, who are not required to comply with the guidelines until the fifth anniversary of their respective appointments to the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33"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The Compensation Committee of the Board of Directors currently consists of Ms. King (Chairman), Mr. Batey, and Mr. Schriesheim. Mr. McGlade served on the Compensation Committee until May 11, 2022, when Mr. Batey was appointed to the Compensation Committee. No member of this committee was at any time during fiscal year 2022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219"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the annual report on this Form 10-K for the year ended September 30, 2022.</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Christine King, Chairman</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Alan S. Batey</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Robert A. Schriesheim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33"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To the Company’s knowledge, the following table sets forth the beneficial ownership of the Company’s common stock as of January 20, 2023, by the following individuals or entities: (i) each person or entity who beneficially owns five percent (5%) or more of the outstanding shares of the Company’s common stock as of January 20, 2023; (ii) the Named Executive Officers (as defined above in Item 11 “</w:t>
      </w:r>
      <w:r>
        <w:rPr>
          <w:rFonts w:ascii="Arial" w:cs="Arial" w:eastAsia="Arial" w:hAnsi="Arial"/>
          <w:sz w:val="18"/>
          <w:szCs w:val="18"/>
          <w:i w:val="1"/>
          <w:iCs w:val="1"/>
          <w:color w:val="auto"/>
        </w:rPr>
        <w:t>Executive Compensation</w:t>
      </w:r>
      <w:r>
        <w:rPr>
          <w:rFonts w:ascii="Arial" w:cs="Arial" w:eastAsia="Arial" w:hAnsi="Arial"/>
          <w:sz w:val="18"/>
          <w:szCs w:val="18"/>
          <w:color w:val="auto"/>
        </w:rPr>
        <w:t>”); (iii) each director and nominee for director; and (iv) all current executive officers and directors of the Company, as a group.</w:t>
      </w:r>
    </w:p>
    <w:p>
      <w:pPr>
        <w:spacing w:after="0" w:line="214"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January 20, 2023, there were 158,974,105 shares of the Company’s common stock outstanding.</w:t>
      </w:r>
    </w:p>
    <w:p>
      <w:pPr>
        <w:spacing w:after="0" w:line="21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January 20, 2023, are deemed outstanding. These shares are not, however, deemed outstanding for the purpose of computing the percentage ownership of any other person.</w:t>
      </w:r>
    </w:p>
    <w:p>
      <w:pPr>
        <w:spacing w:after="0" w:line="223"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960" w:type="dxa"/>
            <w:vAlign w:val="bottom"/>
          </w:tcPr>
          <w:p>
            <w:pPr>
              <w:jc w:val="right"/>
              <w:ind w:right="590"/>
              <w:spacing w:after="0"/>
              <w:rPr>
                <w:sz w:val="20"/>
                <w:szCs w:val="20"/>
                <w:color w:val="auto"/>
              </w:rPr>
            </w:pPr>
            <w:r>
              <w:rPr>
                <w:rFonts w:ascii="Arial" w:cs="Arial" w:eastAsia="Arial" w:hAnsi="Arial"/>
                <w:sz w:val="18"/>
                <w:szCs w:val="18"/>
                <w:b w:val="1"/>
                <w:bCs w:val="1"/>
                <w:color w:val="auto"/>
              </w:rPr>
              <w:t>Number of Shares</w:t>
            </w:r>
          </w:p>
        </w:tc>
        <w:tc>
          <w:tcPr>
            <w:tcW w:w="1920" w:type="dxa"/>
            <w:vAlign w:val="bottom"/>
          </w:tcPr>
          <w:p>
            <w:pPr>
              <w:spacing w:after="0"/>
              <w:rPr>
                <w:sz w:val="17"/>
                <w:szCs w:val="17"/>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Names and Addresses of Beneficial Owners(1)</w:t>
            </w:r>
          </w:p>
        </w:tc>
        <w:tc>
          <w:tcPr>
            <w:tcW w:w="2960" w:type="dxa"/>
            <w:vAlign w:val="bottom"/>
          </w:tcPr>
          <w:p>
            <w:pPr>
              <w:jc w:val="right"/>
              <w:ind w:right="590"/>
              <w:spacing w:after="0"/>
              <w:rPr>
                <w:sz w:val="20"/>
                <w:szCs w:val="20"/>
                <w:color w:val="auto"/>
              </w:rPr>
            </w:pPr>
            <w:r>
              <w:rPr>
                <w:rFonts w:ascii="Arial" w:cs="Arial" w:eastAsia="Arial" w:hAnsi="Arial"/>
                <w:sz w:val="18"/>
                <w:szCs w:val="18"/>
                <w:b w:val="1"/>
                <w:bCs w:val="1"/>
                <w:color w:val="auto"/>
              </w:rPr>
              <w:t>Beneficially Owned(2)</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Percent of Class</w:t>
            </w: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The Vanguard Group, Inc.</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17,932,949(3)</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11.28%</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14,307,628(4)</w:t>
            </w:r>
          </w:p>
        </w:tc>
        <w:tc>
          <w:tcPr>
            <w:tcW w:w="1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Alan S. Batey</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5,745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Kevin L. Beebe</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54,806</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Carlos S. Bori</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35,604(5)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Eric J. Guerin</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Liam K. Griffin</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114,641(5)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Reza Kasnavi</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20,686</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Christine King</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19,079</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Suzanne E. McBride</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David P. McGlade</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41,016</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Robert A. Schriesheim</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82,336</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Kris Sennesael</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140,364</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Robert J. Terry</w:t>
            </w:r>
          </w:p>
        </w:tc>
        <w:tc>
          <w:tcPr>
            <w:tcW w:w="2960" w:type="dxa"/>
            <w:vAlign w:val="bottom"/>
          </w:tcPr>
          <w:p>
            <w:pPr>
              <w:jc w:val="right"/>
              <w:ind w:right="590"/>
              <w:spacing w:after="0"/>
              <w:rPr>
                <w:sz w:val="20"/>
                <w:szCs w:val="20"/>
                <w:color w:val="auto"/>
              </w:rPr>
            </w:pPr>
            <w:r>
              <w:rPr>
                <w:rFonts w:ascii="Arial" w:cs="Arial" w:eastAsia="Arial" w:hAnsi="Arial"/>
                <w:sz w:val="18"/>
                <w:szCs w:val="18"/>
                <w:color w:val="auto"/>
              </w:rPr>
              <w:t>14,122(5)</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 current directors and executive officers as a group (13 persons)</w:t>
            </w:r>
          </w:p>
        </w:tc>
        <w:tc>
          <w:tcPr>
            <w:tcW w:w="296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544,543(5)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197" w:lineRule="exact"/>
        <w:rPr>
          <w:sz w:val="20"/>
          <w:szCs w:val="20"/>
          <w:color w:val="auto"/>
        </w:rPr>
      </w:pPr>
    </w:p>
    <w:p>
      <w:pPr>
        <w:jc w:val="both"/>
        <w:ind w:left="260" w:hanging="252"/>
        <w:spacing w:after="0"/>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otherwise set forth in the following notes, each person’s address is the address of our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spacing w:after="0" w:line="2" w:lineRule="exact"/>
        <w:rPr>
          <w:rFonts w:ascii="Arial" w:cs="Arial" w:eastAsia="Arial" w:hAnsi="Arial"/>
          <w:sz w:val="18"/>
          <w:szCs w:val="18"/>
          <w:color w:val="auto"/>
        </w:rPr>
      </w:pPr>
    </w:p>
    <w:p>
      <w:pPr>
        <w:jc w:val="both"/>
        <w:ind w:left="260" w:hanging="252"/>
        <w:spacing w:after="0" w:line="256" w:lineRule="auto"/>
        <w:tabs>
          <w:tab w:leader="none" w:pos="28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the number of shares of Company common stock subject to stock options held by that person that are currently exercisable or will become exercisable within sixty (60) days of January 20, 2023 (the “Current Options”), as follows: Mr. Griffin—13,211 shares under Current Options; Mr. Sennesael—52,770 shares under Current Options; current directors and executive officers as a group (13 persons)—65,981 shares under Current Options. The table does not reflect the number of shares of Company common stock to be issued pursuant to</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jc w:val="both"/>
        <w:ind w:left="260"/>
        <w:spacing w:after="0" w:line="250" w:lineRule="auto"/>
        <w:rPr>
          <w:sz w:val="20"/>
          <w:szCs w:val="20"/>
          <w:color w:val="auto"/>
        </w:rPr>
      </w:pPr>
      <w:r>
        <w:rPr>
          <w:rFonts w:ascii="Arial" w:cs="Arial" w:eastAsia="Arial" w:hAnsi="Arial"/>
          <w:sz w:val="17"/>
          <w:szCs w:val="17"/>
          <w:color w:val="auto"/>
        </w:rPr>
        <w:t>unvested restricted stock units (the “Unvested RSUs”) and earned, but unissued, performance share awards subject to time-based vesting only (the “Unvested PSAs”) that are not scheduled to vest within sixty (60) days of January 20, 2023, as follows: Mr. Batey—1,900 shares under Unvested RSUs; Mr. Beebe—1,900 shares under Unvested RSUs; Mr. Bori—31,722 shares under Unvested RSUs and 14,634 shares under Unvested PSAs; Mr. Guerin —3,240 shares under Unvested RSUs; Mr. Griffin—107,930 shares under Unvested RSUs and 47,720 shares under Unvested PSAs; Mr. Kasnavi— 32,278 shares under Unvested RSUs and 14,634 shares under Unvested PSAs; Ms. King—1,900 shares under Unvested RSUs; Ms. McBride—3,248 shares under Unvested RSUs; Mr. McGlade—1,900 shares under Unvested RSUs; Mr. Schriesheim—1,900 shares under Unvested RSUs; Mr. Sennesael—32,191 shares under Unvested RSUs and 15,064 shares under Unvested PSAs; Mr. Terry—26,937 shares under Unvested RSUs and 12,051 shares under Unvested PSAs; current directors and executive officers as a group (13 persons)—264,620 shares under Unvested RSUs and 112,280 shares under Unvested PSAs.</w:t>
      </w:r>
    </w:p>
    <w:p>
      <w:pPr>
        <w:spacing w:after="0" w:line="6" w:lineRule="exact"/>
        <w:rPr>
          <w:sz w:val="20"/>
          <w:szCs w:val="20"/>
          <w:color w:val="auto"/>
        </w:rPr>
      </w:pPr>
    </w:p>
    <w:p>
      <w:pPr>
        <w:jc w:val="both"/>
        <w:ind w:left="260" w:hanging="252"/>
        <w:spacing w:after="0" w:line="244" w:lineRule="auto"/>
        <w:tabs>
          <w:tab w:leader="none" w:pos="291"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Consists of shares beneficially owned by The Vanguard Group, Inc. (“Vanguard”), which has sole voting power with respect to zero shares, shared voting power with respect to 269,138 shares, sole dispositive power with respect to 17,259,548 shares, and shared dispositive power with respect to 673,401 shares. With respect to the information relating to Vanguard, we have relied on information disclosed by Vanguard on a Schedule 13G/A filed with the SEC on February 10, 2022. The address of Vanguard is 100 Vanguard Blvd., Malvern, PA 19355.</w:t>
      </w:r>
    </w:p>
    <w:p>
      <w:pPr>
        <w:spacing w:after="0" w:line="1" w:lineRule="exact"/>
        <w:rPr>
          <w:rFonts w:ascii="Arial" w:cs="Arial" w:eastAsia="Arial" w:hAnsi="Arial"/>
          <w:sz w:val="17"/>
          <w:szCs w:val="17"/>
          <w:color w:val="auto"/>
        </w:rPr>
      </w:pPr>
    </w:p>
    <w:p>
      <w:pPr>
        <w:jc w:val="both"/>
        <w:ind w:left="260" w:hanging="252"/>
        <w:spacing w:after="0" w:line="234" w:lineRule="auto"/>
        <w:tabs>
          <w:tab w:leader="none" w:pos="2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shares beneficially owned by BlackRock, Inc. (“BlackRock”), in its capacity as a parent holding company of various subsidiaries under Rule 13d1(b)(1)(ii)(G). In its capacity as a parent holding company or control person, BlackRock has sole voting power with respect to 12,652,553 shares and sole dispositive power with respect to 14,307,628 shares which are held by the following of its subsidiaries: BlackRock Life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we have relied on information disclosed by BlackRock on a Schedule 13G/A filed with the SEC on February 1, 2022. The address of BlackRock is 55 East 52nd Street, New York, NY 10055.</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shares held in the Company’s 401(k) Savings and Investment Plan as of January 20,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33"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As of September 30, 2022, the Company has the following equity compensation plans under which its equity securities were authorized for issuance to its employees and/or directors:</w:t>
      </w:r>
    </w:p>
    <w:p>
      <w:pPr>
        <w:spacing w:after="0" w:line="62" w:lineRule="exact"/>
        <w:rPr>
          <w:sz w:val="20"/>
          <w:szCs w:val="20"/>
          <w:color w:val="auto"/>
        </w:rPr>
      </w:pPr>
    </w:p>
    <w:p>
      <w:pPr>
        <w:ind w:left="760" w:hanging="10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117" w:lineRule="exact"/>
        <w:rPr>
          <w:rFonts w:ascii="Arial" w:cs="Arial" w:eastAsia="Arial" w:hAnsi="Arial"/>
          <w:sz w:val="18"/>
          <w:szCs w:val="18"/>
          <w:color w:val="auto"/>
        </w:rPr>
      </w:pPr>
    </w:p>
    <w:p>
      <w:pPr>
        <w:ind w:left="760" w:hanging="10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117" w:lineRule="exact"/>
        <w:rPr>
          <w:rFonts w:ascii="Arial" w:cs="Arial" w:eastAsia="Arial" w:hAnsi="Arial"/>
          <w:sz w:val="18"/>
          <w:szCs w:val="18"/>
          <w:color w:val="auto"/>
        </w:rPr>
      </w:pPr>
    </w:p>
    <w:p>
      <w:pPr>
        <w:ind w:left="760" w:hanging="10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117" w:lineRule="exact"/>
        <w:rPr>
          <w:rFonts w:ascii="Arial" w:cs="Arial" w:eastAsia="Arial" w:hAnsi="Arial"/>
          <w:sz w:val="18"/>
          <w:szCs w:val="18"/>
          <w:color w:val="auto"/>
        </w:rPr>
      </w:pPr>
    </w:p>
    <w:p>
      <w:pPr>
        <w:ind w:left="760" w:hanging="10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117" w:lineRule="exact"/>
        <w:rPr>
          <w:rFonts w:ascii="Arial" w:cs="Arial" w:eastAsia="Arial" w:hAnsi="Arial"/>
          <w:sz w:val="18"/>
          <w:szCs w:val="18"/>
          <w:color w:val="auto"/>
        </w:rPr>
      </w:pPr>
    </w:p>
    <w:p>
      <w:pPr>
        <w:ind w:left="760" w:hanging="10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2015 Long-Term Incentive Plan</w:t>
      </w:r>
    </w:p>
    <w:p>
      <w:pPr>
        <w:spacing w:after="0" w:line="117"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8"/>
          <w:szCs w:val="18"/>
          <w:color w:val="auto"/>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rFonts w:ascii="Arial" w:cs="Arial" w:eastAsia="Arial" w:hAnsi="Arial"/>
          <w:sz w:val="18"/>
          <w:szCs w:val="18"/>
          <w:i w:val="1"/>
          <w:iCs w:val="1"/>
          <w:color w:val="auto"/>
        </w:rPr>
        <w:t>Non-Qualified Employee Stock Purchase Plan</w:t>
      </w:r>
      <w:r>
        <w:rPr>
          <w:rFonts w:ascii="Arial" w:cs="Arial" w:eastAsia="Arial" w:hAnsi="Arial"/>
          <w:sz w:val="18"/>
          <w:szCs w:val="18"/>
          <w:color w:val="auto"/>
        </w:rPr>
        <w:t>.”</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information about these plans as of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3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Number of Securities to be</w:t>
            </w:r>
          </w:p>
        </w:tc>
        <w:tc>
          <w:tcPr>
            <w:tcW w:w="2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Exercise Price of</w:t>
            </w:r>
          </w:p>
        </w:tc>
        <w:tc>
          <w:tcPr>
            <w:tcW w:w="20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Equity Compensation</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Issued Upon Exercise of</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Plans (Excluding</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2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Warrants, and Rights ($)</w:t>
            </w:r>
          </w:p>
        </w:tc>
        <w:tc>
          <w:tcPr>
            <w:tcW w:w="20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Plan Category</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Warrants, and Rights (#)(a)</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 (#)(c)</w:t>
            </w:r>
          </w:p>
        </w:tc>
        <w:tc>
          <w:tcPr>
            <w:tcW w:w="0" w:type="dxa"/>
            <w:vAlign w:val="bottom"/>
          </w:tcPr>
          <w:p>
            <w:pPr>
              <w:spacing w:after="0"/>
              <w:rPr>
                <w:sz w:val="1"/>
                <w:szCs w:val="1"/>
                <w:color w:val="auto"/>
              </w:rPr>
            </w:pPr>
          </w:p>
        </w:tc>
      </w:tr>
      <w:tr>
        <w:trPr>
          <w:trHeight w:val="223"/>
        </w:trPr>
        <w:tc>
          <w:tcPr>
            <w:tcW w:w="4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97,639(1)</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75.22</w:t>
            </w: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13,790,513(2)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268,285(3)</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97,639</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75.22</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14,058,798</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________________________</w:t>
            </w:r>
          </w:p>
        </w:tc>
        <w:tc>
          <w:tcPr>
            <w:tcW w:w="230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740" w:type="dxa"/>
            <w:vAlign w:val="bottom"/>
            <w:vMerge w:val="continue"/>
          </w:tcPr>
          <w:p>
            <w:pPr>
              <w:spacing w:after="0"/>
              <w:rPr>
                <w:sz w:val="22"/>
                <w:szCs w:val="22"/>
                <w:color w:val="auto"/>
              </w:rPr>
            </w:pPr>
          </w:p>
        </w:tc>
        <w:tc>
          <w:tcPr>
            <w:tcW w:w="23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60" w:hanging="252"/>
        <w:spacing w:after="0" w:line="234" w:lineRule="auto"/>
        <w:tabs>
          <w:tab w:leader="none" w:pos="5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1,570,792 unvested shares under restricted stock and RSU awards and 818,872 unvested shares under PSAs, which number assumes achievement of performance goals under outstanding PSAs at target levels.</w:t>
      </w:r>
    </w:p>
    <w:p>
      <w:pPr>
        <w:spacing w:after="0" w:line="1" w:lineRule="exact"/>
        <w:rPr>
          <w:rFonts w:ascii="Arial" w:cs="Arial" w:eastAsia="Arial" w:hAnsi="Arial"/>
          <w:sz w:val="18"/>
          <w:szCs w:val="18"/>
          <w:color w:val="auto"/>
        </w:rPr>
      </w:pPr>
    </w:p>
    <w:p>
      <w:pPr>
        <w:jc w:val="both"/>
        <w:ind w:left="260" w:hanging="252"/>
        <w:spacing w:after="0" w:line="239" w:lineRule="auto"/>
        <w:tabs>
          <w:tab w:leader="none" w:pos="2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1,101.519 shares available for future issuance under the 2002 Employee Stock Purchase Plan, 12,131,296 shares available for future issuance under the 2015 Long-Term Incentive Plan, and 577,699 shares available for future issuance under the 2008 Director Long-Term Incentive Plan. No further grants will be made under the 2005 Long-Term Incentive Plan.</w:t>
      </w: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shares available under the Non-Qualified ESPP.</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Employee Stock Purchase Plan</w:t>
      </w:r>
    </w:p>
    <w:p>
      <w:pPr>
        <w:spacing w:after="0" w:line="144"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We maintain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located outside the United States. Under the plan, eligible employees may purchase common stock through payroll deductions of up to 10% of compensation, and effective as of the offering period starting in February 2023, eligible employees may purchase common stock through payroll deductions of up to 15% of eligible compensation. The price per share is the lower of 85% of the market price at the beginning or end of each six-month offering period.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89"/>
        <w:spacing w:after="0" w:line="288" w:lineRule="auto"/>
        <w:rPr>
          <w:sz w:val="20"/>
          <w:szCs w:val="20"/>
          <w:color w:val="auto"/>
        </w:rPr>
      </w:pP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Other than compensation agreements and other arrangements which are described above in Item 11</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since October 2, 2021,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of Directors has adopted a written related person transaction approval policy that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195" w:lineRule="exact"/>
        <w:rPr>
          <w:sz w:val="20"/>
          <w:szCs w:val="20"/>
          <w:color w:val="auto"/>
        </w:rPr>
      </w:pPr>
    </w:p>
    <w:p>
      <w:pPr>
        <w:jc w:val="both"/>
        <w:ind w:firstLine="389"/>
        <w:spacing w:after="0" w:line="287" w:lineRule="auto"/>
        <w:rPr>
          <w:sz w:val="20"/>
          <w:szCs w:val="20"/>
          <w:color w:val="auto"/>
        </w:rPr>
      </w:pPr>
      <w:r>
        <w:rPr>
          <w:rFonts w:ascii="Arial" w:cs="Arial" w:eastAsia="Arial" w:hAnsi="Arial"/>
          <w:sz w:val="16"/>
          <w:szCs w:val="16"/>
          <w:i w:val="1"/>
          <w:iCs w:val="1"/>
          <w:color w:val="auto"/>
        </w:rPr>
        <w:t>Director Independence</w:t>
      </w:r>
      <w:r>
        <w:rPr>
          <w:rFonts w:ascii="Arial" w:cs="Arial" w:eastAsia="Arial" w:hAnsi="Arial"/>
          <w:sz w:val="16"/>
          <w:szCs w:val="16"/>
          <w:color w:val="auto"/>
        </w:rPr>
        <w:t>: Each year, the Board of Directors reviews the relationships that each director has with the Company and with other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Only those directors who do not have any of the categorical relationships that preclude them from being independent within the meaning of applicable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seven of the eight members of the Board of Directors, namely, Alan S. Batey, Kevin L. Beebe, Eric J. Guerin, Christine King, Suzanne E. McBride, David P. McGlade, and Robert A. Schriesheim,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KPMG LLP (Irvine, California, Auditor Firm ID: 185) provided audit services to the Company consisting of the annual audit of the Company’s 2022 consolidated financial statements contained in the Company’s Annual Report on Form 10-K and reviews of the financial statements contained in the Company’s Quarterly Reports on Form 10-Q for fiscal year 2022. The following table summarizes the fees of KPMG LLP billed to the Company for the last two fiscal years.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Fiscal Year</w:t>
            </w: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 of</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Fiscal Year</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 of</w:t>
            </w:r>
          </w:p>
        </w:tc>
      </w:tr>
      <w:tr>
        <w:trPr>
          <w:trHeight w:val="23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Fee Category</w:t>
            </w:r>
          </w:p>
        </w:tc>
        <w:tc>
          <w:tcPr>
            <w:tcW w:w="1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 ($)</w:t>
            </w: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 (%)</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 ($)</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 (%)</w:t>
            </w:r>
          </w:p>
        </w:tc>
      </w:tr>
      <w:tr>
        <w:trPr>
          <w:trHeight w:val="223"/>
        </w:trPr>
        <w:tc>
          <w:tcPr>
            <w:tcW w:w="5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Audit Fees(1)</w:t>
            </w:r>
          </w:p>
        </w:tc>
        <w:tc>
          <w:tcPr>
            <w:tcW w:w="14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2,479,240</w:t>
            </w:r>
          </w:p>
        </w:tc>
        <w:tc>
          <w:tcPr>
            <w:tcW w:w="130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98.5</w:t>
            </w:r>
          </w:p>
        </w:tc>
        <w:tc>
          <w:tcPr>
            <w:tcW w:w="13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2,656,000</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5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Tax Fees(2)</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38,838</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210,000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5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Fees</w:t>
            </w:r>
          </w:p>
        </w:tc>
        <w:tc>
          <w:tcPr>
            <w:tcW w:w="14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2,518,078</w:t>
            </w:r>
          </w:p>
        </w:tc>
        <w:tc>
          <w:tcPr>
            <w:tcW w:w="130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rPr>
              <w:t>100</w:t>
            </w:r>
          </w:p>
        </w:tc>
        <w:tc>
          <w:tcPr>
            <w:tcW w:w="13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rPr>
              <w:t>2,866,000</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59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 w:lineRule="exact"/>
        <w:rPr>
          <w:sz w:val="20"/>
          <w:szCs w:val="20"/>
          <w:color w:val="auto"/>
        </w:rPr>
      </w:pPr>
    </w:p>
    <w:p>
      <w:pPr>
        <w:jc w:val="both"/>
        <w:ind w:left="260" w:hanging="252"/>
        <w:spacing w:after="0" w:line="234" w:lineRule="auto"/>
        <w:tabs>
          <w:tab w:leader="none" w:pos="2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2022 and 2021. Fiscal year 2022 and 2021 audit fees included fees for services incurred in connection with rendering an opinion under Section 404 of the Sarbanes-Oxley Act. Audit fees for fiscal year 2021 also included fees for the review of registration statement auditor consents to incorporate by reference prior year financial statement opinions in Form S-3.</w:t>
      </w:r>
    </w:p>
    <w:p>
      <w:pPr>
        <w:spacing w:after="0" w:line="3" w:lineRule="exact"/>
        <w:rPr>
          <w:rFonts w:ascii="Arial" w:cs="Arial" w:eastAsia="Arial" w:hAnsi="Arial"/>
          <w:sz w:val="18"/>
          <w:szCs w:val="18"/>
          <w:color w:val="auto"/>
        </w:rPr>
      </w:pPr>
    </w:p>
    <w:p>
      <w:pPr>
        <w:jc w:val="both"/>
        <w:ind w:left="260" w:hanging="252"/>
        <w:spacing w:after="0" w:line="234" w:lineRule="auto"/>
        <w:tabs>
          <w:tab w:leader="none" w:pos="2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 fees consist of fees for tax compliance, tax advice, and tax planning services. Tax compliance services, which primarily relate to the review of our U.S. tax returns and certain trade and customs forms, accounted for $38,838 and $210,000 of the total tax fees for fiscal years 2022 and 2021, respectively.</w:t>
      </w:r>
    </w:p>
    <w:p>
      <w:pPr>
        <w:spacing w:after="0" w:line="22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during fiscal year 2022 and fiscal year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58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2700" w:type="dxa"/>
            <w:vAlign w:val="bottom"/>
          </w:tcPr>
          <w:p>
            <w:pPr>
              <w:spacing w:after="0"/>
              <w:rPr>
                <w:sz w:val="20"/>
                <w:szCs w:val="20"/>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700" w:type="dxa"/>
            <w:vAlign w:val="bottom"/>
          </w:tcPr>
          <w:p>
            <w:pPr>
              <w:spacing w:after="0"/>
              <w:rPr>
                <w:sz w:val="24"/>
                <w:szCs w:val="24"/>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8"/>
                <w:szCs w:val="18"/>
                <w:color w:val="auto"/>
              </w:rPr>
              <w:t>(a)  The following are filed as part of this Annual Report on Form 10-K:</w:t>
            </w:r>
          </w:p>
        </w:tc>
        <w:tc>
          <w:tcPr>
            <w:tcW w:w="2700" w:type="dxa"/>
            <w:vAlign w:val="bottom"/>
          </w:tcPr>
          <w:p>
            <w:pPr>
              <w:spacing w:after="0"/>
              <w:rPr>
                <w:sz w:val="24"/>
                <w:szCs w:val="24"/>
                <w:color w:val="auto"/>
              </w:rPr>
            </w:pPr>
          </w:p>
        </w:tc>
      </w:tr>
      <w:tr>
        <w:trPr>
          <w:trHeight w:val="499"/>
        </w:trPr>
        <w:tc>
          <w:tcPr>
            <w:tcW w:w="7580" w:type="dxa"/>
            <w:vAlign w:val="bottom"/>
          </w:tcPr>
          <w:p>
            <w:pPr>
              <w:ind w:left="20"/>
              <w:spacing w:after="0"/>
              <w:rPr>
                <w:sz w:val="20"/>
                <w:szCs w:val="20"/>
                <w:color w:val="auto"/>
              </w:rPr>
            </w:pPr>
            <w:r>
              <w:rPr>
                <w:rFonts w:ascii="Arial" w:cs="Arial" w:eastAsia="Arial" w:hAnsi="Arial"/>
                <w:sz w:val="18"/>
                <w:szCs w:val="18"/>
                <w:color w:val="auto"/>
              </w:rPr>
              <w:t>1.   Index to Financial Statements</w:t>
            </w:r>
          </w:p>
        </w:tc>
        <w:tc>
          <w:tcPr>
            <w:tcW w:w="2700" w:type="dxa"/>
            <w:vAlign w:val="bottom"/>
          </w:tcPr>
          <w:p>
            <w:pPr>
              <w:ind w:left="160"/>
              <w:spacing w:after="0"/>
              <w:rPr>
                <w:sz w:val="20"/>
                <w:szCs w:val="20"/>
                <w:color w:val="auto"/>
              </w:rPr>
            </w:pPr>
            <w:r>
              <w:rPr>
                <w:rFonts w:ascii="Arial" w:cs="Arial" w:eastAsia="Arial" w:hAnsi="Arial"/>
                <w:sz w:val="18"/>
                <w:szCs w:val="18"/>
                <w:color w:val="auto"/>
                <w:w w:val="92"/>
              </w:rPr>
              <w:t>Page number of the Original Filing</w:t>
            </w:r>
          </w:p>
        </w:tc>
      </w:tr>
      <w:tr>
        <w:trPr>
          <w:trHeight w:val="458"/>
        </w:trPr>
        <w:tc>
          <w:tcPr>
            <w:tcW w:w="7580" w:type="dxa"/>
            <w:vAlign w:val="bottom"/>
          </w:tcPr>
          <w:p>
            <w:pPr>
              <w:ind w:left="380"/>
              <w:spacing w:after="0"/>
              <w:rPr>
                <w:sz w:val="20"/>
                <w:szCs w:val="20"/>
                <w:color w:val="auto"/>
              </w:rPr>
            </w:pPr>
            <w:r>
              <w:rPr>
                <w:rFonts w:ascii="Arial" w:cs="Arial" w:eastAsia="Arial" w:hAnsi="Arial"/>
                <w:sz w:val="18"/>
                <w:szCs w:val="18"/>
                <w:color w:val="auto"/>
              </w:rPr>
              <w:t>Report of Independent Registered Public Accounting Firm</w:t>
            </w:r>
          </w:p>
        </w:tc>
        <w:tc>
          <w:tcPr>
            <w:tcW w:w="2700" w:type="dxa"/>
            <w:vAlign w:val="bottom"/>
          </w:tcPr>
          <w:p>
            <w:pPr>
              <w:jc w:val="center"/>
              <w:ind w:left="1030"/>
              <w:spacing w:after="0"/>
              <w:rPr>
                <w:sz w:val="20"/>
                <w:szCs w:val="20"/>
                <w:color w:val="auto"/>
              </w:rPr>
            </w:pPr>
            <w:r>
              <w:rPr>
                <w:rFonts w:ascii="Arial" w:cs="Arial" w:eastAsia="Arial" w:hAnsi="Arial"/>
                <w:sz w:val="18"/>
                <w:szCs w:val="18"/>
                <w:color w:val="auto"/>
                <w:w w:val="86"/>
              </w:rPr>
              <w:t>Page 37</w:t>
            </w:r>
          </w:p>
        </w:tc>
      </w:tr>
      <w:tr>
        <w:trPr>
          <w:trHeight w:val="229"/>
        </w:trPr>
        <w:tc>
          <w:tcPr>
            <w:tcW w:w="7580" w:type="dxa"/>
            <w:vAlign w:val="bottom"/>
          </w:tcPr>
          <w:p>
            <w:pPr>
              <w:ind w:left="380"/>
              <w:spacing w:after="0"/>
              <w:rPr>
                <w:sz w:val="20"/>
                <w:szCs w:val="20"/>
                <w:color w:val="auto"/>
              </w:rPr>
            </w:pPr>
            <w:r>
              <w:rPr>
                <w:rFonts w:ascii="Arial" w:cs="Arial" w:eastAsia="Arial" w:hAnsi="Arial"/>
                <w:sz w:val="18"/>
                <w:szCs w:val="18"/>
                <w:color w:val="auto"/>
              </w:rPr>
              <w:t>Consolidated Statements of Operations for the three years ended September 30, 2022</w:t>
            </w:r>
          </w:p>
        </w:tc>
        <w:tc>
          <w:tcPr>
            <w:tcW w:w="2700" w:type="dxa"/>
            <w:vAlign w:val="bottom"/>
          </w:tcPr>
          <w:p>
            <w:pPr>
              <w:jc w:val="center"/>
              <w:ind w:left="1030"/>
              <w:spacing w:after="0"/>
              <w:rPr>
                <w:sz w:val="20"/>
                <w:szCs w:val="20"/>
                <w:color w:val="auto"/>
              </w:rPr>
            </w:pPr>
            <w:r>
              <w:rPr>
                <w:rFonts w:ascii="Arial" w:cs="Arial" w:eastAsia="Arial" w:hAnsi="Arial"/>
                <w:sz w:val="18"/>
                <w:szCs w:val="18"/>
                <w:color w:val="auto"/>
                <w:w w:val="86"/>
              </w:rPr>
              <w:t>Page 39</w:t>
            </w: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w w:val="90"/>
              </w:rPr>
              <w:t>Consolidated Statements of Comprehensive Income for the three years ended September 30, 2022</w:t>
            </w:r>
          </w:p>
        </w:tc>
        <w:tc>
          <w:tcPr>
            <w:tcW w:w="2700" w:type="dxa"/>
            <w:vAlign w:val="bottom"/>
          </w:tcPr>
          <w:p>
            <w:pPr>
              <w:jc w:val="center"/>
              <w:ind w:left="1030"/>
              <w:spacing w:after="0"/>
              <w:rPr>
                <w:sz w:val="20"/>
                <w:szCs w:val="20"/>
                <w:color w:val="auto"/>
              </w:rPr>
            </w:pPr>
            <w:r>
              <w:rPr>
                <w:rFonts w:ascii="Arial" w:cs="Arial" w:eastAsia="Arial" w:hAnsi="Arial"/>
                <w:sz w:val="18"/>
                <w:szCs w:val="18"/>
                <w:color w:val="auto"/>
                <w:w w:val="86"/>
              </w:rPr>
              <w:t>Page 40</w:t>
            </w:r>
          </w:p>
        </w:tc>
      </w:tr>
      <w:tr>
        <w:trPr>
          <w:trHeight w:val="229"/>
        </w:trPr>
        <w:tc>
          <w:tcPr>
            <w:tcW w:w="7580" w:type="dxa"/>
            <w:vAlign w:val="bottom"/>
          </w:tcPr>
          <w:p>
            <w:pPr>
              <w:ind w:left="380"/>
              <w:spacing w:after="0"/>
              <w:rPr>
                <w:sz w:val="20"/>
                <w:szCs w:val="20"/>
                <w:color w:val="auto"/>
              </w:rPr>
            </w:pPr>
            <w:r>
              <w:rPr>
                <w:rFonts w:ascii="Arial" w:cs="Arial" w:eastAsia="Arial" w:hAnsi="Arial"/>
                <w:sz w:val="18"/>
                <w:szCs w:val="18"/>
                <w:color w:val="auto"/>
              </w:rPr>
              <w:t>Consolidated Balance Sheets at September 30, 2022, and October 1, 2021</w:t>
            </w:r>
          </w:p>
        </w:tc>
        <w:tc>
          <w:tcPr>
            <w:tcW w:w="2700" w:type="dxa"/>
            <w:vAlign w:val="bottom"/>
          </w:tcPr>
          <w:p>
            <w:pPr>
              <w:jc w:val="center"/>
              <w:ind w:left="1030"/>
              <w:spacing w:after="0"/>
              <w:rPr>
                <w:sz w:val="20"/>
                <w:szCs w:val="20"/>
                <w:color w:val="auto"/>
              </w:rPr>
            </w:pPr>
            <w:r>
              <w:rPr>
                <w:rFonts w:ascii="Arial" w:cs="Arial" w:eastAsia="Arial" w:hAnsi="Arial"/>
                <w:sz w:val="18"/>
                <w:szCs w:val="18"/>
                <w:color w:val="auto"/>
                <w:w w:val="86"/>
              </w:rPr>
              <w:t>Page 41</w:t>
            </w: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Consolidated Statements of Cash Flows for the three years ended September 30, 2022</w:t>
            </w:r>
          </w:p>
        </w:tc>
        <w:tc>
          <w:tcPr>
            <w:tcW w:w="2700" w:type="dxa"/>
            <w:vAlign w:val="bottom"/>
          </w:tcPr>
          <w:p>
            <w:pPr>
              <w:jc w:val="center"/>
              <w:ind w:left="1030"/>
              <w:spacing w:after="0"/>
              <w:rPr>
                <w:sz w:val="20"/>
                <w:szCs w:val="20"/>
                <w:color w:val="auto"/>
              </w:rPr>
            </w:pPr>
            <w:r>
              <w:rPr>
                <w:rFonts w:ascii="Arial" w:cs="Arial" w:eastAsia="Arial" w:hAnsi="Arial"/>
                <w:sz w:val="18"/>
                <w:szCs w:val="18"/>
                <w:color w:val="auto"/>
                <w:w w:val="86"/>
              </w:rPr>
              <w:t>Page 42</w:t>
            </w:r>
          </w:p>
        </w:tc>
      </w:tr>
      <w:tr>
        <w:trPr>
          <w:trHeight w:val="229"/>
        </w:trPr>
        <w:tc>
          <w:tcPr>
            <w:tcW w:w="7580" w:type="dxa"/>
            <w:vAlign w:val="bottom"/>
          </w:tcPr>
          <w:p>
            <w:pPr>
              <w:ind w:left="380"/>
              <w:spacing w:after="0"/>
              <w:rPr>
                <w:sz w:val="20"/>
                <w:szCs w:val="20"/>
                <w:color w:val="auto"/>
              </w:rPr>
            </w:pPr>
            <w:r>
              <w:rPr>
                <w:rFonts w:ascii="Arial" w:cs="Arial" w:eastAsia="Arial" w:hAnsi="Arial"/>
                <w:sz w:val="18"/>
                <w:szCs w:val="18"/>
                <w:color w:val="auto"/>
                <w:w w:val="94"/>
              </w:rPr>
              <w:t>Consolidated Statements of Stockholders’ Equity for the three years ended September 30, 2022</w:t>
            </w:r>
          </w:p>
        </w:tc>
        <w:tc>
          <w:tcPr>
            <w:tcW w:w="2700" w:type="dxa"/>
            <w:vAlign w:val="bottom"/>
          </w:tcPr>
          <w:p>
            <w:pPr>
              <w:jc w:val="center"/>
              <w:ind w:left="1030"/>
              <w:spacing w:after="0"/>
              <w:rPr>
                <w:sz w:val="20"/>
                <w:szCs w:val="20"/>
                <w:color w:val="auto"/>
              </w:rPr>
            </w:pPr>
            <w:r>
              <w:rPr>
                <w:rFonts w:ascii="Arial" w:cs="Arial" w:eastAsia="Arial" w:hAnsi="Arial"/>
                <w:sz w:val="18"/>
                <w:szCs w:val="18"/>
                <w:color w:val="auto"/>
                <w:w w:val="86"/>
              </w:rPr>
              <w:t>Page 43</w:t>
            </w: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Notes to Consolidated Financial Statements</w:t>
            </w:r>
          </w:p>
        </w:tc>
        <w:tc>
          <w:tcPr>
            <w:tcW w:w="2700" w:type="dxa"/>
            <w:vAlign w:val="bottom"/>
          </w:tcPr>
          <w:p>
            <w:pPr>
              <w:jc w:val="center"/>
              <w:ind w:left="1010"/>
              <w:spacing w:after="0"/>
              <w:rPr>
                <w:sz w:val="20"/>
                <w:szCs w:val="20"/>
                <w:color w:val="auto"/>
              </w:rPr>
            </w:pPr>
            <w:r>
              <w:rPr>
                <w:rFonts w:ascii="Arial" w:cs="Arial" w:eastAsia="Arial" w:hAnsi="Arial"/>
                <w:sz w:val="18"/>
                <w:szCs w:val="18"/>
                <w:color w:val="auto"/>
                <w:w w:val="88"/>
              </w:rPr>
              <w:t>Pages 44 through 63</w:t>
            </w:r>
          </w:p>
        </w:tc>
      </w:tr>
    </w:tbl>
    <w:p>
      <w:pPr>
        <w:spacing w:after="0" w:line="229" w:lineRule="exact"/>
        <w:rPr>
          <w:sz w:val="20"/>
          <w:szCs w:val="20"/>
          <w:color w:val="auto"/>
        </w:rPr>
      </w:pPr>
    </w:p>
    <w:p>
      <w:pPr>
        <w:ind w:left="380" w:hanging="354"/>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schedule listed below is filed as part of this Annual Report on Form 10-K:</w:t>
      </w:r>
    </w:p>
    <w:p>
      <w:pPr>
        <w:spacing w:after="0" w:line="23" w:lineRule="exact"/>
        <w:rPr>
          <w:rFonts w:ascii="Arial" w:cs="Arial" w:eastAsia="Arial" w:hAnsi="Arial"/>
          <w:sz w:val="18"/>
          <w:szCs w:val="18"/>
          <w:color w:val="auto"/>
        </w:rPr>
      </w:pPr>
    </w:p>
    <w:p>
      <w:pPr>
        <w:ind w:left="380" w:right="3560"/>
        <w:spacing w:after="0" w:line="234" w:lineRule="auto"/>
        <w:rPr>
          <w:rFonts w:ascii="Arial" w:cs="Arial" w:eastAsia="Arial" w:hAnsi="Arial"/>
          <w:sz w:val="18"/>
          <w:szCs w:val="18"/>
          <w:color w:val="auto"/>
        </w:rPr>
      </w:pPr>
      <w:r>
        <w:rPr>
          <w:rFonts w:ascii="Arial" w:cs="Arial" w:eastAsia="Arial" w:hAnsi="Arial"/>
          <w:sz w:val="18"/>
          <w:szCs w:val="18"/>
          <w:color w:val="auto"/>
        </w:rPr>
        <w:t>All required schedule information is included in the Notes to Consolidated Financial Statements or is omitted because it is either not required or not applicable.</w:t>
      </w:r>
    </w:p>
    <w:p>
      <w:pPr>
        <w:spacing w:after="0" w:line="14" w:lineRule="exact"/>
        <w:rPr>
          <w:rFonts w:ascii="Arial" w:cs="Arial" w:eastAsia="Arial" w:hAnsi="Arial"/>
          <w:sz w:val="18"/>
          <w:szCs w:val="18"/>
          <w:color w:val="auto"/>
        </w:rPr>
      </w:pPr>
    </w:p>
    <w:p>
      <w:pPr>
        <w:ind w:left="380" w:right="3620" w:hanging="354"/>
        <w:spacing w:after="0" w:line="235"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Exhibits listed in the Exhibit Index immediately following this Item 15 are filed as a part of this Annual Report on Form 10-K.</w:t>
      </w:r>
    </w:p>
    <w:p>
      <w:pPr>
        <w:spacing w:after="0" w:line="324"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required by Item 601 of Regulation S-K are filed herewith and incorporated by reference herein. The response to this portion of Item 15 is submitted under Item 15(a)(3).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INDEX</w:t>
      </w:r>
    </w:p>
    <w:p>
      <w:pPr>
        <w:spacing w:after="0" w:line="288"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1520" w:type="dxa"/>
            <w:vAlign w:val="bottom"/>
            <w:vMerge w:val="restart"/>
          </w:tcPr>
          <w:p>
            <w:pPr>
              <w:jc w:val="center"/>
              <w:ind w:right="948"/>
              <w:spacing w:after="0"/>
              <w:rPr>
                <w:sz w:val="20"/>
                <w:szCs w:val="20"/>
                <w:color w:val="auto"/>
              </w:rPr>
            </w:pPr>
            <w:r>
              <w:rPr>
                <w:rFonts w:ascii="Arial" w:cs="Arial" w:eastAsia="Arial" w:hAnsi="Arial"/>
                <w:sz w:val="14"/>
                <w:szCs w:val="14"/>
                <w:b w:val="1"/>
                <w:bCs w:val="1"/>
                <w:color w:val="auto"/>
                <w:w w:val="98"/>
              </w:rPr>
              <w:t>Exhibit</w:t>
            </w:r>
          </w:p>
        </w:tc>
        <w:tc>
          <w:tcPr>
            <w:tcW w:w="3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920" w:type="dxa"/>
            <w:vAlign w:val="bottom"/>
          </w:tcPr>
          <w:p>
            <w:pPr>
              <w:spacing w:after="0"/>
              <w:rPr>
                <w:sz w:val="16"/>
                <w:szCs w:val="16"/>
                <w:color w:val="auto"/>
              </w:rPr>
            </w:pPr>
          </w:p>
        </w:tc>
        <w:tc>
          <w:tcPr>
            <w:tcW w:w="7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31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Exhibit Description</w:t>
            </w:r>
          </w:p>
        </w:tc>
        <w:tc>
          <w:tcPr>
            <w:tcW w:w="1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Form</w:t>
            </w:r>
          </w:p>
        </w:tc>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Filing Date</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52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Number</w:t>
            </w:r>
          </w:p>
        </w:tc>
        <w:tc>
          <w:tcPr>
            <w:tcW w:w="316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1107" w:right="519" w:bottom="1440" w:gutter="0" w:footer="0" w:header="0"/>
        </w:sectPr>
      </w:pPr>
    </w:p>
    <w:p>
      <w:pPr>
        <w:spacing w:after="0" w:line="25"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9"/>
              </w:rPr>
              <w:t>2.1^</w:t>
            </w:r>
          </w:p>
        </w:tc>
        <w:tc>
          <w:tcPr>
            <w:tcW w:w="4200" w:type="dxa"/>
            <w:vAlign w:val="bottom"/>
            <w:gridSpan w:val="24"/>
            <w:vMerge w:val="restart"/>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Asset Purchase Agreement, dated as of April 22, 2021, by</w:t>
              </w:r>
            </w:hyperlink>
          </w:p>
        </w:tc>
        <w:tc>
          <w:tcPr>
            <w:tcW w:w="180" w:type="dxa"/>
            <w:vAlign w:val="bottom"/>
            <w:gridSpan w:val="4"/>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920" w:type="dxa"/>
            <w:vAlign w:val="bottom"/>
          </w:tcPr>
          <w:p>
            <w:pPr>
              <w:spacing w:after="0"/>
              <w:rPr>
                <w:sz w:val="2"/>
                <w:szCs w:val="2"/>
                <w:color w:val="auto"/>
              </w:rPr>
            </w:pPr>
          </w:p>
        </w:tc>
        <w:tc>
          <w:tcPr>
            <w:tcW w:w="4200" w:type="dxa"/>
            <w:vAlign w:val="bottom"/>
            <w:tcBorders>
              <w:bottom w:val="single" w:sz="8" w:color="0000FF"/>
            </w:tcBorders>
            <w:gridSpan w:val="2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28"/>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and between Skyworks Solutions Inc., and Silicon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Laboratories Inc.</w:t>
              </w:r>
            </w:hyperlink>
          </w:p>
        </w:tc>
        <w:tc>
          <w:tcPr>
            <w:tcW w:w="2380" w:type="dxa"/>
            <w:vAlign w:val="bottom"/>
            <w:tcBorders>
              <w:top w:val="single" w:sz="8" w:color="0000FF"/>
            </w:tcBorders>
            <w:gridSpan w:val="9"/>
          </w:tcPr>
          <w:p>
            <w:pPr>
              <w:spacing w:after="0"/>
              <w:rPr>
                <w:sz w:val="17"/>
                <w:szCs w:val="17"/>
                <w:color w:val="auto"/>
              </w:rPr>
            </w:pPr>
          </w:p>
        </w:tc>
        <w:tc>
          <w:tcPr>
            <w:tcW w:w="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3.1</w:t>
            </w:r>
          </w:p>
        </w:tc>
        <w:tc>
          <w:tcPr>
            <w:tcW w:w="3640" w:type="dxa"/>
            <w:vAlign w:val="bottom"/>
            <w:gridSpan w:val="13"/>
            <w:vMerge w:val="restart"/>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Restated Certificate of Incorporation, as Amended</w:t>
              </w:r>
            </w:hyperlink>
          </w:p>
        </w:tc>
        <w:tc>
          <w:tcPr>
            <w:tcW w:w="74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640" w:type="dxa"/>
            <w:vAlign w:val="bottom"/>
            <w:tcBorders>
              <w:bottom w:val="single" w:sz="8" w:color="0000FF"/>
            </w:tcBorders>
            <w:gridSpan w:val="13"/>
            <w:vMerge w:val="continue"/>
          </w:tcPr>
          <w:p>
            <w:pPr>
              <w:spacing w:after="0"/>
              <w:rPr>
                <w:sz w:val="3"/>
                <w:szCs w:val="3"/>
                <w:color w:val="auto"/>
              </w:rPr>
            </w:pPr>
          </w:p>
        </w:tc>
        <w:tc>
          <w:tcPr>
            <w:tcW w:w="74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3.2</w:t>
            </w:r>
          </w:p>
        </w:tc>
        <w:tc>
          <w:tcPr>
            <w:tcW w:w="3760" w:type="dxa"/>
            <w:vAlign w:val="bottom"/>
            <w:gridSpan w:val="15"/>
            <w:vMerge w:val="restart"/>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Third Amended and Restated By-laws, as Amended</w:t>
              </w:r>
            </w:hyperlink>
          </w:p>
        </w:tc>
        <w:tc>
          <w:tcPr>
            <w:tcW w:w="62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760" w:type="dxa"/>
            <w:vAlign w:val="bottom"/>
            <w:tcBorders>
              <w:bottom w:val="single" w:sz="8" w:color="0000FF"/>
            </w:tcBorders>
            <w:gridSpan w:val="15"/>
            <w:vMerge w:val="continue"/>
          </w:tcPr>
          <w:p>
            <w:pPr>
              <w:spacing w:after="0"/>
              <w:rPr>
                <w:sz w:val="3"/>
                <w:szCs w:val="3"/>
                <w:color w:val="auto"/>
              </w:rPr>
            </w:pPr>
          </w:p>
        </w:tc>
        <w:tc>
          <w:tcPr>
            <w:tcW w:w="62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4.1</w:t>
            </w:r>
          </w:p>
        </w:tc>
        <w:tc>
          <w:tcPr>
            <w:tcW w:w="4380" w:type="dxa"/>
            <w:vAlign w:val="bottom"/>
            <w:gridSpan w:val="28"/>
            <w:vMerge w:val="restart"/>
          </w:tcPr>
          <w:p>
            <w:pPr>
              <w:spacing w:after="0"/>
              <w:rPr>
                <w:rFonts w:ascii="Arial" w:cs="Arial" w:eastAsia="Arial" w:hAnsi="Arial"/>
                <w:sz w:val="18"/>
                <w:szCs w:val="18"/>
                <w:color w:val="0000FF"/>
              </w:rPr>
            </w:pPr>
            <w:hyperlink r:id="rId54">
              <w:r>
                <w:rPr>
                  <w:rFonts w:ascii="Arial" w:cs="Arial" w:eastAsia="Arial" w:hAnsi="Arial"/>
                  <w:sz w:val="18"/>
                  <w:szCs w:val="18"/>
                  <w:color w:val="0000FF"/>
                </w:rPr>
                <w:t>Specimen Certificate of Common Stock</w:t>
              </w:r>
            </w:hyperlink>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4380" w:type="dxa"/>
            <w:vAlign w:val="bottom"/>
            <w:gridSpan w:val="2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4.2</w:t>
            </w:r>
          </w:p>
        </w:tc>
        <w:tc>
          <w:tcPr>
            <w:tcW w:w="2880" w:type="dxa"/>
            <w:vAlign w:val="bottom"/>
            <w:tcBorders>
              <w:top w:val="single" w:sz="8" w:color="0000FF"/>
            </w:tcBorders>
            <w:gridSpan w:val="7"/>
            <w:vMerge w:val="restart"/>
          </w:tcPr>
          <w:p>
            <w:pPr>
              <w:spacing w:after="0"/>
              <w:rPr>
                <w:rFonts w:ascii="Arial" w:cs="Arial" w:eastAsia="Arial" w:hAnsi="Arial"/>
                <w:sz w:val="18"/>
                <w:szCs w:val="18"/>
                <w:color w:val="0000FF"/>
              </w:rPr>
            </w:pPr>
            <w:hyperlink r:id="rId55">
              <w:r>
                <w:rPr>
                  <w:rFonts w:ascii="Arial" w:cs="Arial" w:eastAsia="Arial" w:hAnsi="Arial"/>
                  <w:sz w:val="18"/>
                  <w:szCs w:val="18"/>
                  <w:color w:val="0000FF"/>
                </w:rPr>
                <w:t>Description of Capital Stock</w:t>
              </w:r>
            </w:hyperlink>
          </w:p>
        </w:tc>
        <w:tc>
          <w:tcPr>
            <w:tcW w:w="1500" w:type="dxa"/>
            <w:vAlign w:val="bottom"/>
            <w:gridSpan w:val="2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2880" w:type="dxa"/>
            <w:vAlign w:val="bottom"/>
            <w:gridSpan w:val="7"/>
            <w:vMerge w:val="continue"/>
          </w:tcPr>
          <w:p>
            <w:pPr>
              <w:spacing w:after="0"/>
              <w:rPr>
                <w:sz w:val="3"/>
                <w:szCs w:val="3"/>
                <w:color w:val="auto"/>
              </w:rPr>
            </w:pPr>
          </w:p>
        </w:tc>
        <w:tc>
          <w:tcPr>
            <w:tcW w:w="1500" w:type="dxa"/>
            <w:vAlign w:val="bottom"/>
            <w:gridSpan w:val="2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4.3</w:t>
            </w:r>
          </w:p>
        </w:tc>
        <w:tc>
          <w:tcPr>
            <w:tcW w:w="4380" w:type="dxa"/>
            <w:vAlign w:val="bottom"/>
            <w:gridSpan w:val="28"/>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Indenture, dated as of May 26, 2021, by and between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10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56">
              <w:r>
                <w:rPr>
                  <w:rFonts w:ascii="Arial" w:cs="Arial" w:eastAsia="Arial" w:hAnsi="Arial"/>
                  <w:sz w:val="18"/>
                  <w:szCs w:val="18"/>
                  <w:color w:val="0000FF"/>
                </w:rPr>
                <w:t>Company and U.S. Bank National Association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4.4</w:t>
            </w:r>
          </w:p>
        </w:tc>
        <w:tc>
          <w:tcPr>
            <w:tcW w:w="4380" w:type="dxa"/>
            <w:vAlign w:val="bottom"/>
            <w:gridSpan w:val="28"/>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First Supplemental Indenture, dated as of May 26, 2021, by</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30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and between the Company and U.S. Bank National</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Association</w:t>
              </w:r>
            </w:hyperlink>
          </w:p>
        </w:tc>
        <w:tc>
          <w:tcPr>
            <w:tcW w:w="282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4.5</w:t>
            </w:r>
          </w:p>
        </w:tc>
        <w:tc>
          <w:tcPr>
            <w:tcW w:w="4380" w:type="dxa"/>
            <w:vAlign w:val="bottom"/>
            <w:gridSpan w:val="28"/>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Second Supplemental Indenture, dated as of May 26, 2021,</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280" w:type="dxa"/>
            <w:vAlign w:val="bottom"/>
            <w:tcBorders>
              <w:top w:val="single" w:sz="8" w:color="0000FF"/>
            </w:tcBorders>
            <w:gridSpan w:val="25"/>
          </w:tcPr>
          <w:p>
            <w:pPr>
              <w:spacing w:after="0" w:line="169" w:lineRule="exact"/>
              <w:rPr>
                <w:rFonts w:ascii="Arial" w:cs="Arial" w:eastAsia="Arial" w:hAnsi="Arial"/>
                <w:sz w:val="18"/>
                <w:szCs w:val="18"/>
                <w:color w:val="0000FF"/>
                <w:w w:val="98"/>
              </w:rPr>
            </w:pPr>
            <w:hyperlink r:id="rId58">
              <w:r>
                <w:rPr>
                  <w:rFonts w:ascii="Arial" w:cs="Arial" w:eastAsia="Arial" w:hAnsi="Arial"/>
                  <w:sz w:val="18"/>
                  <w:szCs w:val="18"/>
                  <w:color w:val="0000FF"/>
                  <w:w w:val="98"/>
                </w:rPr>
                <w:t>by and between the Company and U.S. Bank National</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Association</w:t>
              </w:r>
            </w:hyperlink>
          </w:p>
        </w:tc>
        <w:tc>
          <w:tcPr>
            <w:tcW w:w="304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87"/>
              </w:rPr>
              <w:t>4.6</w:t>
            </w:r>
          </w:p>
        </w:tc>
        <w:tc>
          <w:tcPr>
            <w:tcW w:w="4380" w:type="dxa"/>
            <w:vAlign w:val="bottom"/>
            <w:gridSpan w:val="28"/>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Third Supplemental Indenture, dated as of May 26, 2021, by</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36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and between the Company and U.S. Bank National</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10.1*</w:t>
            </w: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Association</w:t>
              </w:r>
            </w:hyperlink>
          </w:p>
        </w:tc>
        <w:tc>
          <w:tcPr>
            <w:tcW w:w="282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20" w:type="dxa"/>
            <w:vAlign w:val="bottom"/>
            <w:vMerge w:val="continue"/>
          </w:tcPr>
          <w:p>
            <w:pPr>
              <w:spacing w:after="0"/>
              <w:rPr>
                <w:sz w:val="21"/>
                <w:szCs w:val="21"/>
                <w:color w:val="auto"/>
              </w:rPr>
            </w:pPr>
          </w:p>
        </w:tc>
        <w:tc>
          <w:tcPr>
            <w:tcW w:w="4180" w:type="dxa"/>
            <w:vAlign w:val="bottom"/>
            <w:gridSpan w:val="23"/>
            <w:vMerge w:val="restart"/>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Skyworks Solutions, Inc. 2002 Employee Stock Purchase</w:t>
              </w:r>
            </w:hyperlink>
          </w:p>
        </w:tc>
        <w:tc>
          <w:tcPr>
            <w:tcW w:w="200" w:type="dxa"/>
            <w:vAlign w:val="bottom"/>
            <w:gridSpan w:val="5"/>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4180" w:type="dxa"/>
            <w:vAlign w:val="bottom"/>
            <w:tcBorders>
              <w:bottom w:val="single" w:sz="8" w:color="0000FF"/>
            </w:tcBorders>
            <w:gridSpan w:val="23"/>
            <w:vMerge w:val="continue"/>
          </w:tcPr>
          <w:p>
            <w:pPr>
              <w:spacing w:after="0"/>
              <w:rPr>
                <w:sz w:val="3"/>
                <w:szCs w:val="3"/>
                <w:color w:val="auto"/>
              </w:rPr>
            </w:pPr>
          </w:p>
        </w:tc>
        <w:tc>
          <w:tcPr>
            <w:tcW w:w="2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Plan, as Amended</w:t>
              </w:r>
            </w:hyperlink>
          </w:p>
        </w:tc>
        <w:tc>
          <w:tcPr>
            <w:tcW w:w="30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9"/>
              </w:rPr>
              <w:t>10.2*</w:t>
            </w:r>
          </w:p>
        </w:tc>
        <w:tc>
          <w:tcPr>
            <w:tcW w:w="4160" w:type="dxa"/>
            <w:vAlign w:val="bottom"/>
            <w:gridSpan w:val="22"/>
            <w:vMerge w:val="restart"/>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Skyworks Solutions, Inc. Non-Qualified Employee Stock</w:t>
              </w:r>
            </w:hyperlink>
          </w:p>
        </w:tc>
        <w:tc>
          <w:tcPr>
            <w:tcW w:w="22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4160" w:type="dxa"/>
            <w:vAlign w:val="bottom"/>
            <w:tcBorders>
              <w:bottom w:val="single" w:sz="8" w:color="0000FF"/>
            </w:tcBorders>
            <w:gridSpan w:val="22"/>
            <w:vMerge w:val="continue"/>
          </w:tcPr>
          <w:p>
            <w:pPr>
              <w:spacing w:after="0"/>
              <w:rPr>
                <w:sz w:val="3"/>
                <w:szCs w:val="3"/>
                <w:color w:val="auto"/>
              </w:rPr>
            </w:pPr>
          </w:p>
        </w:tc>
        <w:tc>
          <w:tcPr>
            <w:tcW w:w="2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28"/>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Purchase Plan, as Amended</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10.3*</w:t>
            </w: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3940" w:type="dxa"/>
            <w:vAlign w:val="bottom"/>
            <w:gridSpan w:val="19"/>
            <w:vMerge w:val="restart"/>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Skyworks Solutions, Inc. Amended and Restated 2005</w:t>
              </w:r>
            </w:hyperlink>
          </w:p>
        </w:tc>
        <w:tc>
          <w:tcPr>
            <w:tcW w:w="44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940" w:type="dxa"/>
            <w:vAlign w:val="bottom"/>
            <w:tcBorders>
              <w:bottom w:val="single" w:sz="8" w:color="0000FF"/>
            </w:tcBorders>
            <w:gridSpan w:val="19"/>
            <w:vMerge w:val="continue"/>
          </w:tcPr>
          <w:p>
            <w:pPr>
              <w:spacing w:after="0"/>
              <w:rPr>
                <w:sz w:val="3"/>
                <w:szCs w:val="3"/>
                <w:color w:val="auto"/>
              </w:rPr>
            </w:pPr>
          </w:p>
        </w:tc>
        <w:tc>
          <w:tcPr>
            <w:tcW w:w="44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2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Long-Term Incentive Plan</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10.4*</w:t>
            </w: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4380" w:type="dxa"/>
            <w:vAlign w:val="bottom"/>
            <w:gridSpan w:val="28"/>
            <w:vMerge w:val="restart"/>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Form of Nonstatutory Stock Option Agreement under the</w:t>
              </w:r>
            </w:hyperlink>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4380" w:type="dxa"/>
            <w:vAlign w:val="bottom"/>
            <w:gridSpan w:val="2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Company’s 2005 Long-Term Incentive Plan</w:t>
              </w:r>
            </w:hyperlink>
          </w:p>
        </w:tc>
        <w:tc>
          <w:tcPr>
            <w:tcW w:w="960" w:type="dxa"/>
            <w:vAlign w:val="bottom"/>
            <w:tcBorders>
              <w:top w:val="single" w:sz="8" w:color="0000FF"/>
            </w:tcBorders>
            <w:gridSpan w:val="13"/>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9"/>
              </w:rPr>
              <w:t>10.5*</w:t>
            </w:r>
          </w:p>
        </w:tc>
        <w:tc>
          <w:tcPr>
            <w:tcW w:w="4380" w:type="dxa"/>
            <w:vAlign w:val="bottom"/>
            <w:gridSpan w:val="28"/>
          </w:tcPr>
          <w:p>
            <w:pPr>
              <w:spacing w:after="0"/>
              <w:rPr>
                <w:rFonts w:ascii="Arial" w:cs="Arial" w:eastAsia="Arial" w:hAnsi="Arial"/>
                <w:sz w:val="18"/>
                <w:szCs w:val="18"/>
                <w:color w:val="0000FF"/>
              </w:rPr>
            </w:pPr>
            <w:hyperlink r:id="rId64">
              <w:r>
                <w:rPr>
                  <w:rFonts w:ascii="Arial" w:cs="Arial" w:eastAsia="Arial" w:hAnsi="Arial"/>
                  <w:sz w:val="18"/>
                  <w:szCs w:val="18"/>
                  <w:color w:val="0000FF"/>
                </w:rPr>
                <w:t>Skyworks Solutions, Inc. Amended and Restated 2008</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10.6*</w:t>
            </w:r>
          </w:p>
        </w:tc>
        <w:tc>
          <w:tcPr>
            <w:tcW w:w="354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Director Long-Term Incentive Plan, as Amended</w:t>
              </w:r>
            </w:hyperlink>
          </w:p>
        </w:tc>
        <w:tc>
          <w:tcPr>
            <w:tcW w:w="400" w:type="dxa"/>
            <w:vAlign w:val="bottom"/>
            <w:tcBorders>
              <w:top w:val="single" w:sz="8" w:color="0000FF"/>
            </w:tcBorders>
            <w:gridSpan w:val="9"/>
          </w:tcPr>
          <w:p>
            <w:pPr>
              <w:spacing w:after="0"/>
              <w:rPr>
                <w:sz w:val="14"/>
                <w:szCs w:val="14"/>
                <w:color w:val="auto"/>
              </w:rPr>
            </w:pPr>
          </w:p>
        </w:tc>
        <w:tc>
          <w:tcPr>
            <w:tcW w:w="4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20" w:type="dxa"/>
            <w:vAlign w:val="bottom"/>
            <w:vMerge w:val="continue"/>
          </w:tcPr>
          <w:p>
            <w:pPr>
              <w:spacing w:after="0"/>
              <w:rPr>
                <w:sz w:val="21"/>
                <w:szCs w:val="21"/>
                <w:color w:val="auto"/>
              </w:rPr>
            </w:pPr>
          </w:p>
        </w:tc>
        <w:tc>
          <w:tcPr>
            <w:tcW w:w="4380" w:type="dxa"/>
            <w:vAlign w:val="bottom"/>
            <w:gridSpan w:val="28"/>
            <w:vMerge w:val="restart"/>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Form of Nonstatutory Stock Option Agreement under the</w:t>
              </w:r>
            </w:hyperlink>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4380" w:type="dxa"/>
            <w:vAlign w:val="bottom"/>
            <w:gridSpan w:val="2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Company’s 2008 Director Long-Term Incentive Plan</w:t>
              </w:r>
            </w:hyperlink>
          </w:p>
        </w:tc>
        <w:tc>
          <w:tcPr>
            <w:tcW w:w="320" w:type="dxa"/>
            <w:vAlign w:val="bottom"/>
            <w:tcBorders>
              <w:top w:val="single" w:sz="8" w:color="0000FF"/>
            </w:tcBorders>
            <w:gridSpan w:val="4"/>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9"/>
              </w:rPr>
              <w:t>10.7*</w:t>
            </w:r>
          </w:p>
        </w:tc>
        <w:tc>
          <w:tcPr>
            <w:tcW w:w="3760" w:type="dxa"/>
            <w:vAlign w:val="bottom"/>
            <w:gridSpan w:val="15"/>
            <w:vMerge w:val="restart"/>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Restricted Stock Unit Agreement under the</w:t>
              </w:r>
            </w:hyperlink>
          </w:p>
        </w:tc>
        <w:tc>
          <w:tcPr>
            <w:tcW w:w="62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760" w:type="dxa"/>
            <w:vAlign w:val="bottom"/>
            <w:tcBorders>
              <w:bottom w:val="single" w:sz="8" w:color="0000FF"/>
            </w:tcBorders>
            <w:gridSpan w:val="15"/>
            <w:vMerge w:val="continue"/>
          </w:tcPr>
          <w:p>
            <w:pPr>
              <w:spacing w:after="0"/>
              <w:rPr>
                <w:sz w:val="3"/>
                <w:szCs w:val="3"/>
                <w:color w:val="auto"/>
              </w:rPr>
            </w:pPr>
          </w:p>
        </w:tc>
        <w:tc>
          <w:tcPr>
            <w:tcW w:w="62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Company’s 2008 Director Long-Term Incentive Plan</w:t>
              </w:r>
            </w:hyperlink>
          </w:p>
        </w:tc>
        <w:tc>
          <w:tcPr>
            <w:tcW w:w="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9"/>
              </w:rPr>
              <w:t>10.8*</w:t>
            </w:r>
          </w:p>
        </w:tc>
        <w:tc>
          <w:tcPr>
            <w:tcW w:w="3940" w:type="dxa"/>
            <w:vAlign w:val="bottom"/>
            <w:gridSpan w:val="19"/>
            <w:vMerge w:val="restart"/>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Skyworks Solutions, Inc. Amended and Restated 2015</w:t>
              </w:r>
            </w:hyperlink>
          </w:p>
        </w:tc>
        <w:tc>
          <w:tcPr>
            <w:tcW w:w="44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20" w:type="dxa"/>
            <w:vAlign w:val="bottom"/>
          </w:tcPr>
          <w:p>
            <w:pPr>
              <w:spacing w:after="0"/>
              <w:rPr>
                <w:sz w:val="3"/>
                <w:szCs w:val="3"/>
                <w:color w:val="auto"/>
              </w:rPr>
            </w:pPr>
          </w:p>
        </w:tc>
        <w:tc>
          <w:tcPr>
            <w:tcW w:w="3940" w:type="dxa"/>
            <w:vAlign w:val="bottom"/>
            <w:tcBorders>
              <w:bottom w:val="single" w:sz="8" w:color="0000FF"/>
            </w:tcBorders>
            <w:gridSpan w:val="19"/>
            <w:vMerge w:val="continue"/>
          </w:tcPr>
          <w:p>
            <w:pPr>
              <w:spacing w:after="0"/>
              <w:rPr>
                <w:sz w:val="3"/>
                <w:szCs w:val="3"/>
                <w:color w:val="auto"/>
              </w:rPr>
            </w:pPr>
          </w:p>
        </w:tc>
        <w:tc>
          <w:tcPr>
            <w:tcW w:w="44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380" w:type="dxa"/>
            <w:vAlign w:val="bottom"/>
            <w:gridSpan w:val="28"/>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Long-Term Incentive Plan</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ind w:right="330"/>
              <w:spacing w:after="0"/>
              <w:rPr>
                <w:sz w:val="20"/>
                <w:szCs w:val="20"/>
                <w:color w:val="auto"/>
              </w:rPr>
            </w:pPr>
            <w:r>
              <w:rPr>
                <w:rFonts w:ascii="Arial" w:cs="Arial" w:eastAsia="Arial" w:hAnsi="Arial"/>
                <w:sz w:val="18"/>
                <w:szCs w:val="18"/>
                <w:color w:val="auto"/>
                <w:w w:val="99"/>
              </w:rPr>
              <w:t>10.9*</w:t>
            </w: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4380" w:type="dxa"/>
            <w:vAlign w:val="bottom"/>
            <w:gridSpan w:val="28"/>
            <w:vMerge w:val="restart"/>
          </w:tcPr>
          <w:p>
            <w:pPr>
              <w:spacing w:after="0"/>
              <w:rPr>
                <w:rFonts w:ascii="Arial" w:cs="Arial" w:eastAsia="Arial" w:hAnsi="Arial"/>
                <w:sz w:val="18"/>
                <w:szCs w:val="18"/>
                <w:color w:val="0000FF"/>
                <w:w w:val="96"/>
              </w:rPr>
            </w:pPr>
            <w:hyperlink r:id="rId68">
              <w:r>
                <w:rPr>
                  <w:rFonts w:ascii="Arial" w:cs="Arial" w:eastAsia="Arial" w:hAnsi="Arial"/>
                  <w:sz w:val="18"/>
                  <w:szCs w:val="18"/>
                  <w:color w:val="0000FF"/>
                  <w:w w:val="96"/>
                </w:rPr>
                <w:t>Form of Nonstatutory Stock Option Agreement under the</w:t>
              </w:r>
            </w:hyperlink>
          </w:p>
        </w:tc>
        <w:tc>
          <w:tcPr>
            <w:tcW w:w="0" w:type="dxa"/>
            <w:vAlign w:val="bottom"/>
          </w:tcPr>
          <w:p>
            <w:pPr>
              <w:spacing w:after="0"/>
              <w:rPr>
                <w:sz w:val="1"/>
                <w:szCs w:val="1"/>
                <w:color w:val="auto"/>
              </w:rPr>
            </w:pPr>
          </w:p>
        </w:tc>
      </w:tr>
      <w:tr>
        <w:trPr>
          <w:trHeight w:val="40"/>
        </w:trPr>
        <w:tc>
          <w:tcPr>
            <w:tcW w:w="920" w:type="dxa"/>
            <w:vAlign w:val="bottom"/>
          </w:tcPr>
          <w:p>
            <w:pPr>
              <w:spacing w:after="0"/>
              <w:rPr>
                <w:sz w:val="3"/>
                <w:szCs w:val="3"/>
                <w:color w:val="auto"/>
              </w:rPr>
            </w:pPr>
          </w:p>
        </w:tc>
        <w:tc>
          <w:tcPr>
            <w:tcW w:w="4380" w:type="dxa"/>
            <w:vAlign w:val="bottom"/>
            <w:gridSpan w:val="2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Company’s 2015 Long-Term Incentive Plan</w:t>
              </w:r>
            </w:hyperlink>
          </w:p>
        </w:tc>
        <w:tc>
          <w:tcPr>
            <w:tcW w:w="960" w:type="dxa"/>
            <w:vAlign w:val="bottom"/>
            <w:tcBorders>
              <w:top w:val="single" w:sz="8" w:color="0000FF"/>
            </w:tcBorders>
            <w:gridSpan w:val="13"/>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5"/>
              </w:rPr>
              <w:t>10.10*</w:t>
            </w:r>
          </w:p>
        </w:tc>
        <w:tc>
          <w:tcPr>
            <w:tcW w:w="3580" w:type="dxa"/>
            <w:vAlign w:val="bottom"/>
            <w:tcBorders>
              <w:bottom w:val="single" w:sz="8" w:color="0000FF"/>
            </w:tcBorders>
            <w:gridSpan w:val="11"/>
          </w:tcPr>
          <w:p>
            <w:pPr>
              <w:spacing w:after="0"/>
              <w:rPr>
                <w:rFonts w:ascii="Arial" w:cs="Arial" w:eastAsia="Arial" w:hAnsi="Arial"/>
                <w:sz w:val="18"/>
                <w:szCs w:val="18"/>
                <w:color w:val="0000FF"/>
                <w:w w:val="89"/>
              </w:rPr>
            </w:pPr>
            <w:hyperlink r:id="rId69">
              <w:r>
                <w:rPr>
                  <w:rFonts w:ascii="Arial" w:cs="Arial" w:eastAsia="Arial" w:hAnsi="Arial"/>
                  <w:sz w:val="18"/>
                  <w:szCs w:val="18"/>
                  <w:color w:val="0000FF"/>
                  <w:w w:val="89"/>
                </w:rPr>
                <w:t>Form of Performance Share Agreement under the</w:t>
              </w:r>
            </w:hyperlink>
          </w:p>
        </w:tc>
        <w:tc>
          <w:tcPr>
            <w:tcW w:w="80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380" w:type="dxa"/>
            <w:vAlign w:val="bottom"/>
            <w:gridSpan w:val="28"/>
          </w:tcPr>
          <w:p>
            <w:pPr>
              <w:spacing w:after="0" w:line="169" w:lineRule="exact"/>
              <w:rPr>
                <w:rFonts w:ascii="Arial" w:cs="Arial" w:eastAsia="Arial" w:hAnsi="Arial"/>
                <w:sz w:val="18"/>
                <w:szCs w:val="18"/>
                <w:color w:val="0000FF"/>
              </w:rPr>
            </w:pPr>
            <w:hyperlink r:id="rId69">
              <w:r>
                <w:rPr>
                  <w:rFonts w:ascii="Arial" w:cs="Arial" w:eastAsia="Arial" w:hAnsi="Arial"/>
                  <w:sz w:val="18"/>
                  <w:szCs w:val="18"/>
                  <w:color w:val="0000FF"/>
                </w:rPr>
                <w:t>Company’s Amended and Restated 2015 Long-Term</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38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Incentive Plan</w:t>
              </w:r>
            </w:hyperlink>
          </w:p>
        </w:tc>
        <w:tc>
          <w:tcPr>
            <w:tcW w:w="5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34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5"/>
              </w:rPr>
              <w:t>10.11*</w:t>
            </w:r>
          </w:p>
        </w:tc>
        <w:tc>
          <w:tcPr>
            <w:tcW w:w="4380" w:type="dxa"/>
            <w:vAlign w:val="bottom"/>
            <w:gridSpan w:val="28"/>
          </w:tcPr>
          <w:p>
            <w:pPr>
              <w:spacing w:after="0"/>
              <w:rPr>
                <w:rFonts w:ascii="Arial" w:cs="Arial" w:eastAsia="Arial" w:hAnsi="Arial"/>
                <w:sz w:val="18"/>
                <w:szCs w:val="18"/>
                <w:color w:val="0000FF"/>
              </w:rPr>
            </w:pPr>
            <w:hyperlink r:id="rId70">
              <w:r>
                <w:rPr>
                  <w:rFonts w:ascii="Arial" w:cs="Arial" w:eastAsia="Arial" w:hAnsi="Arial"/>
                  <w:sz w:val="18"/>
                  <w:szCs w:val="18"/>
                  <w:color w:val="0000FF"/>
                </w:rPr>
                <w:t>Form of Restricted Stock Unit Agreement under the</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760" w:type="dxa"/>
            <w:vAlign w:val="bottom"/>
            <w:tcBorders>
              <w:top w:val="single" w:sz="8" w:color="0000FF"/>
            </w:tcBorders>
            <w:gridSpan w:val="15"/>
          </w:tcPr>
          <w:p>
            <w:pPr>
              <w:spacing w:after="0" w:line="169" w:lineRule="exact"/>
              <w:rPr>
                <w:rFonts w:ascii="Arial" w:cs="Arial" w:eastAsia="Arial" w:hAnsi="Arial"/>
                <w:sz w:val="18"/>
                <w:szCs w:val="18"/>
                <w:color w:val="0000FF"/>
                <w:w w:val="88"/>
              </w:rPr>
            </w:pPr>
            <w:hyperlink r:id="rId70">
              <w:r>
                <w:rPr>
                  <w:rFonts w:ascii="Arial" w:cs="Arial" w:eastAsia="Arial" w:hAnsi="Arial"/>
                  <w:sz w:val="18"/>
                  <w:szCs w:val="18"/>
                  <w:color w:val="0000FF"/>
                  <w:w w:val="88"/>
                </w:rPr>
                <w:t>Company’s Amended and Restated 2015 Long-Term</w:t>
              </w:r>
            </w:hyperlink>
          </w:p>
        </w:tc>
        <w:tc>
          <w:tcPr>
            <w:tcW w:w="6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38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Incentive Plan</w:t>
              </w:r>
            </w:hyperlink>
          </w:p>
        </w:tc>
        <w:tc>
          <w:tcPr>
            <w:tcW w:w="5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4/22/2021</w:t>
            </w:r>
          </w:p>
        </w:tc>
        <w:tc>
          <w:tcPr>
            <w:tcW w:w="0" w:type="dxa"/>
            <w:vAlign w:val="bottom"/>
          </w:tcPr>
          <w:p>
            <w:pPr>
              <w:spacing w:after="0"/>
              <w:rPr>
                <w:sz w:val="1"/>
                <w:szCs w:val="1"/>
                <w:color w:val="auto"/>
              </w:rPr>
            </w:pPr>
          </w:p>
        </w:tc>
      </w:tr>
      <w:tr>
        <w:trPr>
          <w:trHeight w:val="78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8/3/2016</w:t>
            </w:r>
          </w:p>
        </w:tc>
        <w:tc>
          <w:tcPr>
            <w:tcW w:w="0" w:type="dxa"/>
            <w:vAlign w:val="bottom"/>
          </w:tcPr>
          <w:p>
            <w:pPr>
              <w:spacing w:after="0"/>
              <w:rPr>
                <w:sz w:val="1"/>
                <w:szCs w:val="1"/>
                <w:color w:val="auto"/>
              </w:rPr>
            </w:pPr>
          </w:p>
        </w:tc>
      </w:tr>
      <w:tr>
        <w:trPr>
          <w:trHeight w:val="36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4/30/2021</w:t>
            </w:r>
          </w:p>
        </w:tc>
        <w:tc>
          <w:tcPr>
            <w:tcW w:w="0" w:type="dxa"/>
            <w:vAlign w:val="bottom"/>
          </w:tcPr>
          <w:p>
            <w:pPr>
              <w:spacing w:after="0"/>
              <w:rPr>
                <w:sz w:val="1"/>
                <w:szCs w:val="1"/>
                <w:color w:val="auto"/>
              </w:rPr>
            </w:pPr>
          </w:p>
        </w:tc>
      </w:tr>
      <w:tr>
        <w:trPr>
          <w:trHeight w:val="364"/>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2"/>
              </w:rPr>
              <w:t>S-3</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333-92394</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7/15/2002</w:t>
            </w:r>
          </w:p>
        </w:tc>
        <w:tc>
          <w:tcPr>
            <w:tcW w:w="0" w:type="dxa"/>
            <w:vAlign w:val="bottom"/>
          </w:tcPr>
          <w:p>
            <w:pPr>
              <w:spacing w:after="0"/>
              <w:rPr>
                <w:sz w:val="1"/>
                <w:szCs w:val="1"/>
                <w:color w:val="auto"/>
              </w:rPr>
            </w:pPr>
          </w:p>
        </w:tc>
      </w:tr>
      <w:tr>
        <w:trPr>
          <w:trHeight w:val="33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00" w:type="dxa"/>
            <w:vAlign w:val="bottom"/>
            <w:vMerge w:val="restart"/>
          </w:tcPr>
          <w:p>
            <w:pPr>
              <w:jc w:val="center"/>
              <w:ind w:left="190"/>
              <w:spacing w:after="0"/>
              <w:rPr>
                <w:sz w:val="20"/>
                <w:szCs w:val="20"/>
                <w:color w:val="auto"/>
              </w:rPr>
            </w:pPr>
            <w:r>
              <w:rPr>
                <w:rFonts w:ascii="Arial" w:cs="Arial" w:eastAsia="Arial" w:hAnsi="Arial"/>
                <w:sz w:val="18"/>
                <w:szCs w:val="18"/>
                <w:color w:val="auto"/>
                <w:w w:val="90"/>
              </w:rPr>
              <w:t>11/14/2019</w:t>
            </w: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41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59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59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5/26/2021</w:t>
            </w:r>
          </w:p>
        </w:tc>
        <w:tc>
          <w:tcPr>
            <w:tcW w:w="0" w:type="dxa"/>
            <w:vAlign w:val="bottom"/>
          </w:tcPr>
          <w:p>
            <w:pPr>
              <w:spacing w:after="0"/>
              <w:rPr>
                <w:sz w:val="1"/>
                <w:szCs w:val="1"/>
                <w:color w:val="auto"/>
              </w:rPr>
            </w:pPr>
          </w:p>
        </w:tc>
      </w:tr>
      <w:tr>
        <w:trPr>
          <w:trHeight w:val="59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7/24/2020</w:t>
            </w:r>
          </w:p>
        </w:tc>
        <w:tc>
          <w:tcPr>
            <w:tcW w:w="0" w:type="dxa"/>
            <w:vAlign w:val="bottom"/>
          </w:tcPr>
          <w:p>
            <w:pPr>
              <w:spacing w:after="0"/>
              <w:rPr>
                <w:sz w:val="1"/>
                <w:szCs w:val="1"/>
                <w:color w:val="auto"/>
              </w:rPr>
            </w:pP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7/24/2020</w:t>
            </w:r>
          </w:p>
        </w:tc>
        <w:tc>
          <w:tcPr>
            <w:tcW w:w="0" w:type="dxa"/>
            <w:vAlign w:val="bottom"/>
          </w:tcPr>
          <w:p>
            <w:pPr>
              <w:spacing w:after="0"/>
              <w:rPr>
                <w:sz w:val="1"/>
                <w:szCs w:val="1"/>
                <w:color w:val="auto"/>
              </w:rPr>
            </w:pPr>
          </w:p>
        </w:tc>
      </w:tr>
      <w:tr>
        <w:trPr>
          <w:trHeight w:val="581"/>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5/13/2013</w:t>
            </w:r>
          </w:p>
        </w:tc>
        <w:tc>
          <w:tcPr>
            <w:tcW w:w="0" w:type="dxa"/>
            <w:vAlign w:val="bottom"/>
          </w:tcPr>
          <w:p>
            <w:pPr>
              <w:spacing w:after="0"/>
              <w:rPr>
                <w:sz w:val="1"/>
                <w:szCs w:val="1"/>
                <w:color w:val="auto"/>
              </w:rPr>
            </w:pP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1/31/2013</w:t>
            </w:r>
          </w:p>
        </w:tc>
        <w:tc>
          <w:tcPr>
            <w:tcW w:w="0" w:type="dxa"/>
            <w:vAlign w:val="bottom"/>
          </w:tcPr>
          <w:p>
            <w:pPr>
              <w:spacing w:after="0"/>
              <w:rPr>
                <w:sz w:val="1"/>
                <w:szCs w:val="1"/>
                <w:color w:val="auto"/>
              </w:rPr>
            </w:pP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5/4/2022</w:t>
            </w:r>
          </w:p>
        </w:tc>
        <w:tc>
          <w:tcPr>
            <w:tcW w:w="0" w:type="dxa"/>
            <w:vAlign w:val="bottom"/>
          </w:tcPr>
          <w:p>
            <w:pPr>
              <w:spacing w:after="0"/>
              <w:rPr>
                <w:sz w:val="1"/>
                <w:szCs w:val="1"/>
                <w:color w:val="auto"/>
              </w:rPr>
            </w:pPr>
          </w:p>
        </w:tc>
      </w:tr>
      <w:tr>
        <w:trPr>
          <w:trHeight w:val="41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10.OO</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5/7/2008</w:t>
            </w:r>
          </w:p>
        </w:tc>
        <w:tc>
          <w:tcPr>
            <w:tcW w:w="0" w:type="dxa"/>
            <w:vAlign w:val="bottom"/>
          </w:tcPr>
          <w:p>
            <w:pPr>
              <w:spacing w:after="0"/>
              <w:rPr>
                <w:sz w:val="1"/>
                <w:szCs w:val="1"/>
                <w:color w:val="auto"/>
              </w:rPr>
            </w:pP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5/4/2016</w:t>
            </w:r>
          </w:p>
        </w:tc>
        <w:tc>
          <w:tcPr>
            <w:tcW w:w="0" w:type="dxa"/>
            <w:vAlign w:val="bottom"/>
          </w:tcPr>
          <w:p>
            <w:pPr>
              <w:spacing w:after="0"/>
              <w:rPr>
                <w:sz w:val="1"/>
                <w:szCs w:val="1"/>
                <w:color w:val="auto"/>
              </w:rPr>
            </w:pP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7/30/2021</w:t>
            </w:r>
          </w:p>
        </w:tc>
        <w:tc>
          <w:tcPr>
            <w:tcW w:w="0" w:type="dxa"/>
            <w:vAlign w:val="bottom"/>
          </w:tcPr>
          <w:p>
            <w:pPr>
              <w:spacing w:after="0"/>
              <w:rPr>
                <w:sz w:val="1"/>
                <w:szCs w:val="1"/>
                <w:color w:val="auto"/>
              </w:rPr>
            </w:pP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8/5/2015</w:t>
            </w:r>
          </w:p>
        </w:tc>
        <w:tc>
          <w:tcPr>
            <w:tcW w:w="0" w:type="dxa"/>
            <w:vAlign w:val="bottom"/>
          </w:tcPr>
          <w:p>
            <w:pPr>
              <w:spacing w:after="0"/>
              <w:rPr>
                <w:sz w:val="1"/>
                <w:szCs w:val="1"/>
                <w:color w:val="auto"/>
              </w:rPr>
            </w:pP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2/4/2022</w:t>
            </w:r>
          </w:p>
        </w:tc>
        <w:tc>
          <w:tcPr>
            <w:tcW w:w="0" w:type="dxa"/>
            <w:vAlign w:val="bottom"/>
          </w:tcPr>
          <w:p>
            <w:pPr>
              <w:spacing w:after="0"/>
              <w:rPr>
                <w:sz w:val="1"/>
                <w:szCs w:val="1"/>
                <w:color w:val="auto"/>
              </w:rPr>
            </w:pPr>
          </w:p>
        </w:tc>
      </w:tr>
      <w:tr>
        <w:trPr>
          <w:trHeight w:val="59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001-05560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1"/>
              </w:rPr>
              <w:t>2/4/2022</w:t>
            </w:r>
          </w:p>
        </w:tc>
        <w:tc>
          <w:tcPr>
            <w:tcW w:w="0" w:type="dxa"/>
            <w:vAlign w:val="bottom"/>
          </w:tcPr>
          <w:p>
            <w:pPr>
              <w:spacing w:after="0"/>
              <w:rPr>
                <w:sz w:val="1"/>
                <w:szCs w:val="1"/>
                <w:color w:val="auto"/>
              </w:rPr>
            </w:pPr>
          </w:p>
        </w:tc>
      </w:tr>
    </w:tbl>
    <w:p>
      <w:pPr>
        <w:spacing w:after="0" w:line="537" w:lineRule="exact"/>
        <w:rPr>
          <w:sz w:val="20"/>
          <w:szCs w:val="20"/>
          <w:color w:val="auto"/>
        </w:rPr>
      </w:pPr>
    </w:p>
    <w:p>
      <w:pPr>
        <w:sectPr>
          <w:pgSz w:w="11900" w:h="16838" w:orient="portrait"/>
          <w:cols w:equalWidth="0" w:num="2">
            <w:col w:w="5700" w:space="360"/>
            <w:col w:w="5000"/>
          </w:cols>
          <w:pgMar w:left="320" w:top="1107" w:right="519" w:bottom="1440" w:gutter="0" w:footer="0" w:header="0"/>
          <w:type w:val="continuous"/>
        </w:sect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7" w:right="51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10.12*^</w:t>
            </w:r>
          </w:p>
        </w:tc>
        <w:tc>
          <w:tcPr>
            <w:tcW w:w="4400" w:type="dxa"/>
            <w:vAlign w:val="bottom"/>
            <w:gridSpan w:val="20"/>
          </w:tcPr>
          <w:p>
            <w:pPr>
              <w:spacing w:after="0"/>
              <w:rPr>
                <w:rFonts w:ascii="Arial" w:cs="Arial" w:eastAsia="Arial" w:hAnsi="Arial"/>
                <w:sz w:val="18"/>
                <w:szCs w:val="18"/>
                <w:color w:val="0000FF"/>
              </w:rPr>
            </w:pPr>
            <w:hyperlink r:id="rId72">
              <w:r>
                <w:rPr>
                  <w:rFonts w:ascii="Arial" w:cs="Arial" w:eastAsia="Arial" w:hAnsi="Arial"/>
                  <w:sz w:val="18"/>
                  <w:szCs w:val="18"/>
                  <w:color w:val="0000FF"/>
                </w:rPr>
                <w:t>Fiscal Year 2022 Executive Incentive Plan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10.13*</w:t>
            </w:r>
          </w:p>
        </w:tc>
        <w:tc>
          <w:tcPr>
            <w:tcW w:w="4400" w:type="dxa"/>
            <w:vAlign w:val="bottom"/>
            <w:gridSpan w:val="20"/>
          </w:tcPr>
          <w:p>
            <w:pPr>
              <w:spacing w:after="0"/>
              <w:rPr>
                <w:rFonts w:ascii="Arial" w:cs="Arial" w:eastAsia="Arial" w:hAnsi="Arial"/>
                <w:sz w:val="18"/>
                <w:szCs w:val="18"/>
                <w:color w:val="0000FF"/>
              </w:rPr>
            </w:pPr>
            <w:hyperlink r:id="rId73">
              <w:r>
                <w:rPr>
                  <w:rFonts w:ascii="Arial" w:cs="Arial" w:eastAsia="Arial" w:hAnsi="Arial"/>
                  <w:sz w:val="18"/>
                  <w:szCs w:val="18"/>
                  <w:color w:val="0000FF"/>
                </w:rPr>
                <w:t>Skyworks Solutions, Inc. Cash Compensation Plan for</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10.14*</w:t>
            </w:r>
          </w:p>
        </w:tc>
        <w:tc>
          <w:tcPr>
            <w:tcW w:w="6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Directors</w:t>
              </w:r>
            </w:hyperlink>
          </w:p>
        </w:tc>
        <w:tc>
          <w:tcPr>
            <w:tcW w:w="32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960" w:type="dxa"/>
            <w:vAlign w:val="bottom"/>
            <w:vMerge w:val="continue"/>
          </w:tcPr>
          <w:p>
            <w:pPr>
              <w:spacing w:after="0"/>
              <w:rPr>
                <w:sz w:val="21"/>
                <w:szCs w:val="21"/>
                <w:color w:val="auto"/>
              </w:rPr>
            </w:pPr>
          </w:p>
        </w:tc>
        <w:tc>
          <w:tcPr>
            <w:tcW w:w="3940" w:type="dxa"/>
            <w:vAlign w:val="bottom"/>
            <w:gridSpan w:val="11"/>
            <w:vMerge w:val="restart"/>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Amended and Restated Change in Control / Severance</w:t>
              </w:r>
            </w:hyperlink>
          </w:p>
        </w:tc>
        <w:tc>
          <w:tcPr>
            <w:tcW w:w="460" w:type="dxa"/>
            <w:vAlign w:val="bottom"/>
            <w:gridSpan w:val="9"/>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960" w:type="dxa"/>
            <w:vAlign w:val="bottom"/>
          </w:tcPr>
          <w:p>
            <w:pPr>
              <w:spacing w:after="0"/>
              <w:rPr>
                <w:sz w:val="3"/>
                <w:szCs w:val="3"/>
                <w:color w:val="auto"/>
              </w:rPr>
            </w:pPr>
          </w:p>
        </w:tc>
        <w:tc>
          <w:tcPr>
            <w:tcW w:w="3940" w:type="dxa"/>
            <w:vAlign w:val="bottom"/>
            <w:tcBorders>
              <w:bottom w:val="single" w:sz="8" w:color="0000FF"/>
            </w:tcBorders>
            <w:gridSpan w:val="11"/>
            <w:vMerge w:val="continue"/>
          </w:tcPr>
          <w:p>
            <w:pPr>
              <w:spacing w:after="0"/>
              <w:rPr>
                <w:sz w:val="3"/>
                <w:szCs w:val="3"/>
                <w:color w:val="auto"/>
              </w:rPr>
            </w:pPr>
          </w:p>
        </w:tc>
        <w:tc>
          <w:tcPr>
            <w:tcW w:w="4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34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Agreement, dated May 11, 2016, between the Company and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00" w:type="dxa"/>
            <w:vAlign w:val="bottom"/>
            <w:gridSpan w:val="20"/>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Liam Griffin</w:t>
              </w:r>
            </w:hyperlink>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10.15*</w:t>
            </w: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vMerge w:val="continue"/>
          </w:tcPr>
          <w:p>
            <w:pPr>
              <w:spacing w:after="0"/>
              <w:rPr>
                <w:sz w:val="24"/>
                <w:szCs w:val="24"/>
                <w:color w:val="auto"/>
              </w:rPr>
            </w:pPr>
          </w:p>
        </w:tc>
        <w:tc>
          <w:tcPr>
            <w:tcW w:w="4400" w:type="dxa"/>
            <w:vAlign w:val="bottom"/>
            <w:gridSpan w:val="20"/>
            <w:vMerge w:val="restart"/>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Change in Control / Severance Agreement, dated August 29,</w:t>
              </w:r>
            </w:hyperlink>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4400" w:type="dxa"/>
            <w:vAlign w:val="bottom"/>
            <w:tcBorders>
              <w:bottom w:val="single" w:sz="8" w:color="0000FF"/>
            </w:tcBorders>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500" w:type="dxa"/>
            <w:vAlign w:val="bottom"/>
            <w:tcBorders>
              <w:bottom w:val="single" w:sz="8" w:color="0000FF"/>
            </w:tcBorders>
            <w:gridSpan w:val="7"/>
          </w:tcPr>
          <w:p>
            <w:pPr>
              <w:spacing w:after="0" w:line="196" w:lineRule="exact"/>
              <w:rPr>
                <w:rFonts w:ascii="Arial" w:cs="Arial" w:eastAsia="Arial" w:hAnsi="Arial"/>
                <w:sz w:val="18"/>
                <w:szCs w:val="18"/>
                <w:color w:val="0000FF"/>
                <w:w w:val="88"/>
              </w:rPr>
            </w:pPr>
            <w:hyperlink r:id="rId75">
              <w:r>
                <w:rPr>
                  <w:rFonts w:ascii="Arial" w:cs="Arial" w:eastAsia="Arial" w:hAnsi="Arial"/>
                  <w:sz w:val="18"/>
                  <w:szCs w:val="18"/>
                  <w:color w:val="0000FF"/>
                  <w:w w:val="88"/>
                </w:rPr>
                <w:t>2016, between the Company and Kris Sennesael</w:t>
              </w:r>
            </w:hyperlink>
          </w:p>
        </w:tc>
        <w:tc>
          <w:tcPr>
            <w:tcW w:w="9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10.16*</w:t>
            </w:r>
          </w:p>
        </w:tc>
        <w:tc>
          <w:tcPr>
            <w:tcW w:w="4400" w:type="dxa"/>
            <w:vAlign w:val="bottom"/>
            <w:gridSpan w:val="20"/>
            <w:vMerge w:val="restart"/>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Change in Control / Severance Agreement, dated November</w:t>
              </w:r>
            </w:hyperlink>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40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3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10, 2016, between the Company and Robert J. Terry</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10.17*</w:t>
            </w: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vMerge w:val="continue"/>
          </w:tcPr>
          <w:p>
            <w:pPr>
              <w:spacing w:after="0"/>
              <w:rPr>
                <w:sz w:val="24"/>
                <w:szCs w:val="24"/>
                <w:color w:val="auto"/>
              </w:rPr>
            </w:pPr>
          </w:p>
        </w:tc>
        <w:tc>
          <w:tcPr>
            <w:tcW w:w="4400" w:type="dxa"/>
            <w:vAlign w:val="bottom"/>
            <w:gridSpan w:val="20"/>
            <w:vMerge w:val="restart"/>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Change in Control / Severance Agreement, dated November</w:t>
              </w:r>
            </w:hyperlink>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40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3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9, 2016, between the Company and Carlos S. Bori</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10.18*</w:t>
            </w: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960" w:type="dxa"/>
            <w:vAlign w:val="bottom"/>
            <w:vMerge w:val="continue"/>
          </w:tcPr>
          <w:p>
            <w:pPr>
              <w:spacing w:after="0"/>
              <w:rPr>
                <w:sz w:val="24"/>
                <w:szCs w:val="24"/>
                <w:color w:val="auto"/>
              </w:rPr>
            </w:pPr>
          </w:p>
        </w:tc>
        <w:tc>
          <w:tcPr>
            <w:tcW w:w="4240" w:type="dxa"/>
            <w:vAlign w:val="bottom"/>
            <w:gridSpan w:val="16"/>
            <w:vMerge w:val="restart"/>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Change in Control / Severance Agreement, dated April 13,</w:t>
              </w:r>
            </w:hyperlink>
          </w:p>
        </w:tc>
        <w:tc>
          <w:tcPr>
            <w:tcW w:w="16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960" w:type="dxa"/>
            <w:vAlign w:val="bottom"/>
          </w:tcPr>
          <w:p>
            <w:pPr>
              <w:spacing w:after="0"/>
              <w:rPr>
                <w:sz w:val="3"/>
                <w:szCs w:val="3"/>
                <w:color w:val="auto"/>
              </w:rPr>
            </w:pPr>
          </w:p>
        </w:tc>
        <w:tc>
          <w:tcPr>
            <w:tcW w:w="4240" w:type="dxa"/>
            <w:vAlign w:val="bottom"/>
            <w:tcBorders>
              <w:bottom w:val="single" w:sz="8" w:color="0000FF"/>
            </w:tcBorders>
            <w:gridSpan w:val="16"/>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6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2018, between the Company and Kari A. Durham</w:t>
              </w:r>
            </w:hyperlink>
          </w:p>
        </w:tc>
        <w:tc>
          <w:tcPr>
            <w:tcW w:w="7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5"/>
              </w:rPr>
              <w:t>10.19*</w:t>
            </w:r>
          </w:p>
        </w:tc>
        <w:tc>
          <w:tcPr>
            <w:tcW w:w="4400" w:type="dxa"/>
            <w:vAlign w:val="bottom"/>
            <w:gridSpan w:val="20"/>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Change in Control / Severance Agreement, dated November</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9, 2016, between the Company and Reza Kasnavi</w:t>
              </w:r>
            </w:hyperlink>
          </w:p>
        </w:tc>
        <w:tc>
          <w:tcPr>
            <w:tcW w:w="7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3"/>
              </w:rPr>
              <w:t>10.20</w:t>
            </w:r>
          </w:p>
        </w:tc>
        <w:tc>
          <w:tcPr>
            <w:tcW w:w="4400" w:type="dxa"/>
            <w:vAlign w:val="bottom"/>
            <w:gridSpan w:val="20"/>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Debt Commitment Letter, dated as of April 22, 2021, by and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360" w:type="dxa"/>
            <w:vAlign w:val="bottom"/>
            <w:tcBorders>
              <w:top w:val="single" w:sz="8" w:color="0000FF"/>
            </w:tcBorders>
            <w:gridSpan w:val="18"/>
          </w:tcPr>
          <w:p>
            <w:pPr>
              <w:spacing w:after="0" w:line="169"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between Skyworks Solutions, Inc., and JPMorgan Chase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40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Bank, N.A</w:t>
              </w:r>
            </w:hyperlink>
          </w:p>
        </w:tc>
        <w:tc>
          <w:tcPr>
            <w:tcW w:w="1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ind w:right="290"/>
              <w:spacing w:after="0"/>
              <w:rPr>
                <w:sz w:val="20"/>
                <w:szCs w:val="20"/>
                <w:color w:val="auto"/>
              </w:rPr>
            </w:pPr>
            <w:r>
              <w:rPr>
                <w:rFonts w:ascii="Arial" w:cs="Arial" w:eastAsia="Arial" w:hAnsi="Arial"/>
                <w:sz w:val="18"/>
                <w:szCs w:val="18"/>
                <w:color w:val="auto"/>
                <w:w w:val="93"/>
              </w:rPr>
              <w:t>10.21^</w:t>
            </w:r>
          </w:p>
        </w:tc>
        <w:tc>
          <w:tcPr>
            <w:tcW w:w="4400" w:type="dxa"/>
            <w:vAlign w:val="bottom"/>
            <w:gridSpan w:val="20"/>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Term Credit Agreement, dated as of May 21, 2021, among</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4400" w:type="dxa"/>
            <w:vAlign w:val="bottom"/>
            <w:gridSpan w:val="20"/>
          </w:tcPr>
          <w:p>
            <w:pPr>
              <w:spacing w:after="0" w:line="169" w:lineRule="exact"/>
              <w:rPr>
                <w:rFonts w:ascii="Arial" w:cs="Arial" w:eastAsia="Arial" w:hAnsi="Arial"/>
                <w:sz w:val="18"/>
                <w:szCs w:val="18"/>
                <w:color w:val="0000FF"/>
                <w:w w:val="89"/>
              </w:rPr>
            </w:pPr>
            <w:hyperlink r:id="rId81">
              <w:r>
                <w:rPr>
                  <w:rFonts w:ascii="Arial" w:cs="Arial" w:eastAsia="Arial" w:hAnsi="Arial"/>
                  <w:sz w:val="18"/>
                  <w:szCs w:val="18"/>
                  <w:color w:val="0000FF"/>
                  <w:w w:val="89"/>
                </w:rPr>
                <w:t>the Company, the lenders party thereto and JPMorgan Chase</w:t>
              </w:r>
            </w:hyperlink>
          </w:p>
        </w:tc>
        <w:tc>
          <w:tcPr>
            <w:tcW w:w="0" w:type="dxa"/>
            <w:vAlign w:val="bottom"/>
          </w:tcPr>
          <w:p>
            <w:pPr>
              <w:spacing w:after="0"/>
              <w:rPr>
                <w:sz w:val="1"/>
                <w:szCs w:val="1"/>
                <w:color w:val="auto"/>
              </w:rPr>
            </w:pPr>
          </w:p>
        </w:tc>
      </w:tr>
      <w:tr>
        <w:trPr>
          <w:trHeight w:val="155"/>
        </w:trPr>
        <w:tc>
          <w:tcPr>
            <w:tcW w:w="9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10.22^</w:t>
            </w:r>
          </w:p>
        </w:tc>
        <w:tc>
          <w:tcPr>
            <w:tcW w:w="43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Bank, N.A., as the administrative agent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vMerge w:val="continue"/>
          </w:tcPr>
          <w:p>
            <w:pPr>
              <w:spacing w:after="0"/>
              <w:rPr>
                <w:sz w:val="19"/>
                <w:szCs w:val="19"/>
                <w:color w:val="auto"/>
              </w:rPr>
            </w:pPr>
          </w:p>
        </w:tc>
        <w:tc>
          <w:tcPr>
            <w:tcW w:w="4400" w:type="dxa"/>
            <w:vAlign w:val="bottom"/>
            <w:gridSpan w:val="20"/>
          </w:tcPr>
          <w:p>
            <w:pPr>
              <w:spacing w:after="0"/>
              <w:rPr>
                <w:rFonts w:ascii="Arial" w:cs="Arial" w:eastAsia="Arial" w:hAnsi="Arial"/>
                <w:sz w:val="18"/>
                <w:szCs w:val="18"/>
                <w:color w:val="0000FF"/>
                <w:w w:val="98"/>
              </w:rPr>
            </w:pPr>
            <w:hyperlink r:id="rId82">
              <w:r>
                <w:rPr>
                  <w:rFonts w:ascii="Arial" w:cs="Arial" w:eastAsia="Arial" w:hAnsi="Arial"/>
                  <w:sz w:val="18"/>
                  <w:szCs w:val="18"/>
                  <w:color w:val="0000FF"/>
                  <w:w w:val="98"/>
                </w:rPr>
                <w:t>Revolving Credit Agreement, dated as of May 21, 2021,</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9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among the Company, the Borrowing Subsidiaries party</w:t>
              </w:r>
            </w:hyperlink>
          </w:p>
        </w:tc>
        <w:tc>
          <w:tcPr>
            <w:tcW w:w="80" w:type="dxa"/>
            <w:vAlign w:val="bottom"/>
            <w:tcBorders>
              <w:top w:val="single" w:sz="8" w:color="0000FF"/>
            </w:tcBorders>
          </w:tcPr>
          <w:p>
            <w:pPr>
              <w:spacing w:after="0"/>
              <w:rPr>
                <w:sz w:val="17"/>
                <w:szCs w:val="17"/>
                <w:color w:val="auto"/>
              </w:rPr>
            </w:pPr>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0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82">
              <w:r>
                <w:rPr>
                  <w:rFonts w:ascii="Arial" w:cs="Arial" w:eastAsia="Arial" w:hAnsi="Arial"/>
                  <w:sz w:val="18"/>
                  <w:szCs w:val="18"/>
                  <w:color w:val="0000FF"/>
                  <w:w w:val="89"/>
                </w:rPr>
                <w:t>thereto, the lenders party thereto and JPMorgan Chase Bank,</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3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N.A., as the administrative agent</w:t>
              </w:r>
            </w:hyperlink>
          </w:p>
        </w:tc>
        <w:tc>
          <w:tcPr>
            <w:tcW w:w="2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bl>
    <w:p>
      <w:pPr>
        <w:ind w:left="960" w:hanging="761"/>
        <w:spacing w:after="0" w:line="211" w:lineRule="auto"/>
        <w:tabs>
          <w:tab w:leader="none" w:pos="960" w:val="left"/>
        </w:tabs>
        <w:numPr>
          <w:ilvl w:val="0"/>
          <w:numId w:val="48"/>
        </w:numPr>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Subsidiaries of the Company</w:t>
        </w:r>
      </w:hyperlink>
    </w:p>
    <w:p>
      <w:pPr>
        <w:spacing w:after="0" w:line="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23.1</w:t>
            </w:r>
          </w:p>
        </w:tc>
        <w:tc>
          <w:tcPr>
            <w:tcW w:w="4160" w:type="dxa"/>
            <w:vAlign w:val="bottom"/>
            <w:gridSpan w:val="7"/>
            <w:vMerge w:val="restart"/>
          </w:tcPr>
          <w:p>
            <w:pPr>
              <w:spacing w:after="0"/>
              <w:rPr>
                <w:rFonts w:ascii="Arial" w:cs="Arial" w:eastAsia="Arial" w:hAnsi="Arial"/>
                <w:sz w:val="18"/>
                <w:szCs w:val="18"/>
                <w:color w:val="0000FF"/>
              </w:rPr>
            </w:pPr>
            <w:hyperlink r:id="rId84">
              <w:r>
                <w:rPr>
                  <w:rFonts w:ascii="Arial" w:cs="Arial" w:eastAsia="Arial" w:hAnsi="Arial"/>
                  <w:sz w:val="18"/>
                  <w:szCs w:val="18"/>
                  <w:color w:val="0000FF"/>
                </w:rPr>
                <w:t>Consent of KPMG LLP</w:t>
              </w:r>
            </w:hyperlink>
          </w:p>
        </w:tc>
        <w:tc>
          <w:tcPr>
            <w:tcW w:w="0" w:type="dxa"/>
            <w:vAlign w:val="bottom"/>
          </w:tcPr>
          <w:p>
            <w:pPr>
              <w:spacing w:after="0"/>
              <w:rPr>
                <w:sz w:val="1"/>
                <w:szCs w:val="1"/>
                <w:color w:val="auto"/>
              </w:rPr>
            </w:pPr>
          </w:p>
        </w:tc>
      </w:tr>
      <w:tr>
        <w:trPr>
          <w:trHeight w:val="24"/>
        </w:trPr>
        <w:tc>
          <w:tcPr>
            <w:tcW w:w="820" w:type="dxa"/>
            <w:vAlign w:val="bottom"/>
          </w:tcPr>
          <w:p>
            <w:pPr>
              <w:spacing w:after="0"/>
              <w:rPr>
                <w:sz w:val="2"/>
                <w:szCs w:val="2"/>
                <w:color w:val="auto"/>
              </w:rPr>
            </w:pPr>
          </w:p>
        </w:tc>
        <w:tc>
          <w:tcPr>
            <w:tcW w:w="41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31.1</w:t>
            </w:r>
          </w:p>
        </w:tc>
        <w:tc>
          <w:tcPr>
            <w:tcW w:w="17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4020" w:type="dxa"/>
            <w:vAlign w:val="bottom"/>
            <w:gridSpan w:val="4"/>
            <w:vMerge w:val="restart"/>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Certification of the Company’s Chief Executive Officer</w:t>
              </w:r>
            </w:hyperlink>
          </w:p>
        </w:tc>
        <w:tc>
          <w:tcPr>
            <w:tcW w:w="1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4020" w:type="dxa"/>
            <w:vAlign w:val="bottom"/>
            <w:tcBorders>
              <w:bottom w:val="single" w:sz="8" w:color="0000FF"/>
            </w:tcBorders>
            <w:gridSpan w:val="4"/>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14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pursuant to Securities and Exchange Act Rules 13a-14(a)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160" w:type="dxa"/>
            <w:vAlign w:val="bottom"/>
            <w:gridSpan w:val="7"/>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and 15d-14(a), as adopted pursuant to Section 302 of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0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31.2</w:t>
            </w:r>
          </w:p>
        </w:tc>
        <w:tc>
          <w:tcPr>
            <w:tcW w:w="1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4160" w:type="dxa"/>
            <w:vAlign w:val="bottom"/>
            <w:gridSpan w:val="7"/>
            <w:vMerge w:val="restart"/>
          </w:tcPr>
          <w:p>
            <w:pPr>
              <w:spacing w:after="0"/>
              <w:rPr>
                <w:rFonts w:ascii="Arial" w:cs="Arial" w:eastAsia="Arial" w:hAnsi="Arial"/>
                <w:sz w:val="18"/>
                <w:szCs w:val="18"/>
                <w:color w:val="0000FF"/>
                <w:w w:val="98"/>
              </w:rPr>
            </w:pPr>
            <w:hyperlink r:id="rId86">
              <w:r>
                <w:rPr>
                  <w:rFonts w:ascii="Arial" w:cs="Arial" w:eastAsia="Arial" w:hAnsi="Arial"/>
                  <w:sz w:val="18"/>
                  <w:szCs w:val="18"/>
                  <w:color w:val="0000FF"/>
                  <w:w w:val="98"/>
                </w:rPr>
                <w:t>Certification of the Company’s Chief Financial Officer</w:t>
              </w:r>
            </w:hyperlink>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41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414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pursuant to Securities and Exchange Act Rules 13a-14(a)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160" w:type="dxa"/>
            <w:vAlign w:val="bottom"/>
            <w:gridSpan w:val="7"/>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and 15d-14(a), as adopted pursuant to Section 302 of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40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31.3</w:t>
            </w:r>
          </w:p>
        </w:tc>
        <w:tc>
          <w:tcPr>
            <w:tcW w:w="40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Certification of the Company’s Chief Executive Officer</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4160" w:type="dxa"/>
            <w:vAlign w:val="bottom"/>
            <w:gridSpan w:val="7"/>
          </w:tcPr>
          <w:p>
            <w:pPr>
              <w:spacing w:after="0" w:line="169" w:lineRule="exact"/>
              <w:rPr>
                <w:sz w:val="20"/>
                <w:szCs w:val="20"/>
                <w:color w:val="auto"/>
              </w:rPr>
            </w:pPr>
            <w:r>
              <w:rPr>
                <w:rFonts w:ascii="Arial" w:cs="Arial" w:eastAsia="Arial" w:hAnsi="Arial"/>
                <w:sz w:val="18"/>
                <w:szCs w:val="18"/>
                <w:color w:val="0000FF"/>
                <w:w w:val="90"/>
              </w:rPr>
              <w:t>pursuant to Securities and Exchange Act Rules 13a-14(a)</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14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0"/>
              </w:rPr>
              <w:t>and 15d-14(a), as adopted pursuant to Section 302 of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08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jc w:val="right"/>
              <w:ind w:right="430"/>
              <w:spacing w:after="0"/>
              <w:rPr>
                <w:sz w:val="20"/>
                <w:szCs w:val="20"/>
                <w:color w:val="auto"/>
              </w:rPr>
            </w:pPr>
            <w:r>
              <w:rPr>
                <w:rFonts w:ascii="Arial" w:cs="Arial" w:eastAsia="Arial" w:hAnsi="Arial"/>
                <w:sz w:val="18"/>
                <w:szCs w:val="18"/>
                <w:color w:val="auto"/>
                <w:w w:val="79"/>
              </w:rPr>
              <w:t>31.4</w:t>
            </w:r>
          </w:p>
        </w:tc>
        <w:tc>
          <w:tcPr>
            <w:tcW w:w="4160" w:type="dxa"/>
            <w:vAlign w:val="bottom"/>
            <w:gridSpan w:val="7"/>
          </w:tcPr>
          <w:p>
            <w:pPr>
              <w:spacing w:after="0"/>
              <w:rPr>
                <w:sz w:val="20"/>
                <w:szCs w:val="20"/>
                <w:color w:val="auto"/>
              </w:rPr>
            </w:pPr>
            <w:r>
              <w:rPr>
                <w:rFonts w:ascii="Arial" w:cs="Arial" w:eastAsia="Arial" w:hAnsi="Arial"/>
                <w:sz w:val="18"/>
                <w:szCs w:val="18"/>
                <w:color w:val="0000FF"/>
                <w:w w:val="98"/>
              </w:rPr>
              <w:t>Certification of the Company’s Chief Financial Officer</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4160" w:type="dxa"/>
            <w:vAlign w:val="bottom"/>
            <w:gridSpan w:val="7"/>
          </w:tcPr>
          <w:p>
            <w:pPr>
              <w:spacing w:after="0" w:line="169" w:lineRule="exact"/>
              <w:rPr>
                <w:sz w:val="20"/>
                <w:szCs w:val="20"/>
                <w:color w:val="auto"/>
              </w:rPr>
            </w:pPr>
            <w:r>
              <w:rPr>
                <w:rFonts w:ascii="Arial" w:cs="Arial" w:eastAsia="Arial" w:hAnsi="Arial"/>
                <w:sz w:val="18"/>
                <w:szCs w:val="18"/>
                <w:color w:val="0000FF"/>
                <w:w w:val="90"/>
              </w:rPr>
              <w:t>pursuant to Securities and Exchange Act Rules 13a-14(a)</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14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0"/>
              </w:rPr>
              <w:t>and 15d-14(a), as adopted pursuant to Section 302 of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408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239395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2/4/2022</w:t>
            </w:r>
          </w:p>
        </w:tc>
      </w:tr>
      <w:tr>
        <w:trPr>
          <w:trHeight w:val="23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5/4/2022</w:t>
            </w:r>
          </w:p>
        </w:tc>
      </w:tr>
      <w:tr>
        <w:trPr>
          <w:trHeight w:val="41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8/3/2016</w:t>
            </w:r>
          </w:p>
        </w:tc>
      </w:tr>
      <w:tr>
        <w:trPr>
          <w:trHeight w:val="797"/>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11/22/2016</w:t>
            </w:r>
          </w:p>
        </w:tc>
      </w:tr>
      <w:tr>
        <w:trPr>
          <w:trHeight w:val="581"/>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2/7/2017</w:t>
            </w:r>
          </w:p>
        </w:tc>
      </w:tr>
      <w:tr>
        <w:trPr>
          <w:trHeight w:val="58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11/13/2017</w:t>
            </w:r>
          </w:p>
        </w:tc>
      </w:tr>
      <w:tr>
        <w:trPr>
          <w:trHeight w:val="82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1/24/2020</w:t>
            </w:r>
          </w:p>
        </w:tc>
      </w:tr>
      <w:tr>
        <w:trPr>
          <w:trHeight w:val="581"/>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5/4/2022</w:t>
            </w:r>
          </w:p>
        </w:tc>
      </w:tr>
      <w:tr>
        <w:trPr>
          <w:trHeight w:val="41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4/22/2021</w:t>
            </w:r>
          </w:p>
        </w:tc>
      </w:tr>
      <w:tr>
        <w:trPr>
          <w:trHeight w:val="59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5/26/2021</w:t>
            </w:r>
          </w:p>
        </w:tc>
      </w:tr>
      <w:tr>
        <w:trPr>
          <w:trHeight w:val="59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5/26/2021</w:t>
            </w:r>
          </w:p>
        </w:tc>
      </w:tr>
      <w:tr>
        <w:trPr>
          <w:trHeight w:val="91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11/23/2022</w:t>
            </w:r>
          </w:p>
        </w:tc>
      </w:tr>
      <w:tr>
        <w:trPr>
          <w:trHeight w:val="365"/>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11/23/2022</w:t>
            </w:r>
          </w:p>
        </w:tc>
      </w:tr>
      <w:tr>
        <w:trPr>
          <w:trHeight w:val="36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11/23/2022</w:t>
            </w:r>
          </w:p>
        </w:tc>
      </w:tr>
      <w:tr>
        <w:trPr>
          <w:trHeight w:val="101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001-05560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11/23/2022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340" w:space="340"/>
            <w:col w:w="4780"/>
          </w:cols>
          <w:pgMar w:left="700" w:top="918" w:right="739" w:bottom="1440" w:gutter="0" w:footer="0" w:header="0"/>
        </w:sectPr>
      </w:pPr>
    </w:p>
    <w:bookmarkStart w:id="42" w:name="page43"/>
    <w:bookmarkEnd w:id="42"/>
    <w:tbl>
      <w:tblPr>
        <w:tblLayout w:type="fixed"/>
        <w:tblInd w:w="340" w:type="dxa"/>
        <w:tblCellMar>
          <w:top w:w="0" w:type="dxa"/>
          <w:left w:w="0" w:type="dxa"/>
          <w:bottom w:w="0" w:type="dxa"/>
          <w:right w:w="0" w:type="dxa"/>
        </w:tblCellMar>
      </w:tblPr>
      <w:tr>
        <w:trPr>
          <w:trHeight w:val="230"/>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85"/>
              </w:rPr>
              <w:t>32.1</w:t>
            </w:r>
          </w:p>
        </w:tc>
        <w:tc>
          <w:tcPr>
            <w:tcW w:w="4020" w:type="dxa"/>
            <w:vAlign w:val="bottom"/>
            <w:gridSpan w:val="3"/>
            <w:vMerge w:val="restart"/>
          </w:tcPr>
          <w:p>
            <w:pPr>
              <w:spacing w:after="0"/>
              <w:rPr>
                <w:rFonts w:ascii="Arial" w:cs="Arial" w:eastAsia="Arial" w:hAnsi="Arial"/>
                <w:sz w:val="18"/>
                <w:szCs w:val="18"/>
                <w:color w:val="0000FF"/>
                <w:w w:val="93"/>
              </w:rPr>
            </w:pPr>
            <w:hyperlink r:id="rId88">
              <w:r>
                <w:rPr>
                  <w:rFonts w:ascii="Arial" w:cs="Arial" w:eastAsia="Arial" w:hAnsi="Arial"/>
                  <w:sz w:val="18"/>
                  <w:szCs w:val="18"/>
                  <w:color w:val="0000FF"/>
                  <w:w w:val="93"/>
                </w:rPr>
                <w:t>Certification of the Company’s Chief Executive Officer</w:t>
              </w:r>
            </w:hyperlink>
          </w:p>
        </w:tc>
        <w:tc>
          <w:tcPr>
            <w:tcW w:w="2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4020" w:type="dxa"/>
            <w:vAlign w:val="bottom"/>
            <w:tcBorders>
              <w:bottom w:val="single" w:sz="8" w:color="0000FF"/>
            </w:tcBorders>
            <w:gridSpan w:val="3"/>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6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88">
              <w:r>
                <w:rPr>
                  <w:rFonts w:ascii="Arial" w:cs="Arial" w:eastAsia="Arial" w:hAnsi="Arial"/>
                  <w:sz w:val="18"/>
                  <w:szCs w:val="18"/>
                  <w:color w:val="0000FF"/>
                  <w:w w:val="88"/>
                </w:rPr>
                <w:t>pursuant to 18 U.S.C. Section 1350, as adopted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60" w:type="dxa"/>
            <w:vAlign w:val="bottom"/>
            <w:gridSpan w:val="4"/>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ind w:right="250"/>
              <w:spacing w:after="0"/>
              <w:rPr>
                <w:sz w:val="20"/>
                <w:szCs w:val="20"/>
                <w:color w:val="auto"/>
              </w:rPr>
            </w:pPr>
            <w:r>
              <w:rPr>
                <w:rFonts w:ascii="Arial" w:cs="Arial" w:eastAsia="Arial" w:hAnsi="Arial"/>
                <w:sz w:val="18"/>
                <w:szCs w:val="18"/>
                <w:color w:val="auto"/>
                <w:w w:val="85"/>
              </w:rPr>
              <w:t>32.2</w:t>
            </w:r>
          </w:p>
        </w:tc>
        <w:tc>
          <w:tcPr>
            <w:tcW w:w="3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vMerge w:val="continue"/>
          </w:tcPr>
          <w:p>
            <w:pPr>
              <w:spacing w:after="0"/>
              <w:rPr>
                <w:sz w:val="24"/>
                <w:szCs w:val="24"/>
                <w:color w:val="auto"/>
              </w:rPr>
            </w:pPr>
          </w:p>
        </w:tc>
        <w:tc>
          <w:tcPr>
            <w:tcW w:w="4260" w:type="dxa"/>
            <w:vAlign w:val="bottom"/>
            <w:gridSpan w:val="4"/>
            <w:vMerge w:val="restart"/>
          </w:tcPr>
          <w:p>
            <w:pPr>
              <w:spacing w:after="0"/>
              <w:rPr>
                <w:rFonts w:ascii="Arial" w:cs="Arial" w:eastAsia="Arial" w:hAnsi="Arial"/>
                <w:sz w:val="18"/>
                <w:szCs w:val="18"/>
                <w:color w:val="0000FF"/>
              </w:rPr>
            </w:pPr>
            <w:hyperlink r:id="rId89">
              <w:r>
                <w:rPr>
                  <w:rFonts w:ascii="Arial" w:cs="Arial" w:eastAsia="Arial" w:hAnsi="Arial"/>
                  <w:sz w:val="18"/>
                  <w:szCs w:val="18"/>
                  <w:color w:val="0000FF"/>
                </w:rPr>
                <w:t>Certification of the Company’s Chief Financial Officer</w:t>
              </w:r>
            </w:hyperlink>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4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26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89">
              <w:r>
                <w:rPr>
                  <w:rFonts w:ascii="Arial" w:cs="Arial" w:eastAsia="Arial" w:hAnsi="Arial"/>
                  <w:sz w:val="18"/>
                  <w:szCs w:val="18"/>
                  <w:color w:val="0000FF"/>
                  <w:w w:val="88"/>
                </w:rPr>
                <w:t>pursuant to 18 U.S.C. Section 1350, as adopted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60" w:type="dxa"/>
            <w:vAlign w:val="bottom"/>
            <w:gridSpan w:val="4"/>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5"/>
              </w:rPr>
              <w:t>101.INS</w:t>
            </w:r>
          </w:p>
        </w:tc>
        <w:tc>
          <w:tcPr>
            <w:tcW w:w="4260" w:type="dxa"/>
            <w:vAlign w:val="bottom"/>
            <w:gridSpan w:val="4"/>
          </w:tcPr>
          <w:p>
            <w:pPr>
              <w:spacing w:after="0"/>
              <w:rPr>
                <w:sz w:val="20"/>
                <w:szCs w:val="20"/>
                <w:color w:val="auto"/>
              </w:rPr>
            </w:pPr>
            <w:r>
              <w:rPr>
                <w:rFonts w:ascii="Arial" w:cs="Arial" w:eastAsia="Arial" w:hAnsi="Arial"/>
                <w:sz w:val="18"/>
                <w:szCs w:val="18"/>
                <w:color w:val="auto"/>
                <w:w w:val="93"/>
              </w:rPr>
              <w:t>Inline XBRL Instance Document - the instance document</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4260" w:type="dxa"/>
            <w:vAlign w:val="bottom"/>
            <w:gridSpan w:val="4"/>
          </w:tcPr>
          <w:p>
            <w:pPr>
              <w:spacing w:after="0" w:line="176" w:lineRule="exact"/>
              <w:rPr>
                <w:sz w:val="20"/>
                <w:szCs w:val="20"/>
                <w:color w:val="auto"/>
              </w:rPr>
            </w:pPr>
            <w:r>
              <w:rPr>
                <w:rFonts w:ascii="Arial" w:cs="Arial" w:eastAsia="Arial" w:hAnsi="Arial"/>
                <w:sz w:val="18"/>
                <w:szCs w:val="18"/>
                <w:color w:val="auto"/>
                <w:w w:val="96"/>
              </w:rPr>
              <w:t>does not appear in the Interactive Data File because its</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4260" w:type="dxa"/>
            <w:vAlign w:val="bottom"/>
            <w:gridSpan w:val="4"/>
          </w:tcPr>
          <w:p>
            <w:pPr>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29"/>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4260" w:type="dxa"/>
            <w:vAlign w:val="bottom"/>
            <w:gridSpan w:val="4"/>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0" w:type="dxa"/>
            <w:vAlign w:val="bottom"/>
          </w:tcPr>
          <w:p>
            <w:pPr>
              <w:spacing w:after="0"/>
              <w:rPr>
                <w:sz w:val="1"/>
                <w:szCs w:val="1"/>
                <w:color w:val="auto"/>
              </w:rPr>
            </w:pPr>
          </w:p>
        </w:tc>
      </w:tr>
      <w:tr>
        <w:trPr>
          <w:trHeight w:val="189"/>
        </w:trPr>
        <w:tc>
          <w:tcPr>
            <w:tcW w:w="100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4"/>
              </w:rPr>
              <w:t>101.CAL</w:t>
            </w:r>
          </w:p>
        </w:tc>
        <w:tc>
          <w:tcPr>
            <w:tcW w:w="4260" w:type="dxa"/>
            <w:vAlign w:val="bottom"/>
            <w:gridSpan w:val="4"/>
          </w:tcPr>
          <w:p>
            <w:pPr>
              <w:spacing w:after="0" w:line="189" w:lineRule="exact"/>
              <w:rPr>
                <w:sz w:val="20"/>
                <w:szCs w:val="20"/>
                <w:color w:val="auto"/>
              </w:rPr>
            </w:pPr>
            <w:r>
              <w:rPr>
                <w:rFonts w:ascii="Arial" w:cs="Arial" w:eastAsia="Arial" w:hAnsi="Arial"/>
                <w:sz w:val="18"/>
                <w:szCs w:val="18"/>
                <w:color w:val="auto"/>
                <w:w w:val="96"/>
              </w:rPr>
              <w:t>Inline XBRL Taxonomy Extension Calculation Linkbase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0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2"/>
              </w:rPr>
              <w:t>101.DEF</w:t>
            </w:r>
          </w:p>
        </w:tc>
        <w:tc>
          <w:tcPr>
            <w:tcW w:w="4260" w:type="dxa"/>
            <w:vAlign w:val="bottom"/>
            <w:gridSpan w:val="4"/>
          </w:tcPr>
          <w:p>
            <w:pPr>
              <w:spacing w:after="0" w:line="189" w:lineRule="exact"/>
              <w:rPr>
                <w:sz w:val="20"/>
                <w:szCs w:val="20"/>
                <w:color w:val="auto"/>
              </w:rPr>
            </w:pPr>
            <w:r>
              <w:rPr>
                <w:rFonts w:ascii="Arial" w:cs="Arial" w:eastAsia="Arial" w:hAnsi="Arial"/>
                <w:sz w:val="18"/>
                <w:szCs w:val="18"/>
                <w:color w:val="auto"/>
                <w:w w:val="99"/>
              </w:rPr>
              <w:t>Inline XBRL Taxonomy Extension Definition Linkbase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0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5"/>
              </w:rPr>
              <w:t>101.LAB</w:t>
            </w:r>
          </w:p>
        </w:tc>
        <w:tc>
          <w:tcPr>
            <w:tcW w:w="4260" w:type="dxa"/>
            <w:vAlign w:val="bottom"/>
            <w:gridSpan w:val="4"/>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0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1"/>
              </w:rPr>
              <w:t>101.PRE</w:t>
            </w:r>
          </w:p>
        </w:tc>
        <w:tc>
          <w:tcPr>
            <w:tcW w:w="4260" w:type="dxa"/>
            <w:vAlign w:val="bottom"/>
            <w:gridSpan w:val="4"/>
          </w:tcPr>
          <w:p>
            <w:pPr>
              <w:spacing w:after="0" w:line="189" w:lineRule="exact"/>
              <w:rPr>
                <w:sz w:val="20"/>
                <w:szCs w:val="20"/>
                <w:color w:val="auto"/>
              </w:rPr>
            </w:pPr>
            <w:r>
              <w:rPr>
                <w:rFonts w:ascii="Arial" w:cs="Arial" w:eastAsia="Arial" w:hAnsi="Arial"/>
                <w:sz w:val="18"/>
                <w:szCs w:val="18"/>
                <w:color w:val="auto"/>
                <w:w w:val="93"/>
              </w:rPr>
              <w:t>Inline XBRL Taxonomy Extension Presentation Linkbase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ind w:left="1340" w:hanging="806"/>
        <w:spacing w:after="0" w:line="229" w:lineRule="auto"/>
        <w:tabs>
          <w:tab w:leader="none" w:pos="13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Indicates a management contract or compensatory plan or arrangement.</w:t>
      </w:r>
    </w:p>
    <w:p>
      <w:pPr>
        <w:spacing w:after="0" w:line="20" w:lineRule="exact"/>
        <w:rPr>
          <w:sz w:val="20"/>
          <w:szCs w:val="20"/>
          <w:color w:val="auto"/>
        </w:rPr>
      </w:pPr>
      <w:r>
        <w:rPr>
          <w:sz w:val="20"/>
          <w:szCs w:val="20"/>
          <w:color w:val="auto"/>
        </w:rPr>
        <w:br w:type="column"/>
      </w:r>
    </w:p>
    <w:p>
      <w:pPr>
        <w:spacing w:after="0"/>
        <w:tabs>
          <w:tab w:leader="none" w:pos="860" w:val="left"/>
          <w:tab w:leader="none" w:pos="2280" w:val="left"/>
          <w:tab w:leader="none" w:pos="32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11/23/2022</w:t>
      </w:r>
    </w:p>
    <w:p>
      <w:pPr>
        <w:spacing w:after="0" w:line="200" w:lineRule="exact"/>
        <w:rPr>
          <w:sz w:val="20"/>
          <w:szCs w:val="20"/>
          <w:color w:val="auto"/>
        </w:rPr>
      </w:pPr>
    </w:p>
    <w:p>
      <w:pPr>
        <w:spacing w:after="0" w:line="390" w:lineRule="exact"/>
        <w:rPr>
          <w:sz w:val="20"/>
          <w:szCs w:val="20"/>
          <w:color w:val="auto"/>
        </w:rPr>
      </w:pPr>
    </w:p>
    <w:p>
      <w:pPr>
        <w:spacing w:after="0"/>
        <w:tabs>
          <w:tab w:leader="none" w:pos="860" w:val="left"/>
          <w:tab w:leader="none" w:pos="2280" w:val="left"/>
          <w:tab w:leader="none" w:pos="32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11/23/2022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211"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1281" w:lineRule="exact"/>
        <w:rPr>
          <w:sz w:val="20"/>
          <w:szCs w:val="20"/>
          <w:color w:val="auto"/>
        </w:rPr>
      </w:pPr>
    </w:p>
    <w:p>
      <w:pPr>
        <w:sectPr>
          <w:pgSz w:w="11900" w:h="16838" w:orient="portrait"/>
          <w:cols w:equalWidth="0" w:num="2">
            <w:col w:w="5680" w:space="380"/>
            <w:col w:w="5180"/>
          </w:cols>
          <w:pgMar w:left="320" w:top="935" w:right="339" w:bottom="1440" w:gutter="0" w:footer="0" w:header="0"/>
        </w:sectPr>
      </w:pPr>
    </w:p>
    <w:p>
      <w:pPr>
        <w:spacing w:after="0" w:line="37" w:lineRule="exact"/>
        <w:rPr>
          <w:sz w:val="20"/>
          <w:szCs w:val="20"/>
          <w:color w:val="auto"/>
        </w:rPr>
      </w:pPr>
    </w:p>
    <w:p>
      <w:pPr>
        <w:ind w:firstLine="8"/>
        <w:spacing w:after="0" w:line="277" w:lineRule="auto"/>
        <w:tabs>
          <w:tab w:leader="none" w:pos="1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such information is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2023</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SKYWORKS SOLUTIONS, INC.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5880"/>
        <w:spacing w:after="0"/>
        <w:tabs>
          <w:tab w:leader="none" w:pos="6360" w:val="left"/>
        </w:tabs>
        <w:rPr>
          <w:sz w:val="20"/>
          <w:szCs w:val="20"/>
          <w:color w:val="auto"/>
        </w:rPr>
      </w:pPr>
      <w:r>
        <w:rPr>
          <w:rFonts w:ascii="Arial" w:cs="Arial" w:eastAsia="Arial" w:hAnsi="Arial"/>
          <w:sz w:val="18"/>
          <w:szCs w:val="18"/>
          <w:color w:val="auto"/>
        </w:rPr>
        <w:t>By:</w:t>
        <w:tab/>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Liam K. Griffin</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Chairman, Chief Executive Officer and President</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CEO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Liam K. Griffin, certify that:</w:t>
      </w:r>
    </w:p>
    <w:p>
      <w:pPr>
        <w:spacing w:after="0" w:line="252" w:lineRule="exact"/>
        <w:rPr>
          <w:sz w:val="20"/>
          <w:szCs w:val="20"/>
          <w:color w:val="auto"/>
        </w:rPr>
      </w:pPr>
    </w:p>
    <w:p>
      <w:pPr>
        <w:ind w:left="680" w:hanging="308"/>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Skyworks Solutions, Inc.;</w:t>
      </w:r>
    </w:p>
    <w:p>
      <w:pPr>
        <w:spacing w:after="0" w:line="252" w:lineRule="exact"/>
        <w:rPr>
          <w:rFonts w:ascii="Arial" w:cs="Arial" w:eastAsia="Arial" w:hAnsi="Arial"/>
          <w:sz w:val="18"/>
          <w:szCs w:val="18"/>
          <w:color w:val="auto"/>
        </w:rPr>
      </w:pPr>
    </w:p>
    <w:p>
      <w:pPr>
        <w:jc w:val="both"/>
        <w:ind w:left="660" w:right="80" w:hanging="288"/>
        <w:spacing w:after="0" w:line="263" w:lineRule="auto"/>
        <w:tabs>
          <w:tab w:leader="none" w:pos="69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40" w:hanging="288"/>
        <w:spacing w:after="0" w:line="308" w:lineRule="auto"/>
        <w:tabs>
          <w:tab w:leader="none" w:pos="691"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288"/>
        <w:spacing w:after="0" w:line="263" w:lineRule="auto"/>
        <w:tabs>
          <w:tab w:leader="none" w:pos="6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284"/>
        <w:spacing w:after="0" w:line="263" w:lineRule="auto"/>
        <w:tabs>
          <w:tab w:leader="none" w:pos="10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284"/>
        <w:spacing w:after="0" w:line="263" w:lineRule="auto"/>
        <w:tabs>
          <w:tab w:leader="none" w:pos="10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284"/>
        <w:spacing w:after="0" w:line="342" w:lineRule="auto"/>
        <w:tabs>
          <w:tab w:leader="none" w:pos="1016"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284"/>
        <w:spacing w:after="0" w:line="263" w:lineRule="auto"/>
        <w:tabs>
          <w:tab w:leader="none" w:pos="10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40" w:hanging="288"/>
        <w:spacing w:after="0" w:line="342" w:lineRule="auto"/>
        <w:tabs>
          <w:tab w:leader="none" w:pos="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800" w:hanging="284"/>
        <w:spacing w:after="0" w:line="342" w:lineRule="auto"/>
        <w:tabs>
          <w:tab w:leader="none" w:pos="1016"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80" w:hanging="284"/>
        <w:spacing w:after="0" w:line="277" w:lineRule="auto"/>
        <w:tabs>
          <w:tab w:leader="none" w:pos="10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2023</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918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2">
                      <a:extLst>
                        <a:ext uri="{28A0092B-C50C-407E-A947-70E740481C1C}"/>
                      </a:extLst>
                    </a:blip>
                    <a:srcRect/>
                    <a:stretch>
                      <a:fillRect/>
                    </a:stretch>
                  </pic:blipFill>
                  <pic:spPr bwMode="auto">
                    <a:xfrm>
                      <a:off x="0" y="0"/>
                      <a:ext cx="9182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Liam K.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CFO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252" w:lineRule="exact"/>
        <w:rPr>
          <w:sz w:val="20"/>
          <w:szCs w:val="20"/>
          <w:color w:val="auto"/>
        </w:rPr>
      </w:pPr>
    </w:p>
    <w:p>
      <w:pPr>
        <w:ind w:left="680" w:hanging="308"/>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Skyworks Solutions, Inc.;</w:t>
      </w:r>
    </w:p>
    <w:p>
      <w:pPr>
        <w:spacing w:after="0" w:line="252" w:lineRule="exact"/>
        <w:rPr>
          <w:rFonts w:ascii="Arial" w:cs="Arial" w:eastAsia="Arial" w:hAnsi="Arial"/>
          <w:sz w:val="18"/>
          <w:szCs w:val="18"/>
          <w:color w:val="auto"/>
        </w:rPr>
      </w:pPr>
    </w:p>
    <w:p>
      <w:pPr>
        <w:jc w:val="both"/>
        <w:ind w:left="660" w:right="80" w:hanging="288"/>
        <w:spacing w:after="0" w:line="263" w:lineRule="auto"/>
        <w:tabs>
          <w:tab w:leader="none" w:pos="6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40" w:hanging="288"/>
        <w:spacing w:after="0" w:line="308" w:lineRule="auto"/>
        <w:tabs>
          <w:tab w:leader="none" w:pos="691"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288"/>
        <w:spacing w:after="0" w:line="263" w:lineRule="auto"/>
        <w:tabs>
          <w:tab w:leader="none" w:pos="6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284"/>
        <w:spacing w:after="0" w:line="263" w:lineRule="auto"/>
        <w:tabs>
          <w:tab w:leader="none" w:pos="10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284"/>
        <w:spacing w:after="0" w:line="263" w:lineRule="auto"/>
        <w:tabs>
          <w:tab w:leader="none" w:pos="10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284"/>
        <w:spacing w:after="0" w:line="342" w:lineRule="auto"/>
        <w:tabs>
          <w:tab w:leader="none" w:pos="1016"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284"/>
        <w:spacing w:after="0" w:line="263" w:lineRule="auto"/>
        <w:tabs>
          <w:tab w:leader="none" w:pos="10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40" w:hanging="288"/>
        <w:spacing w:after="0" w:line="342" w:lineRule="auto"/>
        <w:tabs>
          <w:tab w:leader="none" w:pos="68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800" w:hanging="284"/>
        <w:spacing w:after="0" w:line="342" w:lineRule="auto"/>
        <w:tabs>
          <w:tab w:leader="none" w:pos="1016"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80" w:hanging="284"/>
        <w:spacing w:after="0" w:line="277" w:lineRule="auto"/>
        <w:tabs>
          <w:tab w:leader="none" w:pos="10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Kris Sennesael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 Sennesael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2"/>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3"/>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8"/>
    </w:lvl>
  </w:abstractNum>
  <w:abstractNum w:abstractNumId="31">
    <w:nsid w:val="70A64E2A"/>
    <w:multiLevelType w:val="hybridMultilevel"/>
    <w:lvl w:ilvl="0">
      <w:lvlJc w:val="left"/>
      <w:lvlText w:val="(%1)"/>
      <w:numFmt w:val="decimal"/>
      <w:start w:val="18"/>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2"/>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2"/>
    </w:lvl>
  </w:abstractNum>
  <w:abstractNum w:abstractNumId="46">
    <w:nsid w:val="579478FE"/>
    <w:multiLevelType w:val="hybridMultilevel"/>
    <w:lvl w:ilvl="0">
      <w:lvlJc w:val="left"/>
      <w:lvlText w:val="(%1)"/>
      <w:numFmt w:val="lowerLetter"/>
      <w:start w:val="2"/>
    </w:lvl>
  </w:abstractNum>
  <w:abstractNum w:abstractNumId="47">
    <w:nsid w:val="749ABB43"/>
    <w:multiLevelType w:val="hybridMultilevel"/>
    <w:lvl w:ilvl="0">
      <w:lvlJc w:val="left"/>
      <w:lvlText w:val="%1"/>
      <w:numFmt w:val="decimal"/>
      <w:start w:val="21"/>
    </w:lvl>
  </w:abstractNum>
  <w:abstractNum w:abstractNumId="48">
    <w:nsid w:val="3DC240FB"/>
    <w:multiLevelType w:val="hybridMultilevel"/>
    <w:lvl w:ilvl="0">
      <w:lvlJc w:val="left"/>
      <w:lvlText w:val="*"/>
      <w:numFmt w:val="bullet"/>
      <w:start w:val="1"/>
    </w:lvl>
    <w:lvl w:ilvl="1">
      <w:lvlJc w:val="left"/>
      <w:lvlText w:val="%2"/>
      <w:numFmt w:val="decimal"/>
      <w:start w:val="104"/>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71" Type="http://schemas.openxmlformats.org/officeDocument/2006/relationships/image" Target="media/image44.png"/><Relationship Id="rId87" Type="http://schemas.openxmlformats.org/officeDocument/2006/relationships/image" Target="media/image45.png"/><Relationship Id="rId90" Type="http://schemas.openxmlformats.org/officeDocument/2006/relationships/image" Target="media/image46.png"/><Relationship Id="rId91" Type="http://schemas.openxmlformats.org/officeDocument/2006/relationships/image" Target="media/image47.png"/><Relationship Id="rId92" Type="http://schemas.openxmlformats.org/officeDocument/2006/relationships/image" Target="media/image48.png"/><Relationship Id="rId51" Type="http://schemas.openxmlformats.org/officeDocument/2006/relationships/hyperlink" Target="https://www.sec.gov/Archives/edgar/data/0000004127/000110465921053805/tm2113063d1_ex2-1.htm" TargetMode="External"/><Relationship Id="rId52" Type="http://schemas.openxmlformats.org/officeDocument/2006/relationships/hyperlink" Target="https://www.sec.gov/Archives/edgar/data/4127/000000412716000062/q316exhibit31skyworksresta.htm" TargetMode="External"/><Relationship Id="rId53" Type="http://schemas.openxmlformats.org/officeDocument/2006/relationships/hyperlink" Target="https://www.sec.gov/Archives/edgar/data/4127/000000412718000011/exh31-thirdamendedandresta.htm" TargetMode="External"/><Relationship Id="rId54" Type="http://schemas.openxmlformats.org/officeDocument/2006/relationships/hyperlink" Target="http://www.sec.gov/Archives/edgar/data/4127/000095013502003322/b43499ssexv4.txt" TargetMode="External"/><Relationship Id="rId55" Type="http://schemas.openxmlformats.org/officeDocument/2006/relationships/hyperlink" Target="https://www.sec.gov/Archives/edgar/data/4127/000000412719000049/fy1910k92719ex42.htm" TargetMode="External"/><Relationship Id="rId56" Type="http://schemas.openxmlformats.org/officeDocument/2006/relationships/hyperlink" Target="https://www.sec.gov/Archives/edgar/data/0000004127/000110465921072130/tm2115447d6_ex4-1.htm" TargetMode="External"/><Relationship Id="rId57" Type="http://schemas.openxmlformats.org/officeDocument/2006/relationships/hyperlink" Target="https://www.sec.gov/Archives/edgar/data/0000004127/000110465921072130/tm2115447d6_ex4-2.htm" TargetMode="External"/><Relationship Id="rId58" Type="http://schemas.openxmlformats.org/officeDocument/2006/relationships/hyperlink" Target="https://www.sec.gov/Archives/edgar/data/0000004127/000110465921072130/tm2115447d6_ex4-3.htm" TargetMode="External"/><Relationship Id="rId59" Type="http://schemas.openxmlformats.org/officeDocument/2006/relationships/hyperlink" Target="https://www.sec.gov/Archives/edgar/data/0000004127/000110465921072130/tm2115447d6_ex4-4.htm" TargetMode="External"/><Relationship Id="rId60" Type="http://schemas.openxmlformats.org/officeDocument/2006/relationships/hyperlink" Target="https://www.sec.gov/Archives/edgar/data/4127/000000412720000046/ex1012002esppmay2020.htm" TargetMode="External"/><Relationship Id="rId61" Type="http://schemas.openxmlformats.org/officeDocument/2006/relationships/hyperlink" Target="https://www.sec.gov/Archives/edgar/data/4127/000000412720000046/ex102nqesppmay2020.htm" TargetMode="External"/><Relationship Id="rId62" Type="http://schemas.openxmlformats.org/officeDocument/2006/relationships/hyperlink" Target="http://www.sec.gov/Archives/edgar/data/4127/000000412713000023/fy12proxyvoteexhibit101.htm" TargetMode="External"/><Relationship Id="rId63" Type="http://schemas.openxmlformats.org/officeDocument/2006/relationships/hyperlink" Target="http://www.sec.gov/Archives/edgar/data/4127/000000412713000006/a2005long-termincentiveupd.htm" TargetMode="External"/><Relationship Id="rId64" Type="http://schemas.openxmlformats.org/officeDocument/2006/relationships/hyperlink" Target="https://www.sec.gov/Archives/edgar/data/4127/000000412722000015/q222exhibit101-2008dltip.htm" TargetMode="External"/><Relationship Id="rId65" Type="http://schemas.openxmlformats.org/officeDocument/2006/relationships/hyperlink" Target="http://www.sec.gov/Archives/edgar/data/4127/000089256908000778/a40452exv10woo.htm" TargetMode="External"/><Relationship Id="rId66" Type="http://schemas.openxmlformats.org/officeDocument/2006/relationships/hyperlink" Target="http://www.sec.gov/Archives/edgar/data/4127/000000412716000049/ex1022008dltiprsuagreement.htm" TargetMode="External"/><Relationship Id="rId67" Type="http://schemas.openxmlformats.org/officeDocument/2006/relationships/hyperlink" Target="https://www.sec.gov/Archives/edgar/data/4127/000000412721000050/q321exhibit102.htm" TargetMode="External"/><Relationship Id="rId68" Type="http://schemas.openxmlformats.org/officeDocument/2006/relationships/hyperlink" Target="http://www.sec.gov/Archives/edgar/data/4127/000000412715000027/exh102optionagreement.htm" TargetMode="External"/><Relationship Id="rId69" Type="http://schemas.openxmlformats.org/officeDocument/2006/relationships/hyperlink" Target="https://www.sec.gov/Archives/edgar/data/4127/000000412722000010/q122ex101_2015ltip-psaagre.htm" TargetMode="External"/><Relationship Id="rId70" Type="http://schemas.openxmlformats.org/officeDocument/2006/relationships/hyperlink" Target="https://www.sec.gov/Archives/edgar/data/4127/000000412722000010/q122ex102_2015ltip-rsuagre.htm" TargetMode="External"/><Relationship Id="rId72" Type="http://schemas.openxmlformats.org/officeDocument/2006/relationships/hyperlink" Target="https://www.sec.gov/Archives/edgar/data/4127/000000412722000010/q122exhibit103_skyworkseip.htm" TargetMode="External"/><Relationship Id="rId73" Type="http://schemas.openxmlformats.org/officeDocument/2006/relationships/hyperlink" Target="https://www.sec.gov/Archives/edgar/data/4127/000000412722000015/q222ex102-skyworkssolution.htm" TargetMode="External"/><Relationship Id="rId74" Type="http://schemas.openxmlformats.org/officeDocument/2006/relationships/hyperlink" Target="http://www.sec.gov/Archives/edgar/data/4127/000000412716000062/q316exhibit102griffincicag.htm" TargetMode="External"/><Relationship Id="rId75" Type="http://schemas.openxmlformats.org/officeDocument/2006/relationships/hyperlink" Target="http://www.sec.gov/Archives/edgar/data/4127/000000412716000068/fy1610k903016ex1032sennesa.htm" TargetMode="External"/><Relationship Id="rId76" Type="http://schemas.openxmlformats.org/officeDocument/2006/relationships/hyperlink" Target="http://www.sec.gov/Archives/edgar/data/4127/000000412717000012/ex102terrycicagreement.htm" TargetMode="External"/><Relationship Id="rId77" Type="http://schemas.openxmlformats.org/officeDocument/2006/relationships/hyperlink" Target="http://www.sec.gov/Archives/edgar/data/4127/000000412717000033/fy1710k92917ex1027boricic.htm" TargetMode="External"/><Relationship Id="rId78" Type="http://schemas.openxmlformats.org/officeDocument/2006/relationships/hyperlink" Target="https://www.sec.gov/Archives/edgar/data/4127/000000412720000007/q120exhibit102.htm" TargetMode="External"/><Relationship Id="rId79" Type="http://schemas.openxmlformats.org/officeDocument/2006/relationships/hyperlink" Target="https://www.sec.gov/Archives/edgar/data/4127/000000412722000015/q222ex103-changeinctrlseve.htm" TargetMode="External"/><Relationship Id="rId80" Type="http://schemas.openxmlformats.org/officeDocument/2006/relationships/hyperlink" Target="https://www.sec.gov/Archives/edgar/data/4127/000110465921053805/tm2113063d1_ex10-1.htm" TargetMode="External"/><Relationship Id="rId81" Type="http://schemas.openxmlformats.org/officeDocument/2006/relationships/hyperlink" Target="https://www.sec.gov/Archives/edgar/data/4127/000110465921072130/tm2115447d6_ex10-1.htm" TargetMode="External"/><Relationship Id="rId82" Type="http://schemas.openxmlformats.org/officeDocument/2006/relationships/hyperlink" Target="https://www.sec.gov/Archives/edgar/data/4127/000110465921072130/tm2115447d6_ex10-2.htm" TargetMode="External"/><Relationship Id="rId83" Type="http://schemas.openxmlformats.org/officeDocument/2006/relationships/hyperlink" Target="https://www.sec.gov/Archives/edgar/data/4127/000000412722000038/fy2210k93022ex21.htm" TargetMode="External"/><Relationship Id="rId84" Type="http://schemas.openxmlformats.org/officeDocument/2006/relationships/hyperlink" Target="https://www.sec.gov/Archives/edgar/data/4127/000000412722000038/fy2293022ex231kpmgconsent.htm" TargetMode="External"/><Relationship Id="rId85" Type="http://schemas.openxmlformats.org/officeDocument/2006/relationships/hyperlink" Target="https://www.sec.gov/Archives/edgar/data/4127/000000412722000038/fy2210k93022ex311.htm" TargetMode="External"/><Relationship Id="rId86" Type="http://schemas.openxmlformats.org/officeDocument/2006/relationships/hyperlink" Target="https://www.sec.gov/Archives/edgar/data/4127/000000412722000038/fy2210k93022ex312.htm" TargetMode="External"/><Relationship Id="rId88" Type="http://schemas.openxmlformats.org/officeDocument/2006/relationships/hyperlink" Target="https://www.sec.gov/Archives/edgar/data/4127/000000412722000038/fy2210k93022ex321.htm" TargetMode="External"/><Relationship Id="rId89" Type="http://schemas.openxmlformats.org/officeDocument/2006/relationships/hyperlink" Target="https://www.sec.gov/Archives/edgar/data/4127/000000412722000038/fy2210k93022ex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2023-01-27T15:36:42Z</dcterms:created>
  <dcterms:modified xsi:type="dcterms:W3CDTF">2023-01-27T15:36:42Z</dcterms:modified>
</cp:coreProperties>
</file>