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10-K/A</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390"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October 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001-05560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Skyworks Solutions,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0"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60" w:type="dxa"/>
            <w:vAlign w:val="bottom"/>
          </w:tcPr>
          <w:p>
            <w:pPr>
              <w:jc w:val="center"/>
              <w:ind w:right="377"/>
              <w:spacing w:after="0"/>
              <w:rPr>
                <w:sz w:val="20"/>
                <w:szCs w:val="20"/>
                <w:color w:val="auto"/>
              </w:rPr>
            </w:pPr>
            <w:r>
              <w:rPr>
                <w:rFonts w:ascii="Arial" w:cs="Arial" w:eastAsia="Arial" w:hAnsi="Arial"/>
                <w:sz w:val="18"/>
                <w:szCs w:val="18"/>
                <w:b w:val="1"/>
                <w:bCs w:val="1"/>
                <w:color w:val="auto"/>
                <w:w w:val="93"/>
              </w:rPr>
              <w:t>Delaware</w:t>
            </w:r>
          </w:p>
        </w:tc>
        <w:tc>
          <w:tcPr>
            <w:tcW w:w="2080" w:type="dxa"/>
            <w:vAlign w:val="bottom"/>
          </w:tcPr>
          <w:p>
            <w:pPr>
              <w:spacing w:after="0"/>
              <w:rPr>
                <w:sz w:val="20"/>
                <w:szCs w:val="20"/>
                <w:color w:val="auto"/>
              </w:rPr>
            </w:pPr>
          </w:p>
        </w:tc>
        <w:tc>
          <w:tcPr>
            <w:tcW w:w="3480" w:type="dxa"/>
            <w:vAlign w:val="bottom"/>
          </w:tcPr>
          <w:p>
            <w:pPr>
              <w:jc w:val="right"/>
              <w:ind w:right="1559"/>
              <w:spacing w:after="0"/>
              <w:rPr>
                <w:sz w:val="20"/>
                <w:szCs w:val="20"/>
                <w:color w:val="auto"/>
              </w:rPr>
            </w:pPr>
            <w:r>
              <w:rPr>
                <w:rFonts w:ascii="Arial" w:cs="Arial" w:eastAsia="Arial" w:hAnsi="Arial"/>
                <w:sz w:val="18"/>
                <w:szCs w:val="18"/>
                <w:b w:val="1"/>
                <w:bCs w:val="1"/>
                <w:color w:val="auto"/>
              </w:rPr>
              <w:t>04-2302115</w:t>
            </w:r>
          </w:p>
        </w:tc>
      </w:tr>
      <w:tr>
        <w:trPr>
          <w:trHeight w:val="210"/>
        </w:trPr>
        <w:tc>
          <w:tcPr>
            <w:tcW w:w="720" w:type="dxa"/>
            <w:vAlign w:val="bottom"/>
          </w:tcPr>
          <w:p>
            <w:pPr>
              <w:spacing w:after="0"/>
              <w:rPr>
                <w:sz w:val="18"/>
                <w:szCs w:val="18"/>
                <w:color w:val="auto"/>
              </w:rPr>
            </w:pPr>
          </w:p>
        </w:tc>
        <w:tc>
          <w:tcPr>
            <w:tcW w:w="5540" w:type="dxa"/>
            <w:vAlign w:val="bottom"/>
            <w:gridSpan w:val="3"/>
          </w:tcPr>
          <w:p>
            <w:pPr>
              <w:jc w:val="center"/>
              <w:ind w:right="135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80" w:type="dxa"/>
            <w:vAlign w:val="bottom"/>
          </w:tcPr>
          <w:p>
            <w:pPr>
              <w:jc w:val="center"/>
              <w:ind w:right="55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57"/>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w w:val="90"/>
              </w:rPr>
              <w:t>5260 California Avenue</w:t>
            </w:r>
          </w:p>
        </w:tc>
        <w:tc>
          <w:tcPr>
            <w:tcW w:w="2360" w:type="dxa"/>
            <w:vAlign w:val="bottom"/>
          </w:tcPr>
          <w:p>
            <w:pPr>
              <w:ind w:left="1020"/>
              <w:spacing w:after="0"/>
              <w:rPr>
                <w:sz w:val="20"/>
                <w:szCs w:val="20"/>
                <w:color w:val="auto"/>
              </w:rPr>
            </w:pPr>
            <w:r>
              <w:rPr>
                <w:rFonts w:ascii="Arial" w:cs="Arial" w:eastAsia="Arial" w:hAnsi="Arial"/>
                <w:sz w:val="18"/>
                <w:szCs w:val="18"/>
                <w:b w:val="1"/>
                <w:bCs w:val="1"/>
                <w:color w:val="auto"/>
              </w:rPr>
              <w:t>Irvine</w:t>
            </w:r>
          </w:p>
        </w:tc>
        <w:tc>
          <w:tcPr>
            <w:tcW w:w="2080" w:type="dxa"/>
            <w:vAlign w:val="bottom"/>
          </w:tcPr>
          <w:p>
            <w:pPr>
              <w:jc w:val="right"/>
              <w:ind w:right="1079"/>
              <w:spacing w:after="0"/>
              <w:rPr>
                <w:sz w:val="20"/>
                <w:szCs w:val="20"/>
                <w:color w:val="auto"/>
              </w:rPr>
            </w:pPr>
            <w:r>
              <w:rPr>
                <w:rFonts w:ascii="Arial" w:cs="Arial" w:eastAsia="Arial" w:hAnsi="Arial"/>
                <w:sz w:val="18"/>
                <w:szCs w:val="18"/>
                <w:b w:val="1"/>
                <w:bCs w:val="1"/>
                <w:color w:val="auto"/>
              </w:rPr>
              <w:t>California</w:t>
            </w:r>
          </w:p>
        </w:tc>
        <w:tc>
          <w:tcPr>
            <w:tcW w:w="3480" w:type="dxa"/>
            <w:vAlign w:val="bottom"/>
          </w:tcPr>
          <w:p>
            <w:pPr>
              <w:jc w:val="right"/>
              <w:ind w:right="1419"/>
              <w:spacing w:after="0"/>
              <w:rPr>
                <w:sz w:val="20"/>
                <w:szCs w:val="20"/>
                <w:color w:val="auto"/>
              </w:rPr>
            </w:pPr>
            <w:r>
              <w:rPr>
                <w:rFonts w:ascii="Arial" w:cs="Arial" w:eastAsia="Arial" w:hAnsi="Arial"/>
                <w:sz w:val="18"/>
                <w:szCs w:val="18"/>
                <w:b w:val="1"/>
                <w:bCs w:val="1"/>
                <w:color w:val="auto"/>
              </w:rPr>
              <w:t>92617</w:t>
            </w:r>
          </w:p>
        </w:tc>
      </w:tr>
      <w:tr>
        <w:trPr>
          <w:trHeight w:val="210"/>
        </w:trPr>
        <w:tc>
          <w:tcPr>
            <w:tcW w:w="720" w:type="dxa"/>
            <w:vAlign w:val="bottom"/>
          </w:tcPr>
          <w:p>
            <w:pPr>
              <w:spacing w:after="0"/>
              <w:rPr>
                <w:sz w:val="18"/>
                <w:szCs w:val="18"/>
                <w:color w:val="auto"/>
              </w:rPr>
            </w:pPr>
          </w:p>
        </w:tc>
        <w:tc>
          <w:tcPr>
            <w:tcW w:w="3460" w:type="dxa"/>
            <w:vAlign w:val="bottom"/>
            <w:gridSpan w:val="2"/>
          </w:tcPr>
          <w:p>
            <w:pPr>
              <w:jc w:val="center"/>
              <w:ind w:left="582"/>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0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6"/>
                <w:szCs w:val="16"/>
                <w:i w:val="1"/>
                <w:iCs w:val="1"/>
                <w:color w:val="auto"/>
                <w:w w:val="95"/>
              </w:rPr>
              <w:t>(Zip Code)</w:t>
            </w:r>
          </w:p>
        </w:tc>
      </w:tr>
      <w:tr>
        <w:trPr>
          <w:trHeight w:val="356"/>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jc w:val="right"/>
              <w:ind w:right="259"/>
              <w:spacing w:after="0"/>
              <w:rPr>
                <w:sz w:val="20"/>
                <w:szCs w:val="20"/>
                <w:color w:val="auto"/>
              </w:rPr>
            </w:pPr>
            <w:r>
              <w:rPr>
                <w:rFonts w:ascii="Arial" w:cs="Arial" w:eastAsia="Arial" w:hAnsi="Arial"/>
                <w:sz w:val="18"/>
                <w:szCs w:val="18"/>
                <w:b w:val="1"/>
                <w:bCs w:val="1"/>
                <w:color w:val="auto"/>
              </w:rPr>
              <w:t>(949) 231-3000</w:t>
            </w:r>
          </w:p>
        </w:tc>
        <w:tc>
          <w:tcPr>
            <w:tcW w:w="34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20" w:type="dxa"/>
            <w:vAlign w:val="bottom"/>
            <w:gridSpan w:val="3"/>
          </w:tcPr>
          <w:p>
            <w:pPr>
              <w:jc w:val="center"/>
              <w:ind w:right="1019"/>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487"/>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20" w:type="dxa"/>
            <w:vAlign w:val="bottom"/>
            <w:gridSpan w:val="3"/>
          </w:tcPr>
          <w:p>
            <w:pPr>
              <w:jc w:val="center"/>
              <w:ind w:right="103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76"/>
        </w:trPr>
        <w:tc>
          <w:tcPr>
            <w:tcW w:w="72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center"/>
              <w:ind w:right="1157"/>
              <w:spacing w:after="0"/>
              <w:rPr>
                <w:sz w:val="20"/>
                <w:szCs w:val="20"/>
                <w:color w:val="auto"/>
              </w:rPr>
            </w:pPr>
            <w:r>
              <w:rPr>
                <w:rFonts w:ascii="Arial" w:cs="Arial" w:eastAsia="Arial" w:hAnsi="Arial"/>
                <w:sz w:val="14"/>
                <w:szCs w:val="14"/>
                <w:b w:val="1"/>
                <w:bCs w:val="1"/>
                <w:color w:val="auto"/>
                <w:w w:val="89"/>
              </w:rPr>
              <w:t>Title of each class</w:t>
            </w:r>
          </w:p>
        </w:tc>
        <w:tc>
          <w:tcPr>
            <w:tcW w:w="20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0"/>
        </w:trPr>
        <w:tc>
          <w:tcPr>
            <w:tcW w:w="720" w:type="dxa"/>
            <w:vAlign w:val="bottom"/>
          </w:tcPr>
          <w:p>
            <w:pPr>
              <w:spacing w:after="0"/>
              <w:rPr>
                <w:sz w:val="20"/>
                <w:szCs w:val="20"/>
                <w:color w:val="auto"/>
              </w:rPr>
            </w:pPr>
          </w:p>
        </w:tc>
        <w:tc>
          <w:tcPr>
            <w:tcW w:w="3460" w:type="dxa"/>
            <w:vAlign w:val="bottom"/>
            <w:gridSpan w:val="2"/>
          </w:tcPr>
          <w:p>
            <w:pPr>
              <w:jc w:val="center"/>
              <w:ind w:right="37"/>
              <w:spacing w:after="0"/>
              <w:rPr>
                <w:sz w:val="20"/>
                <w:szCs w:val="20"/>
                <w:color w:val="auto"/>
              </w:rPr>
            </w:pPr>
            <w:r>
              <w:rPr>
                <w:rFonts w:ascii="Arial" w:cs="Arial" w:eastAsia="Arial" w:hAnsi="Arial"/>
                <w:sz w:val="14"/>
                <w:szCs w:val="14"/>
                <w:color w:val="auto"/>
                <w:w w:val="91"/>
              </w:rPr>
              <w:t>Common Stock, par value $0.25 per share</w:t>
            </w:r>
          </w:p>
        </w:tc>
        <w:tc>
          <w:tcPr>
            <w:tcW w:w="2080" w:type="dxa"/>
            <w:vAlign w:val="bottom"/>
          </w:tcPr>
          <w:p>
            <w:pPr>
              <w:jc w:val="center"/>
              <w:ind w:left="359"/>
              <w:spacing w:after="0"/>
              <w:rPr>
                <w:sz w:val="20"/>
                <w:szCs w:val="20"/>
                <w:color w:val="auto"/>
              </w:rPr>
            </w:pPr>
            <w:r>
              <w:rPr>
                <w:rFonts w:ascii="Arial" w:cs="Arial" w:eastAsia="Arial" w:hAnsi="Arial"/>
                <w:sz w:val="14"/>
                <w:szCs w:val="14"/>
                <w:color w:val="auto"/>
                <w:w w:val="96"/>
              </w:rPr>
              <w:t>SWKS</w:t>
            </w:r>
          </w:p>
        </w:tc>
        <w:tc>
          <w:tcPr>
            <w:tcW w:w="3480" w:type="dxa"/>
            <w:vAlign w:val="bottom"/>
          </w:tcPr>
          <w:p>
            <w:pPr>
              <w:jc w:val="center"/>
              <w:ind w:left="459"/>
              <w:spacing w:after="0"/>
              <w:rPr>
                <w:sz w:val="20"/>
                <w:szCs w:val="20"/>
                <w:color w:val="auto"/>
              </w:rPr>
            </w:pPr>
            <w:r>
              <w:rPr>
                <w:rFonts w:ascii="Arial" w:cs="Arial" w:eastAsia="Arial" w:hAnsi="Arial"/>
                <w:sz w:val="14"/>
                <w:szCs w:val="14"/>
                <w:color w:val="auto"/>
                <w:w w:val="93"/>
              </w:rPr>
              <w:t>Nasdaq Global Select Market</w:t>
            </w:r>
          </w:p>
        </w:tc>
      </w:tr>
    </w:tbl>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34" w:lineRule="exact"/>
        <w:rPr>
          <w:sz w:val="24"/>
          <w:szCs w:val="24"/>
          <w:color w:val="auto"/>
        </w:rPr>
      </w:pPr>
    </w:p>
    <w:p>
      <w:pPr>
        <w:ind w:right="3740"/>
        <w:spacing w:after="0" w:line="22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 Indicate by check mark if the registrant is not required to file reports pursuant to Section 13 or 15(d)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9"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8"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8" w:lineRule="exact"/>
        <w:rPr>
          <w:sz w:val="24"/>
          <w:szCs w:val="24"/>
          <w:color w:val="auto"/>
        </w:rPr>
      </w:pPr>
    </w:p>
    <w:p>
      <w:pPr>
        <w:ind w:right="44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jc w:val="center"/>
        <w:spacing w:after="0" w:line="161" w:lineRule="exact"/>
        <w:tabs>
          <w:tab w:leader="none" w:pos="80" w:val="left"/>
          <w:tab w:leader="none" w:pos="320" w:val="left"/>
          <w:tab w:leader="none" w:pos="280" w:val="left"/>
          <w:tab w:leader="none" w:pos="340" w:val="left"/>
          <w:tab w:leader="none" w:pos="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rFonts w:ascii="MS PGothic" w:cs="MS PGothic" w:eastAsia="MS PGothic" w:hAnsi="MS PGothic"/>
          <w:sz w:val="14"/>
          <w:szCs w:val="14"/>
          <w:color w:val="auto"/>
        </w:rPr>
        <w:t xml:space="preserve">  ☐</w:t>
      </w:r>
    </w:p>
    <w:p>
      <w:pPr>
        <w:spacing w:after="0" w:line="200" w:lineRule="exact"/>
        <w:rPr>
          <w:sz w:val="24"/>
          <w:szCs w:val="24"/>
          <w:color w:val="auto"/>
        </w:rPr>
      </w:pPr>
    </w:p>
    <w:p>
      <w:pPr>
        <w:spacing w:after="0" w:line="260" w:lineRule="exact"/>
        <w:rPr>
          <w:sz w:val="24"/>
          <w:szCs w:val="24"/>
          <w:color w:val="auto"/>
        </w:rPr>
      </w:pPr>
    </w:p>
    <w:p>
      <w:pPr>
        <w:spacing w:after="0" w:line="29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56" w:lineRule="exact"/>
        <w:rPr>
          <w:sz w:val="24"/>
          <w:szCs w:val="24"/>
          <w:color w:val="auto"/>
        </w:rPr>
      </w:pPr>
    </w:p>
    <w:p>
      <w:pPr>
        <w:ind w:right="60"/>
        <w:spacing w:after="0" w:line="256"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April 2, 2021) was approximately $30.9 billion. The number of outstanding shares of the registrant’s common stock, par value $0.25 per share, as of January 21, 2022, was 166,691,622.</w:t>
      </w:r>
    </w:p>
    <w:p>
      <w:pPr>
        <w:sectPr>
          <w:pgSz w:w="11900" w:h="16838" w:orient="portrait"/>
          <w:cols w:equalWidth="0" w:num="1">
            <w:col w:w="11240"/>
          </w:cols>
          <w:pgMar w:left="320" w:top="88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5"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7"/>
          <w:szCs w:val="17"/>
          <w:color w:val="auto"/>
        </w:rPr>
        <w:t>This Amendment No. 1 amends the Annual Report on Form 10-K of Skyworks Solutions, Inc. (“Skyworks” or the “Company”), for the year ended October 1, 2021, which was filed with the Securities and Exchange Commission (“SEC”) on November 24, 2021 (the “Original Filing”). The Company is filing this Amendment No. 1 for the sole purpose of providing the information required in Part III of Form 10-K, as the Company’s 2022 Annual Meeting of Stockholders is scheduled for May 11, 2022,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for each director and executive officer of the Company his or her position with the Company as of January 21, 2022:</w:t>
      </w:r>
    </w:p>
    <w:p>
      <w:pPr>
        <w:spacing w:after="0" w:line="311"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27"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Liam K. Griffin</w:t>
      </w:r>
      <w:r>
        <w:rPr>
          <w:sz w:val="20"/>
          <w:szCs w:val="20"/>
          <w:color w:val="auto"/>
        </w:rPr>
        <w:tab/>
      </w:r>
      <w:r>
        <w:rPr>
          <w:rFonts w:ascii="Arial" w:cs="Arial" w:eastAsia="Arial" w:hAnsi="Arial"/>
          <w:sz w:val="16"/>
          <w:szCs w:val="16"/>
          <w:color w:val="auto"/>
        </w:rPr>
        <w:t>Chairman of the Board, Chief Executive Officer and President</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Christine King</w:t>
      </w:r>
      <w:r>
        <w:rPr>
          <w:sz w:val="20"/>
          <w:szCs w:val="20"/>
          <w:color w:val="auto"/>
        </w:rPr>
        <w:tab/>
      </w:r>
      <w:r>
        <w:rPr>
          <w:rFonts w:ascii="Arial" w:cs="Arial" w:eastAsia="Arial" w:hAnsi="Arial"/>
          <w:sz w:val="16"/>
          <w:szCs w:val="16"/>
          <w:color w:val="auto"/>
        </w:rPr>
        <w:t>Lead Independent 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Alan S. Batey</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Kevin L. Beebe</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Timothy R. Furey</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David P. McGlade</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Robert A. Schriesheim</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Kimberly S. Stevenson</w:t>
      </w:r>
      <w:r>
        <w:rPr>
          <w:sz w:val="20"/>
          <w:szCs w:val="20"/>
          <w:color w:val="auto"/>
        </w:rPr>
        <w:tab/>
      </w:r>
      <w:r>
        <w:rPr>
          <w:rFonts w:ascii="Arial" w:cs="Arial" w:eastAsia="Arial" w:hAnsi="Arial"/>
          <w:sz w:val="17"/>
          <w:szCs w:val="17"/>
          <w:color w:val="auto"/>
        </w:rPr>
        <w:t>Director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Carlos S. Bori</w:t>
      </w:r>
      <w:r>
        <w:rPr>
          <w:sz w:val="20"/>
          <w:szCs w:val="20"/>
          <w:color w:val="auto"/>
        </w:rPr>
        <w:tab/>
      </w:r>
      <w:r>
        <w:rPr>
          <w:rFonts w:ascii="Arial" w:cs="Arial" w:eastAsia="Arial" w:hAnsi="Arial"/>
          <w:sz w:val="16"/>
          <w:szCs w:val="16"/>
          <w:color w:val="auto"/>
        </w:rPr>
        <w:t>Senior Vice President, Sales and Marketing</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Karilee A. Durham</w:t>
      </w:r>
      <w:r>
        <w:rPr>
          <w:sz w:val="20"/>
          <w:szCs w:val="20"/>
          <w:color w:val="auto"/>
        </w:rPr>
        <w:tab/>
      </w:r>
      <w:r>
        <w:rPr>
          <w:rFonts w:ascii="Arial" w:cs="Arial" w:eastAsia="Arial" w:hAnsi="Arial"/>
          <w:sz w:val="16"/>
          <w:szCs w:val="16"/>
          <w:color w:val="auto"/>
        </w:rPr>
        <w:t>Senior Vice President, Human Resources</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Reza Kasnavi</w:t>
      </w:r>
      <w:r>
        <w:rPr>
          <w:sz w:val="20"/>
          <w:szCs w:val="20"/>
          <w:color w:val="auto"/>
        </w:rPr>
        <w:tab/>
      </w:r>
      <w:r>
        <w:rPr>
          <w:rFonts w:ascii="Arial" w:cs="Arial" w:eastAsia="Arial" w:hAnsi="Arial"/>
          <w:sz w:val="16"/>
          <w:szCs w:val="16"/>
          <w:color w:val="auto"/>
        </w:rPr>
        <w:t>Senior Vice President, Technology and Manufacturing</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Kris Sennesael</w:t>
      </w:r>
      <w:r>
        <w:rPr>
          <w:sz w:val="20"/>
          <w:szCs w:val="20"/>
          <w:color w:val="auto"/>
        </w:rPr>
        <w:tab/>
      </w:r>
      <w:r>
        <w:rPr>
          <w:rFonts w:ascii="Arial" w:cs="Arial" w:eastAsia="Arial" w:hAnsi="Arial"/>
          <w:sz w:val="16"/>
          <w:szCs w:val="16"/>
          <w:color w:val="auto"/>
        </w:rPr>
        <w:t>Senior Vice President and Chief Financial Officer</w:t>
      </w:r>
    </w:p>
    <w:p>
      <w:pPr>
        <w:spacing w:after="0" w:line="2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Robert J. Terry</w:t>
      </w:r>
      <w:r>
        <w:rPr>
          <w:sz w:val="20"/>
          <w:szCs w:val="20"/>
          <w:color w:val="auto"/>
        </w:rPr>
        <w:tab/>
      </w:r>
      <w:r>
        <w:rPr>
          <w:rFonts w:ascii="Arial" w:cs="Arial" w:eastAsia="Arial" w:hAnsi="Arial"/>
          <w:sz w:val="16"/>
          <w:szCs w:val="16"/>
          <w:color w:val="auto"/>
        </w:rPr>
        <w:t>Senior Vice President, General Counsel and Secretary</w:t>
      </w:r>
    </w:p>
    <w:p>
      <w:pPr>
        <w:sectPr>
          <w:pgSz w:w="11900" w:h="16838" w:orient="portrait"/>
          <w:cols w:equalWidth="0" w:num="1">
            <w:col w:w="11240"/>
          </w:cols>
          <w:pgMar w:left="320" w:top="1254" w:right="339" w:bottom="1440" w:gutter="0" w:footer="0" w:header="0"/>
        </w:sect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w:t>
      </w:r>
    </w:p>
    <w:p>
      <w:pPr>
        <w:spacing w:after="0" w:line="278" w:lineRule="exact"/>
        <w:rPr>
          <w:sz w:val="20"/>
          <w:szCs w:val="20"/>
          <w:color w:val="auto"/>
        </w:rPr>
      </w:pPr>
    </w:p>
    <w:p>
      <w:pPr>
        <w:ind w:left="20"/>
        <w:spacing w:after="0" w:line="253" w:lineRule="auto"/>
        <w:rPr>
          <w:sz w:val="20"/>
          <w:szCs w:val="20"/>
          <w:color w:val="auto"/>
        </w:rPr>
      </w:pPr>
      <w:r>
        <w:rPr>
          <w:rFonts w:ascii="Arial" w:cs="Arial" w:eastAsia="Arial" w:hAnsi="Arial"/>
          <w:sz w:val="17"/>
          <w:szCs w:val="17"/>
          <w:b w:val="1"/>
          <w:bCs w:val="1"/>
          <w:i w:val="1"/>
          <w:iCs w:val="1"/>
          <w:color w:val="auto"/>
        </w:rPr>
        <w:t>Liam K. Griffin</w:t>
      </w:r>
      <w:r>
        <w:rPr>
          <w:rFonts w:ascii="Arial" w:cs="Arial" w:eastAsia="Arial" w:hAnsi="Arial"/>
          <w:sz w:val="17"/>
          <w:szCs w:val="17"/>
          <w:color w:val="auto"/>
        </w:rPr>
        <w:t>, age 55, is Chairman, Chief Executive Officer and President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Prior to his appointment as Chairman of the Board in May 2021, 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National Instruments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Vicor Corporation (until 2019)</w:t>
      </w:r>
    </w:p>
    <w:p>
      <w:pPr>
        <w:spacing w:after="0" w:line="759" w:lineRule="exact"/>
        <w:rPr>
          <w:sz w:val="20"/>
          <w:szCs w:val="20"/>
          <w:color w:val="auto"/>
        </w:rPr>
      </w:pPr>
    </w:p>
    <w:p>
      <w:pPr>
        <w:sectPr>
          <w:pgSz w:w="11900" w:h="16838" w:orient="portrait"/>
          <w:cols w:equalWidth="0" w:num="2">
            <w:col w:w="6280" w:space="180"/>
            <w:col w:w="4780"/>
          </w:cols>
          <w:pgMar w:left="320" w:top="1254" w:right="339" w:bottom="1440" w:gutter="0" w:footer="0" w:header="0"/>
          <w:type w:val="continuous"/>
        </w:sectPr>
      </w:pP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Griffin’s qualifications to serve as a director include his strong relationships with Skyworks’ key customers, investors,</w:t>
      </w:r>
      <w:r>
        <w:rPr>
          <w:rFonts w:ascii="Arial" w:cs="Arial" w:eastAsia="Arial" w:hAnsi="Arial"/>
          <w:sz w:val="18"/>
          <w:szCs w:val="18"/>
          <w:b w:val="1"/>
          <w:bCs w:val="1"/>
          <w:color w:val="191919"/>
        </w:rPr>
        <w:t xml:space="preserve"> </w:t>
      </w:r>
      <w:r>
        <w:rPr>
          <w:rFonts w:ascii="Arial" w:cs="Arial" w:eastAsia="Arial" w:hAnsi="Arial"/>
          <w:sz w:val="18"/>
          <w:szCs w:val="18"/>
          <w:color w:val="191919"/>
        </w:rPr>
        <w:t>employees, and other stakeholders, as well as his deep understanding of the semiconductor industry and its competitive landscape gained through serving in several different executive positions at Skyworks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type w:val="continuous"/>
        </w:sectPr>
      </w:pPr>
    </w:p>
    <w:bookmarkStart w:id="3" w:name="page4"/>
    <w:bookmarkEnd w:id="3"/>
    <w:p>
      <w:pPr>
        <w:ind w:left="20"/>
        <w:spacing w:after="0" w:line="288" w:lineRule="auto"/>
        <w:rPr>
          <w:sz w:val="20"/>
          <w:szCs w:val="20"/>
          <w:color w:val="auto"/>
        </w:rPr>
      </w:pPr>
      <w:r>
        <w:rPr>
          <w:rFonts w:ascii="Arial" w:cs="Arial" w:eastAsia="Arial" w:hAnsi="Arial"/>
          <w:sz w:val="16"/>
          <w:szCs w:val="16"/>
          <w:b w:val="1"/>
          <w:bCs w:val="1"/>
          <w:i w:val="1"/>
          <w:iCs w:val="1"/>
          <w:color w:val="auto"/>
        </w:rPr>
        <w:t>Christine King</w:t>
      </w:r>
      <w:r>
        <w:rPr>
          <w:rFonts w:ascii="Arial" w:cs="Arial" w:eastAsia="Arial" w:hAnsi="Arial"/>
          <w:sz w:val="16"/>
          <w:szCs w:val="16"/>
          <w:color w:val="auto"/>
        </w:rPr>
        <w:t>, age 72, has been a director since 2014 and Lead Independent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2019. Ms. King served as Executive Chairman of QLogic Corporation (a publicly traded developer of high performance server and storage networking connectivity products) from August 2015 until 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07" w:lineRule="exact"/>
        <w:rPr>
          <w:sz w:val="20"/>
          <w:szCs w:val="20"/>
          <w:color w:val="auto"/>
        </w:rPr>
      </w:pPr>
    </w:p>
    <w:p>
      <w:pPr>
        <w:ind w:left="640" w:hanging="319"/>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Allegro MicroSystems, Inc. (until 2021)</w:t>
      </w:r>
    </w:p>
    <w:p>
      <w:pPr>
        <w:spacing w:after="0" w:line="20" w:lineRule="exact"/>
        <w:rPr>
          <w:rFonts w:ascii="Arial" w:cs="Arial" w:eastAsia="Arial" w:hAnsi="Arial"/>
          <w:sz w:val="16"/>
          <w:szCs w:val="16"/>
          <w:color w:val="auto"/>
        </w:rPr>
      </w:pPr>
    </w:p>
    <w:p>
      <w:pPr>
        <w:ind w:left="640" w:hanging="319"/>
        <w:spacing w:after="0" w:line="21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IDACORP, Inc. (until 2021)</w:t>
      </w: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Cirrus Logic, Inc. (until 2018)</w:t>
      </w:r>
    </w:p>
    <w:p>
      <w:pPr>
        <w:spacing w:after="0" w:line="526" w:lineRule="exact"/>
        <w:rPr>
          <w:sz w:val="20"/>
          <w:szCs w:val="20"/>
          <w:color w:val="auto"/>
        </w:rPr>
      </w:pPr>
    </w:p>
    <w:p>
      <w:pPr>
        <w:sectPr>
          <w:pgSz w:w="11900" w:h="16838" w:orient="portrait"/>
          <w:cols w:equalWidth="0" w:num="2">
            <w:col w:w="6320" w:space="140"/>
            <w:col w:w="4780"/>
          </w:cols>
          <w:pgMar w:left="320" w:top="1312" w:right="339" w:bottom="1440" w:gutter="0" w:footer="0" w:header="0"/>
        </w:sectPr>
      </w:pPr>
    </w:p>
    <w:p>
      <w:pPr>
        <w:spacing w:after="0" w:line="11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Ms. King’s qualifications to serve as a director include her extensive management and operational experience in the high-tech and semiconductor industries as well as her significant strategic and financial expertise.</w:t>
      </w:r>
    </w:p>
    <w:p>
      <w:pPr>
        <w:sectPr>
          <w:pgSz w:w="11900" w:h="16838" w:orient="portrait"/>
          <w:cols w:equalWidth="0" w:num="1">
            <w:col w:w="11240"/>
          </w:cols>
          <w:pgMar w:left="320" w:top="1312" w:right="339" w:bottom="1440" w:gutter="0" w:footer="0" w:header="0"/>
          <w:type w:val="continuous"/>
        </w:sectPr>
      </w:pPr>
    </w:p>
    <w:p>
      <w:pPr>
        <w:spacing w:after="0" w:line="247" w:lineRule="exact"/>
        <w:rPr>
          <w:sz w:val="20"/>
          <w:szCs w:val="20"/>
          <w:color w:val="auto"/>
        </w:rPr>
      </w:pPr>
    </w:p>
    <w:p>
      <w:pPr>
        <w:ind w:left="20"/>
        <w:spacing w:after="0" w:line="293" w:lineRule="auto"/>
        <w:rPr>
          <w:sz w:val="20"/>
          <w:szCs w:val="20"/>
          <w:color w:val="auto"/>
        </w:rPr>
      </w:pPr>
      <w:r>
        <w:rPr>
          <w:rFonts w:ascii="Arial" w:cs="Arial" w:eastAsia="Arial" w:hAnsi="Arial"/>
          <w:sz w:val="16"/>
          <w:szCs w:val="16"/>
          <w:b w:val="1"/>
          <w:bCs w:val="1"/>
          <w:i w:val="1"/>
          <w:iCs w:val="1"/>
          <w:color w:val="auto"/>
        </w:rPr>
        <w:t>Alan S. Batey</w:t>
      </w:r>
      <w:r>
        <w:rPr>
          <w:rFonts w:ascii="Arial" w:cs="Arial" w:eastAsia="Arial" w:hAnsi="Arial"/>
          <w:sz w:val="16"/>
          <w:szCs w:val="16"/>
          <w:color w:val="auto"/>
        </w:rPr>
        <w:t>, age 58, has been a director since 2019. Mr. Batey served as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Public Company Boards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6140" w:space="320"/>
            <w:col w:w="4780"/>
          </w:cols>
          <w:pgMar w:left="320" w:top="1312"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Batey’s qualifications to serve as a director include his extensive senior management experience at General Motors,</w:t>
      </w:r>
      <w:r>
        <w:rPr>
          <w:rFonts w:ascii="Arial" w:cs="Arial" w:eastAsia="Arial" w:hAnsi="Arial"/>
          <w:sz w:val="18"/>
          <w:szCs w:val="18"/>
          <w:b w:val="1"/>
          <w:bCs w:val="1"/>
          <w:color w:val="191919"/>
        </w:rPr>
        <w:t xml:space="preserve"> </w:t>
      </w:r>
      <w:r>
        <w:rPr>
          <w:rFonts w:ascii="Arial" w:cs="Arial" w:eastAsia="Arial" w:hAnsi="Arial"/>
          <w:sz w:val="18"/>
          <w:szCs w:val="18"/>
          <w:color w:val="191919"/>
        </w:rPr>
        <w:t>where he developed expertise on a broad set of complex strategic, operational, and technological matters involving the automotive industry, an industry that is expected to be a growth market for the Company.</w:t>
      </w:r>
    </w:p>
    <w:p>
      <w:pPr>
        <w:sectPr>
          <w:pgSz w:w="11900" w:h="16838" w:orient="portrait"/>
          <w:cols w:equalWidth="0" w:num="1">
            <w:col w:w="11240"/>
          </w:cols>
          <w:pgMar w:left="320" w:top="1312" w:right="339" w:bottom="1440" w:gutter="0" w:footer="0" w:header="0"/>
          <w:type w:val="continuous"/>
        </w:sectPr>
      </w:pPr>
    </w:p>
    <w:p>
      <w:pPr>
        <w:spacing w:after="0" w:line="262" w:lineRule="exact"/>
        <w:rPr>
          <w:sz w:val="20"/>
          <w:szCs w:val="20"/>
          <w:color w:val="auto"/>
        </w:rPr>
      </w:pPr>
    </w:p>
    <w:p>
      <w:pPr>
        <w:ind w:left="20"/>
        <w:spacing w:after="0" w:line="254" w:lineRule="auto"/>
        <w:rPr>
          <w:sz w:val="20"/>
          <w:szCs w:val="20"/>
          <w:color w:val="auto"/>
        </w:rPr>
      </w:pPr>
      <w:r>
        <w:rPr>
          <w:rFonts w:ascii="Arial" w:cs="Arial" w:eastAsia="Arial" w:hAnsi="Arial"/>
          <w:sz w:val="18"/>
          <w:szCs w:val="18"/>
          <w:b w:val="1"/>
          <w:bCs w:val="1"/>
          <w:i w:val="1"/>
          <w:iCs w:val="1"/>
          <w:color w:val="auto"/>
        </w:rPr>
        <w:t>Kevin L. Beebe</w:t>
      </w:r>
      <w:r>
        <w:rPr>
          <w:rFonts w:ascii="Arial" w:cs="Arial" w:eastAsia="Arial" w:hAnsi="Arial"/>
          <w:sz w:val="18"/>
          <w:szCs w:val="18"/>
          <w:color w:val="auto"/>
        </w:rPr>
        <w:t>, age 62, has been a director since 2004. He has been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SBA Communications Corporation</w:t>
      </w:r>
    </w:p>
    <w:p>
      <w:pPr>
        <w:spacing w:after="0" w:line="23" w:lineRule="exact"/>
        <w:rPr>
          <w:rFonts w:ascii="Arial" w:cs="Arial" w:eastAsia="Arial" w:hAnsi="Arial"/>
          <w:sz w:val="18"/>
          <w:szCs w:val="18"/>
          <w:color w:val="auto"/>
        </w:rPr>
      </w:pPr>
    </w:p>
    <w:p>
      <w:pPr>
        <w:ind w:left="640" w:right="60" w:hanging="319"/>
        <w:spacing w:after="0" w:line="26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Frontier Communications Parent, Inc. (formerly Frontier Communications Corporation)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07" w:lineRule="exact"/>
        <w:rPr>
          <w:sz w:val="20"/>
          <w:szCs w:val="20"/>
          <w:color w:val="auto"/>
        </w:rPr>
      </w:pPr>
    </w:p>
    <w:p>
      <w:pPr>
        <w:ind w:left="640" w:right="1780" w:hanging="319"/>
        <w:spacing w:after="0" w:line="23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Altimar Acquisition Corporation (until 2021)</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Altimar Acquisition Corp. II (until 2021)</w:t>
      </w:r>
    </w:p>
    <w:p>
      <w:pPr>
        <w:spacing w:after="0" w:line="7"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NII Holdings, Inc. (until 2019)</w:t>
      </w:r>
    </w:p>
    <w:p>
      <w:pPr>
        <w:spacing w:after="0" w:line="200" w:lineRule="exact"/>
        <w:rPr>
          <w:sz w:val="20"/>
          <w:szCs w:val="20"/>
          <w:color w:val="auto"/>
        </w:rPr>
      </w:pPr>
    </w:p>
    <w:p>
      <w:pPr>
        <w:sectPr>
          <w:pgSz w:w="11900" w:h="16838" w:orient="portrait"/>
          <w:cols w:equalWidth="0" w:num="2">
            <w:col w:w="6320" w:space="140"/>
            <w:col w:w="4780"/>
          </w:cols>
          <w:pgMar w:left="320" w:top="1312" w:right="339" w:bottom="1440" w:gutter="0" w:footer="0" w:header="0"/>
          <w:type w:val="continuous"/>
        </w:sectPr>
      </w:pP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Beebe’s qualifications to serve as a director include his two decades of experience as an operating executive in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wireless telecommunications industry as well as his experience and relationships gained from advising leading private equity firms that are transacting business in the global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4" w:name="page5"/>
    <w:bookmarkEnd w:id="4"/>
    <w:p>
      <w:pPr>
        <w:spacing w:after="0" w:line="115" w:lineRule="exact"/>
        <w:rPr>
          <w:sz w:val="20"/>
          <w:szCs w:val="20"/>
          <w:color w:val="auto"/>
        </w:rPr>
      </w:pPr>
    </w:p>
    <w:p>
      <w:pPr>
        <w:ind w:left="20"/>
        <w:spacing w:after="0" w:line="270" w:lineRule="auto"/>
        <w:rPr>
          <w:sz w:val="20"/>
          <w:szCs w:val="20"/>
          <w:color w:val="auto"/>
        </w:rPr>
      </w:pPr>
      <w:r>
        <w:rPr>
          <w:rFonts w:ascii="Arial" w:cs="Arial" w:eastAsia="Arial" w:hAnsi="Arial"/>
          <w:sz w:val="17"/>
          <w:szCs w:val="17"/>
          <w:b w:val="1"/>
          <w:bCs w:val="1"/>
          <w:i w:val="1"/>
          <w:iCs w:val="1"/>
          <w:color w:val="auto"/>
        </w:rPr>
        <w:t>Timothy R. Furey</w:t>
      </w:r>
      <w:r>
        <w:rPr>
          <w:rFonts w:ascii="Arial" w:cs="Arial" w:eastAsia="Arial" w:hAnsi="Arial"/>
          <w:sz w:val="17"/>
          <w:szCs w:val="17"/>
          <w:color w:val="auto"/>
        </w:rPr>
        <w:t>, age 63, has been a director since 1998. He has been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Integrated Smart Solutions (a provider of cloud-based IoT data analytics and energy management services for global commercial real estate investors and property management firms) since 2020. He also serves as Chairman of the Board of MarketBridge (a provider of digital marketing and predictive analytics solutions for enterprise technology, financial services, and consumer media companies). Mr. Furey founded MarketBridge and served as its Chief Executive Officer from 2000 to 2020. He is also Managing Partner of Decision Technology Group (an advisor of and investor in data-driven technology startups).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Public Company Boards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677" w:lineRule="exact"/>
        <w:rPr>
          <w:sz w:val="20"/>
          <w:szCs w:val="20"/>
          <w:color w:val="auto"/>
        </w:rPr>
      </w:pPr>
    </w:p>
    <w:p>
      <w:pPr>
        <w:sectPr>
          <w:pgSz w:w="11900" w:h="16838" w:orient="portrait"/>
          <w:cols w:equalWidth="0" w:num="2">
            <w:col w:w="6320" w:space="140"/>
            <w:col w:w="4780"/>
          </w:cols>
          <w:pgMar w:left="320" w:top="1440" w:right="339" w:bottom="1440" w:gutter="0" w:footer="0" w:header="0"/>
        </w:sectPr>
      </w:pP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Furey’s qualifications to serve as a director include his experience as Chief Executive Officer of MarketBridge, as well</w:t>
      </w:r>
      <w:r>
        <w:rPr>
          <w:rFonts w:ascii="Arial" w:cs="Arial" w:eastAsia="Arial" w:hAnsi="Arial"/>
          <w:sz w:val="18"/>
          <w:szCs w:val="18"/>
          <w:b w:val="1"/>
          <w:bCs w:val="1"/>
          <w:color w:val="191919"/>
        </w:rPr>
        <w:t xml:space="preserve"> </w:t>
      </w:r>
      <w:r>
        <w:rPr>
          <w:rFonts w:ascii="Arial" w:cs="Arial" w:eastAsia="Arial" w:hAnsi="Arial"/>
          <w:sz w:val="18"/>
          <w:szCs w:val="18"/>
          <w:color w:val="191919"/>
        </w:rPr>
        <w:t>as his engagements with MarketBridge’s clients (many of which are Fortune 1000 companies), which provide him with a broad range of knowledge regarding business operations and growth strategies.</w:t>
      </w:r>
    </w:p>
    <w:p>
      <w:pPr>
        <w:sectPr>
          <w:pgSz w:w="11900" w:h="16838" w:orient="portrait"/>
          <w:cols w:equalWidth="0" w:num="1">
            <w:col w:w="11240"/>
          </w:cols>
          <w:pgMar w:left="320" w:top="1440" w:right="339" w:bottom="1440" w:gutter="0" w:footer="0" w:header="0"/>
          <w:type w:val="continuous"/>
        </w:sectPr>
      </w:pPr>
    </w:p>
    <w:p>
      <w:pPr>
        <w:spacing w:after="0" w:line="262" w:lineRule="exact"/>
        <w:rPr>
          <w:sz w:val="20"/>
          <w:szCs w:val="20"/>
          <w:color w:val="auto"/>
        </w:rPr>
      </w:pPr>
    </w:p>
    <w:p>
      <w:pPr>
        <w:ind w:left="20"/>
        <w:spacing w:after="0" w:line="253" w:lineRule="auto"/>
        <w:rPr>
          <w:sz w:val="20"/>
          <w:szCs w:val="20"/>
          <w:color w:val="auto"/>
        </w:rPr>
      </w:pPr>
      <w:r>
        <w:rPr>
          <w:rFonts w:ascii="Arial" w:cs="Arial" w:eastAsia="Arial" w:hAnsi="Arial"/>
          <w:sz w:val="17"/>
          <w:szCs w:val="17"/>
          <w:b w:val="1"/>
          <w:bCs w:val="1"/>
          <w:i w:val="1"/>
          <w:iCs w:val="1"/>
          <w:color w:val="auto"/>
        </w:rPr>
        <w:t>David P. McGlade</w:t>
      </w:r>
      <w:r>
        <w:rPr>
          <w:rFonts w:ascii="Arial" w:cs="Arial" w:eastAsia="Arial" w:hAnsi="Arial"/>
          <w:sz w:val="17"/>
          <w:szCs w:val="17"/>
          <w:color w:val="auto"/>
        </w:rPr>
        <w:t>, age 61, has been a director since 2005. He serves as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Intelsat S.A. (a publicly traded worldwide provider of satellite communication services), a position he has held since April 2013.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Public Company Boards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07"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Intelsat S.A.</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Past 5 Years</w:t>
      </w:r>
    </w:p>
    <w:p>
      <w:pPr>
        <w:spacing w:after="0" w:line="120"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580" w:lineRule="exact"/>
        <w:rPr>
          <w:sz w:val="20"/>
          <w:szCs w:val="20"/>
          <w:color w:val="auto"/>
        </w:rPr>
      </w:pPr>
    </w:p>
    <w:p>
      <w:pPr>
        <w:sectPr>
          <w:pgSz w:w="11900" w:h="16838" w:orient="portrait"/>
          <w:cols w:equalWidth="0" w:num="2">
            <w:col w:w="6280" w:space="180"/>
            <w:col w:w="4780"/>
          </w:cols>
          <w:pgMar w:left="320" w:top="1440" w:right="339" w:bottom="1440" w:gutter="0" w:footer="0" w:header="0"/>
          <w:type w:val="continuous"/>
        </w:sectPr>
      </w:pPr>
    </w:p>
    <w:p>
      <w:pPr>
        <w:spacing w:after="0" w:line="126"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191919"/>
        </w:rPr>
        <w:t xml:space="preserve">Qualifications: </w:t>
      </w:r>
      <w:r>
        <w:rPr>
          <w:rFonts w:ascii="Arial" w:cs="Arial" w:eastAsia="Arial" w:hAnsi="Arial"/>
          <w:sz w:val="17"/>
          <w:szCs w:val="17"/>
          <w:color w:val="191919"/>
        </w:rPr>
        <w:t>We believe that Mr. McGlade’s qualifications to serve as a director include his significant operational, strategic, and financial acumen, as</w:t>
      </w:r>
      <w:r>
        <w:rPr>
          <w:rFonts w:ascii="Arial" w:cs="Arial" w:eastAsia="Arial" w:hAnsi="Arial"/>
          <w:sz w:val="17"/>
          <w:szCs w:val="17"/>
          <w:b w:val="1"/>
          <w:bCs w:val="1"/>
          <w:color w:val="191919"/>
        </w:rPr>
        <w:t xml:space="preserve"> </w:t>
      </w:r>
      <w:r>
        <w:rPr>
          <w:rFonts w:ascii="Arial" w:cs="Arial" w:eastAsia="Arial" w:hAnsi="Arial"/>
          <w:sz w:val="17"/>
          <w:szCs w:val="17"/>
          <w:color w:val="191919"/>
        </w:rPr>
        <w:t>well as his knowledge about global capital markets, developed over more than three decades of experience in the telecommunications business.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w w:val="90"/>
              </w:rPr>
              <w:t>Robert A. Schriesheim</w:t>
            </w:r>
            <w:r>
              <w:rPr>
                <w:rFonts w:ascii="Arial" w:cs="Arial" w:eastAsia="Arial" w:hAnsi="Arial"/>
                <w:sz w:val="18"/>
                <w:szCs w:val="18"/>
                <w:color w:val="auto"/>
                <w:w w:val="90"/>
              </w:rPr>
              <w:t>, age 61, has been a director since 2006. He currently serves as</w:t>
            </w:r>
          </w:p>
        </w:tc>
        <w:tc>
          <w:tcPr>
            <w:tcW w:w="43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Other Public Company Boards</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8"/>
              </w:rPr>
              <w:t>chairman of Truax Partners LLC (a consulting firm). He served as Executive Vice</w:t>
            </w:r>
          </w:p>
        </w:tc>
        <w:tc>
          <w:tcPr>
            <w:tcW w:w="43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3"/>
              </w:rPr>
              <w:t>President and Chief Financial Officer of Sears Holdings Corporation (a publicly traded</w:t>
            </w: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2"/>
              </w:rPr>
              <w:t>nationwide retailer) from August 2011 to October 2016. From January 2010 to October</w:t>
            </w:r>
          </w:p>
        </w:tc>
        <w:tc>
          <w:tcPr>
            <w:tcW w:w="4380" w:type="dxa"/>
            <w:vAlign w:val="bottom"/>
          </w:tcPr>
          <w:p>
            <w:pPr>
              <w:ind w:left="400"/>
              <w:spacing w:after="0"/>
              <w:rPr>
                <w:sz w:val="20"/>
                <w:szCs w:val="20"/>
                <w:color w:val="auto"/>
              </w:rPr>
            </w:pPr>
            <w:r>
              <w:rPr>
                <w:rFonts w:ascii="Arial" w:cs="Arial" w:eastAsia="Arial" w:hAnsi="Arial"/>
                <w:sz w:val="18"/>
                <w:szCs w:val="18"/>
                <w:color w:val="auto"/>
              </w:rPr>
              <w:t>•   Houlihan Lokey, Inc.</w:t>
            </w:r>
          </w:p>
        </w:tc>
        <w:tc>
          <w:tcPr>
            <w:tcW w:w="0" w:type="dxa"/>
            <w:vAlign w:val="bottom"/>
          </w:tcPr>
          <w:p>
            <w:pPr>
              <w:spacing w:after="0"/>
              <w:rPr>
                <w:sz w:val="1"/>
                <w:szCs w:val="1"/>
                <w:color w:val="auto"/>
              </w:rPr>
            </w:pPr>
          </w:p>
        </w:tc>
      </w:tr>
      <w:tr>
        <w:trPr>
          <w:trHeight w:val="284"/>
        </w:trPr>
        <w:tc>
          <w:tcPr>
            <w:tcW w:w="6360" w:type="dxa"/>
            <w:vAlign w:val="bottom"/>
          </w:tcPr>
          <w:p>
            <w:pPr>
              <w:spacing w:after="0"/>
              <w:rPr>
                <w:sz w:val="20"/>
                <w:szCs w:val="20"/>
                <w:color w:val="auto"/>
              </w:rPr>
            </w:pPr>
            <w:r>
              <w:rPr>
                <w:rFonts w:ascii="Arial" w:cs="Arial" w:eastAsia="Arial" w:hAnsi="Arial"/>
                <w:sz w:val="18"/>
                <w:szCs w:val="18"/>
                <w:color w:val="auto"/>
                <w:w w:val="93"/>
              </w:rPr>
              <w:t>2010, Mr. Schriesheim was Chief Financial Officer of Hewitt Associates, Inc. (a global</w:t>
            </w:r>
          </w:p>
        </w:tc>
        <w:tc>
          <w:tcPr>
            <w:tcW w:w="4380" w:type="dxa"/>
            <w:vAlign w:val="bottom"/>
          </w:tcPr>
          <w:p>
            <w:pPr>
              <w:ind w:left="8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147"/>
        </w:trPr>
        <w:tc>
          <w:tcPr>
            <w:tcW w:w="6360" w:type="dxa"/>
            <w:vAlign w:val="bottom"/>
          </w:tcPr>
          <w:p>
            <w:pPr>
              <w:spacing w:after="0" w:line="148" w:lineRule="exact"/>
              <w:rPr>
                <w:sz w:val="20"/>
                <w:szCs w:val="20"/>
                <w:color w:val="auto"/>
              </w:rPr>
            </w:pPr>
            <w:r>
              <w:rPr>
                <w:rFonts w:ascii="Arial" w:cs="Arial" w:eastAsia="Arial" w:hAnsi="Arial"/>
                <w:sz w:val="17"/>
                <w:szCs w:val="17"/>
                <w:color w:val="auto"/>
              </w:rPr>
              <w:t>human resources consulting and outsourcing company that was acquired by Aon</w:t>
            </w: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line="202" w:lineRule="exact"/>
              <w:rPr>
                <w:sz w:val="20"/>
                <w:szCs w:val="20"/>
                <w:color w:val="auto"/>
              </w:rPr>
            </w:pPr>
            <w:r>
              <w:rPr>
                <w:rFonts w:ascii="Arial" w:cs="Arial" w:eastAsia="Arial" w:hAnsi="Arial"/>
                <w:sz w:val="18"/>
                <w:szCs w:val="18"/>
                <w:color w:val="auto"/>
                <w:w w:val="96"/>
              </w:rPr>
              <w:t>Corporation). From October 2006 until December 2009, he was the Executive Vice</w:t>
            </w:r>
          </w:p>
        </w:tc>
        <w:tc>
          <w:tcPr>
            <w:tcW w:w="4380" w:type="dxa"/>
            <w:vAlign w:val="bottom"/>
          </w:tcPr>
          <w:p>
            <w:pPr>
              <w:ind w:left="400"/>
              <w:spacing w:after="0" w:line="202" w:lineRule="exact"/>
              <w:rPr>
                <w:sz w:val="20"/>
                <w:szCs w:val="20"/>
                <w:color w:val="auto"/>
              </w:rPr>
            </w:pPr>
            <w:r>
              <w:rPr>
                <w:rFonts w:ascii="Arial" w:cs="Arial" w:eastAsia="Arial" w:hAnsi="Arial"/>
                <w:sz w:val="18"/>
                <w:szCs w:val="18"/>
                <w:color w:val="auto"/>
                <w:w w:val="95"/>
              </w:rPr>
              <w:t>•   Frontier Communications Corporation (until 2021)</w:t>
            </w:r>
          </w:p>
        </w:tc>
        <w:tc>
          <w:tcPr>
            <w:tcW w:w="0" w:type="dxa"/>
            <w:vAlign w:val="bottom"/>
          </w:tcPr>
          <w:p>
            <w:pPr>
              <w:spacing w:after="0"/>
              <w:rPr>
                <w:sz w:val="1"/>
                <w:szCs w:val="1"/>
                <w:color w:val="auto"/>
              </w:rPr>
            </w:pPr>
          </w:p>
        </w:tc>
      </w:tr>
      <w:tr>
        <w:trPr>
          <w:trHeight w:val="190"/>
        </w:trPr>
        <w:tc>
          <w:tcPr>
            <w:tcW w:w="6360" w:type="dxa"/>
            <w:vAlign w:val="bottom"/>
          </w:tcPr>
          <w:p>
            <w:pPr>
              <w:spacing w:after="0" w:line="189" w:lineRule="exact"/>
              <w:rPr>
                <w:sz w:val="20"/>
                <w:szCs w:val="20"/>
                <w:color w:val="auto"/>
              </w:rPr>
            </w:pPr>
            <w:r>
              <w:rPr>
                <w:rFonts w:ascii="Arial" w:cs="Arial" w:eastAsia="Arial" w:hAnsi="Arial"/>
                <w:sz w:val="18"/>
                <w:szCs w:val="18"/>
                <w:color w:val="auto"/>
                <w:w w:val="93"/>
              </w:rPr>
              <w:t>President and Chief Financial Officer of Lawson Software, Inc. (a publicly traded ERP</w:t>
            </w:r>
          </w:p>
        </w:tc>
        <w:tc>
          <w:tcPr>
            <w:tcW w:w="4380" w:type="dxa"/>
            <w:vAlign w:val="bottom"/>
          </w:tcPr>
          <w:p>
            <w:pPr>
              <w:ind w:left="400"/>
              <w:spacing w:after="0" w:line="189" w:lineRule="exact"/>
              <w:rPr>
                <w:sz w:val="20"/>
                <w:szCs w:val="20"/>
                <w:color w:val="auto"/>
              </w:rPr>
            </w:pPr>
            <w:r>
              <w:rPr>
                <w:rFonts w:ascii="Arial" w:cs="Arial" w:eastAsia="Arial" w:hAnsi="Arial"/>
                <w:sz w:val="18"/>
                <w:szCs w:val="18"/>
                <w:color w:val="auto"/>
              </w:rPr>
              <w:t>•   NII Holdings, Inc. (until 2019)</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software provider).</w:t>
            </w:r>
          </w:p>
        </w:tc>
        <w:tc>
          <w:tcPr>
            <w:tcW w:w="4380" w:type="dxa"/>
            <w:vAlign w:val="bottom"/>
          </w:tcPr>
          <w:p>
            <w:pPr>
              <w:ind w:left="400"/>
              <w:spacing w:after="0"/>
              <w:rPr>
                <w:sz w:val="20"/>
                <w:szCs w:val="20"/>
                <w:color w:val="auto"/>
              </w:rPr>
            </w:pPr>
            <w:r>
              <w:rPr>
                <w:rFonts w:ascii="Arial" w:cs="Arial" w:eastAsia="Arial" w:hAnsi="Arial"/>
                <w:sz w:val="18"/>
                <w:szCs w:val="18"/>
                <w:color w:val="auto"/>
              </w:rPr>
              <w:t>•   Forest City Realty Trust (until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Schriesheim’s qualifications to serve as a director include his extensive knowledge of the capital markets and corporate</w:t>
      </w:r>
      <w:r>
        <w:rPr>
          <w:rFonts w:ascii="Arial" w:cs="Arial" w:eastAsia="Arial" w:hAnsi="Arial"/>
          <w:sz w:val="18"/>
          <w:szCs w:val="18"/>
          <w:b w:val="1"/>
          <w:bCs w:val="1"/>
          <w:color w:val="191919"/>
        </w:rPr>
        <w:t xml:space="preserve"> </w:t>
      </w:r>
      <w:r>
        <w:rPr>
          <w:rFonts w:ascii="Arial" w:cs="Arial" w:eastAsia="Arial" w:hAnsi="Arial"/>
          <w:sz w:val="18"/>
          <w:szCs w:val="18"/>
          <w:color w:val="191919"/>
        </w:rPr>
        <w:t>financial capital structures, his expertise evaluating and 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77" w:lineRule="auto"/>
        <w:rPr>
          <w:sz w:val="20"/>
          <w:szCs w:val="20"/>
          <w:color w:val="auto"/>
        </w:rPr>
      </w:pPr>
      <w:r>
        <w:rPr>
          <w:rFonts w:ascii="Arial" w:cs="Arial" w:eastAsia="Arial" w:hAnsi="Arial"/>
          <w:sz w:val="18"/>
          <w:szCs w:val="18"/>
          <w:color w:val="191919"/>
        </w:rPr>
        <w:t>merger and acquisition transactions within the technology sector, and his experience gained through leading companies through major strategic and financial corporate transformations.</w:t>
      </w:r>
    </w:p>
    <w:p>
      <w:pPr>
        <w:sectPr>
          <w:pgSz w:w="11900" w:h="16838" w:orient="portrait"/>
          <w:cols w:equalWidth="0" w:num="1">
            <w:col w:w="11240"/>
          </w:cols>
          <w:pgMar w:left="320" w:top="1258" w:right="339" w:bottom="1440" w:gutter="0" w:footer="0" w:header="0"/>
        </w:sectPr>
      </w:pPr>
    </w:p>
    <w:p>
      <w:pPr>
        <w:spacing w:after="0" w:line="250" w:lineRule="exact"/>
        <w:rPr>
          <w:sz w:val="20"/>
          <w:szCs w:val="20"/>
          <w:color w:val="auto"/>
        </w:rPr>
      </w:pPr>
    </w:p>
    <w:p>
      <w:pPr>
        <w:ind w:left="20"/>
        <w:spacing w:after="0" w:line="268" w:lineRule="auto"/>
        <w:rPr>
          <w:sz w:val="20"/>
          <w:szCs w:val="20"/>
          <w:color w:val="auto"/>
        </w:rPr>
      </w:pPr>
      <w:r>
        <w:rPr>
          <w:rFonts w:ascii="Arial" w:cs="Arial" w:eastAsia="Arial" w:hAnsi="Arial"/>
          <w:sz w:val="16"/>
          <w:szCs w:val="16"/>
          <w:b w:val="1"/>
          <w:bCs w:val="1"/>
          <w:i w:val="1"/>
          <w:iCs w:val="1"/>
          <w:color w:val="auto"/>
        </w:rPr>
        <w:t>Kimberly S. Stevenson</w:t>
      </w:r>
      <w:r>
        <w:rPr>
          <w:rFonts w:ascii="Arial" w:cs="Arial" w:eastAsia="Arial" w:hAnsi="Arial"/>
          <w:sz w:val="16"/>
          <w:szCs w:val="16"/>
          <w:color w:val="auto"/>
        </w:rPr>
        <w:t>, age 59, has been a director since 2018. From January 2020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2021, Ms. Stevenson served as Senior Vice President and General Manager, Foundational Data Services Business Unit, at NetApp, Inc. (a publicly traded provider of cloud data services). From February 2019 to January 2020, she was a venture partner at RIDGE-LANE Limited Partners (a strategic advisory and venture development firm). Previously, Ms. Stevenson served as Senior Vice President and General Manager, Data Center Products and Solutions, at Lenovo Group Ltd. (a publicly traded manufacturer of personal computers, data center equipment, smartphones, and tablets) from May 2017 to October 2018. From September 2009 to February 2017, she served as a Corporate Vice President at Intel Corporation (a publicly traded semiconductor designer and manufacturer), holding various positions including Chief Operating Officer for the Client and Internet of Things Businesses and Systems Architecture Group from September 2016 to February 2017, Chief Information Officer from February 2012 to August 2016, and General Manager, IT Operations and Services, from September 2009 to January 2012.</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Mitek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Boston Private Financial Holdings (until 2021)</w:t>
      </w:r>
    </w:p>
    <w:p>
      <w:pPr>
        <w:spacing w:after="0" w:line="1803" w:lineRule="exact"/>
        <w:rPr>
          <w:sz w:val="20"/>
          <w:szCs w:val="20"/>
          <w:color w:val="auto"/>
        </w:rPr>
      </w:pPr>
    </w:p>
    <w:p>
      <w:pPr>
        <w:sectPr>
          <w:pgSz w:w="11900" w:h="16838" w:orient="portrait"/>
          <w:cols w:equalWidth="0" w:num="2">
            <w:col w:w="6260" w:space="200"/>
            <w:col w:w="4780"/>
          </w:cols>
          <w:pgMar w:left="320" w:top="1258" w:right="339" w:bottom="1440" w:gutter="0" w:footer="0" w:header="0"/>
          <w:type w:val="continuous"/>
        </w:sectPr>
      </w:pP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191919"/>
        </w:rPr>
        <w:t xml:space="preserve">Qualifications: </w:t>
      </w:r>
      <w:r>
        <w:rPr>
          <w:rFonts w:ascii="Arial" w:cs="Arial" w:eastAsia="Arial" w:hAnsi="Arial"/>
          <w:sz w:val="17"/>
          <w:szCs w:val="17"/>
          <w:color w:val="191919"/>
        </w:rPr>
        <w:t>We believe that Ms. Stevenson’s qualifications to serve as a director include her extensive senior management experience in the</w:t>
      </w:r>
      <w:r>
        <w:rPr>
          <w:rFonts w:ascii="Arial" w:cs="Arial" w:eastAsia="Arial" w:hAnsi="Arial"/>
          <w:sz w:val="17"/>
          <w:szCs w:val="17"/>
          <w:b w:val="1"/>
          <w:bCs w:val="1"/>
          <w:color w:val="191919"/>
        </w:rPr>
        <w:t xml:space="preserve"> </w:t>
      </w:r>
      <w:r>
        <w:rPr>
          <w:rFonts w:ascii="Arial" w:cs="Arial" w:eastAsia="Arial" w:hAnsi="Arial"/>
          <w:sz w:val="17"/>
          <w:szCs w:val="17"/>
          <w:color w:val="191919"/>
        </w:rPr>
        <w:t>semiconductor and technology industries and her expertise on best practices within information systems and operational risk management.</w:t>
      </w:r>
    </w:p>
    <w:p>
      <w:pPr>
        <w:spacing w:after="0" w:line="170"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 Each of our directors will serve until the 2022 Annual Meeting of Stockholders and until their successors are elected and qualified or until their earlier resignation or removal.</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Carlos S. Bori</w:t>
      </w:r>
      <w:r>
        <w:rPr>
          <w:rFonts w:ascii="Arial" w:cs="Arial" w:eastAsia="Arial" w:hAnsi="Arial"/>
          <w:sz w:val="18"/>
          <w:szCs w:val="18"/>
          <w:color w:val="auto"/>
        </w:rPr>
        <w:t>, age 51, joined the Company in July 2013 and has served as Senior Vice President, Sales and Marketing, since November 2017. He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Sales and Marketing, from May 2016 to November 2017 and as Vice President, Marketing, from July 2013 to May 2016. Previously, he spent more than 18 years with Beacon Electronic Associates (a North American independent representative of semiconductor manufacturers), serving as its President from 2004 to 2013.</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Karilee A. Durham</w:t>
      </w:r>
      <w:r>
        <w:rPr>
          <w:rFonts w:ascii="Arial" w:cs="Arial" w:eastAsia="Arial" w:hAnsi="Arial"/>
          <w:sz w:val="16"/>
          <w:szCs w:val="16"/>
          <w:color w:val="auto"/>
        </w:rPr>
        <w:t>, age 53, joined the Company in April 2018 and is Senior Vice President, Human Resources. Previously, Ms. Durham served as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Human Resources and General Affairs for Goodman Global Group, Inc. (an HVAC manufacturing and distribution company) from September 2010 to April 2018. Earlier, she held multiple senior human resources positions with Dell Inc. (a computer retailer) from October 2007 to September 2010, prior to which she held human resources positions at Flextronics International Ltd., Solectron Corporation, and UT-Battelle LLC.</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Reza Kasnavi</w:t>
      </w:r>
      <w:r>
        <w:rPr>
          <w:rFonts w:ascii="Arial" w:cs="Arial" w:eastAsia="Arial" w:hAnsi="Arial"/>
          <w:sz w:val="16"/>
          <w:szCs w:val="16"/>
          <w:color w:val="auto"/>
        </w:rPr>
        <w:t>, age 48, joined the Company in 2010 and has served as Senior Vice President, Technology and Manufacturing, since November 2019.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Vice President and General Manager, Open Market Platforms, from November 2012 to September 2018 and as the Vice President, Central Engineering and Quality, from September 2018 to November 2019. Prior to joining Skyworks, Dr. Kasnavi spent 10 years as an investor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executive with Tallwood Venture Capital (an investment firm focused on semiconductor-related technologies and markets), holding various leadership positions at several Tallwood portfolio companies including Sequoia Communications.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Kris Sennesael</w:t>
      </w:r>
      <w:r>
        <w:rPr>
          <w:rFonts w:ascii="Arial" w:cs="Arial" w:eastAsia="Arial" w:hAnsi="Arial"/>
          <w:sz w:val="16"/>
          <w:szCs w:val="16"/>
          <w:color w:val="auto"/>
        </w:rPr>
        <w:t>, age 53, joined the Company in August 2016 and is Senior Vice President and Chief Financial Officer. Previously, Mr. Sennesael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for Enphase Energy, Inc. (a semiconductor-based renewable energy solutions provider), from September 2012 to August 2016. Earlier, he served as Chief Financial Officer for Standard Microsystems Corporation (a global fabless semiconductor company) from January 2009 to August 2012, prior to which he held financial positions at ON Semiconductor Corp., AMI Semiconductor, Inc., and Alcatel Microelectronics.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Robert J. Terry</w:t>
      </w:r>
      <w:r>
        <w:rPr>
          <w:rFonts w:ascii="Arial" w:cs="Arial" w:eastAsia="Arial" w:hAnsi="Arial"/>
          <w:sz w:val="17"/>
          <w:szCs w:val="17"/>
          <w:color w:val="auto"/>
        </w:rPr>
        <w:t>, age 55, joined the Company in 2003 and has served as Senior Vice President, General Counsel and Secretary since November 2017.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served as Vice President, General Counsel and Secretary from November 2016 to November 2017 and as Vice President, Associate General Counsel and Assistant Secretary from June 2011 to November 2016. Before joining Skyworks, he served as General Counsel and Secretary for Day Software, Inc. (an enterprise content management software company), from July 2001 to February 2003. Prior to joining Day Software, Mr. Terry was in private practice, focusing on corporate and securities matters, mergers and acquisitions, and general business litigation.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We have established an Audit Committee consisting of the following individuals, each of whom qualifies as independent within the meaning of the applicable Listing Rules of the Nasdaq Stock Market LLC (the “Nasdaq Rules”) and meets the criteria for independence set forth in Rule 10A-3(b)(1) under the Securities Exchange Act of 1934 (“Exchange Act”): David P. McGlade (Chairman), Timothy R. Furey, Christine King, and Robert A. Schriesheim. The Board of Directors has determined that each of Mr. McGlade (Chairman), Ms. King, and Mr. Schriesheim meets the qualifications of an “audit committee financial expert” under SEC Rules and the qualifications of “financial sophistication” under the applicable Nasdaq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19"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Arial" w:cs="Arial" w:eastAsia="Arial" w:hAnsi="Arial"/>
          <w:sz w:val="18"/>
          <w:szCs w:val="18"/>
          <w:i w:val="1"/>
          <w:iCs w:val="1"/>
          <w:color w:val="auto"/>
        </w:rPr>
        <w:t>www.skyworksinc.com</w:t>
      </w:r>
      <w:r>
        <w:rPr>
          <w:rFonts w:ascii="Arial" w:cs="Arial" w:eastAsia="Arial" w:hAnsi="Arial"/>
          <w:sz w:val="18"/>
          <w:szCs w:val="18"/>
          <w:color w:val="auto"/>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7" w:name="page8"/>
    <w:bookmarkEnd w:id="7"/>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225"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This Compensation Discussion and Analysis section discusses the compensation policies and programs for our Chief Executive Officer, our Chief Financial Officer, and our three next most highly paid executive officers during our fiscal year ended October 1, 2021 (“fiscal year 2021”), as determined under the rules of the SEC. We refer to this group of executive officers as our “Named Executive Officers.” For fiscal year 2021, our Named Executive Officers were:</w:t>
      </w:r>
    </w:p>
    <w:p>
      <w:pPr>
        <w:spacing w:after="0" w:line="77" w:lineRule="exact"/>
        <w:rPr>
          <w:sz w:val="20"/>
          <w:szCs w:val="20"/>
          <w:color w:val="auto"/>
        </w:rPr>
      </w:pPr>
    </w:p>
    <w:p>
      <w:pPr>
        <w:ind w:left="500" w:hanging="10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Liam K. Griffin, Chairman, Chief Executive Officer and President;</w:t>
      </w:r>
    </w:p>
    <w:p>
      <w:pPr>
        <w:spacing w:after="0" w:line="116" w:lineRule="exact"/>
        <w:rPr>
          <w:rFonts w:ascii="Arial" w:cs="Arial" w:eastAsia="Arial" w:hAnsi="Arial"/>
          <w:sz w:val="18"/>
          <w:szCs w:val="18"/>
          <w:b w:val="1"/>
          <w:bCs w:val="1"/>
          <w:color w:val="auto"/>
        </w:rPr>
      </w:pPr>
    </w:p>
    <w:p>
      <w:pPr>
        <w:ind w:left="500" w:hanging="10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Kris Sennesael, Senior Vice President and Chief Financial Officer;</w:t>
      </w:r>
    </w:p>
    <w:p>
      <w:pPr>
        <w:spacing w:after="0" w:line="116" w:lineRule="exact"/>
        <w:rPr>
          <w:rFonts w:ascii="Arial" w:cs="Arial" w:eastAsia="Arial" w:hAnsi="Arial"/>
          <w:sz w:val="18"/>
          <w:szCs w:val="18"/>
          <w:b w:val="1"/>
          <w:bCs w:val="1"/>
          <w:color w:val="auto"/>
        </w:rPr>
      </w:pPr>
    </w:p>
    <w:p>
      <w:pPr>
        <w:ind w:left="500" w:hanging="10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Carlos S. Bori, Senior Vice President, Sales and Marketing;</w:t>
      </w:r>
    </w:p>
    <w:p>
      <w:pPr>
        <w:spacing w:after="0" w:line="116" w:lineRule="exact"/>
        <w:rPr>
          <w:rFonts w:ascii="Arial" w:cs="Arial" w:eastAsia="Arial" w:hAnsi="Arial"/>
          <w:sz w:val="18"/>
          <w:szCs w:val="18"/>
          <w:b w:val="1"/>
          <w:bCs w:val="1"/>
          <w:color w:val="auto"/>
        </w:rPr>
      </w:pPr>
    </w:p>
    <w:p>
      <w:pPr>
        <w:ind w:left="500" w:hanging="10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Robert J. Terry, Senior Vice President, General Counsel and Secretary; and</w:t>
      </w:r>
    </w:p>
    <w:p>
      <w:pPr>
        <w:spacing w:after="0" w:line="116" w:lineRule="exact"/>
        <w:rPr>
          <w:rFonts w:ascii="Arial" w:cs="Arial" w:eastAsia="Arial" w:hAnsi="Arial"/>
          <w:sz w:val="18"/>
          <w:szCs w:val="18"/>
          <w:b w:val="1"/>
          <w:bCs w:val="1"/>
          <w:color w:val="auto"/>
        </w:rPr>
      </w:pPr>
    </w:p>
    <w:p>
      <w:pPr>
        <w:ind w:left="500" w:hanging="10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Karilee A. Durham, Senior Vice President, Human Resources.</w:t>
      </w: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Engagement with Stockholders Regarding Executive Compensation</w:t>
      </w:r>
    </w:p>
    <w:p>
      <w:pPr>
        <w:spacing w:after="0" w:line="251"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In order to better understand the lack of broad stockholder support for the “say-on-pay” proposal at our 2021 Annual Meeting of Stockholders, the chairman of our Compensation Committee, Ms. King, took a leading role in our formal post-meeting stockholder outreach, in which we solicited feedback on our fiscal year 2020 compensation program from more than thirty of our largest institutional stockholders representing approximately 51% of the Company’s shares outstanding. Our Company management held subsequent engagement meetings with stockholders representing approximately 39% of the Company’s shares outstanding, including eight of our ten largest stockholders, with Ms. King joining more than a dozen meetings with stockholders representing approximately 34% of the Company’s shares outstanding.</w:t>
      </w:r>
    </w:p>
    <w:p>
      <w:pPr>
        <w:spacing w:after="0" w:line="209"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During these conversations, our institutional stockholders generally expressed support for the Company’s strategy, performance, and management, with most stockholders who had voted against the “say-on-pay” proposal noting that such opposition had been primarily in response to the one-time stock-based compensation awards made to the Named Executive Officers in November 2019 to address significant retention concerns. Many stockholders, while supporting the majority of the Company’s compensation policies, nonetheless suggested modifications to specific plan designs, including to the metrics and performance periods under the Company’s long-term stock-based compensation program. After considering this input from our stockholders, as well as evaluating practices related to executive compensation by public companies generally, and our peer group specifically, our Compensation Committee committed to several key responsive changes to the Company’s compensation program. The following changes were adopted after the conclusion of the Company’s fiscal year 2021, which is described in this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section, and therefore generally apply beginning with the Company’s fiscal year 2022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tbl>
      <w:tblPr>
        <w:tblLayout w:type="fixed"/>
        <w:tblInd w:w="420" w:type="dxa"/>
        <w:tblCellMar>
          <w:top w:w="0" w:type="dxa"/>
          <w:left w:w="0" w:type="dxa"/>
          <w:bottom w:w="0" w:type="dxa"/>
          <w:right w:w="0" w:type="dxa"/>
        </w:tblCellMar>
      </w:tblPr>
      <w:tr>
        <w:trPr>
          <w:trHeight w:val="207"/>
        </w:trPr>
        <w:tc>
          <w:tcPr>
            <w:tcW w:w="2620" w:type="dxa"/>
            <w:vAlign w:val="bottom"/>
          </w:tcPr>
          <w:p>
            <w:pPr>
              <w:ind w:left="380"/>
              <w:spacing w:after="0"/>
              <w:rPr>
                <w:sz w:val="20"/>
                <w:szCs w:val="20"/>
                <w:color w:val="auto"/>
              </w:rPr>
            </w:pPr>
            <w:r>
              <w:rPr>
                <w:rFonts w:ascii="Arial" w:cs="Arial" w:eastAsia="Arial" w:hAnsi="Arial"/>
                <w:sz w:val="18"/>
                <w:szCs w:val="18"/>
                <w:b w:val="1"/>
                <w:bCs w:val="1"/>
                <w:color w:val="auto"/>
              </w:rPr>
              <w:t>November 2019 One-Time</w:t>
            </w:r>
          </w:p>
        </w:tc>
        <w:tc>
          <w:tcPr>
            <w:tcW w:w="8300" w:type="dxa"/>
            <w:vAlign w:val="bottom"/>
            <w:shd w:val="clear" w:color="auto" w:fill="D9D9D9"/>
          </w:tcPr>
          <w:p>
            <w:pPr>
              <w:ind w:left="400"/>
              <w:spacing w:after="0"/>
              <w:rPr>
                <w:sz w:val="20"/>
                <w:szCs w:val="20"/>
                <w:color w:val="auto"/>
              </w:rPr>
            </w:pPr>
            <w:r>
              <w:rPr>
                <w:rFonts w:ascii="Arial" w:cs="Arial" w:eastAsia="Arial" w:hAnsi="Arial"/>
                <w:sz w:val="18"/>
                <w:szCs w:val="18"/>
                <w:color w:val="auto"/>
                <w:w w:val="94"/>
              </w:rPr>
              <w:t>No one-time awards granted to Named Executive Officers in 2020 or 2021 and no future one-time grants</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b w:val="1"/>
                <w:bCs w:val="1"/>
                <w:color w:val="auto"/>
              </w:rPr>
              <w:t>Awards</w:t>
            </w:r>
          </w:p>
        </w:tc>
        <w:tc>
          <w:tcPr>
            <w:tcW w:w="8300" w:type="dxa"/>
            <w:vAlign w:val="bottom"/>
            <w:shd w:val="clear" w:color="auto" w:fill="D9D9D9"/>
          </w:tcPr>
          <w:p>
            <w:pPr>
              <w:ind w:left="20"/>
              <w:spacing w:after="0"/>
              <w:rPr>
                <w:sz w:val="20"/>
                <w:szCs w:val="20"/>
                <w:color w:val="auto"/>
              </w:rPr>
            </w:pPr>
            <w:r>
              <w:rPr>
                <w:rFonts w:ascii="Arial" w:cs="Arial" w:eastAsia="Arial" w:hAnsi="Arial"/>
                <w:sz w:val="18"/>
                <w:szCs w:val="18"/>
                <w:color w:val="auto"/>
              </w:rPr>
              <w:t>anticipated</w:t>
            </w:r>
          </w:p>
        </w:tc>
        <w:tc>
          <w:tcPr>
            <w:tcW w:w="0" w:type="dxa"/>
            <w:vAlign w:val="bottom"/>
          </w:tcPr>
          <w:p>
            <w:pPr>
              <w:spacing w:after="0"/>
              <w:rPr>
                <w:sz w:val="1"/>
                <w:szCs w:val="1"/>
                <w:color w:val="auto"/>
              </w:rPr>
            </w:pPr>
          </w:p>
        </w:tc>
      </w:tr>
      <w:tr>
        <w:trPr>
          <w:trHeight w:val="418"/>
        </w:trPr>
        <w:tc>
          <w:tcPr>
            <w:tcW w:w="2620" w:type="dxa"/>
            <w:vAlign w:val="bottom"/>
            <w:vMerge w:val="restart"/>
          </w:tcPr>
          <w:p>
            <w:pPr>
              <w:ind w:left="380"/>
              <w:spacing w:after="0"/>
              <w:rPr>
                <w:sz w:val="20"/>
                <w:szCs w:val="20"/>
                <w:color w:val="auto"/>
              </w:rPr>
            </w:pPr>
            <w:r>
              <w:rPr>
                <w:rFonts w:ascii="Arial" w:cs="Arial" w:eastAsia="Arial" w:hAnsi="Arial"/>
                <w:sz w:val="18"/>
                <w:szCs w:val="18"/>
                <w:b w:val="1"/>
                <w:bCs w:val="1"/>
                <w:color w:val="auto"/>
                <w:w w:val="95"/>
              </w:rPr>
              <w:t>Long-Term Equity: FY 2022</w:t>
            </w:r>
          </w:p>
        </w:tc>
        <w:tc>
          <w:tcPr>
            <w:tcW w:w="8300" w:type="dxa"/>
            <w:vAlign w:val="bottom"/>
          </w:tcPr>
          <w:p>
            <w:pPr>
              <w:ind w:left="400"/>
              <w:spacing w:after="0"/>
              <w:rPr>
                <w:sz w:val="20"/>
                <w:szCs w:val="20"/>
                <w:color w:val="auto"/>
              </w:rPr>
            </w:pPr>
            <w:r>
              <w:rPr>
                <w:rFonts w:ascii="Arial" w:cs="Arial" w:eastAsia="Arial" w:hAnsi="Arial"/>
                <w:sz w:val="18"/>
                <w:szCs w:val="18"/>
                <w:color w:val="auto"/>
                <w:w w:val="98"/>
              </w:rPr>
              <w:t>Transitioned from design win metric (non-disclosable) to relative EBITDA margin metric (disclosable)</w:t>
            </w:r>
          </w:p>
        </w:tc>
        <w:tc>
          <w:tcPr>
            <w:tcW w:w="0" w:type="dxa"/>
            <w:vAlign w:val="bottom"/>
          </w:tcPr>
          <w:p>
            <w:pPr>
              <w:spacing w:after="0"/>
              <w:rPr>
                <w:sz w:val="1"/>
                <w:szCs w:val="1"/>
                <w:color w:val="auto"/>
              </w:rPr>
            </w:pPr>
          </w:p>
        </w:tc>
      </w:tr>
      <w:tr>
        <w:trPr>
          <w:trHeight w:val="175"/>
        </w:trPr>
        <w:tc>
          <w:tcPr>
            <w:tcW w:w="2620" w:type="dxa"/>
            <w:vAlign w:val="bottom"/>
            <w:vMerge w:val="continue"/>
          </w:tcPr>
          <w:p>
            <w:pPr>
              <w:spacing w:after="0"/>
              <w:rPr>
                <w:sz w:val="15"/>
                <w:szCs w:val="15"/>
                <w:color w:val="auto"/>
              </w:rPr>
            </w:pPr>
          </w:p>
        </w:tc>
        <w:tc>
          <w:tcPr>
            <w:tcW w:w="8300" w:type="dxa"/>
            <w:vAlign w:val="bottom"/>
            <w:shd w:val="clear" w:color="auto" w:fill="D9D9D9"/>
          </w:tcPr>
          <w:p>
            <w:pPr>
              <w:ind w:left="400"/>
              <w:spacing w:after="0" w:line="176" w:lineRule="exact"/>
              <w:rPr>
                <w:sz w:val="20"/>
                <w:szCs w:val="20"/>
                <w:color w:val="auto"/>
              </w:rPr>
            </w:pPr>
            <w:r>
              <w:rPr>
                <w:rFonts w:ascii="Arial" w:cs="Arial" w:eastAsia="Arial" w:hAnsi="Arial"/>
                <w:sz w:val="18"/>
                <w:szCs w:val="18"/>
                <w:color w:val="auto"/>
              </w:rPr>
              <w:t>Extended performance period to two years for relative EBITDA margin metric</w:t>
            </w:r>
          </w:p>
        </w:tc>
        <w:tc>
          <w:tcPr>
            <w:tcW w:w="0" w:type="dxa"/>
            <w:vAlign w:val="bottom"/>
          </w:tcPr>
          <w:p>
            <w:pPr>
              <w:spacing w:after="0"/>
              <w:rPr>
                <w:sz w:val="1"/>
                <w:szCs w:val="1"/>
                <w:color w:val="auto"/>
              </w:rPr>
            </w:pPr>
          </w:p>
        </w:tc>
      </w:tr>
      <w:tr>
        <w:trPr>
          <w:trHeight w:val="94"/>
        </w:trPr>
        <w:tc>
          <w:tcPr>
            <w:tcW w:w="2620" w:type="dxa"/>
            <w:vAlign w:val="bottom"/>
            <w:vMerge w:val="restart"/>
          </w:tcPr>
          <w:p>
            <w:pPr>
              <w:spacing w:after="0" w:line="149" w:lineRule="exact"/>
              <w:rPr>
                <w:sz w:val="20"/>
                <w:szCs w:val="20"/>
                <w:color w:val="auto"/>
              </w:rPr>
            </w:pPr>
            <w:r>
              <w:rPr>
                <w:rFonts w:ascii="Arial" w:cs="Arial" w:eastAsia="Arial" w:hAnsi="Arial"/>
                <w:sz w:val="17"/>
                <w:szCs w:val="17"/>
                <w:b w:val="1"/>
                <w:bCs w:val="1"/>
                <w:color w:val="auto"/>
              </w:rPr>
              <w:t>Performance Share Award</w:t>
            </w:r>
          </w:p>
        </w:tc>
        <w:tc>
          <w:tcPr>
            <w:tcW w:w="830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620" w:type="dxa"/>
            <w:vAlign w:val="bottom"/>
            <w:vMerge w:val="continue"/>
          </w:tcPr>
          <w:p>
            <w:pPr>
              <w:spacing w:after="0"/>
              <w:rPr>
                <w:sz w:val="4"/>
                <w:szCs w:val="4"/>
                <w:color w:val="auto"/>
              </w:rPr>
            </w:pPr>
          </w:p>
        </w:tc>
        <w:tc>
          <w:tcPr>
            <w:tcW w:w="8300" w:type="dxa"/>
            <w:vAlign w:val="bottom"/>
            <w:vMerge w:val="restart"/>
          </w:tcPr>
          <w:p>
            <w:pPr>
              <w:ind w:left="400"/>
              <w:spacing w:after="0"/>
              <w:rPr>
                <w:sz w:val="20"/>
                <w:szCs w:val="20"/>
                <w:color w:val="auto"/>
              </w:rPr>
            </w:pPr>
            <w:r>
              <w:rPr>
                <w:rFonts w:ascii="Arial" w:cs="Arial" w:eastAsia="Arial" w:hAnsi="Arial"/>
                <w:sz w:val="18"/>
                <w:szCs w:val="18"/>
                <w:color w:val="auto"/>
              </w:rPr>
              <w:t>Extended vesting period to two years for one-year emerging revenue growth metric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Design</w:t>
            </w:r>
          </w:p>
        </w:tc>
        <w:tc>
          <w:tcPr>
            <w:tcW w:w="8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8300" w:type="dxa"/>
            <w:vAlign w:val="bottom"/>
            <w:shd w:val="clear" w:color="auto" w:fill="D9D9D9"/>
          </w:tcPr>
          <w:p>
            <w:pPr>
              <w:ind w:left="400"/>
              <w:spacing w:after="0" w:line="176" w:lineRule="exact"/>
              <w:rPr>
                <w:sz w:val="20"/>
                <w:szCs w:val="20"/>
                <w:color w:val="auto"/>
              </w:rPr>
            </w:pPr>
            <w:r>
              <w:rPr>
                <w:rFonts w:ascii="Arial" w:cs="Arial" w:eastAsia="Arial" w:hAnsi="Arial"/>
                <w:sz w:val="18"/>
                <w:szCs w:val="18"/>
                <w:color w:val="auto"/>
              </w:rPr>
              <w:t>Set target performance at 55th percentile of peer group for both relative EBITDA margin and total</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8300" w:type="dxa"/>
            <w:vAlign w:val="bottom"/>
            <w:shd w:val="clear" w:color="auto" w:fill="D9D9D9"/>
          </w:tcPr>
          <w:p>
            <w:pPr>
              <w:ind w:left="20"/>
              <w:spacing w:after="0"/>
              <w:rPr>
                <w:sz w:val="20"/>
                <w:szCs w:val="20"/>
                <w:color w:val="auto"/>
              </w:rPr>
            </w:pPr>
            <w:r>
              <w:rPr>
                <w:rFonts w:ascii="Arial" w:cs="Arial" w:eastAsia="Arial" w:hAnsi="Arial"/>
                <w:sz w:val="18"/>
                <w:szCs w:val="18"/>
                <w:color w:val="auto"/>
              </w:rPr>
              <w:t>stockholder return (“TSR”) metrics</w:t>
            </w:r>
          </w:p>
        </w:tc>
        <w:tc>
          <w:tcPr>
            <w:tcW w:w="0" w:type="dxa"/>
            <w:vAlign w:val="bottom"/>
          </w:tcPr>
          <w:p>
            <w:pPr>
              <w:spacing w:after="0"/>
              <w:rPr>
                <w:sz w:val="1"/>
                <w:szCs w:val="1"/>
                <w:color w:val="auto"/>
              </w:rPr>
            </w:pP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b w:val="1"/>
                <w:bCs w:val="1"/>
                <w:color w:val="auto"/>
                <w:w w:val="97"/>
              </w:rPr>
              <w:t>Compensation Peer Group</w:t>
            </w:r>
          </w:p>
        </w:tc>
        <w:tc>
          <w:tcPr>
            <w:tcW w:w="8300" w:type="dxa"/>
            <w:vAlign w:val="bottom"/>
          </w:tcPr>
          <w:p>
            <w:pPr>
              <w:ind w:left="400"/>
              <w:spacing w:after="0"/>
              <w:rPr>
                <w:sz w:val="20"/>
                <w:szCs w:val="20"/>
                <w:color w:val="auto"/>
              </w:rPr>
            </w:pPr>
            <w:r>
              <w:rPr>
                <w:rFonts w:ascii="Arial" w:cs="Arial" w:eastAsia="Arial" w:hAnsi="Arial"/>
                <w:sz w:val="18"/>
                <w:szCs w:val="18"/>
                <w:color w:val="auto"/>
              </w:rPr>
              <w:t>Adjusted peer group to remove certain large comparator companies and improve comparability</w:t>
            </w:r>
          </w:p>
        </w:tc>
        <w:tc>
          <w:tcPr>
            <w:tcW w:w="0" w:type="dxa"/>
            <w:vAlign w:val="bottom"/>
          </w:tcPr>
          <w:p>
            <w:pPr>
              <w:spacing w:after="0"/>
              <w:rPr>
                <w:sz w:val="1"/>
                <w:szCs w:val="1"/>
                <w:color w:val="auto"/>
              </w:rPr>
            </w:pPr>
          </w:p>
        </w:tc>
      </w:tr>
      <w:tr>
        <w:trPr>
          <w:trHeight w:val="229"/>
        </w:trPr>
        <w:tc>
          <w:tcPr>
            <w:tcW w:w="2620" w:type="dxa"/>
            <w:vAlign w:val="bottom"/>
          </w:tcPr>
          <w:p>
            <w:pPr>
              <w:ind w:left="380"/>
              <w:spacing w:after="0"/>
              <w:rPr>
                <w:sz w:val="20"/>
                <w:szCs w:val="20"/>
                <w:color w:val="auto"/>
              </w:rPr>
            </w:pPr>
            <w:r>
              <w:rPr>
                <w:rFonts w:ascii="Arial" w:cs="Arial" w:eastAsia="Arial" w:hAnsi="Arial"/>
                <w:sz w:val="18"/>
                <w:szCs w:val="18"/>
                <w:b w:val="1"/>
                <w:bCs w:val="1"/>
                <w:color w:val="auto"/>
              </w:rPr>
              <w:t>Clawback Policy</w:t>
            </w:r>
          </w:p>
        </w:tc>
        <w:tc>
          <w:tcPr>
            <w:tcW w:w="8300" w:type="dxa"/>
            <w:vAlign w:val="bottom"/>
            <w:shd w:val="clear" w:color="auto" w:fill="D9D9D9"/>
          </w:tcPr>
          <w:p>
            <w:pPr>
              <w:ind w:left="400"/>
              <w:spacing w:after="0"/>
              <w:rPr>
                <w:sz w:val="20"/>
                <w:szCs w:val="20"/>
                <w:color w:val="auto"/>
              </w:rPr>
            </w:pPr>
            <w:r>
              <w:rPr>
                <w:rFonts w:ascii="Arial" w:cs="Arial" w:eastAsia="Arial" w:hAnsi="Arial"/>
                <w:sz w:val="18"/>
                <w:szCs w:val="18"/>
                <w:color w:val="auto"/>
              </w:rPr>
              <w:t>Committed to adopting comprehensive clawback policy to align with forthcoming SEC rulemaking</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Approach for Determining Form and Amounts of Compensation</w:t>
      </w:r>
    </w:p>
    <w:p>
      <w:pPr>
        <w:spacing w:after="0" w:line="184" w:lineRule="exact"/>
        <w:rPr>
          <w:sz w:val="20"/>
          <w:szCs w:val="20"/>
          <w:color w:val="auto"/>
        </w:rPr>
      </w:pPr>
    </w:p>
    <w:p>
      <w:pPr>
        <w:jc w:val="both"/>
        <w:ind w:right="100" w:firstLine="388"/>
        <w:spacing w:after="0" w:line="254" w:lineRule="auto"/>
        <w:rPr>
          <w:sz w:val="20"/>
          <w:szCs w:val="20"/>
          <w:color w:val="auto"/>
        </w:rPr>
      </w:pPr>
      <w:r>
        <w:rPr>
          <w:rFonts w:ascii="Arial" w:cs="Arial" w:eastAsia="Arial" w:hAnsi="Arial"/>
          <w:sz w:val="18"/>
          <w:szCs w:val="18"/>
          <w:color w:val="auto"/>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Compensation Program Objectives</w:t>
      </w:r>
    </w:p>
    <w:p>
      <w:pPr>
        <w:spacing w:after="0" w:line="198" w:lineRule="exact"/>
        <w:rPr>
          <w:sz w:val="20"/>
          <w:szCs w:val="20"/>
          <w:color w:val="auto"/>
        </w:rPr>
      </w:pPr>
    </w:p>
    <w:p>
      <w:pPr>
        <w:jc w:val="both"/>
        <w:ind w:right="100" w:firstLine="388"/>
        <w:spacing w:after="0" w:line="263" w:lineRule="auto"/>
        <w:rPr>
          <w:sz w:val="20"/>
          <w:szCs w:val="20"/>
          <w:color w:val="auto"/>
        </w:rPr>
      </w:pPr>
      <w:r>
        <w:rPr>
          <w:rFonts w:ascii="Arial" w:cs="Arial" w:eastAsia="Arial" w:hAnsi="Arial"/>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75" w:lineRule="exact"/>
        <w:rPr>
          <w:sz w:val="20"/>
          <w:szCs w:val="20"/>
          <w:color w:val="auto"/>
        </w:rPr>
      </w:pPr>
    </w:p>
    <w:p>
      <w:pPr>
        <w:ind w:left="660" w:right="120" w:hanging="329"/>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competitive with a group of companies in the semiconductor industry with which we compete for executive talent;</w:t>
      </w:r>
    </w:p>
    <w:p>
      <w:pPr>
        <w:spacing w:after="0" w:line="61" w:lineRule="exact"/>
        <w:rPr>
          <w:rFonts w:ascii="Arial" w:cs="Arial" w:eastAsia="Arial" w:hAnsi="Arial"/>
          <w:sz w:val="18"/>
          <w:szCs w:val="18"/>
          <w:color w:val="auto"/>
        </w:rPr>
      </w:pPr>
    </w:p>
    <w:p>
      <w:pPr>
        <w:ind w:left="660" w:right="100" w:hanging="329"/>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a base salary that serves as the foundation of a compensation package that attracts and retains the executive talent needed to achieve our business objectives;</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providing short-term variable compensation that motivates executives and rewards them for achieving Company financial performance targets;</w:t>
      </w:r>
    </w:p>
    <w:p>
      <w:pPr>
        <w:spacing w:after="0" w:line="139" w:lineRule="exact"/>
        <w:rPr>
          <w:rFonts w:ascii="Arial" w:cs="Arial" w:eastAsia="Arial" w:hAnsi="Arial"/>
          <w:sz w:val="16"/>
          <w:szCs w:val="16"/>
          <w:color w:val="auto"/>
        </w:rPr>
      </w:pPr>
    </w:p>
    <w:p>
      <w:pPr>
        <w:ind w:left="660" w:right="100" w:hanging="329"/>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long-term stock-based compensation that aligns the interest of our executives with stockholders by rewarding them for long-term increases in stockholder value; and</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perceived as fundamentally fair to our employees.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of Compensation Consultant</w:t>
      </w:r>
    </w:p>
    <w:p>
      <w:pPr>
        <w:spacing w:after="0" w:line="251" w:lineRule="exact"/>
        <w:rPr>
          <w:sz w:val="20"/>
          <w:szCs w:val="20"/>
          <w:color w:val="auto"/>
        </w:rPr>
      </w:pPr>
    </w:p>
    <w:p>
      <w:pPr>
        <w:jc w:val="both"/>
        <w:ind w:right="100" w:firstLine="388"/>
        <w:spacing w:after="0" w:line="293" w:lineRule="auto"/>
        <w:rPr>
          <w:sz w:val="20"/>
          <w:szCs w:val="20"/>
          <w:color w:val="auto"/>
        </w:rPr>
      </w:pPr>
      <w:r>
        <w:rPr>
          <w:rFonts w:ascii="Arial" w:cs="Arial" w:eastAsia="Arial" w:hAnsi="Arial"/>
          <w:sz w:val="16"/>
          <w:szCs w:val="16"/>
          <w:color w:val="auto"/>
        </w:rPr>
        <w:t>The Compensation Committee has engaged Aon/Radford Consulting (“Aon/Radford”) to assist in determining the components and amount of executive compensation. Aon/Radford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also purchases published compensation and benefits surveys from Aon/Radford, and on occasion engages certain affiliates of Aon/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7" w:right="2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Radford in various jurisdictions for services unrelated to executive compensation and benefits, engagements for which the Company’s management has not sought the Compensation Committee’s approval. The fees paid to Aon/Radford and its affiliates in fiscal year 2021 for these surveys and additional services did not exceed $120,000.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Comparator Group Data</w:t>
      </w:r>
    </w:p>
    <w:p>
      <w:pPr>
        <w:spacing w:after="0" w:line="225"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Arial" w:cs="Arial" w:eastAsia="Arial" w:hAnsi="Arial"/>
          <w:sz w:val="17"/>
          <w:szCs w:val="17"/>
          <w:i w:val="1"/>
          <w:iCs w:val="1"/>
          <w:color w:val="auto"/>
        </w:rPr>
        <w:t>Components of Compensation</w:t>
      </w:r>
      <w:r>
        <w:rPr>
          <w:rFonts w:ascii="Arial" w:cs="Arial" w:eastAsia="Arial" w:hAnsi="Arial"/>
          <w:sz w:val="17"/>
          <w:szCs w:val="17"/>
          <w:color w:val="auto"/>
        </w:rPr>
        <w:t>.” For fiscal year 2021, the Compensation Committee approved Comparator Group data consisting of a 50/50 blend of (i) Aon/Radford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16 publicly traded semiconductor companies listed below. Our selected peer group for fiscal year 2021 remained unchanged from that used by the Compensation Committee for the prior fiscal year. The peer group includes many business competitors, as well as certain larger semiconductor companies with which we compete for executive talent.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562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Peer Group for Fiscal Year 2021 Compensation (1)</w:t>
            </w:r>
          </w:p>
        </w:tc>
        <w:tc>
          <w:tcPr>
            <w:tcW w:w="2840" w:type="dxa"/>
            <w:vAlign w:val="bottom"/>
          </w:tcPr>
          <w:p>
            <w:pPr>
              <w:spacing w:after="0"/>
              <w:rPr>
                <w:sz w:val="20"/>
                <w:szCs w:val="20"/>
                <w:color w:val="auto"/>
              </w:rPr>
            </w:pPr>
          </w:p>
        </w:tc>
      </w:tr>
      <w:tr>
        <w:trPr>
          <w:trHeight w:val="229"/>
        </w:trPr>
        <w:tc>
          <w:tcPr>
            <w:tcW w:w="2420" w:type="dxa"/>
            <w:vAlign w:val="bottom"/>
            <w:shd w:val="clear" w:color="auto" w:fill="D9D9D9"/>
          </w:tcPr>
          <w:p>
            <w:pPr>
              <w:ind w:left="20"/>
              <w:spacing w:after="0"/>
              <w:rPr>
                <w:sz w:val="20"/>
                <w:szCs w:val="20"/>
                <w:color w:val="auto"/>
              </w:rPr>
            </w:pPr>
            <w:r>
              <w:rPr>
                <w:rFonts w:ascii="Arial" w:cs="Arial" w:eastAsia="Arial" w:hAnsi="Arial"/>
                <w:sz w:val="18"/>
                <w:szCs w:val="18"/>
                <w:color w:val="auto"/>
              </w:rPr>
              <w:t>Advanced Micro Devices</w:t>
            </w:r>
          </w:p>
        </w:tc>
        <w:tc>
          <w:tcPr>
            <w:tcW w:w="3020" w:type="dxa"/>
            <w:vAlign w:val="bottom"/>
            <w:shd w:val="clear" w:color="auto" w:fill="D9D9D9"/>
          </w:tcPr>
          <w:p>
            <w:pPr>
              <w:ind w:left="580"/>
              <w:spacing w:after="0"/>
              <w:rPr>
                <w:sz w:val="20"/>
                <w:szCs w:val="20"/>
                <w:color w:val="auto"/>
              </w:rPr>
            </w:pPr>
            <w:r>
              <w:rPr>
                <w:rFonts w:ascii="Arial" w:cs="Arial" w:eastAsia="Arial" w:hAnsi="Arial"/>
                <w:sz w:val="18"/>
                <w:szCs w:val="18"/>
                <w:color w:val="auto"/>
              </w:rPr>
              <w:t>KLA Corporation</w:t>
            </w:r>
          </w:p>
        </w:tc>
        <w:tc>
          <w:tcPr>
            <w:tcW w:w="2600" w:type="dxa"/>
            <w:vAlign w:val="bottom"/>
            <w:shd w:val="clear" w:color="auto" w:fill="D9D9D9"/>
          </w:tcPr>
          <w:p>
            <w:pPr>
              <w:ind w:left="480"/>
              <w:spacing w:after="0"/>
              <w:rPr>
                <w:sz w:val="20"/>
                <w:szCs w:val="20"/>
                <w:color w:val="auto"/>
              </w:rPr>
            </w:pPr>
            <w:r>
              <w:rPr>
                <w:rFonts w:ascii="Arial" w:cs="Arial" w:eastAsia="Arial" w:hAnsi="Arial"/>
                <w:sz w:val="18"/>
                <w:szCs w:val="18"/>
                <w:color w:val="auto"/>
              </w:rPr>
              <w:t>Microchip Technology</w:t>
            </w:r>
          </w:p>
        </w:tc>
        <w:tc>
          <w:tcPr>
            <w:tcW w:w="2840" w:type="dxa"/>
            <w:vAlign w:val="bottom"/>
            <w:shd w:val="clear" w:color="auto" w:fill="D9D9D9"/>
          </w:tcPr>
          <w:p>
            <w:pPr>
              <w:ind w:left="500"/>
              <w:spacing w:after="0"/>
              <w:rPr>
                <w:sz w:val="20"/>
                <w:szCs w:val="20"/>
                <w:color w:val="auto"/>
              </w:rPr>
            </w:pPr>
            <w:r>
              <w:rPr>
                <w:rFonts w:ascii="Arial" w:cs="Arial" w:eastAsia="Arial" w:hAnsi="Arial"/>
                <w:sz w:val="18"/>
                <w:szCs w:val="18"/>
                <w:color w:val="auto"/>
              </w:rPr>
              <w:t>Qorvo</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Analog Devices</w:t>
            </w:r>
          </w:p>
        </w:tc>
        <w:tc>
          <w:tcPr>
            <w:tcW w:w="3020" w:type="dxa"/>
            <w:vAlign w:val="bottom"/>
          </w:tcPr>
          <w:p>
            <w:pPr>
              <w:ind w:left="580"/>
              <w:spacing w:after="0"/>
              <w:rPr>
                <w:sz w:val="20"/>
                <w:szCs w:val="20"/>
                <w:color w:val="auto"/>
              </w:rPr>
            </w:pPr>
            <w:r>
              <w:rPr>
                <w:rFonts w:ascii="Arial" w:cs="Arial" w:eastAsia="Arial" w:hAnsi="Arial"/>
                <w:sz w:val="18"/>
                <w:szCs w:val="18"/>
                <w:color w:val="auto"/>
              </w:rPr>
              <w:t>Lam Research</w:t>
            </w:r>
          </w:p>
        </w:tc>
        <w:tc>
          <w:tcPr>
            <w:tcW w:w="2600" w:type="dxa"/>
            <w:vAlign w:val="bottom"/>
          </w:tcPr>
          <w:p>
            <w:pPr>
              <w:ind w:left="480"/>
              <w:spacing w:after="0"/>
              <w:rPr>
                <w:sz w:val="20"/>
                <w:szCs w:val="20"/>
                <w:color w:val="auto"/>
              </w:rPr>
            </w:pPr>
            <w:r>
              <w:rPr>
                <w:rFonts w:ascii="Arial" w:cs="Arial" w:eastAsia="Arial" w:hAnsi="Arial"/>
                <w:sz w:val="18"/>
                <w:szCs w:val="18"/>
                <w:color w:val="auto"/>
              </w:rPr>
              <w:t>Micron Technology</w:t>
            </w:r>
          </w:p>
        </w:tc>
        <w:tc>
          <w:tcPr>
            <w:tcW w:w="2840" w:type="dxa"/>
            <w:vAlign w:val="bottom"/>
          </w:tcPr>
          <w:p>
            <w:pPr>
              <w:ind w:left="500"/>
              <w:spacing w:after="0"/>
              <w:rPr>
                <w:sz w:val="20"/>
                <w:szCs w:val="20"/>
                <w:color w:val="auto"/>
              </w:rPr>
            </w:pPr>
            <w:r>
              <w:rPr>
                <w:rFonts w:ascii="Arial" w:cs="Arial" w:eastAsia="Arial" w:hAnsi="Arial"/>
                <w:sz w:val="18"/>
                <w:szCs w:val="18"/>
                <w:color w:val="auto"/>
              </w:rPr>
              <w:t>QUALCOMM</w:t>
            </w:r>
          </w:p>
        </w:tc>
      </w:tr>
      <w:tr>
        <w:trPr>
          <w:trHeight w:val="229"/>
        </w:trPr>
        <w:tc>
          <w:tcPr>
            <w:tcW w:w="2420" w:type="dxa"/>
            <w:vAlign w:val="bottom"/>
            <w:shd w:val="clear" w:color="auto" w:fill="D9D9D9"/>
          </w:tcPr>
          <w:p>
            <w:pPr>
              <w:ind w:left="20"/>
              <w:spacing w:after="0"/>
              <w:rPr>
                <w:sz w:val="20"/>
                <w:szCs w:val="20"/>
                <w:color w:val="auto"/>
              </w:rPr>
            </w:pPr>
            <w:r>
              <w:rPr>
                <w:rFonts w:ascii="Arial" w:cs="Arial" w:eastAsia="Arial" w:hAnsi="Arial"/>
                <w:sz w:val="18"/>
                <w:szCs w:val="18"/>
                <w:color w:val="auto"/>
              </w:rPr>
              <w:t>Applied Materials</w:t>
            </w:r>
          </w:p>
        </w:tc>
        <w:tc>
          <w:tcPr>
            <w:tcW w:w="3020" w:type="dxa"/>
            <w:vAlign w:val="bottom"/>
            <w:shd w:val="clear" w:color="auto" w:fill="D9D9D9"/>
          </w:tcPr>
          <w:p>
            <w:pPr>
              <w:ind w:left="580"/>
              <w:spacing w:after="0"/>
              <w:rPr>
                <w:sz w:val="20"/>
                <w:szCs w:val="20"/>
                <w:color w:val="auto"/>
              </w:rPr>
            </w:pPr>
            <w:r>
              <w:rPr>
                <w:rFonts w:ascii="Arial" w:cs="Arial" w:eastAsia="Arial" w:hAnsi="Arial"/>
                <w:sz w:val="18"/>
                <w:szCs w:val="18"/>
                <w:color w:val="auto"/>
              </w:rPr>
              <w:t>Marvell Technology</w:t>
            </w:r>
          </w:p>
        </w:tc>
        <w:tc>
          <w:tcPr>
            <w:tcW w:w="2600" w:type="dxa"/>
            <w:vAlign w:val="bottom"/>
            <w:shd w:val="clear" w:color="auto" w:fill="D9D9D9"/>
          </w:tcPr>
          <w:p>
            <w:pPr>
              <w:ind w:left="480"/>
              <w:spacing w:after="0"/>
              <w:rPr>
                <w:sz w:val="20"/>
                <w:szCs w:val="20"/>
                <w:color w:val="auto"/>
              </w:rPr>
            </w:pPr>
            <w:r>
              <w:rPr>
                <w:rFonts w:ascii="Arial" w:cs="Arial" w:eastAsia="Arial" w:hAnsi="Arial"/>
                <w:sz w:val="18"/>
                <w:szCs w:val="18"/>
                <w:color w:val="auto"/>
              </w:rPr>
              <w:t>NVIDIA</w:t>
            </w:r>
          </w:p>
        </w:tc>
        <w:tc>
          <w:tcPr>
            <w:tcW w:w="2840" w:type="dxa"/>
            <w:vAlign w:val="bottom"/>
            <w:shd w:val="clear" w:color="auto" w:fill="D9D9D9"/>
          </w:tcPr>
          <w:p>
            <w:pPr>
              <w:ind w:left="500"/>
              <w:spacing w:after="0"/>
              <w:rPr>
                <w:sz w:val="20"/>
                <w:szCs w:val="20"/>
                <w:color w:val="auto"/>
              </w:rPr>
            </w:pPr>
            <w:r>
              <w:rPr>
                <w:rFonts w:ascii="Arial" w:cs="Arial" w:eastAsia="Arial" w:hAnsi="Arial"/>
                <w:sz w:val="18"/>
                <w:szCs w:val="18"/>
                <w:color w:val="auto"/>
              </w:rPr>
              <w:t>Texas Instruments</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Broadcom</w:t>
            </w:r>
          </w:p>
        </w:tc>
        <w:tc>
          <w:tcPr>
            <w:tcW w:w="3020" w:type="dxa"/>
            <w:vAlign w:val="bottom"/>
          </w:tcPr>
          <w:p>
            <w:pPr>
              <w:ind w:left="580"/>
              <w:spacing w:after="0"/>
              <w:rPr>
                <w:sz w:val="20"/>
                <w:szCs w:val="20"/>
                <w:color w:val="auto"/>
              </w:rPr>
            </w:pPr>
            <w:r>
              <w:rPr>
                <w:rFonts w:ascii="Arial" w:cs="Arial" w:eastAsia="Arial" w:hAnsi="Arial"/>
                <w:sz w:val="18"/>
                <w:szCs w:val="18"/>
                <w:color w:val="auto"/>
              </w:rPr>
              <w:t>Maxim Integrated Products</w:t>
            </w:r>
          </w:p>
        </w:tc>
        <w:tc>
          <w:tcPr>
            <w:tcW w:w="2600" w:type="dxa"/>
            <w:vAlign w:val="bottom"/>
          </w:tcPr>
          <w:p>
            <w:pPr>
              <w:ind w:left="480"/>
              <w:spacing w:after="0"/>
              <w:rPr>
                <w:sz w:val="20"/>
                <w:szCs w:val="20"/>
                <w:color w:val="auto"/>
              </w:rPr>
            </w:pPr>
            <w:r>
              <w:rPr>
                <w:rFonts w:ascii="Arial" w:cs="Arial" w:eastAsia="Arial" w:hAnsi="Arial"/>
                <w:sz w:val="18"/>
                <w:szCs w:val="18"/>
                <w:color w:val="auto"/>
              </w:rPr>
              <w:t>ON Semiconductor</w:t>
            </w:r>
          </w:p>
        </w:tc>
        <w:tc>
          <w:tcPr>
            <w:tcW w:w="2840" w:type="dxa"/>
            <w:vAlign w:val="bottom"/>
          </w:tcPr>
          <w:p>
            <w:pPr>
              <w:ind w:left="500"/>
              <w:spacing w:after="0"/>
              <w:rPr>
                <w:sz w:val="20"/>
                <w:szCs w:val="20"/>
                <w:color w:val="auto"/>
              </w:rPr>
            </w:pPr>
            <w:r>
              <w:rPr>
                <w:rFonts w:ascii="Arial" w:cs="Arial" w:eastAsia="Arial" w:hAnsi="Arial"/>
                <w:sz w:val="18"/>
                <w:szCs w:val="18"/>
                <w:color w:val="auto"/>
              </w:rPr>
              <w:t>Xilinx</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 w:lineRule="exact"/>
        <w:rPr>
          <w:sz w:val="20"/>
          <w:szCs w:val="20"/>
          <w:color w:val="auto"/>
        </w:rPr>
      </w:pPr>
    </w:p>
    <w:p>
      <w:pPr>
        <w:ind w:right="20" w:firstLine="8"/>
        <w:spacing w:after="0" w:line="265"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Company’s fiscal year 2022 compensation program, we made adjustments to our peer group to improve comparability. Specifically, we removed Applied Materials, Broadcom, and NVIDIA, all of which are significantly larger than the Company, as measured by multiple factors including market capitalization and annual revenue, and added Western Digital and NXP Semiconductors, both of which are more comparable in size to the Company.</w:t>
      </w:r>
    </w:p>
    <w:p>
      <w:pPr>
        <w:spacing w:after="0" w:line="197"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7"/>
          <w:szCs w:val="17"/>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Aon/Radford, the Compensation Committee established (and the full Board of Directors was advised of) the base salary, short-term incentive target, and stock-based compensation for each Named Executive Officer for fiscal year 2021. Aon/Radford advised the Compensation Committee that such components of executive compensation for fiscal year 2021 were competitive for chief executive officers and other executive officers at companies of similar size and complexity in the semiconductor industry.</w:t>
      </w:r>
    </w:p>
    <w:p>
      <w:pPr>
        <w:spacing w:after="0" w:line="203" w:lineRule="exact"/>
        <w:rPr>
          <w:sz w:val="20"/>
          <w:szCs w:val="20"/>
          <w:color w:val="auto"/>
        </w:rPr>
      </w:pPr>
    </w:p>
    <w:p>
      <w:pPr>
        <w:jc w:val="both"/>
        <w:ind w:firstLine="388"/>
        <w:spacing w:after="0" w:line="286" w:lineRule="auto"/>
        <w:rPr>
          <w:sz w:val="20"/>
          <w:szCs w:val="20"/>
          <w:color w:val="auto"/>
        </w:rPr>
      </w:pPr>
      <w:r>
        <w:rPr>
          <w:rFonts w:ascii="Arial" w:cs="Arial" w:eastAsia="Arial" w:hAnsi="Arial"/>
          <w:sz w:val="16"/>
          <w:szCs w:val="16"/>
          <w:color w:val="auto"/>
        </w:rPr>
        <w:t>In determining the compensation of our Chief Executive Officer for fiscal year 2021,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w:t>
      </w:r>
    </w:p>
    <w:p>
      <w:pPr>
        <w:ind w:firstLine="8"/>
        <w:spacing w:after="0" w:line="260"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our Chief Executive Officer’s service to the Company. Our Chief Executive Officer was not present during the voting or deliberations of the Compensation Committee concerning his compensation.</w:t>
      </w:r>
    </w:p>
    <w:p>
      <w:pPr>
        <w:spacing w:after="0" w:line="211"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7"/>
          <w:szCs w:val="17"/>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0" w:name="page11"/>
    <w:bookmarkEnd w:id="10"/>
    <w:p>
      <w:pPr>
        <w:spacing w:after="0" w:line="3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225"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191919"/>
        </w:rPr>
        <w:t>The key elements of compensation for our Named Executive Officers are base salary, short-term incentives, long-term stock-based incentives, and health and welfare benefits. For fiscal year 2021,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25"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7"/>
          <w:szCs w:val="17"/>
          <w:color w:val="auto"/>
        </w:rPr>
        <w:t>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fiscal year 2021 for each Named Executive Officer, as reflected in the table below, increased on average 4.5% from the Named Executive Officer’s base salary in fiscal year 2020, with increases ranging from 3.9% to 5.7%. Salary increases were based on the market-based salary adjustments recommended by Aon/Radford as well as recommendations by the Chief Executive Officer (for Named Executive Officers other than himself).</w:t>
      </w:r>
    </w:p>
    <w:p>
      <w:pPr>
        <w:spacing w:after="0" w:line="83"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94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FY2021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5"/>
              </w:rPr>
              <w:t>FY2020</w:t>
            </w:r>
          </w:p>
        </w:tc>
      </w:tr>
      <w:tr>
        <w:trPr>
          <w:trHeight w:val="229"/>
        </w:trPr>
        <w:tc>
          <w:tcPr>
            <w:tcW w:w="1960" w:type="dxa"/>
            <w:vAlign w:val="bottom"/>
          </w:tcPr>
          <w:p>
            <w:pPr>
              <w:spacing w:after="0"/>
              <w:rPr>
                <w:sz w:val="19"/>
                <w:szCs w:val="19"/>
                <w:color w:val="auto"/>
              </w:rPr>
            </w:pPr>
          </w:p>
        </w:tc>
        <w:tc>
          <w:tcPr>
            <w:tcW w:w="194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Base Salary ($)</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w:t>
            </w:r>
          </w:p>
        </w:tc>
      </w:tr>
      <w:tr>
        <w:trPr>
          <w:trHeight w:val="229"/>
        </w:trPr>
        <w:tc>
          <w:tcPr>
            <w:tcW w:w="1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Liam K. Griffin</w:t>
            </w:r>
          </w:p>
        </w:tc>
        <w:tc>
          <w:tcPr>
            <w:tcW w:w="1940" w:type="dxa"/>
            <w:vAlign w:val="bottom"/>
            <w:shd w:val="clear" w:color="auto" w:fill="D9D9D9"/>
          </w:tcPr>
          <w:p>
            <w:pPr>
              <w:jc w:val="center"/>
              <w:ind w:left="210"/>
              <w:spacing w:after="0"/>
              <w:rPr>
                <w:sz w:val="20"/>
                <w:szCs w:val="20"/>
                <w:color w:val="auto"/>
              </w:rPr>
            </w:pPr>
            <w:r>
              <w:rPr>
                <w:rFonts w:ascii="Arial" w:cs="Arial" w:eastAsia="Arial" w:hAnsi="Arial"/>
                <w:sz w:val="18"/>
                <w:szCs w:val="18"/>
                <w:color w:val="auto"/>
                <w:w w:val="89"/>
              </w:rPr>
              <w:t>1,075,000</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1,029,000</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2"/>
              </w:rPr>
              <w:t>560,000</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530,000</w:t>
            </w:r>
          </w:p>
        </w:tc>
      </w:tr>
      <w:tr>
        <w:trPr>
          <w:trHeight w:val="229"/>
        </w:trPr>
        <w:tc>
          <w:tcPr>
            <w:tcW w:w="1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Carlos S. Bori</w:t>
            </w:r>
          </w:p>
        </w:tc>
        <w:tc>
          <w:tcPr>
            <w:tcW w:w="1940" w:type="dxa"/>
            <w:vAlign w:val="bottom"/>
            <w:shd w:val="clear" w:color="auto" w:fill="D9D9D9"/>
          </w:tcPr>
          <w:p>
            <w:pPr>
              <w:jc w:val="center"/>
              <w:ind w:left="210"/>
              <w:spacing w:after="0"/>
              <w:rPr>
                <w:sz w:val="20"/>
                <w:szCs w:val="20"/>
                <w:color w:val="auto"/>
              </w:rPr>
            </w:pPr>
            <w:r>
              <w:rPr>
                <w:rFonts w:ascii="Arial" w:cs="Arial" w:eastAsia="Arial" w:hAnsi="Arial"/>
                <w:sz w:val="18"/>
                <w:szCs w:val="18"/>
                <w:color w:val="auto"/>
                <w:w w:val="92"/>
              </w:rPr>
              <w:t>475,000</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457,000</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2"/>
              </w:rPr>
              <w:t>492,000</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473,000</w:t>
            </w:r>
          </w:p>
        </w:tc>
      </w:tr>
      <w:tr>
        <w:trPr>
          <w:trHeight w:val="229"/>
        </w:trPr>
        <w:tc>
          <w:tcPr>
            <w:tcW w:w="1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Karilee A. Durham</w:t>
            </w:r>
          </w:p>
        </w:tc>
        <w:tc>
          <w:tcPr>
            <w:tcW w:w="1940" w:type="dxa"/>
            <w:vAlign w:val="bottom"/>
            <w:shd w:val="clear" w:color="auto" w:fill="D9D9D9"/>
          </w:tcPr>
          <w:p>
            <w:pPr>
              <w:jc w:val="center"/>
              <w:ind w:left="210"/>
              <w:spacing w:after="0"/>
              <w:rPr>
                <w:sz w:val="20"/>
                <w:szCs w:val="20"/>
                <w:color w:val="auto"/>
              </w:rPr>
            </w:pPr>
            <w:r>
              <w:rPr>
                <w:rFonts w:ascii="Arial" w:cs="Arial" w:eastAsia="Arial" w:hAnsi="Arial"/>
                <w:sz w:val="18"/>
                <w:szCs w:val="18"/>
                <w:color w:val="auto"/>
                <w:w w:val="92"/>
              </w:rPr>
              <w:t>450,000</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432,000</w:t>
            </w:r>
          </w:p>
        </w:tc>
      </w:tr>
    </w:tbl>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Short-Term Incentives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Fiscal Year 2021 Executive Incentive Plan (the “Incentive Plan”) adopted by the Compensation Committee on December 14, 2020, was based on the Company’s achievement of corporate performance goals established on a semi-annual basis during fiscal year 2021.</w:t>
      </w:r>
    </w:p>
    <w:p>
      <w:pPr>
        <w:spacing w:after="0" w:line="191"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Consistent with the plan structure from the prior fiscal year, the Incentive Plan was established with two six-month performance periods. The Compensation Committee determined that semi-annual performance periods remained appropriate for fiscal year 2021 in light of continued uncertainties related to the COVID-19 pandemic. As with the prior year, this approach proved to be appropriate for fiscal year 2021, as the performance goals set by the Compensation Committee for the second performance period, as discussed below, reflected a significantly improved business outlook that resulted from greater-than-expected increases in overall demand for our wireless connectivity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Opportunities</w:t>
      </w:r>
    </w:p>
    <w:p>
      <w:pPr>
        <w:spacing w:after="0" w:line="225"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For each executive officer, short-term incentive compensation at the “target” level is designed to be near the median short-term incentive compensation of the Comparator Group. After reviewing Comparator Group data,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Compensation Committee determined that the target incentive under the Incentive Plan, as a percentage of base salary, for each of the Named Executive Officers should not be changed, as compared to the target incentives under the prior year’s short-term incentive plan.</w:t>
      </w:r>
    </w:p>
    <w:p>
      <w:pPr>
        <w:spacing w:after="0" w:line="169" w:lineRule="exact"/>
        <w:rPr>
          <w:sz w:val="20"/>
          <w:szCs w:val="20"/>
          <w:color w:val="auto"/>
        </w:rPr>
      </w:pPr>
    </w:p>
    <w:p>
      <w:pPr>
        <w:jc w:val="both"/>
        <w:ind w:right="20" w:firstLine="388"/>
        <w:spacing w:after="0" w:line="277" w:lineRule="auto"/>
        <w:rPr>
          <w:sz w:val="20"/>
          <w:szCs w:val="20"/>
          <w:color w:val="auto"/>
        </w:rPr>
      </w:pPr>
      <w:r>
        <w:rPr>
          <w:rFonts w:ascii="Arial" w:cs="Arial" w:eastAsia="Arial" w:hAnsi="Arial"/>
          <w:sz w:val="18"/>
          <w:szCs w:val="18"/>
          <w:color w:val="auto"/>
        </w:rPr>
        <w:t>The following table shows the range of short-term incentive compensation that each Named Executive Officer could earn in fiscal year 2021 as a percentage of such executive officer’s annual base salary.</w:t>
      </w:r>
    </w:p>
    <w:p>
      <w:pPr>
        <w:spacing w:after="0" w:line="98"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300" w:type="dxa"/>
            <w:vAlign w:val="bottom"/>
          </w:tcPr>
          <w:p>
            <w:pPr>
              <w:ind w:left="400"/>
              <w:spacing w:after="0"/>
              <w:rPr>
                <w:sz w:val="20"/>
                <w:szCs w:val="20"/>
                <w:color w:val="auto"/>
              </w:rPr>
            </w:pPr>
            <w:r>
              <w:rPr>
                <w:rFonts w:ascii="Arial" w:cs="Arial" w:eastAsia="Arial" w:hAnsi="Arial"/>
                <w:sz w:val="18"/>
                <w:szCs w:val="18"/>
                <w:b w:val="1"/>
                <w:bCs w:val="1"/>
                <w:color w:val="auto"/>
              </w:rPr>
              <w:t>Target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29"/>
        </w:trPr>
        <w:tc>
          <w:tcPr>
            <w:tcW w:w="3280" w:type="dxa"/>
            <w:vAlign w:val="bottom"/>
            <w:shd w:val="clear" w:color="auto" w:fill="D9D9D9"/>
          </w:tcPr>
          <w:p>
            <w:pPr>
              <w:ind w:left="20"/>
              <w:spacing w:after="0"/>
              <w:rPr>
                <w:sz w:val="20"/>
                <w:szCs w:val="20"/>
                <w:color w:val="auto"/>
              </w:rPr>
            </w:pPr>
            <w:r>
              <w:rPr>
                <w:rFonts w:ascii="Arial" w:cs="Arial" w:eastAsia="Arial" w:hAnsi="Arial"/>
                <w:sz w:val="18"/>
                <w:szCs w:val="18"/>
                <w:color w:val="auto"/>
              </w:rPr>
              <w:t>Chief Executive Officer</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80%</w:t>
            </w:r>
          </w:p>
        </w:tc>
        <w:tc>
          <w:tcPr>
            <w:tcW w:w="13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160%</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320%</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200%</w:t>
            </w:r>
          </w:p>
        </w:tc>
      </w:tr>
      <w:tr>
        <w:trPr>
          <w:trHeight w:val="229"/>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Executive Officers</w:t>
            </w:r>
          </w:p>
        </w:tc>
        <w:tc>
          <w:tcPr>
            <w:tcW w:w="15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40%</w:t>
            </w:r>
          </w:p>
        </w:tc>
        <w:tc>
          <w:tcPr>
            <w:tcW w:w="13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8"/>
              </w:rPr>
              <w:t>80%</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225"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7"/>
          <w:szCs w:val="17"/>
          <w:color w:val="auto"/>
        </w:rPr>
        <w:t xml:space="preserve">In December 2020 and May 2021, the Compensation Committee established performance goals for the applicable </w:t>
      </w:r>
      <w:r>
        <w:rPr>
          <w:rFonts w:ascii="Arial" w:cs="Arial" w:eastAsia="Arial" w:hAnsi="Arial"/>
          <w:sz w:val="17"/>
          <w:szCs w:val="17"/>
          <w:color w:val="212529"/>
        </w:rPr>
        <w:t>semi-annual performance period,</w:t>
      </w:r>
      <w:r>
        <w:rPr>
          <w:rFonts w:ascii="Arial" w:cs="Arial" w:eastAsia="Arial" w:hAnsi="Arial"/>
          <w:sz w:val="17"/>
          <w:szCs w:val="17"/>
          <w:color w:val="auto"/>
        </w:rPr>
        <w:t xml:space="preserve"> </w:t>
      </w:r>
      <w:r>
        <w:rPr>
          <w:rFonts w:ascii="Arial" w:cs="Arial" w:eastAsia="Arial" w:hAnsi="Arial"/>
          <w:sz w:val="17"/>
          <w:szCs w:val="17"/>
          <w:color w:val="212529"/>
        </w:rPr>
        <w:t xml:space="preserve">with </w:t>
      </w:r>
      <w:r>
        <w:rPr>
          <w:rFonts w:ascii="Arial" w:cs="Arial" w:eastAsia="Arial" w:hAnsi="Arial"/>
          <w:sz w:val="17"/>
          <w:szCs w:val="17"/>
          <w:color w:val="000000"/>
        </w:rPr>
        <w:t>each executive eligible to earn up to half of his or her annual short-term incentive compensation with respect to each six-month period. Under the</w:t>
      </w:r>
      <w:r>
        <w:rPr>
          <w:rFonts w:ascii="Arial" w:cs="Arial" w:eastAsia="Arial" w:hAnsi="Arial"/>
          <w:sz w:val="17"/>
          <w:szCs w:val="17"/>
          <w:color w:val="212529"/>
        </w:rPr>
        <w:t xml:space="preserve"> </w:t>
      </w:r>
      <w:r>
        <w:rPr>
          <w:rFonts w:ascii="Arial" w:cs="Arial" w:eastAsia="Arial" w:hAnsi="Arial"/>
          <w:sz w:val="17"/>
          <w:szCs w:val="17"/>
          <w:color w:val="000000"/>
        </w:rPr>
        <w:t>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EBITDA performance goals, each of which was weighted at 50% for each respective performance period. EBITDA, for purposes of the non-GAAP EBITDA performance goal, was calculated by adding depreciation and amortization to the Company’s non-GAAP operating income, as publicly reported in the Company’s earnings release for the applicable period.</w:t>
      </w:r>
    </w:p>
    <w:p>
      <w:pPr>
        <w:spacing w:after="0" w:line="167" w:lineRule="exact"/>
        <w:rPr>
          <w:sz w:val="20"/>
          <w:szCs w:val="20"/>
          <w:color w:val="auto"/>
        </w:rPr>
      </w:pPr>
    </w:p>
    <w:p>
      <w:pPr>
        <w:ind w:right="160" w:firstLine="388"/>
        <w:spacing w:after="0" w:line="237" w:lineRule="auto"/>
        <w:rPr>
          <w:sz w:val="20"/>
          <w:szCs w:val="20"/>
          <w:color w:val="auto"/>
        </w:rPr>
      </w:pPr>
      <w:r>
        <w:rPr>
          <w:rFonts w:ascii="Arial" w:cs="Arial" w:eastAsia="Arial" w:hAnsi="Arial"/>
          <w:sz w:val="17"/>
          <w:szCs w:val="17"/>
          <w:color w:val="auto"/>
        </w:rPr>
        <w:t>The target level performance goals were established by the Compensation Committee 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The threshold level performance goals established by the Compensation Committee under the Incentive Plan in each case exceeded the Company’s actual performance during the corresponding performance period during the prior fiscal year. The maximum level performance goals established by the Compensation Committee have historically been difficult to achieve and are designed to represent outstanding performance that the Compensation Committee believes should be rewarded. The performance goals established for the second half of fiscal year 2021 were based on the Company’s outlook in May 2021 for the remainder of the fiscal year, which included expectations for revenue and non-GAAP EBITDA that were significantly higher than the Company’s original operating plan, resulting in an upward adjustment to the metrics from the preliminary metrics discussed in December 2020.</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performance goals established under the Incentive Plan for fiscal year 2021 were as follows:</w:t>
      </w:r>
    </w:p>
    <w:p>
      <w:pPr>
        <w:spacing w:after="0" w:line="45"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Revenue</w:t>
            </w:r>
          </w:p>
        </w:tc>
        <w:tc>
          <w:tcPr>
            <w:tcW w:w="32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Non-GAAP EBITDA</w:t>
            </w:r>
          </w:p>
        </w:tc>
        <w:tc>
          <w:tcPr>
            <w:tcW w:w="0" w:type="dxa"/>
            <w:vAlign w:val="bottom"/>
          </w:tcPr>
          <w:p>
            <w:pPr>
              <w:spacing w:after="0"/>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1st Half</w:t>
            </w:r>
          </w:p>
        </w:tc>
        <w:tc>
          <w:tcPr>
            <w:tcW w:w="20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2nd Half</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1st Half</w:t>
            </w:r>
          </w:p>
        </w:tc>
        <w:tc>
          <w:tcPr>
            <w:tcW w:w="1640" w:type="dxa"/>
            <w:vAlign w:val="bottom"/>
          </w:tcPr>
          <w:p>
            <w:pPr>
              <w:ind w:left="480"/>
              <w:spacing w:after="0"/>
              <w:rPr>
                <w:sz w:val="20"/>
                <w:szCs w:val="20"/>
                <w:color w:val="auto"/>
              </w:rPr>
            </w:pPr>
            <w:r>
              <w:rPr>
                <w:rFonts w:ascii="Arial" w:cs="Arial" w:eastAsia="Arial" w:hAnsi="Arial"/>
                <w:sz w:val="18"/>
                <w:szCs w:val="18"/>
                <w:b w:val="1"/>
                <w:bCs w:val="1"/>
                <w:color w:val="auto"/>
              </w:rPr>
              <w:t>2nd Half</w:t>
            </w:r>
          </w:p>
        </w:tc>
        <w:tc>
          <w:tcPr>
            <w:tcW w:w="0" w:type="dxa"/>
            <w:vAlign w:val="bottom"/>
          </w:tcPr>
          <w:p>
            <w:pPr>
              <w:spacing w:after="0"/>
              <w:rPr>
                <w:sz w:val="1"/>
                <w:szCs w:val="1"/>
                <w:color w:val="auto"/>
              </w:rPr>
            </w:pPr>
          </w:p>
        </w:tc>
      </w:tr>
      <w:tr>
        <w:trPr>
          <w:trHeight w:val="229"/>
        </w:trPr>
        <w:tc>
          <w:tcPr>
            <w:tcW w:w="39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Threshold</w:t>
            </w:r>
          </w:p>
        </w:tc>
        <w:tc>
          <w:tcPr>
            <w:tcW w:w="116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87"/>
              </w:rPr>
              <w:t>$1,700</w:t>
            </w:r>
          </w:p>
        </w:tc>
        <w:tc>
          <w:tcPr>
            <w:tcW w:w="200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90"/>
              </w:rPr>
              <w:t>$2,018</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$730</w:t>
            </w:r>
          </w:p>
        </w:tc>
        <w:tc>
          <w:tcPr>
            <w:tcW w:w="16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$855</w:t>
            </w:r>
          </w:p>
        </w:tc>
        <w:tc>
          <w:tcPr>
            <w:tcW w:w="0" w:type="dxa"/>
            <w:vAlign w:val="bottom"/>
          </w:tcPr>
          <w:p>
            <w:pPr>
              <w:spacing w:after="0"/>
              <w:rPr>
                <w:sz w:val="1"/>
                <w:szCs w:val="1"/>
                <w:color w:val="auto"/>
              </w:rPr>
            </w:pPr>
          </w:p>
        </w:tc>
      </w:tr>
      <w:tr>
        <w:trPr>
          <w:trHeight w:val="229"/>
        </w:trPr>
        <w:tc>
          <w:tcPr>
            <w:tcW w:w="394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87"/>
              </w:rPr>
              <w:t>$1,835</w:t>
            </w:r>
          </w:p>
        </w:tc>
        <w:tc>
          <w:tcPr>
            <w:tcW w:w="2000" w:type="dxa"/>
            <w:vAlign w:val="bottom"/>
          </w:tcPr>
          <w:p>
            <w:pPr>
              <w:jc w:val="center"/>
              <w:ind w:left="330"/>
              <w:spacing w:after="0"/>
              <w:rPr>
                <w:sz w:val="20"/>
                <w:szCs w:val="20"/>
                <w:color w:val="auto"/>
              </w:rPr>
            </w:pPr>
            <w:r>
              <w:rPr>
                <w:rFonts w:ascii="Arial" w:cs="Arial" w:eastAsia="Arial" w:hAnsi="Arial"/>
                <w:sz w:val="18"/>
                <w:szCs w:val="18"/>
                <w:color w:val="auto"/>
                <w:w w:val="90"/>
              </w:rPr>
              <w:t>$2,168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$795</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$940</w:t>
            </w:r>
          </w:p>
        </w:tc>
        <w:tc>
          <w:tcPr>
            <w:tcW w:w="0" w:type="dxa"/>
            <w:vAlign w:val="bottom"/>
          </w:tcPr>
          <w:p>
            <w:pPr>
              <w:spacing w:after="0"/>
              <w:rPr>
                <w:sz w:val="1"/>
                <w:szCs w:val="1"/>
                <w:color w:val="auto"/>
              </w:rPr>
            </w:pPr>
          </w:p>
        </w:tc>
      </w:tr>
      <w:tr>
        <w:trPr>
          <w:trHeight w:val="229"/>
        </w:trPr>
        <w:tc>
          <w:tcPr>
            <w:tcW w:w="39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Maximum</w:t>
            </w:r>
          </w:p>
        </w:tc>
        <w:tc>
          <w:tcPr>
            <w:tcW w:w="116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87"/>
              </w:rPr>
              <w:t>$1,900</w:t>
            </w:r>
          </w:p>
        </w:tc>
        <w:tc>
          <w:tcPr>
            <w:tcW w:w="200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90"/>
              </w:rPr>
              <w:t>$2,318</w:t>
            </w:r>
          </w:p>
        </w:tc>
        <w:tc>
          <w:tcPr>
            <w:tcW w:w="15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$825</w:t>
            </w:r>
          </w:p>
        </w:tc>
        <w:tc>
          <w:tcPr>
            <w:tcW w:w="16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$1,025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7"/>
          <w:szCs w:val="17"/>
          <w:color w:val="auto"/>
        </w:rPr>
        <w:t>The Incentive Plan stipulated that payouts to executives following the end of the fiscal year, under either of the performance metrics, were conditioned upon the Company achieving full-year non-GAAP operating income of $650 million, which is increased from the $500 million threshold that applied for the prior fiscal year. Non-GAAP operating income, for purposes of the Incentive Plan, is based on the Company’s publicly disclosed non-GAAP operating income—which is calculated by excluding from GAAP operating income share-based compensation expense; acquisition-related expenses; amortization of acquisition-related intangibles; settlements, gains, losses, and impairments; restructuring-related charges; and certain deferred executive compensation— after accounting for any incentive award payments, including those to be made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Calculation of Incentive Plan Payments</w:t>
      </w:r>
    </w:p>
    <w:p>
      <w:pPr>
        <w:spacing w:after="0" w:line="225" w:lineRule="exact"/>
        <w:rPr>
          <w:sz w:val="20"/>
          <w:szCs w:val="20"/>
          <w:color w:val="auto"/>
        </w:rPr>
      </w:pPr>
    </w:p>
    <w:p>
      <w:pPr>
        <w:jc w:val="both"/>
        <w:ind w:firstLine="388"/>
        <w:spacing w:after="0" w:line="293" w:lineRule="auto"/>
        <w:rPr>
          <w:sz w:val="20"/>
          <w:szCs w:val="20"/>
          <w:color w:val="auto"/>
        </w:rPr>
      </w:pPr>
      <w:r>
        <w:rPr>
          <w:rFonts w:ascii="Arial" w:cs="Arial" w:eastAsia="Arial" w:hAnsi="Arial"/>
          <w:sz w:val="16"/>
          <w:szCs w:val="16"/>
          <w:color w:val="212529"/>
        </w:rPr>
        <w:t>Under the Incentive Plan, upon completion of the first six months of the fiscal year, the Compensation Committee determined the extent to which the Company’s performance goals for the first 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w:t>
      </w:r>
    </w:p>
    <w:p>
      <w:pPr>
        <w:spacing w:after="0" w:line="163" w:lineRule="exact"/>
        <w:rPr>
          <w:sz w:val="20"/>
          <w:szCs w:val="20"/>
          <w:color w:val="auto"/>
        </w:rPr>
      </w:pPr>
    </w:p>
    <w:p>
      <w:pPr>
        <w:jc w:val="both"/>
        <w:ind w:firstLine="388"/>
        <w:spacing w:after="0" w:line="301" w:lineRule="auto"/>
        <w:rPr>
          <w:sz w:val="20"/>
          <w:szCs w:val="20"/>
          <w:color w:val="auto"/>
        </w:rPr>
      </w:pPr>
      <w:r>
        <w:rPr>
          <w:rFonts w:ascii="Arial" w:cs="Arial" w:eastAsia="Arial" w:hAnsi="Arial"/>
          <w:sz w:val="16"/>
          <w:szCs w:val="16"/>
          <w:color w:val="auto"/>
        </w:rPr>
        <w:t>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156" w:lineRule="exact"/>
        <w:rPr>
          <w:sz w:val="20"/>
          <w:szCs w:val="20"/>
          <w:color w:val="auto"/>
        </w:rPr>
      </w:pPr>
    </w:p>
    <w:p>
      <w:pPr>
        <w:jc w:val="both"/>
        <w:ind w:firstLine="388"/>
        <w:spacing w:after="0" w:line="293" w:lineRule="auto"/>
        <w:rPr>
          <w:sz w:val="20"/>
          <w:szCs w:val="20"/>
          <w:color w:val="auto"/>
        </w:rPr>
      </w:pPr>
      <w:r>
        <w:rPr>
          <w:rFonts w:ascii="Arial" w:cs="Arial" w:eastAsia="Arial" w:hAnsi="Arial"/>
          <w:sz w:val="16"/>
          <w:szCs w:val="16"/>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metrics were not met or if the nominal level of non-GAAP operating income was not met, or to make payments in excess of the maximum level if the Company’s performance exceeded the maximum metrics. While the Compensation Committee believed it was appropriate to retain this discretion in order to make short-term incentive compensation awards in appropriate extraordinary circumstances, no such adjustments were actually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Results</w:t>
      </w:r>
    </w:p>
    <w:p>
      <w:pPr>
        <w:spacing w:after="0" w:line="225"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7"/>
          <w:szCs w:val="17"/>
          <w:color w:val="auto"/>
        </w:rPr>
        <w:t>For the first half of fiscal year 2021, the Company’s revenue and non-GAAP EBITDA achieved were $2,682 million and $1,226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2021, with the remainder held back for potential payment following the completion of the fiscal year. For the second half of fiscal year 2021, the Company’s revenue and non-GAAP EBITDA achieved were $2,367 million and $1,050 million, respectively, resulting in a short-term compensation award for each Named Executive Officer with respect to such performance period equal to his or her maximum payment level, or 200% of the target payment level. In determining the Company’s performance for the second half of fiscal year 2021, the Company excluded all impacts to revenue and non-GAAP EBITDA resulting from the acquisition in July 2021 of Silicon Labs’ Infrastructure and Automotive business. In November 2021,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color w:val="auto"/>
        </w:rPr>
        <w:t>The following table shows the Company’s achievement under the Incentive Plan: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35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1"/>
              </w:rPr>
              <w:t>(in millions)</w:t>
            </w:r>
          </w:p>
        </w:tc>
        <w:tc>
          <w:tcPr>
            <w:tcW w:w="1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300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Non-GAAP EBITDA</w:t>
            </w: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36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1st Half</w:t>
            </w:r>
          </w:p>
        </w:tc>
        <w:tc>
          <w:tcPr>
            <w:tcW w:w="200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2nd Half</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1st Half</w:t>
            </w:r>
          </w:p>
        </w:tc>
        <w:tc>
          <w:tcPr>
            <w:tcW w:w="1440" w:type="dxa"/>
            <w:vAlign w:val="bottom"/>
          </w:tcPr>
          <w:p>
            <w:pPr>
              <w:ind w:left="500"/>
              <w:spacing w:after="0"/>
              <w:rPr>
                <w:sz w:val="20"/>
                <w:szCs w:val="20"/>
                <w:color w:val="auto"/>
              </w:rPr>
            </w:pPr>
            <w:r>
              <w:rPr>
                <w:rFonts w:ascii="Arial" w:cs="Arial" w:eastAsia="Arial" w:hAnsi="Arial"/>
                <w:sz w:val="18"/>
                <w:szCs w:val="18"/>
                <w:b w:val="1"/>
                <w:bCs w:val="1"/>
                <w:color w:val="auto"/>
              </w:rPr>
              <w:t>2nd Half</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jc w:val="center"/>
              <w:ind w:left="290"/>
              <w:spacing w:after="0"/>
              <w:rPr>
                <w:sz w:val="20"/>
                <w:szCs w:val="20"/>
                <w:color w:val="auto"/>
              </w:rPr>
            </w:pPr>
            <w:r>
              <w:rPr>
                <w:rFonts w:ascii="Arial" w:cs="Arial" w:eastAsia="Arial" w:hAnsi="Arial"/>
                <w:sz w:val="18"/>
                <w:szCs w:val="18"/>
                <w:color w:val="auto"/>
                <w:w w:val="89"/>
              </w:rPr>
              <w:t>Threshold</w:t>
            </w:r>
          </w:p>
        </w:tc>
        <w:tc>
          <w:tcPr>
            <w:tcW w:w="1360" w:type="dxa"/>
            <w:vAlign w:val="bottom"/>
            <w:shd w:val="clear" w:color="auto" w:fill="D9D9D9"/>
          </w:tcPr>
          <w:p>
            <w:pPr>
              <w:jc w:val="center"/>
              <w:ind w:left="570"/>
              <w:spacing w:after="0"/>
              <w:rPr>
                <w:sz w:val="20"/>
                <w:szCs w:val="20"/>
                <w:color w:val="auto"/>
              </w:rPr>
            </w:pPr>
            <w:r>
              <w:rPr>
                <w:rFonts w:ascii="Arial" w:cs="Arial" w:eastAsia="Arial" w:hAnsi="Arial"/>
                <w:sz w:val="18"/>
                <w:szCs w:val="18"/>
                <w:color w:val="auto"/>
                <w:w w:val="90"/>
              </w:rPr>
              <w:t>$1,700</w:t>
            </w:r>
          </w:p>
        </w:tc>
        <w:tc>
          <w:tcPr>
            <w:tcW w:w="2000" w:type="dxa"/>
            <w:vAlign w:val="bottom"/>
            <w:shd w:val="clear" w:color="auto" w:fill="D9D9D9"/>
          </w:tcPr>
          <w:p>
            <w:pPr>
              <w:jc w:val="center"/>
              <w:ind w:left="330"/>
              <w:spacing w:after="0"/>
              <w:rPr>
                <w:sz w:val="20"/>
                <w:szCs w:val="20"/>
                <w:color w:val="auto"/>
              </w:rPr>
            </w:pPr>
            <w:r>
              <w:rPr>
                <w:rFonts w:ascii="Arial" w:cs="Arial" w:eastAsia="Arial" w:hAnsi="Arial"/>
                <w:sz w:val="18"/>
                <w:szCs w:val="18"/>
                <w:color w:val="auto"/>
                <w:w w:val="90"/>
              </w:rPr>
              <w:t>$2,018</w:t>
            </w:r>
          </w:p>
        </w:tc>
        <w:tc>
          <w:tcPr>
            <w:tcW w:w="15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$730</w:t>
            </w:r>
          </w:p>
        </w:tc>
        <w:tc>
          <w:tcPr>
            <w:tcW w:w="1440" w:type="dxa"/>
            <w:vAlign w:val="bottom"/>
            <w:shd w:val="clear" w:color="auto" w:fill="D9D9D9"/>
          </w:tcPr>
          <w:p>
            <w:pPr>
              <w:jc w:val="center"/>
              <w:ind w:left="150"/>
              <w:spacing w:after="0"/>
              <w:rPr>
                <w:sz w:val="20"/>
                <w:szCs w:val="20"/>
                <w:color w:val="auto"/>
              </w:rPr>
            </w:pPr>
            <w:r>
              <w:rPr>
                <w:rFonts w:ascii="Arial" w:cs="Arial" w:eastAsia="Arial" w:hAnsi="Arial"/>
                <w:sz w:val="18"/>
                <w:szCs w:val="18"/>
                <w:color w:val="auto"/>
                <w:w w:val="89"/>
              </w:rPr>
              <w:t>$855</w:t>
            </w:r>
          </w:p>
        </w:tc>
        <w:tc>
          <w:tcPr>
            <w:tcW w:w="0" w:type="dxa"/>
            <w:vAlign w:val="bottom"/>
          </w:tcPr>
          <w:p>
            <w:pPr>
              <w:spacing w:after="0"/>
              <w:rPr>
                <w:sz w:val="1"/>
                <w:szCs w:val="1"/>
                <w:color w:val="auto"/>
              </w:rPr>
            </w:pPr>
          </w:p>
        </w:tc>
      </w:tr>
      <w:tr>
        <w:trPr>
          <w:trHeight w:val="229"/>
        </w:trPr>
        <w:tc>
          <w:tcPr>
            <w:tcW w:w="3500" w:type="dxa"/>
            <w:vAlign w:val="bottom"/>
          </w:tcPr>
          <w:p>
            <w:pPr>
              <w:jc w:val="center"/>
              <w:ind w:left="290"/>
              <w:spacing w:after="0"/>
              <w:rPr>
                <w:sz w:val="20"/>
                <w:szCs w:val="20"/>
                <w:color w:val="auto"/>
              </w:rPr>
            </w:pPr>
            <w:r>
              <w:rPr>
                <w:rFonts w:ascii="Arial" w:cs="Arial" w:eastAsia="Arial" w:hAnsi="Arial"/>
                <w:sz w:val="18"/>
                <w:szCs w:val="18"/>
                <w:color w:val="auto"/>
                <w:w w:val="84"/>
              </w:rPr>
              <w:t>Target</w:t>
            </w: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90"/>
              </w:rPr>
              <w:t>$1,835</w:t>
            </w:r>
          </w:p>
        </w:tc>
        <w:tc>
          <w:tcPr>
            <w:tcW w:w="2000" w:type="dxa"/>
            <w:vAlign w:val="bottom"/>
          </w:tcPr>
          <w:p>
            <w:pPr>
              <w:jc w:val="center"/>
              <w:ind w:left="330"/>
              <w:spacing w:after="0"/>
              <w:rPr>
                <w:sz w:val="20"/>
                <w:szCs w:val="20"/>
                <w:color w:val="auto"/>
              </w:rPr>
            </w:pPr>
            <w:r>
              <w:rPr>
                <w:rFonts w:ascii="Arial" w:cs="Arial" w:eastAsia="Arial" w:hAnsi="Arial"/>
                <w:sz w:val="18"/>
                <w:szCs w:val="18"/>
                <w:color w:val="auto"/>
                <w:w w:val="90"/>
              </w:rPr>
              <w:t>$2,168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$795</w:t>
            </w:r>
          </w:p>
        </w:tc>
        <w:tc>
          <w:tcPr>
            <w:tcW w:w="1440" w:type="dxa"/>
            <w:vAlign w:val="bottom"/>
          </w:tcPr>
          <w:p>
            <w:pPr>
              <w:jc w:val="center"/>
              <w:ind w:left="150"/>
              <w:spacing w:after="0"/>
              <w:rPr>
                <w:sz w:val="20"/>
                <w:szCs w:val="20"/>
                <w:color w:val="auto"/>
              </w:rPr>
            </w:pPr>
            <w:r>
              <w:rPr>
                <w:rFonts w:ascii="Arial" w:cs="Arial" w:eastAsia="Arial" w:hAnsi="Arial"/>
                <w:sz w:val="18"/>
                <w:szCs w:val="18"/>
                <w:color w:val="auto"/>
                <w:w w:val="89"/>
              </w:rPr>
              <w:t>$940</w:t>
            </w:r>
          </w:p>
        </w:tc>
        <w:tc>
          <w:tcPr>
            <w:tcW w:w="0" w:type="dxa"/>
            <w:vAlign w:val="bottom"/>
          </w:tcPr>
          <w:p>
            <w:pPr>
              <w:spacing w:after="0"/>
              <w:rPr>
                <w:sz w:val="1"/>
                <w:szCs w:val="1"/>
                <w:color w:val="auto"/>
              </w:rPr>
            </w:pPr>
          </w:p>
        </w:tc>
      </w:tr>
      <w:tr>
        <w:trPr>
          <w:trHeight w:val="229"/>
        </w:trPr>
        <w:tc>
          <w:tcPr>
            <w:tcW w:w="350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97"/>
              </w:rPr>
              <w:t>Maximum</w:t>
            </w:r>
          </w:p>
        </w:tc>
        <w:tc>
          <w:tcPr>
            <w:tcW w:w="1360" w:type="dxa"/>
            <w:vAlign w:val="bottom"/>
            <w:shd w:val="clear" w:color="auto" w:fill="D9D9D9"/>
          </w:tcPr>
          <w:p>
            <w:pPr>
              <w:jc w:val="center"/>
              <w:ind w:left="570"/>
              <w:spacing w:after="0"/>
              <w:rPr>
                <w:sz w:val="20"/>
                <w:szCs w:val="20"/>
                <w:color w:val="auto"/>
              </w:rPr>
            </w:pPr>
            <w:r>
              <w:rPr>
                <w:rFonts w:ascii="Arial" w:cs="Arial" w:eastAsia="Arial" w:hAnsi="Arial"/>
                <w:sz w:val="18"/>
                <w:szCs w:val="18"/>
                <w:color w:val="auto"/>
                <w:w w:val="90"/>
              </w:rPr>
              <w:t>$1,900</w:t>
            </w:r>
          </w:p>
        </w:tc>
        <w:tc>
          <w:tcPr>
            <w:tcW w:w="2000" w:type="dxa"/>
            <w:vAlign w:val="bottom"/>
            <w:shd w:val="clear" w:color="auto" w:fill="D9D9D9"/>
          </w:tcPr>
          <w:p>
            <w:pPr>
              <w:jc w:val="center"/>
              <w:ind w:left="330"/>
              <w:spacing w:after="0"/>
              <w:rPr>
                <w:sz w:val="20"/>
                <w:szCs w:val="20"/>
                <w:color w:val="auto"/>
              </w:rPr>
            </w:pPr>
            <w:r>
              <w:rPr>
                <w:rFonts w:ascii="Arial" w:cs="Arial" w:eastAsia="Arial" w:hAnsi="Arial"/>
                <w:sz w:val="18"/>
                <w:szCs w:val="18"/>
                <w:color w:val="auto"/>
                <w:w w:val="90"/>
              </w:rPr>
              <w:t>$2,318</w:t>
            </w:r>
          </w:p>
        </w:tc>
        <w:tc>
          <w:tcPr>
            <w:tcW w:w="15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$825</w:t>
            </w:r>
          </w:p>
        </w:tc>
        <w:tc>
          <w:tcPr>
            <w:tcW w:w="1440" w:type="dxa"/>
            <w:vAlign w:val="bottom"/>
            <w:shd w:val="clear" w:color="auto" w:fill="D9D9D9"/>
          </w:tcPr>
          <w:p>
            <w:pPr>
              <w:jc w:val="center"/>
              <w:ind w:left="130"/>
              <w:spacing w:after="0"/>
              <w:rPr>
                <w:sz w:val="20"/>
                <w:szCs w:val="20"/>
                <w:color w:val="auto"/>
              </w:rPr>
            </w:pPr>
            <w:r>
              <w:rPr>
                <w:rFonts w:ascii="Arial" w:cs="Arial" w:eastAsia="Arial" w:hAnsi="Arial"/>
                <w:sz w:val="18"/>
                <w:szCs w:val="18"/>
                <w:color w:val="auto"/>
                <w:w w:val="90"/>
              </w:rPr>
              <w:t>$1,025</w:t>
            </w:r>
          </w:p>
        </w:tc>
        <w:tc>
          <w:tcPr>
            <w:tcW w:w="0" w:type="dxa"/>
            <w:vAlign w:val="bottom"/>
          </w:tcPr>
          <w:p>
            <w:pPr>
              <w:spacing w:after="0"/>
              <w:rPr>
                <w:sz w:val="1"/>
                <w:szCs w:val="1"/>
                <w:color w:val="auto"/>
              </w:rPr>
            </w:pPr>
          </w:p>
        </w:tc>
      </w:tr>
      <w:tr>
        <w:trPr>
          <w:trHeight w:val="234"/>
        </w:trPr>
        <w:tc>
          <w:tcPr>
            <w:tcW w:w="350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Achieved</w:t>
            </w:r>
          </w:p>
        </w:tc>
        <w:tc>
          <w:tcPr>
            <w:tcW w:w="136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$2,682</w:t>
            </w:r>
          </w:p>
        </w:tc>
        <w:tc>
          <w:tcPr>
            <w:tcW w:w="200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$2,367</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$1,226</w:t>
            </w:r>
          </w:p>
        </w:tc>
        <w:tc>
          <w:tcPr>
            <w:tcW w:w="144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$1,050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Long-Term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2021, the Compensation Committee made an annual stock-based compensation award to each of the Named Executive Officers on November 11, 2020, at a regularly scheduled Compensation Committee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2021 Stock-Based Compensation Awards</w:t>
      </w:r>
    </w:p>
    <w:p>
      <w:pPr>
        <w:spacing w:after="0" w:line="225" w:lineRule="exact"/>
        <w:rPr>
          <w:sz w:val="20"/>
          <w:szCs w:val="20"/>
          <w:color w:val="auto"/>
        </w:rPr>
      </w:pPr>
    </w:p>
    <w:p>
      <w:pPr>
        <w:jc w:val="both"/>
        <w:ind w:firstLine="388"/>
        <w:spacing w:after="0" w:line="288" w:lineRule="auto"/>
        <w:rPr>
          <w:sz w:val="20"/>
          <w:szCs w:val="20"/>
          <w:color w:val="auto"/>
        </w:rPr>
      </w:pPr>
      <w:r>
        <w:rPr>
          <w:rFonts w:ascii="Arial" w:cs="Arial" w:eastAsia="Arial" w:hAnsi="Arial"/>
          <w:sz w:val="16"/>
          <w:szCs w:val="16"/>
          <w:color w:val="auto"/>
        </w:rPr>
        <w:t>In making annual stock-based compensation awards to executive officers for fiscal year 2021,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2021 that were competitive within the Comparator Group. Each executive officer was granted a performance share award (“PSA”) and a restricted stock unit (“RSU”) award equivalent to sixty percent (60%) and forty percent (40%), respectively, of the dollar value of the executive’s fiscal year 2021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 with those of our stockholders by using equity awards that will vest only if the Company achieves pre-established performance metrics, and we believe the Compensation Committee’s decision to award a portion of the PSAs subject to performance metrics measured over a multi-year performance period more closely aligns the executive’s interests with those of our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1"/>
              </w:rPr>
              <w:t>Value of FY21</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Subject</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0" w:type="dxa"/>
            <w:vAlign w:val="bottom"/>
          </w:tcPr>
          <w:p>
            <w:pPr>
              <w:spacing w:after="0"/>
              <w:rPr>
                <w:sz w:val="1"/>
                <w:szCs w:val="1"/>
                <w:color w:val="auto"/>
              </w:rPr>
            </w:pPr>
          </w:p>
        </w:tc>
      </w:tr>
      <w:tr>
        <w:trPr>
          <w:trHeight w:val="229"/>
        </w:trPr>
        <w:tc>
          <w:tcPr>
            <w:tcW w:w="2180" w:type="dxa"/>
            <w:vAlign w:val="bottom"/>
            <w:vMerge w:val="continue"/>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9"/>
              </w:rPr>
              <w:t>Stock-Based Award (1)</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to PSAs, at Target (2)</w:t>
            </w:r>
          </w:p>
        </w:tc>
        <w:tc>
          <w:tcPr>
            <w:tcW w:w="25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Subject to RSUs (2)</w:t>
            </w:r>
          </w:p>
        </w:tc>
        <w:tc>
          <w:tcPr>
            <w:tcW w:w="0" w:type="dxa"/>
            <w:vAlign w:val="bottom"/>
          </w:tcPr>
          <w:p>
            <w:pPr>
              <w:spacing w:after="0"/>
              <w:rPr>
                <w:sz w:val="1"/>
                <w:szCs w:val="1"/>
                <w:color w:val="auto"/>
              </w:rPr>
            </w:pPr>
          </w:p>
        </w:tc>
      </w:tr>
      <w:tr>
        <w:trPr>
          <w:trHeight w:val="229"/>
        </w:trPr>
        <w:tc>
          <w:tcPr>
            <w:tcW w:w="2180" w:type="dxa"/>
            <w:vAlign w:val="bottom"/>
            <w:shd w:val="clear" w:color="auto" w:fill="D9D9D9"/>
          </w:tcPr>
          <w:p>
            <w:pPr>
              <w:ind w:left="20"/>
              <w:spacing w:after="0"/>
              <w:rPr>
                <w:sz w:val="20"/>
                <w:szCs w:val="20"/>
                <w:color w:val="auto"/>
              </w:rPr>
            </w:pPr>
            <w:r>
              <w:rPr>
                <w:rFonts w:ascii="Arial" w:cs="Arial" w:eastAsia="Arial" w:hAnsi="Arial"/>
                <w:sz w:val="18"/>
                <w:szCs w:val="18"/>
                <w:color w:val="auto"/>
              </w:rPr>
              <w:t>Liam K. Griffin</w:t>
            </w:r>
          </w:p>
        </w:tc>
        <w:tc>
          <w:tcPr>
            <w:tcW w:w="32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$11,000,000</w:t>
            </w:r>
          </w:p>
        </w:tc>
        <w:tc>
          <w:tcPr>
            <w:tcW w:w="330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0"/>
              </w:rPr>
              <w:t>45,874</w:t>
            </w:r>
          </w:p>
        </w:tc>
        <w:tc>
          <w:tcPr>
            <w:tcW w:w="2560" w:type="dxa"/>
            <w:vAlign w:val="bottom"/>
            <w:shd w:val="clear" w:color="auto" w:fill="D9D9D9"/>
          </w:tcPr>
          <w:p>
            <w:pPr>
              <w:jc w:val="center"/>
              <w:ind w:left="10"/>
              <w:spacing w:after="0"/>
              <w:rPr>
                <w:sz w:val="20"/>
                <w:szCs w:val="20"/>
                <w:color w:val="auto"/>
              </w:rPr>
            </w:pPr>
            <w:r>
              <w:rPr>
                <w:rFonts w:ascii="Arial" w:cs="Arial" w:eastAsia="Arial" w:hAnsi="Arial"/>
                <w:sz w:val="18"/>
                <w:szCs w:val="18"/>
                <w:color w:val="auto"/>
                <w:w w:val="90"/>
              </w:rPr>
              <w:t>30,583</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$3,400,000</w:t>
            </w:r>
          </w:p>
        </w:tc>
        <w:tc>
          <w:tcPr>
            <w:tcW w:w="3300" w:type="dxa"/>
            <w:vAlign w:val="bottom"/>
          </w:tcPr>
          <w:p>
            <w:pPr>
              <w:jc w:val="center"/>
              <w:ind w:left="30"/>
              <w:spacing w:after="0"/>
              <w:rPr>
                <w:sz w:val="20"/>
                <w:szCs w:val="20"/>
                <w:color w:val="auto"/>
              </w:rPr>
            </w:pPr>
            <w:r>
              <w:rPr>
                <w:rFonts w:ascii="Arial" w:cs="Arial" w:eastAsia="Arial" w:hAnsi="Arial"/>
                <w:sz w:val="18"/>
                <w:szCs w:val="18"/>
                <w:color w:val="auto"/>
                <w:w w:val="90"/>
              </w:rPr>
              <w:t>14,179</w:t>
            </w:r>
          </w:p>
        </w:tc>
        <w:tc>
          <w:tcPr>
            <w:tcW w:w="2560" w:type="dxa"/>
            <w:vAlign w:val="bottom"/>
          </w:tcPr>
          <w:p>
            <w:pPr>
              <w:jc w:val="center"/>
              <w:ind w:left="30"/>
              <w:spacing w:after="0"/>
              <w:rPr>
                <w:sz w:val="20"/>
                <w:szCs w:val="20"/>
                <w:color w:val="auto"/>
              </w:rPr>
            </w:pPr>
            <w:r>
              <w:rPr>
                <w:rFonts w:ascii="Arial" w:cs="Arial" w:eastAsia="Arial" w:hAnsi="Arial"/>
                <w:sz w:val="18"/>
                <w:szCs w:val="18"/>
                <w:color w:val="auto"/>
                <w:w w:val="88"/>
              </w:rPr>
              <w:t>9,452</w:t>
            </w:r>
          </w:p>
        </w:tc>
        <w:tc>
          <w:tcPr>
            <w:tcW w:w="0" w:type="dxa"/>
            <w:vAlign w:val="bottom"/>
          </w:tcPr>
          <w:p>
            <w:pPr>
              <w:spacing w:after="0"/>
              <w:rPr>
                <w:sz w:val="1"/>
                <w:szCs w:val="1"/>
                <w:color w:val="auto"/>
              </w:rPr>
            </w:pPr>
          </w:p>
        </w:tc>
      </w:tr>
      <w:tr>
        <w:trPr>
          <w:trHeight w:val="229"/>
        </w:trPr>
        <w:tc>
          <w:tcPr>
            <w:tcW w:w="2180" w:type="dxa"/>
            <w:vAlign w:val="bottom"/>
            <w:shd w:val="clear" w:color="auto" w:fill="D9D9D9"/>
          </w:tcPr>
          <w:p>
            <w:pPr>
              <w:ind w:left="20"/>
              <w:spacing w:after="0"/>
              <w:rPr>
                <w:sz w:val="20"/>
                <w:szCs w:val="20"/>
                <w:color w:val="auto"/>
              </w:rPr>
            </w:pPr>
            <w:r>
              <w:rPr>
                <w:rFonts w:ascii="Arial" w:cs="Arial" w:eastAsia="Arial" w:hAnsi="Arial"/>
                <w:sz w:val="18"/>
                <w:szCs w:val="18"/>
                <w:color w:val="auto"/>
              </w:rPr>
              <w:t>Carlos S. Bori</w:t>
            </w:r>
          </w:p>
        </w:tc>
        <w:tc>
          <w:tcPr>
            <w:tcW w:w="32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8"/>
              </w:rPr>
              <w:t>$2,900,000</w:t>
            </w:r>
          </w:p>
        </w:tc>
        <w:tc>
          <w:tcPr>
            <w:tcW w:w="330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0"/>
              </w:rPr>
              <w:t>12,094</w:t>
            </w:r>
          </w:p>
        </w:tc>
        <w:tc>
          <w:tcPr>
            <w:tcW w:w="256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88"/>
              </w:rPr>
              <w:t>8,062</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$2,700,000</w:t>
            </w:r>
          </w:p>
        </w:tc>
        <w:tc>
          <w:tcPr>
            <w:tcW w:w="3300" w:type="dxa"/>
            <w:vAlign w:val="bottom"/>
          </w:tcPr>
          <w:p>
            <w:pPr>
              <w:jc w:val="center"/>
              <w:ind w:left="50"/>
              <w:spacing w:after="0"/>
              <w:rPr>
                <w:sz w:val="20"/>
                <w:szCs w:val="20"/>
                <w:color w:val="auto"/>
              </w:rPr>
            </w:pPr>
            <w:r>
              <w:rPr>
                <w:rFonts w:ascii="Arial" w:cs="Arial" w:eastAsia="Arial" w:hAnsi="Arial"/>
                <w:sz w:val="18"/>
                <w:szCs w:val="18"/>
                <w:color w:val="auto"/>
                <w:w w:val="87"/>
              </w:rPr>
              <w:t>11,260</w:t>
            </w:r>
          </w:p>
        </w:tc>
        <w:tc>
          <w:tcPr>
            <w:tcW w:w="2560" w:type="dxa"/>
            <w:vAlign w:val="bottom"/>
          </w:tcPr>
          <w:p>
            <w:pPr>
              <w:jc w:val="center"/>
              <w:ind w:left="30"/>
              <w:spacing w:after="0"/>
              <w:rPr>
                <w:sz w:val="20"/>
                <w:szCs w:val="20"/>
                <w:color w:val="auto"/>
              </w:rPr>
            </w:pPr>
            <w:r>
              <w:rPr>
                <w:rFonts w:ascii="Arial" w:cs="Arial" w:eastAsia="Arial" w:hAnsi="Arial"/>
                <w:sz w:val="18"/>
                <w:szCs w:val="18"/>
                <w:color w:val="auto"/>
                <w:w w:val="88"/>
              </w:rPr>
              <w:t>7,506</w:t>
            </w:r>
          </w:p>
        </w:tc>
        <w:tc>
          <w:tcPr>
            <w:tcW w:w="0" w:type="dxa"/>
            <w:vAlign w:val="bottom"/>
          </w:tcPr>
          <w:p>
            <w:pPr>
              <w:spacing w:after="0"/>
              <w:rPr>
                <w:sz w:val="1"/>
                <w:szCs w:val="1"/>
                <w:color w:val="auto"/>
              </w:rPr>
            </w:pPr>
          </w:p>
        </w:tc>
      </w:tr>
      <w:tr>
        <w:trPr>
          <w:trHeight w:val="229"/>
        </w:trPr>
        <w:tc>
          <w:tcPr>
            <w:tcW w:w="2180" w:type="dxa"/>
            <w:vAlign w:val="bottom"/>
            <w:shd w:val="clear" w:color="auto" w:fill="D9D9D9"/>
          </w:tcPr>
          <w:p>
            <w:pPr>
              <w:ind w:left="20"/>
              <w:spacing w:after="0"/>
              <w:rPr>
                <w:sz w:val="20"/>
                <w:szCs w:val="20"/>
                <w:color w:val="auto"/>
              </w:rPr>
            </w:pPr>
            <w:r>
              <w:rPr>
                <w:rFonts w:ascii="Arial" w:cs="Arial" w:eastAsia="Arial" w:hAnsi="Arial"/>
                <w:sz w:val="18"/>
                <w:szCs w:val="18"/>
                <w:color w:val="auto"/>
              </w:rPr>
              <w:t>Karilee A. Durham</w:t>
            </w:r>
          </w:p>
        </w:tc>
        <w:tc>
          <w:tcPr>
            <w:tcW w:w="32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8"/>
              </w:rPr>
              <w:t>$1,900,000</w:t>
            </w:r>
          </w:p>
        </w:tc>
        <w:tc>
          <w:tcPr>
            <w:tcW w:w="3300" w:type="dxa"/>
            <w:vAlign w:val="bottom"/>
            <w:shd w:val="clear" w:color="auto" w:fill="D9D9D9"/>
          </w:tcPr>
          <w:p>
            <w:pPr>
              <w:jc w:val="center"/>
              <w:ind w:left="50"/>
              <w:spacing w:after="0"/>
              <w:rPr>
                <w:sz w:val="20"/>
                <w:szCs w:val="20"/>
                <w:color w:val="auto"/>
              </w:rPr>
            </w:pPr>
            <w:r>
              <w:rPr>
                <w:rFonts w:ascii="Arial" w:cs="Arial" w:eastAsia="Arial" w:hAnsi="Arial"/>
                <w:sz w:val="18"/>
                <w:szCs w:val="18"/>
                <w:color w:val="auto"/>
                <w:w w:val="88"/>
              </w:rPr>
              <w:t>7,923</w:t>
            </w:r>
          </w:p>
        </w:tc>
        <w:tc>
          <w:tcPr>
            <w:tcW w:w="256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88"/>
              </w:rPr>
              <w:t>5,282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42"/>
        <w:spacing w:after="0" w:line="255" w:lineRule="auto"/>
        <w:rPr>
          <w:sz w:val="20"/>
          <w:szCs w:val="20"/>
          <w:color w:val="auto"/>
        </w:rPr>
      </w:pPr>
      <w:r>
        <w:rPr>
          <w:rFonts w:ascii="Arial" w:cs="Arial" w:eastAsia="Arial" w:hAnsi="Arial"/>
          <w:sz w:val="18"/>
          <w:szCs w:val="18"/>
          <w:color w:val="auto"/>
        </w:rPr>
        <w:t>(1)The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TSR percentile ranking, in accordance with the provisions of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14" w:name="page15"/>
    <w:bookmarkEnd w:id="14"/>
    <w:p>
      <w:pPr>
        <w:jc w:val="both"/>
        <w:ind w:left="260" w:hanging="242"/>
        <w:spacing w:after="0" w:line="277" w:lineRule="auto"/>
        <w:rPr>
          <w:sz w:val="20"/>
          <w:szCs w:val="20"/>
          <w:color w:val="auto"/>
        </w:rPr>
      </w:pPr>
      <w:r>
        <w:rPr>
          <w:rFonts w:ascii="Arial" w:cs="Arial" w:eastAsia="Arial" w:hAnsi="Arial"/>
          <w:sz w:val="18"/>
          <w:szCs w:val="18"/>
          <w:color w:val="auto"/>
        </w:rPr>
        <w:t>(2)Reflects the dollar value of the award, divided by $143.87 per share, which was the closing price of the Company’s common stock on the Nasdaq Global Select Market on November 11, 2020.</w:t>
      </w:r>
    </w:p>
    <w:p>
      <w:pPr>
        <w:spacing w:after="0" w:line="196"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7"/>
          <w:szCs w:val="17"/>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FY21 PSAs</w:t>
      </w:r>
    </w:p>
    <w:p>
      <w:pPr>
        <w:spacing w:after="0" w:line="225"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The PSAs granted on November 11, 2020 (the “FY21 PSAs”), have both “performance” and “continued employment” conditions that must be met in order for the executive to receive shares underlying the award.</w:t>
      </w:r>
    </w:p>
    <w:p>
      <w:pPr>
        <w:spacing w:after="0" w:line="196"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The “performance” condition of the FY21 PSAs compares the Company’s performance under three distinct performance metrics during the applicable performance period against a range of pre-established targets, as follows:</w:t>
      </w:r>
    </w:p>
    <w:p>
      <w:pPr>
        <w:spacing w:after="0" w:line="7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Aggregate Target</w:t>
            </w: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Performance Period</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Level Shares</w:t>
            </w: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89"/>
              </w:rPr>
              <w:t>Target Level Shares with Respect to Emerging Revenue</w:t>
            </w:r>
          </w:p>
        </w:tc>
        <w:tc>
          <w:tcPr>
            <w:tcW w:w="26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8"/>
              </w:rPr>
              <w:t>25%</w:t>
            </w:r>
          </w:p>
        </w:tc>
        <w:tc>
          <w:tcPr>
            <w:tcW w:w="192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88"/>
              </w:rPr>
              <w:t>Fiscal Year</w:t>
            </w:r>
          </w:p>
        </w:tc>
        <w:tc>
          <w:tcPr>
            <w:tcW w:w="0" w:type="dxa"/>
            <w:vAlign w:val="bottom"/>
          </w:tcPr>
          <w:p>
            <w:pPr>
              <w:spacing w:after="0"/>
              <w:rPr>
                <w:sz w:val="1"/>
                <w:szCs w:val="1"/>
                <w:color w:val="auto"/>
              </w:rPr>
            </w:pPr>
          </w:p>
        </w:tc>
      </w:tr>
      <w:tr>
        <w:trPr>
          <w:trHeight w:val="135"/>
        </w:trPr>
        <w:tc>
          <w:tcPr>
            <w:tcW w:w="4180" w:type="dxa"/>
            <w:vAlign w:val="bottom"/>
            <w:vMerge w:val="restart"/>
            <w:shd w:val="clear" w:color="auto" w:fill="DBDBDB"/>
          </w:tcPr>
          <w:p>
            <w:pPr>
              <w:jc w:val="center"/>
              <w:ind w:right="10"/>
              <w:spacing w:after="0"/>
              <w:rPr>
                <w:sz w:val="20"/>
                <w:szCs w:val="20"/>
                <w:color w:val="auto"/>
              </w:rPr>
            </w:pPr>
            <w:r>
              <w:rPr>
                <w:rFonts w:ascii="Arial" w:cs="Arial" w:eastAsia="Arial" w:hAnsi="Arial"/>
                <w:sz w:val="18"/>
                <w:szCs w:val="18"/>
                <w:color w:val="auto"/>
                <w:w w:val="94"/>
              </w:rPr>
              <w:t>Growth Metric (1)</w:t>
            </w:r>
          </w:p>
        </w:tc>
        <w:tc>
          <w:tcPr>
            <w:tcW w:w="2640" w:type="dxa"/>
            <w:vAlign w:val="bottom"/>
            <w:vMerge w:val="continue"/>
            <w:shd w:val="clear" w:color="auto" w:fill="DBDBDB"/>
          </w:tcPr>
          <w:p>
            <w:pPr>
              <w:spacing w:after="0"/>
              <w:rPr>
                <w:sz w:val="11"/>
                <w:szCs w:val="11"/>
                <w:color w:val="auto"/>
              </w:rPr>
            </w:pP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94"/>
        </w:trPr>
        <w:tc>
          <w:tcPr>
            <w:tcW w:w="4180" w:type="dxa"/>
            <w:vAlign w:val="bottom"/>
            <w:vMerge w:val="continue"/>
            <w:shd w:val="clear" w:color="auto" w:fill="DBDBDB"/>
          </w:tcPr>
          <w:p>
            <w:pPr>
              <w:spacing w:after="0"/>
              <w:rPr>
                <w:sz w:val="8"/>
                <w:szCs w:val="8"/>
                <w:color w:val="auto"/>
              </w:rPr>
            </w:pPr>
          </w:p>
        </w:tc>
        <w:tc>
          <w:tcPr>
            <w:tcW w:w="264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180" w:type="dxa"/>
            <w:vAlign w:val="bottom"/>
          </w:tcPr>
          <w:p>
            <w:pPr>
              <w:jc w:val="center"/>
              <w:spacing w:after="0" w:line="176" w:lineRule="exact"/>
              <w:rPr>
                <w:sz w:val="20"/>
                <w:szCs w:val="20"/>
                <w:color w:val="auto"/>
              </w:rPr>
            </w:pPr>
            <w:r>
              <w:rPr>
                <w:rFonts w:ascii="Arial" w:cs="Arial" w:eastAsia="Arial" w:hAnsi="Arial"/>
                <w:sz w:val="18"/>
                <w:szCs w:val="18"/>
                <w:color w:val="auto"/>
                <w:w w:val="91"/>
              </w:rPr>
              <w:t>Target Level Shares with Respect to Design Win Metric</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88"/>
              </w:rPr>
              <w:t>25%</w:t>
            </w:r>
          </w:p>
        </w:tc>
        <w:tc>
          <w:tcPr>
            <w:tcW w:w="1920" w:type="dxa"/>
            <w:vAlign w:val="bottom"/>
          </w:tcPr>
          <w:p>
            <w:pPr>
              <w:jc w:val="center"/>
              <w:spacing w:after="0" w:line="176" w:lineRule="exact"/>
              <w:rPr>
                <w:sz w:val="20"/>
                <w:szCs w:val="20"/>
                <w:color w:val="auto"/>
              </w:rPr>
            </w:pPr>
            <w:r>
              <w:rPr>
                <w:rFonts w:ascii="Arial" w:cs="Arial" w:eastAsia="Arial" w:hAnsi="Arial"/>
                <w:sz w:val="18"/>
                <w:szCs w:val="18"/>
                <w:color w:val="auto"/>
                <w:w w:val="88"/>
              </w:rPr>
              <w:t>Fiscal Year</w:t>
            </w:r>
          </w:p>
        </w:tc>
        <w:tc>
          <w:tcPr>
            <w:tcW w:w="0" w:type="dxa"/>
            <w:vAlign w:val="bottom"/>
          </w:tcPr>
          <w:p>
            <w:pPr>
              <w:spacing w:after="0"/>
              <w:rPr>
                <w:sz w:val="1"/>
                <w:szCs w:val="1"/>
                <w:color w:val="auto"/>
              </w:rPr>
            </w:pPr>
          </w:p>
        </w:tc>
      </w:tr>
      <w:tr>
        <w:trPr>
          <w:trHeight w:val="135"/>
        </w:trPr>
        <w:tc>
          <w:tcPr>
            <w:tcW w:w="418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(2)</w:t>
            </w:r>
          </w:p>
        </w:tc>
        <w:tc>
          <w:tcPr>
            <w:tcW w:w="2640" w:type="dxa"/>
            <w:vAlign w:val="bottom"/>
            <w:vMerge w:val="continue"/>
          </w:tcPr>
          <w:p>
            <w:pPr>
              <w:spacing w:after="0"/>
              <w:rPr>
                <w:sz w:val="11"/>
                <w:szCs w:val="11"/>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94"/>
        </w:trPr>
        <w:tc>
          <w:tcPr>
            <w:tcW w:w="418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89"/>
              </w:rPr>
              <w:t>Target Level Shares with Respect to TSR Percentile</w:t>
            </w:r>
          </w:p>
        </w:tc>
        <w:tc>
          <w:tcPr>
            <w:tcW w:w="26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8"/>
              </w:rPr>
              <w:t>50%</w:t>
            </w: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8"/>
              </w:rPr>
              <w:t>Fiscal Years 2021–2023</w:t>
            </w:r>
          </w:p>
        </w:tc>
        <w:tc>
          <w:tcPr>
            <w:tcW w:w="0" w:type="dxa"/>
            <w:vAlign w:val="bottom"/>
          </w:tcPr>
          <w:p>
            <w:pPr>
              <w:spacing w:after="0"/>
              <w:rPr>
                <w:sz w:val="1"/>
                <w:szCs w:val="1"/>
                <w:color w:val="auto"/>
              </w:rPr>
            </w:pPr>
          </w:p>
        </w:tc>
      </w:tr>
      <w:tr>
        <w:trPr>
          <w:trHeight w:val="135"/>
        </w:trPr>
        <w:tc>
          <w:tcPr>
            <w:tcW w:w="418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3"/>
              </w:rPr>
              <w:t>Ranking Metric (3)</w:t>
            </w:r>
          </w:p>
        </w:tc>
        <w:tc>
          <w:tcPr>
            <w:tcW w:w="2640" w:type="dxa"/>
            <w:vAlign w:val="bottom"/>
            <w:vMerge w:val="continue"/>
            <w:shd w:val="clear" w:color="auto" w:fill="DBDBDB"/>
          </w:tcPr>
          <w:p>
            <w:pPr>
              <w:spacing w:after="0"/>
              <w:rPr>
                <w:sz w:val="11"/>
                <w:szCs w:val="11"/>
                <w:color w:val="auto"/>
              </w:rPr>
            </w:pPr>
          </w:p>
        </w:tc>
        <w:tc>
          <w:tcPr>
            <w:tcW w:w="192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180" w:type="dxa"/>
            <w:vAlign w:val="bottom"/>
            <w:vMerge w:val="continue"/>
            <w:shd w:val="clear" w:color="auto" w:fill="DBDBDB"/>
          </w:tcPr>
          <w:p>
            <w:pPr>
              <w:spacing w:after="0"/>
              <w:rPr>
                <w:sz w:val="8"/>
                <w:szCs w:val="8"/>
                <w:color w:val="auto"/>
              </w:rPr>
            </w:pPr>
          </w:p>
        </w:tc>
        <w:tc>
          <w:tcPr>
            <w:tcW w:w="2640" w:type="dxa"/>
            <w:vAlign w:val="bottom"/>
            <w:shd w:val="clear" w:color="auto" w:fill="DBDBDB"/>
          </w:tcPr>
          <w:p>
            <w:pPr>
              <w:spacing w:after="0"/>
              <w:rPr>
                <w:sz w:val="8"/>
                <w:szCs w:val="8"/>
                <w:color w:val="auto"/>
              </w:rPr>
            </w:pPr>
          </w:p>
        </w:tc>
        <w:tc>
          <w:tcPr>
            <w:tcW w:w="192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right="20" w:hanging="252"/>
        <w:spacing w:after="0" w:line="250" w:lineRule="auto"/>
        <w:tabs>
          <w:tab w:leader="none" w:pos="3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emerging revenue growth metric measures the Company’s year-over-year revenue growth in certain key product categories, each of which represents an identified longer-term growth market for the Company.</w:t>
      </w: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win metric measures the success of the Company in achieving specific product design wins with a key customer.</w:t>
      </w:r>
    </w:p>
    <w:p>
      <w:pPr>
        <w:spacing w:after="0" w:line="8" w:lineRule="exact"/>
        <w:rPr>
          <w:rFonts w:ascii="Arial" w:cs="Arial" w:eastAsia="Arial" w:hAnsi="Arial"/>
          <w:sz w:val="18"/>
          <w:szCs w:val="18"/>
          <w:color w:val="auto"/>
        </w:rPr>
      </w:pPr>
    </w:p>
    <w:p>
      <w:pPr>
        <w:jc w:val="both"/>
        <w:ind w:left="260" w:hanging="252"/>
        <w:spacing w:after="0" w:line="253" w:lineRule="auto"/>
        <w:tabs>
          <w:tab w:leader="none" w:pos="2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TSR percentile ranking metric measures the Company’s percentile ranking achieved with respect to its peer group. The peer group for purposes of the TSR percentile ranking metric includes each of the companies in the Philadelphia Semiconductor Index as of November 11, 2020, but excludes any such company that during the three-year performance period is acquired by or merged with (or enters into an agreement to be acquired by or merged with) another entity.</w:t>
      </w:r>
    </w:p>
    <w:p>
      <w:pPr>
        <w:spacing w:after="0" w:line="219" w:lineRule="exact"/>
        <w:rPr>
          <w:sz w:val="20"/>
          <w:szCs w:val="20"/>
          <w:color w:val="auto"/>
        </w:rPr>
      </w:pPr>
    </w:p>
    <w:p>
      <w:pPr>
        <w:jc w:val="both"/>
        <w:ind w:firstLine="388"/>
        <w:spacing w:after="0" w:line="296" w:lineRule="auto"/>
        <w:rPr>
          <w:sz w:val="20"/>
          <w:szCs w:val="20"/>
          <w:color w:val="auto"/>
        </w:rPr>
      </w:pPr>
      <w:r>
        <w:rPr>
          <w:rFonts w:ascii="Arial" w:cs="Arial" w:eastAsia="Arial" w:hAnsi="Arial"/>
          <w:sz w:val="16"/>
          <w:szCs w:val="16"/>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strong long-term financial performance depends largely on the Company’s ability to identify, and respond to, rapid market changes by introducing new and enhanced products and technologies on a timely basis, the Compensation Committee determined that half of the target value under the FY21 PSAs should be measured based on one-year performance periods, consistent with the PSA design from the prior year.</w:t>
      </w:r>
    </w:p>
    <w:p>
      <w:pPr>
        <w:spacing w:after="0" w:line="187" w:lineRule="exact"/>
        <w:rPr>
          <w:sz w:val="20"/>
          <w:szCs w:val="20"/>
          <w:color w:val="auto"/>
        </w:rPr>
      </w:pPr>
    </w:p>
    <w:p>
      <w:pPr>
        <w:jc w:val="both"/>
        <w:ind w:firstLine="388"/>
        <w:spacing w:after="0" w:line="296" w:lineRule="auto"/>
        <w:rPr>
          <w:sz w:val="20"/>
          <w:szCs w:val="20"/>
          <w:color w:val="auto"/>
        </w:rPr>
      </w:pPr>
      <w:r>
        <w:rPr>
          <w:rFonts w:ascii="Arial" w:cs="Arial" w:eastAsia="Arial" w:hAnsi="Arial"/>
          <w:sz w:val="16"/>
          <w:szCs w:val="16"/>
          <w:color w:val="auto"/>
        </w:rPr>
        <w:t>More specifically, the Compensation Committee retained emerging revenue growth and key customer design wins as one-year metrics appropriate for focusing our management team on long-term value creation, given that revenue growth over the next several years is highly dependent on executing in certain higher-growth product categories, as well as on continued success with a key customer that typically leads the market in the adoption of new technologies and maintains an annual sales cycle. As in prior years, the remaining half of the target value under the FY21 PSAs was based on three-year TSR percentile ranking, which the Compensation Committee believed provides an appropriate balance to the one-year measurement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color w:val="auto"/>
        </w:rPr>
        <w:t>The specific pre-established targets under the emerging revenue growth and TSR percentile ranking metrics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jc w:val="center"/>
              <w:ind w:left="1010"/>
              <w:spacing w:after="0"/>
              <w:rPr>
                <w:sz w:val="20"/>
                <w:szCs w:val="20"/>
                <w:color w:val="auto"/>
              </w:rPr>
            </w:pPr>
            <w:r>
              <w:rPr>
                <w:rFonts w:ascii="Arial" w:cs="Arial" w:eastAsia="Arial" w:hAnsi="Arial"/>
                <w:sz w:val="18"/>
                <w:szCs w:val="18"/>
                <w:b w:val="1"/>
                <w:bCs w:val="1"/>
                <w:color w:val="auto"/>
                <w:w w:val="94"/>
              </w:rPr>
              <w:t>Company Metric (1)</w:t>
            </w:r>
          </w:p>
        </w:tc>
        <w:tc>
          <w:tcPr>
            <w:tcW w:w="238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Threshold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Maximum</w:t>
            </w:r>
          </w:p>
        </w:tc>
      </w:tr>
      <w:tr>
        <w:trPr>
          <w:trHeight w:val="229"/>
        </w:trPr>
        <w:tc>
          <w:tcPr>
            <w:tcW w:w="6280" w:type="dxa"/>
            <w:vAlign w:val="bottom"/>
            <w:shd w:val="clear" w:color="auto" w:fill="DBDBDB"/>
          </w:tcPr>
          <w:p>
            <w:pPr>
              <w:jc w:val="center"/>
              <w:ind w:left="1010"/>
              <w:spacing w:after="0"/>
              <w:rPr>
                <w:sz w:val="20"/>
                <w:szCs w:val="20"/>
                <w:color w:val="auto"/>
              </w:rPr>
            </w:pPr>
            <w:r>
              <w:rPr>
                <w:rFonts w:ascii="Arial" w:cs="Arial" w:eastAsia="Arial" w:hAnsi="Arial"/>
                <w:sz w:val="18"/>
                <w:szCs w:val="18"/>
                <w:color w:val="auto"/>
                <w:w w:val="90"/>
              </w:rPr>
              <w:t>1-year Emerging Revenue Growth (%)</w:t>
            </w:r>
          </w:p>
        </w:tc>
        <w:tc>
          <w:tcPr>
            <w:tcW w:w="2380" w:type="dxa"/>
            <w:vAlign w:val="bottom"/>
            <w:shd w:val="clear" w:color="auto" w:fill="DBDBDB"/>
          </w:tcPr>
          <w:p>
            <w:pPr>
              <w:jc w:val="center"/>
              <w:ind w:left="710"/>
              <w:spacing w:after="0"/>
              <w:rPr>
                <w:sz w:val="20"/>
                <w:szCs w:val="20"/>
                <w:color w:val="auto"/>
              </w:rPr>
            </w:pPr>
            <w:r>
              <w:rPr>
                <w:rFonts w:ascii="Arial" w:cs="Arial" w:eastAsia="Arial" w:hAnsi="Arial"/>
                <w:sz w:val="18"/>
                <w:szCs w:val="18"/>
                <w:color w:val="auto"/>
                <w:w w:val="92"/>
              </w:rPr>
              <w:t>0.0%</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15.0%</w:t>
            </w:r>
          </w:p>
        </w:tc>
        <w:tc>
          <w:tcPr>
            <w:tcW w:w="1300" w:type="dxa"/>
            <w:vAlign w:val="bottom"/>
            <w:shd w:val="clear" w:color="auto" w:fill="DBDBDB"/>
          </w:tcPr>
          <w:p>
            <w:pPr>
              <w:jc w:val="center"/>
              <w:ind w:left="170"/>
              <w:spacing w:after="0"/>
              <w:rPr>
                <w:sz w:val="20"/>
                <w:szCs w:val="20"/>
                <w:color w:val="auto"/>
              </w:rPr>
            </w:pPr>
            <w:r>
              <w:rPr>
                <w:rFonts w:ascii="Arial" w:cs="Arial" w:eastAsia="Arial" w:hAnsi="Arial"/>
                <w:sz w:val="18"/>
                <w:szCs w:val="18"/>
                <w:color w:val="auto"/>
                <w:w w:val="93"/>
              </w:rPr>
              <w:t>30.0%</w:t>
            </w:r>
          </w:p>
        </w:tc>
      </w:tr>
      <w:tr>
        <w:trPr>
          <w:trHeight w:val="325"/>
        </w:trPr>
        <w:tc>
          <w:tcPr>
            <w:tcW w:w="6280" w:type="dxa"/>
            <w:vAlign w:val="bottom"/>
          </w:tcPr>
          <w:p>
            <w:pPr>
              <w:jc w:val="center"/>
              <w:ind w:left="1010"/>
              <w:spacing w:after="0"/>
              <w:rPr>
                <w:sz w:val="20"/>
                <w:szCs w:val="20"/>
                <w:color w:val="auto"/>
              </w:rPr>
            </w:pPr>
            <w:r>
              <w:rPr>
                <w:rFonts w:ascii="Arial" w:cs="Arial" w:eastAsia="Arial" w:hAnsi="Arial"/>
                <w:sz w:val="18"/>
                <w:szCs w:val="18"/>
                <w:color w:val="auto"/>
                <w:w w:val="91"/>
              </w:rPr>
              <w:t>3-year TSR Percentile Ranking</w:t>
            </w:r>
          </w:p>
        </w:tc>
        <w:tc>
          <w:tcPr>
            <w:tcW w:w="2380" w:type="dxa"/>
            <w:vAlign w:val="bottom"/>
          </w:tcPr>
          <w:p>
            <w:pPr>
              <w:jc w:val="center"/>
              <w:ind w:left="710"/>
              <w:spacing w:after="0"/>
              <w:rPr>
                <w:sz w:val="20"/>
                <w:szCs w:val="20"/>
                <w:color w:val="auto"/>
              </w:rPr>
            </w:pPr>
            <w:r>
              <w:rPr>
                <w:rFonts w:ascii="Arial" w:cs="Arial" w:eastAsia="Arial" w:hAnsi="Arial"/>
                <w:sz w:val="18"/>
                <w:szCs w:val="18"/>
                <w:color w:val="auto"/>
                <w:w w:val="79"/>
              </w:rPr>
              <w:t>25</w:t>
            </w:r>
            <w:r>
              <w:rPr>
                <w:rFonts w:ascii="Arial" w:cs="Arial" w:eastAsia="Arial" w:hAnsi="Arial"/>
                <w:sz w:val="23"/>
                <w:szCs w:val="23"/>
                <w:color w:val="auto"/>
                <w:w w:val="79"/>
                <w:vertAlign w:val="superscript"/>
              </w:rPr>
              <w:t>th</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55</w:t>
            </w:r>
            <w:r>
              <w:rPr>
                <w:rFonts w:ascii="Arial" w:cs="Arial" w:eastAsia="Arial" w:hAnsi="Arial"/>
                <w:sz w:val="23"/>
                <w:szCs w:val="23"/>
                <w:color w:val="auto"/>
                <w:w w:val="79"/>
                <w:vertAlign w:val="superscript"/>
              </w:rPr>
              <w:t>th</w:t>
            </w:r>
          </w:p>
        </w:tc>
        <w:tc>
          <w:tcPr>
            <w:tcW w:w="1300" w:type="dxa"/>
            <w:vAlign w:val="bottom"/>
          </w:tcPr>
          <w:p>
            <w:pPr>
              <w:jc w:val="center"/>
              <w:ind w:left="170"/>
              <w:spacing w:after="0"/>
              <w:rPr>
                <w:sz w:val="20"/>
                <w:szCs w:val="20"/>
                <w:color w:val="auto"/>
              </w:rPr>
            </w:pPr>
            <w:r>
              <w:rPr>
                <w:rFonts w:ascii="Arial" w:cs="Arial" w:eastAsia="Arial" w:hAnsi="Arial"/>
                <w:sz w:val="18"/>
                <w:szCs w:val="18"/>
                <w:color w:val="auto"/>
                <w:w w:val="85"/>
              </w:rPr>
              <w:t>90</w:t>
            </w:r>
            <w:r>
              <w:rPr>
                <w:rFonts w:ascii="Arial" w:cs="Arial" w:eastAsia="Arial" w:hAnsi="Arial"/>
                <w:sz w:val="23"/>
                <w:szCs w:val="23"/>
                <w:color w:val="auto"/>
                <w:w w:val="85"/>
                <w:vertAlign w:val="superscript"/>
              </w:rPr>
              <w:t>th</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 w:lineRule="exact"/>
        <w:rPr>
          <w:sz w:val="20"/>
          <w:szCs w:val="20"/>
          <w:color w:val="auto"/>
        </w:rPr>
      </w:pPr>
    </w:p>
    <w:p>
      <w:pPr>
        <w:ind w:left="260" w:right="520" w:hanging="252"/>
        <w:spacing w:after="0" w:line="254" w:lineRule="auto"/>
        <w:tabs>
          <w:tab w:leader="none" w:pos="407" w:val="left"/>
        </w:tabs>
        <w:numPr>
          <w:ilvl w:val="0"/>
          <w:numId w:val="21"/>
        </w:numPr>
        <w:rPr>
          <w:rFonts w:ascii="Arial" w:cs="Arial" w:eastAsia="Arial" w:hAnsi="Arial"/>
          <w:sz w:val="17"/>
          <w:szCs w:val="17"/>
          <w:color w:val="auto"/>
        </w:rPr>
      </w:pPr>
      <w:r>
        <w:rPr>
          <w:rFonts w:ascii="Arial" w:cs="Arial" w:eastAsia="Arial" w:hAnsi="Arial"/>
          <w:sz w:val="17"/>
          <w:szCs w:val="17"/>
          <w:color w:val="auto"/>
        </w:rPr>
        <w:t>Given both the Company’s contractual confidentiality obligations and the proprietary nature of the specific goals, the Company cannot publicly disclose the specific threshold, target, and maximum levels of performance established with respect to the design win metric.</w:t>
      </w:r>
    </w:p>
    <w:p>
      <w:pPr>
        <w:spacing w:after="0" w:line="204"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8"/>
          <w:szCs w:val="18"/>
          <w:color w:val="auto"/>
        </w:rPr>
        <w:t>As with the Incentive Plan, the pre-established targets under the FY21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75" w:lineRule="exact"/>
        <w:rPr>
          <w:sz w:val="20"/>
          <w:szCs w:val="20"/>
          <w:color w:val="auto"/>
        </w:rPr>
      </w:pPr>
    </w:p>
    <w:p>
      <w:pPr>
        <w:jc w:val="both"/>
        <w:ind w:left="660" w:hanging="329"/>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Emerging Revenue Growth Metric: The target level was set at 15%, representing above-market annual growth, the maximum level was set at 30%, which the Compensation Committee believed represented outstanding performance that would be difficult to achieve, and the threshold level was set at 0% as a result of continued market uncertainties related to the COVID-19 pandemic.</w:t>
      </w:r>
    </w:p>
    <w:p>
      <w:pPr>
        <w:spacing w:after="0" w:line="74" w:lineRule="exact"/>
        <w:rPr>
          <w:rFonts w:ascii="Arial" w:cs="Arial" w:eastAsia="Arial" w:hAnsi="Arial"/>
          <w:sz w:val="18"/>
          <w:szCs w:val="18"/>
          <w:color w:val="auto"/>
        </w:rPr>
      </w:pPr>
    </w:p>
    <w:p>
      <w:pPr>
        <w:ind w:left="660" w:hanging="329"/>
        <w:spacing w:after="0" w:line="34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 Win Metric: The Compensation Committee increased the threshold, target, and maximum levels of performance by 32%, 15%, and 11%, respectively, from the corresponding levels set for the prior year, in order to incentivize a significant increase over the prior year’s performance.</w:t>
      </w:r>
    </w:p>
    <w:p>
      <w:pPr>
        <w:spacing w:after="0" w:line="11" w:lineRule="exact"/>
        <w:rPr>
          <w:rFonts w:ascii="Arial" w:cs="Arial" w:eastAsia="Arial" w:hAnsi="Arial"/>
          <w:sz w:val="16"/>
          <w:szCs w:val="16"/>
          <w:color w:val="auto"/>
        </w:rPr>
      </w:pPr>
    </w:p>
    <w:p>
      <w:pPr>
        <w:ind w:left="660" w:hanging="329"/>
        <w:spacing w:after="0" w:line="22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TSR Percentile Ranking Metric: The Compensation Committee increased the target percentile to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peer group in order to further incentivize above-median performance and in response to stockholder feedback received in 2020.</w:t>
      </w:r>
    </w:p>
    <w:p>
      <w:pPr>
        <w:spacing w:after="0" w:line="95" w:lineRule="exact"/>
        <w:rPr>
          <w:sz w:val="20"/>
          <w:szCs w:val="20"/>
          <w:color w:val="auto"/>
        </w:rPr>
      </w:pPr>
    </w:p>
    <w:p>
      <w:pPr>
        <w:ind w:firstLine="388"/>
        <w:spacing w:after="0" w:line="271" w:lineRule="auto"/>
        <w:rPr>
          <w:sz w:val="20"/>
          <w:szCs w:val="20"/>
          <w:color w:val="auto"/>
        </w:rPr>
      </w:pPr>
      <w:r>
        <w:rPr>
          <w:rFonts w:ascii="Arial" w:cs="Arial" w:eastAsia="Arial" w:hAnsi="Arial"/>
          <w:sz w:val="18"/>
          <w:szCs w:val="18"/>
          <w:color w:val="auto"/>
        </w:rPr>
        <w:t>The number of shares issuable under the FY21 PSAs corresponds to the level of achievement of the performance goals, as follows (subject to linear interpolation for amounts between “threshold” and “target” or “target” and “maximum”):</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 Achieved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10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Threshold</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20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5"/>
        </w:trPr>
        <w:tc>
          <w:tcPr>
            <w:tcW w:w="6100" w:type="dxa"/>
            <w:vAlign w:val="bottom"/>
            <w:shd w:val="clear" w:color="auto" w:fill="DBDBDB"/>
          </w:tcPr>
          <w:p>
            <w:pPr>
              <w:jc w:val="center"/>
              <w:ind w:right="50"/>
              <w:spacing w:after="0" w:line="176" w:lineRule="exact"/>
              <w:rPr>
                <w:sz w:val="20"/>
                <w:szCs w:val="20"/>
                <w:color w:val="auto"/>
              </w:rPr>
            </w:pPr>
            <w:r>
              <w:rPr>
                <w:rFonts w:ascii="Arial" w:cs="Arial" w:eastAsia="Arial" w:hAnsi="Arial"/>
                <w:sz w:val="18"/>
                <w:szCs w:val="18"/>
                <w:color w:val="auto"/>
                <w:w w:val="90"/>
              </w:rPr>
              <w:t>% of Target Level Shares Earned with Respect to Emerging Revenue Growth</w:t>
            </w:r>
          </w:p>
        </w:tc>
        <w:tc>
          <w:tcPr>
            <w:tcW w:w="1040" w:type="dxa"/>
            <w:vAlign w:val="bottom"/>
            <w:vMerge w:val="restart"/>
            <w:shd w:val="clear" w:color="auto" w:fill="DBDBDB"/>
          </w:tcPr>
          <w:p>
            <w:pPr>
              <w:jc w:val="center"/>
              <w:ind w:left="90"/>
              <w:spacing w:after="0"/>
              <w:rPr>
                <w:sz w:val="20"/>
                <w:szCs w:val="20"/>
                <w:color w:val="auto"/>
              </w:rPr>
            </w:pPr>
            <w:r>
              <w:rPr>
                <w:rFonts w:ascii="Arial" w:cs="Arial" w:eastAsia="Arial" w:hAnsi="Arial"/>
                <w:sz w:val="18"/>
                <w:szCs w:val="18"/>
                <w:color w:val="auto"/>
                <w:w w:val="94"/>
              </w:rPr>
              <w:t>50%</w:t>
            </w:r>
          </w:p>
        </w:tc>
        <w:tc>
          <w:tcPr>
            <w:tcW w:w="18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vMerge w:val="restart"/>
            <w:shd w:val="clear" w:color="auto" w:fill="DBDBDB"/>
          </w:tcPr>
          <w:p>
            <w:pPr>
              <w:jc w:val="center"/>
              <w:ind w:right="25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35"/>
        </w:trPr>
        <w:tc>
          <w:tcPr>
            <w:tcW w:w="6100" w:type="dxa"/>
            <w:vAlign w:val="bottom"/>
            <w:vMerge w:val="restart"/>
            <w:shd w:val="clear" w:color="auto" w:fill="DBDBDB"/>
          </w:tcPr>
          <w:p>
            <w:pPr>
              <w:jc w:val="center"/>
              <w:ind w:right="50"/>
              <w:spacing w:after="0"/>
              <w:rPr>
                <w:sz w:val="20"/>
                <w:szCs w:val="20"/>
                <w:color w:val="auto"/>
              </w:rPr>
            </w:pPr>
            <w:r>
              <w:rPr>
                <w:rFonts w:ascii="Arial" w:cs="Arial" w:eastAsia="Arial" w:hAnsi="Arial"/>
                <w:sz w:val="18"/>
                <w:szCs w:val="18"/>
                <w:color w:val="auto"/>
                <w:w w:val="97"/>
              </w:rPr>
              <w:t>Metric</w:t>
            </w:r>
          </w:p>
        </w:tc>
        <w:tc>
          <w:tcPr>
            <w:tcW w:w="1040" w:type="dxa"/>
            <w:vAlign w:val="bottom"/>
            <w:vMerge w:val="continue"/>
            <w:shd w:val="clear" w:color="auto" w:fill="DBDBDB"/>
          </w:tcPr>
          <w:p>
            <w:pPr>
              <w:spacing w:after="0"/>
              <w:rPr>
                <w:sz w:val="11"/>
                <w:szCs w:val="11"/>
                <w:color w:val="auto"/>
              </w:rPr>
            </w:pPr>
          </w:p>
        </w:tc>
        <w:tc>
          <w:tcPr>
            <w:tcW w:w="1840" w:type="dxa"/>
            <w:vAlign w:val="bottom"/>
            <w:vMerge w:val="continue"/>
            <w:shd w:val="clear" w:color="auto" w:fill="DBDBDB"/>
          </w:tcPr>
          <w:p>
            <w:pPr>
              <w:spacing w:after="0"/>
              <w:rPr>
                <w:sz w:val="11"/>
                <w:szCs w:val="11"/>
                <w:color w:val="auto"/>
              </w:rPr>
            </w:pPr>
          </w:p>
        </w:tc>
        <w:tc>
          <w:tcPr>
            <w:tcW w:w="120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100" w:type="dxa"/>
            <w:vAlign w:val="bottom"/>
            <w:vMerge w:val="continue"/>
            <w:shd w:val="clear" w:color="auto" w:fill="DBDBDB"/>
          </w:tcPr>
          <w:p>
            <w:pPr>
              <w:spacing w:after="0"/>
              <w:rPr>
                <w:sz w:val="8"/>
                <w:szCs w:val="8"/>
                <w:color w:val="auto"/>
              </w:rPr>
            </w:pPr>
          </w:p>
        </w:tc>
        <w:tc>
          <w:tcPr>
            <w:tcW w:w="1040" w:type="dxa"/>
            <w:vAlign w:val="bottom"/>
            <w:shd w:val="clear" w:color="auto" w:fill="DBDBDB"/>
          </w:tcPr>
          <w:p>
            <w:pPr>
              <w:spacing w:after="0"/>
              <w:rPr>
                <w:sz w:val="8"/>
                <w:szCs w:val="8"/>
                <w:color w:val="auto"/>
              </w:rPr>
            </w:pPr>
          </w:p>
        </w:tc>
        <w:tc>
          <w:tcPr>
            <w:tcW w:w="1840" w:type="dxa"/>
            <w:vAlign w:val="bottom"/>
            <w:shd w:val="clear" w:color="auto" w:fill="DBDBDB"/>
          </w:tcPr>
          <w:p>
            <w:pPr>
              <w:spacing w:after="0"/>
              <w:rPr>
                <w:sz w:val="8"/>
                <w:szCs w:val="8"/>
                <w:color w:val="auto"/>
              </w:rPr>
            </w:pPr>
          </w:p>
        </w:tc>
        <w:tc>
          <w:tcPr>
            <w:tcW w:w="12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00" w:type="dxa"/>
            <w:vAlign w:val="bottom"/>
          </w:tcPr>
          <w:p>
            <w:pPr>
              <w:jc w:val="center"/>
              <w:ind w:right="50"/>
              <w:spacing w:after="0"/>
              <w:rPr>
                <w:sz w:val="20"/>
                <w:szCs w:val="20"/>
                <w:color w:val="auto"/>
              </w:rPr>
            </w:pPr>
            <w:r>
              <w:rPr>
                <w:rFonts w:ascii="Arial" w:cs="Arial" w:eastAsia="Arial" w:hAnsi="Arial"/>
                <w:sz w:val="18"/>
                <w:szCs w:val="18"/>
                <w:color w:val="auto"/>
                <w:w w:val="90"/>
              </w:rPr>
              <w:t>% of Target Level Shares Earned with Respect to Design Win Metric</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4"/>
              </w:rPr>
              <w:t>50%</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jc w:val="center"/>
              <w:ind w:right="25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29"/>
        </w:trPr>
        <w:tc>
          <w:tcPr>
            <w:tcW w:w="610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0"/>
              </w:rPr>
              <w:t>% of Target Level Shares Earned with Respect to TSR Percentile Ranking Metric</w:t>
            </w:r>
          </w:p>
        </w:tc>
        <w:tc>
          <w:tcPr>
            <w:tcW w:w="10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4"/>
              </w:rPr>
              <w:t>50%</w:t>
            </w:r>
          </w:p>
        </w:tc>
        <w:tc>
          <w:tcPr>
            <w:tcW w:w="18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shd w:val="clear" w:color="auto" w:fill="DBDBDB"/>
          </w:tcPr>
          <w:p>
            <w:pPr>
              <w:jc w:val="center"/>
              <w:ind w:right="250"/>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6" w:name="page17"/>
    <w:bookmarkEnd w:id="16"/>
    <w:p>
      <w:pPr>
        <w:ind w:firstLine="388"/>
        <w:spacing w:after="0" w:line="305" w:lineRule="auto"/>
        <w:rPr>
          <w:sz w:val="20"/>
          <w:szCs w:val="20"/>
          <w:color w:val="auto"/>
        </w:rPr>
      </w:pPr>
      <w:r>
        <w:rPr>
          <w:rFonts w:ascii="Arial" w:cs="Arial" w:eastAsia="Arial" w:hAnsi="Arial"/>
          <w:sz w:val="16"/>
          <w:szCs w:val="16"/>
          <w:color w:val="auto"/>
        </w:rPr>
        <w:t>The “continued employment” condition of the FY21 PSAs provides that, to the extent that the performance metrics are met, the shares earned under such metrics would vest as follows (provided, in each case, that the executive remains employed by the Company through each such vesting date):</w:t>
      </w:r>
    </w:p>
    <w:tbl>
      <w:tblPr>
        <w:tblLayout w:type="fixed"/>
        <w:tblInd w:w="54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ind w:left="80"/>
              <w:spacing w:after="0"/>
              <w:rPr>
                <w:sz w:val="20"/>
                <w:szCs w:val="20"/>
                <w:color w:val="auto"/>
              </w:rPr>
            </w:pPr>
            <w:r>
              <w:rPr>
                <w:rFonts w:ascii="Arial" w:cs="Arial" w:eastAsia="Arial" w:hAnsi="Arial"/>
                <w:sz w:val="18"/>
                <w:szCs w:val="18"/>
                <w:b w:val="1"/>
                <w:bCs w:val="1"/>
                <w:color w:val="auto"/>
                <w:w w:val="95"/>
              </w:rPr>
              <w:t>Anniversary of Grant Date (1)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One Year</w:t>
            </w:r>
          </w:p>
        </w:tc>
        <w:tc>
          <w:tcPr>
            <w:tcW w:w="24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Two Year</w:t>
            </w: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Three Year</w:t>
            </w:r>
          </w:p>
        </w:tc>
        <w:tc>
          <w:tcPr>
            <w:tcW w:w="0" w:type="dxa"/>
            <w:vAlign w:val="bottom"/>
          </w:tcPr>
          <w:p>
            <w:pPr>
              <w:spacing w:after="0"/>
              <w:rPr>
                <w:sz w:val="1"/>
                <w:szCs w:val="1"/>
                <w:color w:val="auto"/>
              </w:rPr>
            </w:pPr>
          </w:p>
        </w:tc>
      </w:tr>
      <w:tr>
        <w:trPr>
          <w:trHeight w:val="175"/>
        </w:trPr>
        <w:tc>
          <w:tcPr>
            <w:tcW w:w="5300" w:type="dxa"/>
            <w:vAlign w:val="bottom"/>
            <w:shd w:val="clear" w:color="auto" w:fill="DBDBDB"/>
          </w:tcPr>
          <w:p>
            <w:pPr>
              <w:jc w:val="center"/>
              <w:ind w:right="110"/>
              <w:spacing w:after="0" w:line="176" w:lineRule="exact"/>
              <w:rPr>
                <w:sz w:val="20"/>
                <w:szCs w:val="20"/>
                <w:color w:val="auto"/>
              </w:rPr>
            </w:pPr>
            <w:r>
              <w:rPr>
                <w:rFonts w:ascii="Arial" w:cs="Arial" w:eastAsia="Arial" w:hAnsi="Arial"/>
                <w:sz w:val="18"/>
                <w:szCs w:val="18"/>
                <w:color w:val="auto"/>
                <w:w w:val="90"/>
              </w:rPr>
              <w:t>% of Shares Earned with Respect to Emerging Revenue Growth</w:t>
            </w:r>
          </w:p>
        </w:tc>
        <w:tc>
          <w:tcPr>
            <w:tcW w:w="1100" w:type="dxa"/>
            <w:vAlign w:val="bottom"/>
            <w:vMerge w:val="restart"/>
            <w:shd w:val="clear" w:color="auto" w:fill="DBDBDB"/>
          </w:tcPr>
          <w:p>
            <w:pPr>
              <w:jc w:val="center"/>
              <w:ind w:left="150"/>
              <w:spacing w:after="0"/>
              <w:rPr>
                <w:sz w:val="20"/>
                <w:szCs w:val="20"/>
                <w:color w:val="auto"/>
              </w:rPr>
            </w:pPr>
            <w:r>
              <w:rPr>
                <w:rFonts w:ascii="Arial" w:cs="Arial" w:eastAsia="Arial" w:hAnsi="Arial"/>
                <w:sz w:val="18"/>
                <w:szCs w:val="18"/>
                <w:color w:val="auto"/>
                <w:w w:val="94"/>
              </w:rPr>
              <w:t>50%</w:t>
            </w:r>
          </w:p>
        </w:tc>
        <w:tc>
          <w:tcPr>
            <w:tcW w:w="2480" w:type="dxa"/>
            <w:vAlign w:val="bottom"/>
            <w:vMerge w:val="restart"/>
            <w:shd w:val="clear" w:color="auto" w:fill="DBDBDB"/>
          </w:tcPr>
          <w:p>
            <w:pPr>
              <w:jc w:val="center"/>
              <w:ind w:left="30"/>
              <w:spacing w:after="0"/>
              <w:rPr>
                <w:sz w:val="20"/>
                <w:szCs w:val="20"/>
                <w:color w:val="auto"/>
              </w:rPr>
            </w:pPr>
            <w:r>
              <w:rPr>
                <w:rFonts w:ascii="Arial" w:cs="Arial" w:eastAsia="Arial" w:hAnsi="Arial"/>
                <w:sz w:val="18"/>
                <w:szCs w:val="18"/>
                <w:color w:val="auto"/>
                <w:w w:val="88"/>
              </w:rPr>
              <w:t>50%</w:t>
            </w: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300" w:type="dxa"/>
            <w:vAlign w:val="bottom"/>
            <w:vMerge w:val="restart"/>
            <w:shd w:val="clear" w:color="auto" w:fill="DBDBDB"/>
          </w:tcPr>
          <w:p>
            <w:pPr>
              <w:jc w:val="center"/>
              <w:ind w:right="130"/>
              <w:spacing w:after="0"/>
              <w:rPr>
                <w:sz w:val="20"/>
                <w:szCs w:val="20"/>
                <w:color w:val="auto"/>
              </w:rPr>
            </w:pPr>
            <w:r>
              <w:rPr>
                <w:rFonts w:ascii="Arial" w:cs="Arial" w:eastAsia="Arial" w:hAnsi="Arial"/>
                <w:sz w:val="18"/>
                <w:szCs w:val="18"/>
                <w:color w:val="auto"/>
                <w:w w:val="97"/>
              </w:rPr>
              <w:t>Metric</w:t>
            </w:r>
          </w:p>
        </w:tc>
        <w:tc>
          <w:tcPr>
            <w:tcW w:w="1100" w:type="dxa"/>
            <w:vAlign w:val="bottom"/>
            <w:vMerge w:val="continue"/>
            <w:shd w:val="clear" w:color="auto" w:fill="DBDBDB"/>
          </w:tcPr>
          <w:p>
            <w:pPr>
              <w:spacing w:after="0"/>
              <w:rPr>
                <w:sz w:val="11"/>
                <w:szCs w:val="11"/>
                <w:color w:val="auto"/>
              </w:rPr>
            </w:pPr>
          </w:p>
        </w:tc>
        <w:tc>
          <w:tcPr>
            <w:tcW w:w="2480" w:type="dxa"/>
            <w:vAlign w:val="bottom"/>
            <w:vMerge w:val="continue"/>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00" w:type="dxa"/>
            <w:vAlign w:val="bottom"/>
            <w:vMerge w:val="continue"/>
            <w:shd w:val="clear" w:color="auto" w:fill="DBDBDB"/>
          </w:tcPr>
          <w:p>
            <w:pPr>
              <w:spacing w:after="0"/>
              <w:rPr>
                <w:sz w:val="8"/>
                <w:szCs w:val="8"/>
                <w:color w:val="auto"/>
              </w:rPr>
            </w:pPr>
          </w:p>
        </w:tc>
        <w:tc>
          <w:tcPr>
            <w:tcW w:w="1100" w:type="dxa"/>
            <w:vAlign w:val="bottom"/>
            <w:shd w:val="clear" w:color="auto" w:fill="DBDBDB"/>
          </w:tcPr>
          <w:p>
            <w:pPr>
              <w:spacing w:after="0"/>
              <w:rPr>
                <w:sz w:val="8"/>
                <w:szCs w:val="8"/>
                <w:color w:val="auto"/>
              </w:rPr>
            </w:pPr>
          </w:p>
        </w:tc>
        <w:tc>
          <w:tcPr>
            <w:tcW w:w="24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tcPr>
          <w:p>
            <w:pPr>
              <w:jc w:val="center"/>
              <w:ind w:right="110"/>
              <w:spacing w:after="0"/>
              <w:rPr>
                <w:sz w:val="20"/>
                <w:szCs w:val="20"/>
                <w:color w:val="auto"/>
              </w:rPr>
            </w:pPr>
            <w:r>
              <w:rPr>
                <w:rFonts w:ascii="Arial" w:cs="Arial" w:eastAsia="Arial" w:hAnsi="Arial"/>
                <w:sz w:val="18"/>
                <w:szCs w:val="18"/>
                <w:color w:val="auto"/>
                <w:w w:val="91"/>
              </w:rPr>
              <w:t>% of Shares Earned with Respect to Design Win Metric</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4"/>
              </w:rPr>
              <w:t>50%</w:t>
            </w:r>
          </w:p>
        </w:tc>
        <w:tc>
          <w:tcPr>
            <w:tcW w:w="2480" w:type="dxa"/>
            <w:vAlign w:val="bottom"/>
          </w:tcPr>
          <w:p>
            <w:pPr>
              <w:jc w:val="center"/>
              <w:ind w:left="30"/>
              <w:spacing w:after="0"/>
              <w:rPr>
                <w:sz w:val="20"/>
                <w:szCs w:val="20"/>
                <w:color w:val="auto"/>
              </w:rPr>
            </w:pPr>
            <w:r>
              <w:rPr>
                <w:rFonts w:ascii="Arial" w:cs="Arial" w:eastAsia="Arial" w:hAnsi="Arial"/>
                <w:sz w:val="18"/>
                <w:szCs w:val="18"/>
                <w:color w:val="auto"/>
                <w:w w:val="88"/>
              </w:rPr>
              <w:t>50%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0"/>
              </w:rPr>
              <w:t>% of Shares Earned with Respect to TSR Percentile Ranking Metric</w:t>
            </w:r>
          </w:p>
        </w:tc>
        <w:tc>
          <w:tcPr>
            <w:tcW w:w="1100" w:type="dxa"/>
            <w:vAlign w:val="bottom"/>
            <w:shd w:val="clear" w:color="auto" w:fill="DBDBDB"/>
          </w:tcPr>
          <w:p>
            <w:pPr>
              <w:spacing w:after="0"/>
              <w:rPr>
                <w:sz w:val="19"/>
                <w:szCs w:val="19"/>
                <w:color w:val="auto"/>
              </w:rPr>
            </w:pPr>
          </w:p>
        </w:tc>
        <w:tc>
          <w:tcPr>
            <w:tcW w:w="248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 w:lineRule="exact"/>
        <w:rPr>
          <w:sz w:val="20"/>
          <w:szCs w:val="20"/>
          <w:color w:val="auto"/>
        </w:rPr>
      </w:pPr>
    </w:p>
    <w:p>
      <w:pPr>
        <w:ind w:left="260" w:right="260" w:hanging="252"/>
        <w:spacing w:after="0" w:line="233" w:lineRule="auto"/>
        <w:tabs>
          <w:tab w:leader="none" w:pos="4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termination by reason of death or permanent disability, the holder of an FY21 PSA (or the holder’s estate) would receive any earned but unissued shares that would have been issuable thereunder during the remaining term of the award.</w:t>
      </w:r>
    </w:p>
    <w:p>
      <w:pPr>
        <w:spacing w:after="0" w:line="18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During fiscal year 2020, the base period against which fiscal year 2021 emerging revenue performance was measured, the Company achieved revenue in the specified key product categories of $442 million. During fiscal year 2021, the Company achieved revenue in the specified key product categories of $996 million, representing emerging revenue growth of 125%, exceeding the “maximum” level of performance and resulting in achievement with respect to such metric of 200% of the target level of shares. In calculating emerging revenue for fiscal year 2021, the Company excluded all revenue resulting from the acquisition in July 2021 of Silicon Labs’ Infrastructure and Automotive business, consistent with the terms of the FY21 PSA, which required exclusion of the impacts on this metric of any acquisition made by the Company during the performance period. Performance under this metric significantly exceeded the Company’s annual operating plan, primarily as a result of stronger-than-expected demand for the applicable products.</w:t>
      </w:r>
    </w:p>
    <w:p>
      <w:pPr>
        <w:spacing w:after="0" w:line="164"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Also during fiscal year 2021, the Company achieved design wins with the specified customer at a level exceeding the “maximum” level of performance, resulting in achievement with respect to such metric of 200% of the target level of shares. The level of actual achievement under this metric represented a significant increase from the prior year’s performance. Accordingly, upon the Compensation Committee’s certification of the performance results in November 2021, the Company issued 50% of the shares earned by each Named Executive Officer under the FY21 PSAs with respect to the emerging revenue growth and design win performance metrics. The remaining shares earned under such metrics will be issued in November 2022, provided that the Named Executive Officer meets the continued employment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PSAs at the End of Fiscal Year 2021</w:t>
      </w:r>
    </w:p>
    <w:p>
      <w:pPr>
        <w:spacing w:after="0" w:line="225"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18"/>
          <w:szCs w:val="18"/>
          <w:color w:val="auto"/>
        </w:rPr>
        <w:t>As summarized in the table below of the annual PSA grants made to Named Executive Officers since fiscal year 2018 (the first year in which the Compensation Committee awarded PSAs subject to a performance metric measured over a three-year performance period), achievement of the TSR percentile ranking performance metric under the FY21 PSAs, which is subject to a three-year performance period, will be determined following the conclusion of the Company’s fiscal year 2023. During the three-year performance period under the fiscal year 2019 PSAs comprising the Company’s fiscal years 2019, 2020, and 2021, the Company achieved a TSR of 105% resulting in its ranking in the 44.8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against the applicable peer group. Accordingly, the Company issued 74.1% of the “target” level of shares, as earned by each Named Executive Officer under the fiscal year 2019 PSAs with respect to the TSR percentile ranking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PSA Fiscal</w:t>
            </w:r>
          </w:p>
        </w:tc>
        <w:tc>
          <w:tcPr>
            <w:tcW w:w="12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Grant Date</w:t>
            </w:r>
          </w:p>
        </w:tc>
        <w:tc>
          <w:tcPr>
            <w:tcW w:w="3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Performance Metric</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3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Achieved</w:t>
            </w:r>
          </w:p>
        </w:tc>
        <w:tc>
          <w:tcPr>
            <w:tcW w:w="0" w:type="dxa"/>
            <w:vAlign w:val="bottom"/>
          </w:tcPr>
          <w:p>
            <w:pPr>
              <w:spacing w:after="0"/>
              <w:rPr>
                <w:sz w:val="1"/>
                <w:szCs w:val="1"/>
                <w:color w:val="auto"/>
              </w:rPr>
            </w:pP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vMerge w:val="continue"/>
          </w:tcPr>
          <w:p>
            <w:pPr>
              <w:spacing w:after="0"/>
              <w:rPr>
                <w:sz w:val="19"/>
                <w:szCs w:val="19"/>
                <w:color w:val="auto"/>
              </w:rPr>
            </w:pPr>
          </w:p>
        </w:tc>
        <w:tc>
          <w:tcPr>
            <w:tcW w:w="316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3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 of Target)</w:t>
            </w:r>
          </w:p>
        </w:tc>
        <w:tc>
          <w:tcPr>
            <w:tcW w:w="0" w:type="dxa"/>
            <w:vAlign w:val="bottom"/>
          </w:tcPr>
          <w:p>
            <w:pPr>
              <w:spacing w:after="0"/>
              <w:rPr>
                <w:sz w:val="1"/>
                <w:szCs w:val="1"/>
                <w:color w:val="auto"/>
              </w:rPr>
            </w:pPr>
          </w:p>
        </w:tc>
      </w:tr>
      <w:tr>
        <w:trPr>
          <w:trHeight w:val="243"/>
        </w:trPr>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2"/>
              </w:rPr>
              <w:t>FY18</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9"/>
              </w:rPr>
              <w:t>11/7/2017</w:t>
            </w:r>
          </w:p>
        </w:tc>
        <w:tc>
          <w:tcPr>
            <w:tcW w:w="3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Non-GAAP EBITDA Growth</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FY18</w:t>
            </w:r>
          </w:p>
        </w:tc>
        <w:tc>
          <w:tcPr>
            <w:tcW w:w="318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0"/>
              </w:rPr>
              <w:t>99.8%</w:t>
            </w: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260" w:type="dxa"/>
            <w:vAlign w:val="bottom"/>
            <w:vMerge w:val="continue"/>
            <w:shd w:val="clear" w:color="auto" w:fill="DBDBDB"/>
          </w:tcPr>
          <w:p>
            <w:pPr>
              <w:spacing w:after="0"/>
              <w:rPr>
                <w:sz w:val="11"/>
                <w:szCs w:val="11"/>
                <w:color w:val="auto"/>
              </w:rPr>
            </w:pPr>
          </w:p>
        </w:tc>
        <w:tc>
          <w:tcPr>
            <w:tcW w:w="1260" w:type="dxa"/>
            <w:vAlign w:val="bottom"/>
            <w:vMerge w:val="continue"/>
            <w:shd w:val="clear" w:color="auto" w:fill="DBDBDB"/>
          </w:tcPr>
          <w:p>
            <w:pPr>
              <w:spacing w:after="0"/>
              <w:rPr>
                <w:sz w:val="11"/>
                <w:szCs w:val="11"/>
                <w:color w:val="auto"/>
              </w:rPr>
            </w:pPr>
          </w:p>
        </w:tc>
        <w:tc>
          <w:tcPr>
            <w:tcW w:w="31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3"/>
              </w:rPr>
              <w:t>FY18–FY20</w:t>
            </w:r>
          </w:p>
        </w:tc>
        <w:tc>
          <w:tcPr>
            <w:tcW w:w="3180" w:type="dxa"/>
            <w:vAlign w:val="bottom"/>
            <w:vMerge w:val="restart"/>
            <w:shd w:val="clear" w:color="auto" w:fill="DBDBDB"/>
          </w:tcPr>
          <w:p>
            <w:pPr>
              <w:jc w:val="center"/>
              <w:ind w:left="550"/>
              <w:spacing w:after="0"/>
              <w:rPr>
                <w:sz w:val="20"/>
                <w:szCs w:val="20"/>
                <w:color w:val="auto"/>
              </w:rPr>
            </w:pPr>
            <w:r>
              <w:rPr>
                <w:rFonts w:ascii="Arial" w:cs="Arial" w:eastAsia="Arial" w:hAnsi="Arial"/>
                <w:sz w:val="18"/>
                <w:szCs w:val="18"/>
                <w:color w:val="auto"/>
                <w:w w:val="84"/>
              </w:rPr>
              <w:t>0%</w:t>
            </w: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spacing w:after="0"/>
              <w:rPr>
                <w:sz w:val="12"/>
                <w:szCs w:val="12"/>
                <w:color w:val="auto"/>
              </w:rPr>
            </w:pPr>
          </w:p>
        </w:tc>
        <w:tc>
          <w:tcPr>
            <w:tcW w:w="3160" w:type="dxa"/>
            <w:vAlign w:val="bottom"/>
            <w:tcBorders>
              <w:bottom w:val="single" w:sz="8" w:color="DBDBDB"/>
            </w:tcBorders>
            <w:vMerge w:val="continue"/>
            <w:shd w:val="clear" w:color="auto" w:fill="DBDBDB"/>
          </w:tcPr>
          <w:p>
            <w:pPr>
              <w:spacing w:after="0"/>
              <w:rPr>
                <w:sz w:val="12"/>
                <w:szCs w:val="12"/>
                <w:color w:val="auto"/>
              </w:rPr>
            </w:pPr>
          </w:p>
        </w:tc>
        <w:tc>
          <w:tcPr>
            <w:tcW w:w="1540" w:type="dxa"/>
            <w:vAlign w:val="bottom"/>
            <w:tcBorders>
              <w:bottom w:val="single" w:sz="8" w:color="DBDBDB"/>
            </w:tcBorders>
            <w:vMerge w:val="continue"/>
            <w:shd w:val="clear" w:color="auto" w:fill="DBDBDB"/>
          </w:tcPr>
          <w:p>
            <w:pPr>
              <w:spacing w:after="0"/>
              <w:rPr>
                <w:sz w:val="12"/>
                <w:szCs w:val="12"/>
                <w:color w:val="auto"/>
              </w:rPr>
            </w:pPr>
          </w:p>
        </w:tc>
        <w:tc>
          <w:tcPr>
            <w:tcW w:w="3180" w:type="dxa"/>
            <w:vAlign w:val="bottom"/>
            <w:tcBorders>
              <w:bottom w:val="single" w:sz="8" w:color="DBDBDB"/>
            </w:tcBorders>
            <w:vMerge w:val="continue"/>
            <w:shd w:val="clear" w:color="auto" w:fill="DBDBDB"/>
          </w:tcPr>
          <w:p>
            <w:pPr>
              <w:spacing w:after="0"/>
              <w:rPr>
                <w:sz w:val="12"/>
                <w:szCs w:val="12"/>
                <w:color w:val="auto"/>
              </w:rPr>
            </w:pPr>
          </w:p>
        </w:tc>
        <w:tc>
          <w:tcPr>
            <w:tcW w:w="64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FY19</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11/6/2018</w:t>
            </w: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Non-GAAP EBITDA Growth</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FY19</w:t>
            </w: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84"/>
              </w:rPr>
              <w:t>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2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160" w:type="dxa"/>
            <w:vAlign w:val="bottom"/>
            <w:vMerge w:val="restart"/>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3"/>
              </w:rPr>
              <w:t>FY19–FY21</w:t>
            </w:r>
          </w:p>
        </w:tc>
        <w:tc>
          <w:tcPr>
            <w:tcW w:w="3180" w:type="dxa"/>
            <w:vAlign w:val="bottom"/>
            <w:vMerge w:val="restart"/>
          </w:tcPr>
          <w:p>
            <w:pPr>
              <w:jc w:val="center"/>
              <w:ind w:left="550"/>
              <w:spacing w:after="0"/>
              <w:rPr>
                <w:sz w:val="20"/>
                <w:szCs w:val="20"/>
                <w:color w:val="auto"/>
              </w:rPr>
            </w:pPr>
            <w:r>
              <w:rPr>
                <w:rFonts w:ascii="Arial" w:cs="Arial" w:eastAsia="Arial" w:hAnsi="Arial"/>
                <w:sz w:val="18"/>
                <w:szCs w:val="18"/>
                <w:color w:val="auto"/>
                <w:w w:val="90"/>
              </w:rPr>
              <w:t>74.1%</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18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3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Emerging Revenue Growth</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FY20</w:t>
            </w:r>
          </w:p>
        </w:tc>
        <w:tc>
          <w:tcPr>
            <w:tcW w:w="318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1"/>
              </w:rPr>
              <w:t>200%</w:t>
            </w: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FY20</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11/5/2019</w:t>
            </w:r>
          </w:p>
        </w:tc>
        <w:tc>
          <w:tcPr>
            <w:tcW w:w="3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3"/>
              </w:rPr>
              <w:t>Design Wins</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FY20</w:t>
            </w:r>
          </w:p>
        </w:tc>
        <w:tc>
          <w:tcPr>
            <w:tcW w:w="318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w w:val="91"/>
              </w:rPr>
              <w:t>200%</w:t>
            </w:r>
          </w:p>
        </w:tc>
        <w:tc>
          <w:tcPr>
            <w:tcW w:w="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Borders>
              <w:bottom w:val="single" w:sz="8" w:color="DBDBDB"/>
            </w:tcBorders>
            <w:shd w:val="clear" w:color="auto" w:fill="DBDBDB"/>
          </w:tcPr>
          <w:p>
            <w:pPr>
              <w:spacing w:after="0"/>
              <w:rPr>
                <w:sz w:val="24"/>
                <w:szCs w:val="24"/>
                <w:color w:val="auto"/>
              </w:rPr>
            </w:pPr>
          </w:p>
        </w:tc>
        <w:tc>
          <w:tcPr>
            <w:tcW w:w="1260" w:type="dxa"/>
            <w:vAlign w:val="bottom"/>
            <w:tcBorders>
              <w:bottom w:val="single" w:sz="8" w:color="DBDBDB"/>
            </w:tcBorders>
            <w:shd w:val="clear" w:color="auto" w:fill="DBDBDB"/>
          </w:tcPr>
          <w:p>
            <w:pPr>
              <w:spacing w:after="0"/>
              <w:rPr>
                <w:sz w:val="24"/>
                <w:szCs w:val="24"/>
                <w:color w:val="auto"/>
              </w:rPr>
            </w:pPr>
          </w:p>
        </w:tc>
        <w:tc>
          <w:tcPr>
            <w:tcW w:w="31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3"/>
              </w:rPr>
              <w:t>FY20–FY22</w:t>
            </w:r>
          </w:p>
        </w:tc>
        <w:tc>
          <w:tcPr>
            <w:tcW w:w="3180" w:type="dxa"/>
            <w:vAlign w:val="bottom"/>
            <w:tcBorders>
              <w:bottom w:val="single" w:sz="8" w:color="DBDBDB"/>
            </w:tcBorders>
            <w:shd w:val="clear" w:color="auto" w:fill="DBDBDB"/>
          </w:tcPr>
          <w:p>
            <w:pPr>
              <w:jc w:val="center"/>
              <w:ind w:left="550"/>
              <w:spacing w:after="0"/>
              <w:rPr>
                <w:sz w:val="20"/>
                <w:szCs w:val="20"/>
                <w:color w:val="auto"/>
              </w:rPr>
            </w:pPr>
            <w:r>
              <w:rPr>
                <w:rFonts w:ascii="Arial" w:cs="Arial" w:eastAsia="Arial" w:hAnsi="Arial"/>
                <w:sz w:val="18"/>
                <w:szCs w:val="18"/>
                <w:color w:val="auto"/>
                <w:highlight w:val="lightGray"/>
                <w:w w:val="89"/>
              </w:rPr>
              <w:t>Performance Period in Progress (1)</w:t>
            </w:r>
          </w:p>
        </w:tc>
        <w:tc>
          <w:tcPr>
            <w:tcW w:w="64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Emerging Revenue Growth</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FY21</w:t>
            </w: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1"/>
              </w:rPr>
              <w:t>200%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2"/>
              </w:rPr>
              <w:t>FY21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3160" w:type="dxa"/>
            <w:vAlign w:val="bottom"/>
          </w:tcPr>
          <w:p>
            <w:pPr>
              <w:jc w:val="center"/>
              <w:spacing w:after="0"/>
              <w:rPr>
                <w:sz w:val="20"/>
                <w:szCs w:val="20"/>
                <w:color w:val="auto"/>
              </w:rPr>
            </w:pPr>
            <w:r>
              <w:rPr>
                <w:rFonts w:ascii="Arial" w:cs="Arial" w:eastAsia="Arial" w:hAnsi="Arial"/>
                <w:sz w:val="18"/>
                <w:szCs w:val="18"/>
                <w:color w:val="auto"/>
                <w:w w:val="93"/>
              </w:rPr>
              <w:t>Design Wins</w:t>
            </w: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FY21</w:t>
            </w:r>
          </w:p>
        </w:tc>
        <w:tc>
          <w:tcPr>
            <w:tcW w:w="3180" w:type="dxa"/>
            <w:vAlign w:val="bottom"/>
          </w:tcPr>
          <w:p>
            <w:pPr>
              <w:jc w:val="center"/>
              <w:ind w:left="550"/>
              <w:spacing w:after="0"/>
              <w:rPr>
                <w:sz w:val="20"/>
                <w:szCs w:val="20"/>
                <w:color w:val="auto"/>
              </w:rPr>
            </w:pPr>
            <w:r>
              <w:rPr>
                <w:rFonts w:ascii="Arial" w:cs="Arial" w:eastAsia="Arial" w:hAnsi="Arial"/>
                <w:sz w:val="18"/>
                <w:szCs w:val="18"/>
                <w:color w:val="auto"/>
                <w:w w:val="91"/>
              </w:rPr>
              <w:t>200%</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FY21–FY23</w:t>
            </w:r>
          </w:p>
        </w:tc>
        <w:tc>
          <w:tcPr>
            <w:tcW w:w="3820" w:type="dxa"/>
            <w:vAlign w:val="bottom"/>
            <w:gridSpan w:val="2"/>
          </w:tcPr>
          <w:p>
            <w:pPr>
              <w:jc w:val="center"/>
              <w:spacing w:after="0"/>
              <w:rPr>
                <w:sz w:val="20"/>
                <w:szCs w:val="20"/>
                <w:color w:val="auto"/>
              </w:rPr>
            </w:pPr>
            <w:r>
              <w:rPr>
                <w:rFonts w:ascii="Arial" w:cs="Arial" w:eastAsia="Arial" w:hAnsi="Arial"/>
                <w:sz w:val="18"/>
                <w:szCs w:val="18"/>
                <w:color w:val="auto"/>
                <w:w w:val="89"/>
              </w:rPr>
              <w:t>Performance Period in Progress (2)</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50" w:lineRule="auto"/>
        <w:tabs>
          <w:tab w:leader="none" w:pos="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January 21, 2022, performance under this metric during the applicable performance period is between the “threshold” and “target” levels of performance.</w:t>
      </w: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January 21, 2022, performance under this metric during the applicable performance period is below the “threshold” level of performance.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Compensation and Benefits</w:t>
      </w:r>
    </w:p>
    <w:p>
      <w:pPr>
        <w:spacing w:after="0" w:line="251"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7"/>
          <w:szCs w:val="17"/>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Investment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208"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We offered executives the opportunity to participate in a reimbursement program for fiscal year 2021 providing up to an aggregate of $20,000 to each executive for the purchase of financial planning services, estate planning services, personal tax planning and preparation services, and/or an executive physical. No tax gross-up was provided for such reimbursements. In fiscal year 2021, each of the Named Executive Officers, with the exception of Ms. Durham, received reimbursement in connection with such services.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Severance and Change-in-Control Benefits</w:t>
      </w:r>
    </w:p>
    <w:p>
      <w:pPr>
        <w:spacing w:after="0" w:line="225"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w:t>
      </w:r>
    </w:p>
    <w:p>
      <w:pPr>
        <w:spacing w:after="0" w:line="202" w:lineRule="exact"/>
        <w:rPr>
          <w:sz w:val="20"/>
          <w:szCs w:val="20"/>
          <w:color w:val="auto"/>
        </w:rPr>
      </w:pPr>
    </w:p>
    <w:p>
      <w:pPr>
        <w:jc w:val="both"/>
        <w:ind w:firstLine="388"/>
        <w:spacing w:after="0" w:line="279" w:lineRule="auto"/>
        <w:rPr>
          <w:sz w:val="20"/>
          <w:szCs w:val="20"/>
          <w:color w:val="auto"/>
        </w:rPr>
      </w:pPr>
      <w:r>
        <w:rPr>
          <w:rFonts w:ascii="Arial" w:cs="Arial" w:eastAsia="Arial" w:hAnsi="Arial"/>
          <w:sz w:val="17"/>
          <w:szCs w:val="17"/>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175"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Stock Ownership Requirements</w:t>
      </w:r>
    </w:p>
    <w:p>
      <w:pPr>
        <w:spacing w:after="0" w:line="251" w:lineRule="exact"/>
        <w:rPr>
          <w:sz w:val="20"/>
          <w:szCs w:val="20"/>
          <w:color w:val="auto"/>
        </w:rPr>
      </w:pPr>
    </w:p>
    <w:p>
      <w:pPr>
        <w:jc w:val="both"/>
        <w:ind w:firstLine="388"/>
        <w:spacing w:after="0" w:line="301" w:lineRule="auto"/>
        <w:rPr>
          <w:sz w:val="20"/>
          <w:szCs w:val="20"/>
          <w:color w:val="auto"/>
        </w:rPr>
      </w:pPr>
      <w:r>
        <w:rPr>
          <w:rFonts w:ascii="Arial" w:cs="Arial" w:eastAsia="Arial" w:hAnsi="Arial"/>
          <w:sz w:val="16"/>
          <w:szCs w:val="16"/>
          <w:color w:val="auto"/>
        </w:rPr>
        <w:t xml:space="preserve">We have adopted Executive Stock Ownership guidelines with the objective of more closely aligning the interests of our executive officers with those of our stockholders. Under the Executive Officer Ownership guidelines, our Named Executive Officers are each required to hold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(a) the number of shares with a fair market value equal to the applicable multiple of such executive’s current base salary, or (b) the applicable number of shares, each as set forth in the table below. All of our Named Executive Officers are in compliance with the stock ownership guidelines as of the date hereof.</w:t>
      </w:r>
    </w:p>
    <w:p>
      <w:pPr>
        <w:spacing w:after="0" w:line="165"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2840" w:type="dxa"/>
            <w:vAlign w:val="bottom"/>
          </w:tcPr>
          <w:p>
            <w:pPr>
              <w:ind w:left="920"/>
              <w:spacing w:after="0"/>
              <w:rPr>
                <w:sz w:val="20"/>
                <w:szCs w:val="20"/>
                <w:color w:val="auto"/>
              </w:rPr>
            </w:pPr>
            <w:r>
              <w:rPr>
                <w:rFonts w:ascii="Arial" w:cs="Arial" w:eastAsia="Arial" w:hAnsi="Arial"/>
                <w:sz w:val="18"/>
                <w:szCs w:val="18"/>
                <w:b w:val="1"/>
                <w:bCs w:val="1"/>
                <w:color w:val="auto"/>
              </w:rPr>
              <w:t>Multiple of</w:t>
            </w:r>
          </w:p>
        </w:tc>
        <w:tc>
          <w:tcPr>
            <w:tcW w:w="190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2840" w:type="dxa"/>
            <w:vAlign w:val="bottom"/>
          </w:tcPr>
          <w:p>
            <w:pPr>
              <w:ind w:left="480"/>
              <w:spacing w:after="0"/>
              <w:rPr>
                <w:sz w:val="20"/>
                <w:szCs w:val="20"/>
                <w:color w:val="auto"/>
              </w:rPr>
            </w:pPr>
            <w:r>
              <w:rPr>
                <w:rFonts w:ascii="Arial" w:cs="Arial" w:eastAsia="Arial" w:hAnsi="Arial"/>
                <w:sz w:val="18"/>
                <w:szCs w:val="18"/>
                <w:b w:val="1"/>
                <w:bCs w:val="1"/>
                <w:color w:val="auto"/>
              </w:rPr>
              <w:t>Annual Base Salary (1)</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Executive Officer</w:t>
            </w:r>
          </w:p>
        </w:tc>
        <w:tc>
          <w:tcPr>
            <w:tcW w:w="2840" w:type="dxa"/>
            <w:vAlign w:val="bottom"/>
            <w:shd w:val="clear" w:color="auto" w:fill="DBDBDB"/>
          </w:tcPr>
          <w:p>
            <w:pPr>
              <w:jc w:val="center"/>
              <w:ind w:right="30"/>
              <w:spacing w:after="0"/>
              <w:rPr>
                <w:sz w:val="20"/>
                <w:szCs w:val="20"/>
                <w:color w:val="auto"/>
              </w:rPr>
            </w:pPr>
            <w:r>
              <w:rPr>
                <w:rFonts w:ascii="Arial" w:cs="Arial" w:eastAsia="Arial" w:hAnsi="Arial"/>
                <w:sz w:val="18"/>
                <w:szCs w:val="18"/>
                <w:color w:val="auto"/>
                <w:w w:val="79"/>
              </w:rPr>
              <w:t>6</w:t>
            </w:r>
          </w:p>
        </w:tc>
        <w:tc>
          <w:tcPr>
            <w:tcW w:w="1900" w:type="dxa"/>
            <w:vAlign w:val="bottom"/>
            <w:shd w:val="clear" w:color="auto" w:fill="DBDBDB"/>
          </w:tcPr>
          <w:p>
            <w:pPr>
              <w:jc w:val="center"/>
              <w:ind w:right="30"/>
              <w:spacing w:after="0"/>
              <w:rPr>
                <w:sz w:val="20"/>
                <w:szCs w:val="20"/>
                <w:color w:val="auto"/>
              </w:rPr>
            </w:pPr>
            <w:r>
              <w:rPr>
                <w:rFonts w:ascii="Arial" w:cs="Arial" w:eastAsia="Arial" w:hAnsi="Arial"/>
                <w:sz w:val="18"/>
                <w:szCs w:val="18"/>
                <w:color w:val="auto"/>
                <w:w w:val="89"/>
              </w:rPr>
              <w:t>107,500</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jc w:val="center"/>
              <w:ind w:right="10"/>
              <w:spacing w:after="0"/>
              <w:rPr>
                <w:sz w:val="20"/>
                <w:szCs w:val="20"/>
                <w:color w:val="auto"/>
              </w:rPr>
            </w:pPr>
            <w:r>
              <w:rPr>
                <w:rFonts w:ascii="Arial" w:cs="Arial" w:eastAsia="Arial" w:hAnsi="Arial"/>
                <w:sz w:val="18"/>
                <w:szCs w:val="18"/>
                <w:color w:val="auto"/>
                <w:w w:val="87"/>
              </w:rPr>
              <w:t>2.5</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87"/>
              </w:rPr>
              <w:t>23,300</w:t>
            </w:r>
          </w:p>
        </w:tc>
        <w:tc>
          <w:tcPr>
            <w:tcW w:w="0" w:type="dxa"/>
            <w:vAlign w:val="bottom"/>
          </w:tcPr>
          <w:p>
            <w:pPr>
              <w:spacing w:after="0"/>
              <w:rPr>
                <w:sz w:val="1"/>
                <w:szCs w:val="1"/>
                <w:color w:val="auto"/>
              </w:rPr>
            </w:pPr>
          </w:p>
        </w:tc>
      </w:tr>
      <w:tr>
        <w:trPr>
          <w:trHeight w:val="175"/>
        </w:trPr>
        <w:tc>
          <w:tcPr>
            <w:tcW w:w="2960" w:type="dxa"/>
            <w:vAlign w:val="bottom"/>
            <w:shd w:val="clear" w:color="auto" w:fill="D9D9D9"/>
          </w:tcPr>
          <w:p>
            <w:pPr>
              <w:ind w:left="20"/>
              <w:spacing w:after="0" w:line="176" w:lineRule="exact"/>
              <w:rPr>
                <w:sz w:val="20"/>
                <w:szCs w:val="20"/>
                <w:color w:val="auto"/>
              </w:rPr>
            </w:pPr>
            <w:r>
              <w:rPr>
                <w:rFonts w:ascii="Arial" w:cs="Arial" w:eastAsia="Arial" w:hAnsi="Arial"/>
                <w:sz w:val="18"/>
                <w:szCs w:val="18"/>
                <w:color w:val="auto"/>
              </w:rPr>
              <w:t>Senior Vice President, Sales and</w:t>
            </w:r>
          </w:p>
        </w:tc>
        <w:tc>
          <w:tcPr>
            <w:tcW w:w="2840" w:type="dxa"/>
            <w:vAlign w:val="bottom"/>
            <w:vMerge w:val="restart"/>
            <w:shd w:val="clear" w:color="auto" w:fill="D9D9D9"/>
          </w:tcPr>
          <w:p>
            <w:pPr>
              <w:jc w:val="center"/>
              <w:ind w:right="10"/>
              <w:spacing w:after="0"/>
              <w:rPr>
                <w:sz w:val="20"/>
                <w:szCs w:val="20"/>
                <w:color w:val="auto"/>
              </w:rPr>
            </w:pPr>
            <w:r>
              <w:rPr>
                <w:rFonts w:ascii="Arial" w:cs="Arial" w:eastAsia="Arial" w:hAnsi="Arial"/>
                <w:sz w:val="18"/>
                <w:szCs w:val="18"/>
                <w:color w:val="auto"/>
                <w:w w:val="87"/>
              </w:rPr>
              <w:t>2.5</w:t>
            </w:r>
          </w:p>
        </w:tc>
        <w:tc>
          <w:tcPr>
            <w:tcW w:w="1900" w:type="dxa"/>
            <w:vAlign w:val="bottom"/>
            <w:vMerge w:val="restart"/>
            <w:shd w:val="clear" w:color="auto" w:fill="D9D9D9"/>
          </w:tcPr>
          <w:p>
            <w:pPr>
              <w:jc w:val="center"/>
              <w:ind w:right="50"/>
              <w:spacing w:after="0"/>
              <w:rPr>
                <w:sz w:val="20"/>
                <w:szCs w:val="20"/>
                <w:color w:val="auto"/>
              </w:rPr>
            </w:pPr>
            <w:r>
              <w:rPr>
                <w:rFonts w:ascii="Arial" w:cs="Arial" w:eastAsia="Arial" w:hAnsi="Arial"/>
                <w:sz w:val="18"/>
                <w:szCs w:val="18"/>
                <w:color w:val="auto"/>
                <w:w w:val="87"/>
              </w:rPr>
              <w:t>19,800</w:t>
            </w:r>
          </w:p>
        </w:tc>
        <w:tc>
          <w:tcPr>
            <w:tcW w:w="0" w:type="dxa"/>
            <w:vAlign w:val="bottom"/>
          </w:tcPr>
          <w:p>
            <w:pPr>
              <w:spacing w:after="0"/>
              <w:rPr>
                <w:sz w:val="1"/>
                <w:szCs w:val="1"/>
                <w:color w:val="auto"/>
              </w:rPr>
            </w:pPr>
          </w:p>
        </w:tc>
      </w:tr>
      <w:tr>
        <w:trPr>
          <w:trHeight w:val="229"/>
        </w:trPr>
        <w:tc>
          <w:tcPr>
            <w:tcW w:w="2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Marketing</w:t>
            </w:r>
          </w:p>
        </w:tc>
        <w:tc>
          <w:tcPr>
            <w:tcW w:w="2840" w:type="dxa"/>
            <w:vAlign w:val="bottom"/>
            <w:vMerge w:val="continue"/>
            <w:shd w:val="clear" w:color="auto" w:fill="D9D9D9"/>
          </w:tcPr>
          <w:p>
            <w:pPr>
              <w:spacing w:after="0"/>
              <w:rPr>
                <w:sz w:val="19"/>
                <w:szCs w:val="19"/>
                <w:color w:val="auto"/>
              </w:rPr>
            </w:pPr>
          </w:p>
        </w:tc>
        <w:tc>
          <w:tcPr>
            <w:tcW w:w="1900" w:type="dxa"/>
            <w:vAlign w:val="bottom"/>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and General</w:t>
            </w:r>
          </w:p>
        </w:tc>
        <w:tc>
          <w:tcPr>
            <w:tcW w:w="284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2.5</w:t>
            </w:r>
          </w:p>
        </w:tc>
        <w:tc>
          <w:tcPr>
            <w:tcW w:w="190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20,500</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Counsel</w:t>
            </w:r>
          </w:p>
        </w:tc>
        <w:tc>
          <w:tcPr>
            <w:tcW w:w="284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D9D9D9"/>
          </w:tcPr>
          <w:p>
            <w:pPr>
              <w:ind w:left="20"/>
              <w:spacing w:after="0" w:line="176" w:lineRule="exact"/>
              <w:rPr>
                <w:sz w:val="20"/>
                <w:szCs w:val="20"/>
                <w:color w:val="auto"/>
              </w:rPr>
            </w:pPr>
            <w:r>
              <w:rPr>
                <w:rFonts w:ascii="Arial" w:cs="Arial" w:eastAsia="Arial" w:hAnsi="Arial"/>
                <w:sz w:val="18"/>
                <w:szCs w:val="18"/>
                <w:color w:val="auto"/>
              </w:rPr>
              <w:t>Senior Vice President, Human</w:t>
            </w:r>
          </w:p>
        </w:tc>
        <w:tc>
          <w:tcPr>
            <w:tcW w:w="2840" w:type="dxa"/>
            <w:vAlign w:val="bottom"/>
            <w:vMerge w:val="restart"/>
            <w:shd w:val="clear" w:color="auto" w:fill="D9D9D9"/>
          </w:tcPr>
          <w:p>
            <w:pPr>
              <w:jc w:val="center"/>
              <w:ind w:right="10"/>
              <w:spacing w:after="0"/>
              <w:rPr>
                <w:sz w:val="20"/>
                <w:szCs w:val="20"/>
                <w:color w:val="auto"/>
              </w:rPr>
            </w:pPr>
            <w:r>
              <w:rPr>
                <w:rFonts w:ascii="Arial" w:cs="Arial" w:eastAsia="Arial" w:hAnsi="Arial"/>
                <w:sz w:val="18"/>
                <w:szCs w:val="18"/>
                <w:color w:val="auto"/>
                <w:w w:val="87"/>
              </w:rPr>
              <w:t>2.5</w:t>
            </w:r>
          </w:p>
        </w:tc>
        <w:tc>
          <w:tcPr>
            <w:tcW w:w="1900" w:type="dxa"/>
            <w:vAlign w:val="bottom"/>
            <w:vMerge w:val="restart"/>
            <w:shd w:val="clear" w:color="auto" w:fill="D9D9D9"/>
          </w:tcPr>
          <w:p>
            <w:pPr>
              <w:jc w:val="center"/>
              <w:ind w:right="50"/>
              <w:spacing w:after="0"/>
              <w:rPr>
                <w:sz w:val="20"/>
                <w:szCs w:val="20"/>
                <w:color w:val="auto"/>
              </w:rPr>
            </w:pPr>
            <w:r>
              <w:rPr>
                <w:rFonts w:ascii="Arial" w:cs="Arial" w:eastAsia="Arial" w:hAnsi="Arial"/>
                <w:sz w:val="18"/>
                <w:szCs w:val="18"/>
                <w:color w:val="auto"/>
                <w:w w:val="87"/>
              </w:rPr>
              <w:t>18,800</w:t>
            </w:r>
          </w:p>
        </w:tc>
        <w:tc>
          <w:tcPr>
            <w:tcW w:w="0" w:type="dxa"/>
            <w:vAlign w:val="bottom"/>
          </w:tcPr>
          <w:p>
            <w:pPr>
              <w:spacing w:after="0"/>
              <w:rPr>
                <w:sz w:val="1"/>
                <w:szCs w:val="1"/>
                <w:color w:val="auto"/>
              </w:rPr>
            </w:pPr>
          </w:p>
        </w:tc>
      </w:tr>
      <w:tr>
        <w:trPr>
          <w:trHeight w:val="229"/>
        </w:trPr>
        <w:tc>
          <w:tcPr>
            <w:tcW w:w="2960" w:type="dxa"/>
            <w:vAlign w:val="bottom"/>
            <w:shd w:val="clear" w:color="auto" w:fill="D9D9D9"/>
          </w:tcPr>
          <w:p>
            <w:pPr>
              <w:ind w:left="20"/>
              <w:spacing w:after="0"/>
              <w:rPr>
                <w:sz w:val="20"/>
                <w:szCs w:val="20"/>
                <w:color w:val="auto"/>
              </w:rPr>
            </w:pPr>
            <w:r>
              <w:rPr>
                <w:rFonts w:ascii="Arial" w:cs="Arial" w:eastAsia="Arial" w:hAnsi="Arial"/>
                <w:sz w:val="18"/>
                <w:szCs w:val="18"/>
                <w:color w:val="auto"/>
              </w:rPr>
              <w:t>Resources</w:t>
            </w:r>
          </w:p>
        </w:tc>
        <w:tc>
          <w:tcPr>
            <w:tcW w:w="2840" w:type="dxa"/>
            <w:vAlign w:val="bottom"/>
            <w:vMerge w:val="continue"/>
            <w:shd w:val="clear" w:color="auto" w:fill="D9D9D9"/>
          </w:tcPr>
          <w:p>
            <w:pPr>
              <w:spacing w:after="0"/>
              <w:rPr>
                <w:sz w:val="19"/>
                <w:szCs w:val="19"/>
                <w:color w:val="auto"/>
              </w:rPr>
            </w:pPr>
          </w:p>
        </w:tc>
        <w:tc>
          <w:tcPr>
            <w:tcW w:w="1900" w:type="dxa"/>
            <w:vAlign w:val="bottom"/>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77" w:lineRule="auto"/>
        <w:tabs>
          <w:tab w:leader="none" w:pos="4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Prohibition on Hedging and Certain Other Transactions</w:t>
      </w:r>
    </w:p>
    <w:p>
      <w:pPr>
        <w:spacing w:after="0" w:line="251" w:lineRule="exact"/>
        <w:rPr>
          <w:sz w:val="20"/>
          <w:szCs w:val="20"/>
          <w:color w:val="auto"/>
        </w:rPr>
      </w:pPr>
    </w:p>
    <w:p>
      <w:pPr>
        <w:ind w:right="20" w:firstLine="388"/>
        <w:spacing w:after="0" w:line="277" w:lineRule="auto"/>
        <w:rPr>
          <w:sz w:val="20"/>
          <w:szCs w:val="20"/>
          <w:color w:val="auto"/>
        </w:rPr>
      </w:pPr>
      <w:r>
        <w:rPr>
          <w:rFonts w:ascii="Arial" w:cs="Arial" w:eastAsia="Arial" w:hAnsi="Arial"/>
          <w:sz w:val="18"/>
          <w:szCs w:val="18"/>
          <w:color w:val="auto"/>
        </w:rPr>
        <w:t>We prohibit our directors, officers, and employees (or any of their designees) from directly or indirectly engaging in the following transactions with respect to securities of the Company:</w:t>
      </w:r>
    </w:p>
    <w:p>
      <w:pPr>
        <w:spacing w:after="0" w:line="62" w:lineRule="exact"/>
        <w:rPr>
          <w:sz w:val="20"/>
          <w:szCs w:val="20"/>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short, including short sales “against the box”;</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buying or selling put or call options; or</w:t>
      </w:r>
    </w:p>
    <w:p>
      <w:pPr>
        <w:spacing w:after="0" w:line="116" w:lineRule="exact"/>
        <w:rPr>
          <w:rFonts w:ascii="Arial" w:cs="Arial" w:eastAsia="Arial" w:hAnsi="Arial"/>
          <w:sz w:val="18"/>
          <w:szCs w:val="18"/>
          <w:color w:val="auto"/>
        </w:rPr>
      </w:pPr>
    </w:p>
    <w:p>
      <w:pPr>
        <w:jc w:val="both"/>
        <w:ind w:left="660" w:hanging="329"/>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43" w:lineRule="exact"/>
        <w:rPr>
          <w:sz w:val="20"/>
          <w:szCs w:val="20"/>
          <w:color w:val="auto"/>
        </w:rPr>
      </w:pPr>
    </w:p>
    <w:p>
      <w:pPr>
        <w:jc w:val="both"/>
        <w:ind w:firstLine="388"/>
        <w:spacing w:after="0" w:line="245" w:lineRule="auto"/>
        <w:rPr>
          <w:sz w:val="20"/>
          <w:szCs w:val="20"/>
          <w:color w:val="auto"/>
        </w:rPr>
      </w:pPr>
      <w:r>
        <w:rPr>
          <w:rFonts w:ascii="Arial" w:cs="Arial" w:eastAsia="Arial" w:hAnsi="Arial"/>
          <w:sz w:val="18"/>
          <w:szCs w:val="18"/>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Internal Revenue Code Section 162(m)</w:t>
      </w:r>
    </w:p>
    <w:p>
      <w:pPr>
        <w:spacing w:after="0" w:line="251"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For fiscal year 2021,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Compensation Tables for Named Executive Officers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firstLine="388"/>
        <w:spacing w:after="0" w:line="268"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fiscal year 2021, our fiscal year ended October 2, 2020 (“fiscal year 2020”), and our fiscal year ended September 27, 2019 (“fiscal year 2019”).</w:t>
      </w:r>
    </w:p>
    <w:tbl>
      <w:tblPr>
        <w:tblLayout w:type="fixed"/>
        <w:tblInd w:w="0" w:type="dxa"/>
        <w:tblCellMar>
          <w:top w:w="0" w:type="dxa"/>
          <w:left w:w="0" w:type="dxa"/>
          <w:bottom w:w="0" w:type="dxa"/>
          <w:right w:w="0" w:type="dxa"/>
        </w:tblCellMar>
      </w:tblPr>
      <w:tr>
        <w:trPr>
          <w:trHeight w:val="145"/>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89"/>
              </w:rPr>
              <w:t>Stock</w:t>
            </w:r>
          </w:p>
        </w:tc>
        <w:tc>
          <w:tcPr>
            <w:tcW w:w="1320" w:type="dxa"/>
            <w:vAlign w:val="bottom"/>
          </w:tcPr>
          <w:p>
            <w:pPr>
              <w:jc w:val="center"/>
              <w:ind w:right="114"/>
              <w:spacing w:after="0" w:line="145" w:lineRule="exact"/>
              <w:rPr>
                <w:sz w:val="20"/>
                <w:szCs w:val="20"/>
                <w:color w:val="auto"/>
              </w:rPr>
            </w:pPr>
            <w:r>
              <w:rPr>
                <w:rFonts w:ascii="Arial" w:cs="Arial" w:eastAsia="Arial" w:hAnsi="Arial"/>
                <w:sz w:val="14"/>
                <w:szCs w:val="14"/>
                <w:b w:val="1"/>
                <w:bCs w:val="1"/>
                <w:color w:val="auto"/>
                <w:w w:val="96"/>
              </w:rPr>
              <w:t>Non-Equity</w:t>
            </w:r>
          </w:p>
        </w:tc>
        <w:tc>
          <w:tcPr>
            <w:tcW w:w="142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8"/>
              </w:rPr>
              <w:t>All Other</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Salary</w:t>
            </w:r>
          </w:p>
        </w:tc>
        <w:tc>
          <w:tcPr>
            <w:tcW w:w="1140" w:type="dxa"/>
            <w:vAlign w:val="bottom"/>
            <w:vMerge w:val="continue"/>
          </w:tcPr>
          <w:p>
            <w:pPr>
              <w:spacing w:after="0"/>
              <w:rPr>
                <w:sz w:val="11"/>
                <w:szCs w:val="11"/>
                <w:color w:val="auto"/>
              </w:rPr>
            </w:pPr>
          </w:p>
        </w:tc>
        <w:tc>
          <w:tcPr>
            <w:tcW w:w="13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vMerge w:val="continue"/>
          </w:tcPr>
          <w:p>
            <w:pPr>
              <w:spacing w:after="0"/>
              <w:rPr>
                <w:sz w:val="11"/>
                <w:szCs w:val="11"/>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5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Year</w:t>
            </w:r>
          </w:p>
        </w:tc>
        <w:tc>
          <w:tcPr>
            <w:tcW w:w="1120" w:type="dxa"/>
            <w:vAlign w:val="bottom"/>
            <w:vMerge w:val="continue"/>
          </w:tcPr>
          <w:p>
            <w:pPr>
              <w:spacing w:after="0"/>
              <w:rPr>
                <w:sz w:val="11"/>
                <w:szCs w:val="11"/>
                <w:color w:val="auto"/>
              </w:rPr>
            </w:pPr>
          </w:p>
        </w:tc>
        <w:tc>
          <w:tcPr>
            <w:tcW w:w="114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420" w:type="dxa"/>
            <w:vAlign w:val="bottom"/>
          </w:tcPr>
          <w:p>
            <w:pPr>
              <w:jc w:val="center"/>
              <w:ind w:right="213"/>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12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right="193"/>
              <w:spacing w:after="0"/>
              <w:rPr>
                <w:sz w:val="20"/>
                <w:szCs w:val="20"/>
                <w:color w:val="auto"/>
              </w:rPr>
            </w:pPr>
            <w:r>
              <w:rPr>
                <w:rFonts w:ascii="Arial" w:cs="Arial" w:eastAsia="Arial" w:hAnsi="Arial"/>
                <w:sz w:val="14"/>
                <w:szCs w:val="14"/>
                <w:b w:val="1"/>
                <w:bCs w:val="1"/>
                <w:color w:val="auto"/>
                <w:w w:val="99"/>
              </w:rPr>
              <w:t>($)(1)</w:t>
            </w: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jc w:val="center"/>
              <w:ind w:right="193"/>
              <w:spacing w:after="0"/>
              <w:rPr>
                <w:sz w:val="20"/>
                <w:szCs w:val="20"/>
                <w:color w:val="auto"/>
              </w:rPr>
            </w:pPr>
            <w:r>
              <w:rPr>
                <w:rFonts w:ascii="Arial" w:cs="Arial" w:eastAsia="Arial" w:hAnsi="Arial"/>
                <w:sz w:val="14"/>
                <w:szCs w:val="14"/>
                <w:b w:val="1"/>
                <w:bCs w:val="1"/>
                <w:color w:val="auto"/>
                <w:w w:val="99"/>
              </w:rPr>
              <w:t>($)(3)</w:t>
            </w: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2"/>
        </w:trPr>
        <w:tc>
          <w:tcPr>
            <w:tcW w:w="352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2021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1,070,223</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11,612,745</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3,440,000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27,453</w:t>
            </w:r>
          </w:p>
        </w:tc>
        <w:tc>
          <w:tcPr>
            <w:tcW w:w="1040" w:type="dxa"/>
            <w:vAlign w:val="bottom"/>
          </w:tcPr>
          <w:p>
            <w:pPr>
              <w:jc w:val="right"/>
              <w:spacing w:after="0"/>
              <w:rPr>
                <w:sz w:val="20"/>
                <w:szCs w:val="20"/>
                <w:color w:val="auto"/>
              </w:rPr>
            </w:pPr>
            <w:r>
              <w:rPr>
                <w:rFonts w:ascii="Arial" w:cs="Arial" w:eastAsia="Arial" w:hAnsi="Arial"/>
                <w:sz w:val="18"/>
                <w:szCs w:val="18"/>
                <w:color w:val="auto"/>
              </w:rPr>
              <w:t>16,150,421</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Chairman, Chief Executive Officer</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1,043,888</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17,430,589</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3,292,800</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33,162</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21,800,439</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and President</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972,000</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11,658,937</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1,011,257</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18,399</w:t>
            </w:r>
          </w:p>
        </w:tc>
        <w:tc>
          <w:tcPr>
            <w:tcW w:w="1040" w:type="dxa"/>
            <w:vAlign w:val="bottom"/>
          </w:tcPr>
          <w:p>
            <w:pPr>
              <w:jc w:val="right"/>
              <w:spacing w:after="0"/>
              <w:rPr>
                <w:sz w:val="20"/>
                <w:szCs w:val="20"/>
                <w:color w:val="auto"/>
              </w:rPr>
            </w:pPr>
            <w:r>
              <w:rPr>
                <w:rFonts w:ascii="Arial" w:cs="Arial" w:eastAsia="Arial" w:hAnsi="Arial"/>
                <w:sz w:val="18"/>
                <w:szCs w:val="18"/>
                <w:color w:val="auto"/>
              </w:rPr>
              <w:t>13,660,593</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556,885</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3,589,223</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1,120,000</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15,203</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5,281,311</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Senior Vice President and</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2020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537,192</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5,677,593</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1,060,000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18,591</w:t>
            </w:r>
          </w:p>
        </w:tc>
        <w:tc>
          <w:tcPr>
            <w:tcW w:w="1040" w:type="dxa"/>
            <w:vAlign w:val="bottom"/>
          </w:tcPr>
          <w:p>
            <w:pPr>
              <w:jc w:val="right"/>
              <w:spacing w:after="0"/>
              <w:rPr>
                <w:sz w:val="20"/>
                <w:szCs w:val="20"/>
                <w:color w:val="auto"/>
              </w:rPr>
            </w:pPr>
            <w:r>
              <w:rPr>
                <w:rFonts w:ascii="Arial" w:cs="Arial" w:eastAsia="Arial" w:hAnsi="Arial"/>
                <w:sz w:val="18"/>
                <w:szCs w:val="18"/>
                <w:color w:val="auto"/>
              </w:rPr>
              <w:t>7,293,376</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Chief Financial Officer</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2019</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496,000</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3,264,443</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322,467</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15,352</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4,098,262</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2021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473,131</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3,061,420</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760,000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17,154</w:t>
            </w:r>
          </w:p>
        </w:tc>
        <w:tc>
          <w:tcPr>
            <w:tcW w:w="1040" w:type="dxa"/>
            <w:vAlign w:val="bottom"/>
          </w:tcPr>
          <w:p>
            <w:pPr>
              <w:jc w:val="right"/>
              <w:spacing w:after="0"/>
              <w:rPr>
                <w:sz w:val="20"/>
                <w:szCs w:val="20"/>
                <w:color w:val="auto"/>
              </w:rPr>
            </w:pPr>
            <w:r>
              <w:rPr>
                <w:rFonts w:ascii="Arial" w:cs="Arial" w:eastAsia="Arial" w:hAnsi="Arial"/>
                <w:sz w:val="18"/>
                <w:szCs w:val="18"/>
                <w:color w:val="auto"/>
              </w:rPr>
              <w:t>4,311,705</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Senior Vice President,</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463,189</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4,856,262</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731,200</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15,444</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6,066,095</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428,200</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3,147,860</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222,373</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12,561</w:t>
            </w:r>
          </w:p>
        </w:tc>
        <w:tc>
          <w:tcPr>
            <w:tcW w:w="1040" w:type="dxa"/>
            <w:vAlign w:val="bottom"/>
          </w:tcPr>
          <w:p>
            <w:pPr>
              <w:jc w:val="right"/>
              <w:spacing w:after="0"/>
              <w:rPr>
                <w:sz w:val="20"/>
                <w:szCs w:val="20"/>
                <w:color w:val="auto"/>
              </w:rPr>
            </w:pPr>
            <w:r>
              <w:rPr>
                <w:rFonts w:ascii="Arial" w:cs="Arial" w:eastAsia="Arial" w:hAnsi="Arial"/>
                <w:sz w:val="18"/>
                <w:szCs w:val="18"/>
                <w:color w:val="auto"/>
              </w:rPr>
              <w:t>3,810,994</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J. Terry</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490,027</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2,850,298</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787,200</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16,045</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4,143,570</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2020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479,396</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4,431,833</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756,800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15,994</w:t>
            </w:r>
          </w:p>
        </w:tc>
        <w:tc>
          <w:tcPr>
            <w:tcW w:w="1040" w:type="dxa"/>
            <w:vAlign w:val="bottom"/>
          </w:tcPr>
          <w:p>
            <w:pPr>
              <w:jc w:val="right"/>
              <w:spacing w:after="0"/>
              <w:rPr>
                <w:sz w:val="20"/>
                <w:szCs w:val="20"/>
                <w:color w:val="auto"/>
              </w:rPr>
            </w:pPr>
            <w:r>
              <w:rPr>
                <w:rFonts w:ascii="Arial" w:cs="Arial" w:eastAsia="Arial" w:hAnsi="Arial"/>
                <w:sz w:val="18"/>
                <w:szCs w:val="18"/>
                <w:color w:val="auto"/>
              </w:rPr>
              <w:t>5,684,023</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Counsel and Secretary</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2019</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442,700</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1,981,920</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230,112</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15,287</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2,670,019</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Karilee A. Durham(4)</w:t>
            </w: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2021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448,131</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2,005,655</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720,000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13,830</w:t>
            </w:r>
          </w:p>
        </w:tc>
        <w:tc>
          <w:tcPr>
            <w:tcW w:w="1040" w:type="dxa"/>
            <w:vAlign w:val="bottom"/>
          </w:tcPr>
          <w:p>
            <w:pPr>
              <w:jc w:val="right"/>
              <w:spacing w:after="0"/>
              <w:rPr>
                <w:sz w:val="20"/>
                <w:szCs w:val="20"/>
                <w:color w:val="auto"/>
              </w:rPr>
            </w:pPr>
            <w:r>
              <w:rPr>
                <w:rFonts w:ascii="Arial" w:cs="Arial" w:eastAsia="Arial" w:hAnsi="Arial"/>
                <w:sz w:val="18"/>
                <w:szCs w:val="18"/>
                <w:color w:val="auto"/>
              </w:rPr>
              <w:t>3,187,616</w:t>
            </w:r>
          </w:p>
        </w:tc>
        <w:tc>
          <w:tcPr>
            <w:tcW w:w="0" w:type="dxa"/>
            <w:vAlign w:val="bottom"/>
          </w:tcPr>
          <w:p>
            <w:pPr>
              <w:spacing w:after="0"/>
              <w:rPr>
                <w:sz w:val="1"/>
                <w:szCs w:val="1"/>
                <w:color w:val="auto"/>
              </w:rPr>
            </w:pPr>
          </w:p>
        </w:tc>
      </w:tr>
      <w:tr>
        <w:trPr>
          <w:trHeight w:val="229"/>
        </w:trPr>
        <w:tc>
          <w:tcPr>
            <w:tcW w:w="3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Senior Vice President,</w:t>
            </w:r>
          </w:p>
        </w:tc>
        <w:tc>
          <w:tcPr>
            <w:tcW w:w="150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437,908</w:t>
            </w:r>
          </w:p>
        </w:tc>
        <w:tc>
          <w:tcPr>
            <w:tcW w:w="114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3,037,435</w:t>
            </w:r>
          </w:p>
        </w:tc>
        <w:tc>
          <w:tcPr>
            <w:tcW w:w="13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691,200</w:t>
            </w:r>
          </w:p>
        </w:tc>
        <w:tc>
          <w:tcPr>
            <w:tcW w:w="142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16,531</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4,183,074</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Human Resources</w:t>
            </w: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81" w:lineRule="auto"/>
        <w:tabs>
          <w:tab w:leader="none" w:pos="2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in the Stock Awards column represent the grant date fair values, computed in accordance with the provisions of FASB ASC Topic 718— Compensation—Stock Compensation (“ASC 718”), of PSAs and RSUs granted during the applicable fiscal year, without regard to estimated forfeiture rates. For fiscal years 2019, 2020, and 2021, assuming the highest level of performance achievement with respect to the PSAs, the grant date fair values of the Stock Awards would be as follows: Mr. Griffin (FY 2019: $14,658,935; FY 2020: $25,430,512; FY 2021: $14,912,691), Mr. Sennesael (FY 2019: $4,104,438; FY 2020: $6,637,546; FY 2021: $4,609,190), Mr. Bori (FY 2019: $3,957,856; FY 2020: $5,666,259; FY 2021: $3,931,401), Mr. Terry (FY 2019: $2,491,891; FY 2020: $5,211,819; FY 2021: $3,660,286), and Ms. Durham (FY 2020: $3,577,434; FY 2021: $2,575,596). For a description of the assumptions used in calculating the fair value of equity awards in fiscal year 2021 under ASC 718, see Note 10 of the Company’s financial statements included in the Company’s Annual Report on Form 10-K filed with the SEC on November 24, 2021.</w:t>
      </w:r>
    </w:p>
    <w:p>
      <w:pPr>
        <w:spacing w:after="0" w:line="2" w:lineRule="exact"/>
        <w:rPr>
          <w:rFonts w:ascii="Arial" w:cs="Arial" w:eastAsia="Arial" w:hAnsi="Arial"/>
          <w:sz w:val="16"/>
          <w:szCs w:val="16"/>
          <w:color w:val="auto"/>
        </w:rPr>
      </w:pPr>
    </w:p>
    <w:p>
      <w:pPr>
        <w:ind w:left="260" w:hanging="252"/>
        <w:spacing w:after="0" w:line="250" w:lineRule="auto"/>
        <w:tabs>
          <w:tab w:leader="none" w:pos="2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amounts paid to the Named Executive Officers pursuant to the executive incentive plan adopted by the Compensation Committee for each year indicated.</w:t>
      </w:r>
    </w:p>
    <w:p>
      <w:pPr>
        <w:jc w:val="both"/>
        <w:ind w:left="260" w:hanging="252"/>
        <w:spacing w:after="0" w:line="250" w:lineRule="auto"/>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Compensation” includes the Company’s contributions to the executive’s 401(k) Plan account, the cost of group term life insurance premiums, and financial planning benefits. For fiscal year 2021, it specifically includes $11,600 in Company contributions to each Named Executive Officer’s 401(k) Plan account, as well as $11,500 in financial planning benefits for Mr. Griffin.</w:t>
      </w: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Durham was not a Named Executive Officer prior to fiscal year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Table</w:t>
      </w:r>
    </w:p>
    <w:p>
      <w:pPr>
        <w:spacing w:after="0" w:line="225" w:lineRule="exact"/>
        <w:rPr>
          <w:sz w:val="20"/>
          <w:szCs w:val="20"/>
          <w:color w:val="auto"/>
        </w:rPr>
      </w:pPr>
    </w:p>
    <w:p>
      <w:pPr>
        <w:ind w:right="20" w:firstLine="388"/>
        <w:spacing w:after="0" w:line="277" w:lineRule="auto"/>
        <w:rPr>
          <w:sz w:val="20"/>
          <w:szCs w:val="20"/>
          <w:color w:val="auto"/>
        </w:rPr>
      </w:pPr>
      <w:r>
        <w:rPr>
          <w:rFonts w:ascii="Arial" w:cs="Arial" w:eastAsia="Arial" w:hAnsi="Arial"/>
          <w:sz w:val="18"/>
          <w:szCs w:val="18"/>
          <w:color w:val="auto"/>
        </w:rPr>
        <w:t>The following table summarizes all grants of plan-based awards made to the Named Executive Officers in fiscal year 2021, including incentive awards payable under our Fiscal Year 2021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98"/>
              </w:rPr>
              <w:t>All Other</w:t>
            </w:r>
          </w:p>
        </w:tc>
        <w:tc>
          <w:tcPr>
            <w:tcW w:w="12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2820" w:type="dxa"/>
            <w:vAlign w:val="bottom"/>
            <w:gridSpan w:val="3"/>
            <w:vMerge w:val="restart"/>
          </w:tcPr>
          <w:p>
            <w:pPr>
              <w:jc w:val="center"/>
              <w:ind w:right="55"/>
              <w:spacing w:after="0"/>
              <w:rPr>
                <w:sz w:val="20"/>
                <w:szCs w:val="20"/>
                <w:color w:val="auto"/>
              </w:rPr>
            </w:pPr>
            <w:r>
              <w:rPr>
                <w:rFonts w:ascii="Arial" w:cs="Arial" w:eastAsia="Arial" w:hAnsi="Arial"/>
                <w:sz w:val="14"/>
                <w:szCs w:val="14"/>
                <w:b w:val="1"/>
                <w:bCs w:val="1"/>
                <w:color w:val="auto"/>
                <w:w w:val="92"/>
              </w:rPr>
              <w:t>Estimated Future Payouts</w:t>
            </w:r>
          </w:p>
        </w:tc>
        <w:tc>
          <w:tcPr>
            <w:tcW w:w="104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340" w:type="dxa"/>
            <w:vAlign w:val="bottom"/>
            <w:gridSpan w:val="4"/>
            <w:vMerge w:val="continue"/>
          </w:tcPr>
          <w:p>
            <w:pPr>
              <w:spacing w:after="0"/>
              <w:rPr>
                <w:sz w:val="11"/>
                <w:szCs w:val="11"/>
                <w:color w:val="auto"/>
              </w:rPr>
            </w:pPr>
          </w:p>
        </w:tc>
        <w:tc>
          <w:tcPr>
            <w:tcW w:w="2820" w:type="dxa"/>
            <w:vAlign w:val="bottom"/>
            <w:gridSpan w:val="3"/>
            <w:vMerge w:val="continue"/>
          </w:tcPr>
          <w:p>
            <w:pPr>
              <w:spacing w:after="0"/>
              <w:rPr>
                <w:sz w:val="11"/>
                <w:szCs w:val="11"/>
                <w:color w:val="auto"/>
              </w:rPr>
            </w:pPr>
          </w:p>
        </w:tc>
        <w:tc>
          <w:tcPr>
            <w:tcW w:w="104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80" w:type="dxa"/>
            <w:vAlign w:val="bottom"/>
            <w:gridSpan w:val="3"/>
          </w:tcPr>
          <w:p>
            <w:pPr>
              <w:jc w:val="center"/>
              <w:ind w:left="718"/>
              <w:spacing w:after="0" w:line="135" w:lineRule="exact"/>
              <w:rPr>
                <w:sz w:val="20"/>
                <w:szCs w:val="20"/>
                <w:color w:val="auto"/>
              </w:rPr>
            </w:pPr>
            <w:r>
              <w:rPr>
                <w:rFonts w:ascii="Arial" w:cs="Arial" w:eastAsia="Arial" w:hAnsi="Arial"/>
                <w:sz w:val="14"/>
                <w:szCs w:val="14"/>
                <w:b w:val="1"/>
                <w:bCs w:val="1"/>
                <w:color w:val="auto"/>
                <w:w w:val="94"/>
              </w:rPr>
              <w:t>Non-Equity Incentive Plan</w:t>
            </w:r>
          </w:p>
        </w:tc>
        <w:tc>
          <w:tcPr>
            <w:tcW w:w="860" w:type="dxa"/>
            <w:vAlign w:val="bottom"/>
          </w:tcPr>
          <w:p>
            <w:pPr>
              <w:spacing w:after="0"/>
              <w:rPr>
                <w:sz w:val="11"/>
                <w:szCs w:val="11"/>
                <w:color w:val="auto"/>
              </w:rPr>
            </w:pPr>
          </w:p>
        </w:tc>
        <w:tc>
          <w:tcPr>
            <w:tcW w:w="2820" w:type="dxa"/>
            <w:vAlign w:val="bottom"/>
            <w:gridSpan w:val="3"/>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Under Equity Incentive Plan</w:t>
            </w:r>
          </w:p>
        </w:tc>
        <w:tc>
          <w:tcPr>
            <w:tcW w:w="104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Awards(1)</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Awards(2)</w:t>
            </w:r>
          </w:p>
        </w:tc>
        <w:tc>
          <w:tcPr>
            <w:tcW w:w="980" w:type="dxa"/>
            <w:vAlign w:val="bottom"/>
          </w:tcPr>
          <w:p>
            <w:pPr>
              <w:spacing w:after="0"/>
              <w:rPr>
                <w:sz w:val="15"/>
                <w:szCs w:val="15"/>
                <w:color w:val="auto"/>
              </w:rPr>
            </w:pPr>
          </w:p>
        </w:tc>
        <w:tc>
          <w:tcPr>
            <w:tcW w:w="104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Stock Or</w:t>
            </w: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4"/>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6"/>
              </w:rPr>
              <w:t>Grant</w:t>
            </w:r>
          </w:p>
        </w:tc>
        <w:tc>
          <w:tcPr>
            <w:tcW w:w="1180" w:type="dxa"/>
            <w:vAlign w:val="bottom"/>
          </w:tcPr>
          <w:p>
            <w:pPr>
              <w:ind w:left="220"/>
              <w:spacing w:after="0" w:line="144" w:lineRule="exact"/>
              <w:rPr>
                <w:sz w:val="20"/>
                <w:szCs w:val="20"/>
                <w:color w:val="auto"/>
              </w:rPr>
            </w:pPr>
            <w:r>
              <w:rPr>
                <w:rFonts w:ascii="Arial" w:cs="Arial" w:eastAsia="Arial" w:hAnsi="Arial"/>
                <w:sz w:val="14"/>
                <w:szCs w:val="14"/>
                <w:b w:val="1"/>
                <w:bCs w:val="1"/>
                <w:color w:val="auto"/>
              </w:rPr>
              <w:t>Threshold</w:t>
            </w:r>
          </w:p>
        </w:tc>
        <w:tc>
          <w:tcPr>
            <w:tcW w:w="1080" w:type="dxa"/>
            <w:vAlign w:val="bottom"/>
          </w:tcPr>
          <w:p>
            <w:pPr>
              <w:jc w:val="right"/>
              <w:ind w:right="377"/>
              <w:spacing w:after="0" w:line="144" w:lineRule="exact"/>
              <w:rPr>
                <w:sz w:val="20"/>
                <w:szCs w:val="20"/>
                <w:color w:val="auto"/>
              </w:rPr>
            </w:pPr>
            <w:r>
              <w:rPr>
                <w:rFonts w:ascii="Arial" w:cs="Arial" w:eastAsia="Arial" w:hAnsi="Arial"/>
                <w:sz w:val="14"/>
                <w:szCs w:val="14"/>
                <w:b w:val="1"/>
                <w:bCs w:val="1"/>
                <w:color w:val="auto"/>
              </w:rPr>
              <w:t>Target</w:t>
            </w:r>
          </w:p>
        </w:tc>
        <w:tc>
          <w:tcPr>
            <w:tcW w:w="1080" w:type="dxa"/>
            <w:vAlign w:val="bottom"/>
            <w:gridSpan w:val="2"/>
          </w:tcPr>
          <w:p>
            <w:pPr>
              <w:jc w:val="right"/>
              <w:ind w:right="233"/>
              <w:spacing w:after="0" w:line="144" w:lineRule="exact"/>
              <w:rPr>
                <w:sz w:val="20"/>
                <w:szCs w:val="20"/>
                <w:color w:val="auto"/>
              </w:rPr>
            </w:pPr>
            <w:r>
              <w:rPr>
                <w:rFonts w:ascii="Arial" w:cs="Arial" w:eastAsia="Arial" w:hAnsi="Arial"/>
                <w:sz w:val="14"/>
                <w:szCs w:val="14"/>
                <w:b w:val="1"/>
                <w:bCs w:val="1"/>
                <w:color w:val="auto"/>
              </w:rPr>
              <w:t>Maximum</w:t>
            </w:r>
          </w:p>
        </w:tc>
        <w:tc>
          <w:tcPr>
            <w:tcW w:w="960" w:type="dxa"/>
            <w:vAlign w:val="bottom"/>
          </w:tcPr>
          <w:p>
            <w:pPr>
              <w:jc w:val="right"/>
              <w:ind w:right="158"/>
              <w:spacing w:after="0" w:line="144" w:lineRule="exact"/>
              <w:rPr>
                <w:sz w:val="20"/>
                <w:szCs w:val="20"/>
                <w:color w:val="auto"/>
              </w:rPr>
            </w:pPr>
            <w:r>
              <w:rPr>
                <w:rFonts w:ascii="Arial" w:cs="Arial" w:eastAsia="Arial" w:hAnsi="Arial"/>
                <w:sz w:val="14"/>
                <w:szCs w:val="14"/>
                <w:b w:val="1"/>
                <w:bCs w:val="1"/>
                <w:color w:val="auto"/>
              </w:rPr>
              <w:t>Threshold</w:t>
            </w:r>
          </w:p>
        </w:tc>
        <w:tc>
          <w:tcPr>
            <w:tcW w:w="880" w:type="dxa"/>
            <w:vAlign w:val="bottom"/>
          </w:tcPr>
          <w:p>
            <w:pPr>
              <w:jc w:val="center"/>
              <w:ind w:right="37"/>
              <w:spacing w:after="0" w:line="144" w:lineRule="exact"/>
              <w:rPr>
                <w:sz w:val="20"/>
                <w:szCs w:val="20"/>
                <w:color w:val="auto"/>
              </w:rPr>
            </w:pPr>
            <w:r>
              <w:rPr>
                <w:rFonts w:ascii="Arial" w:cs="Arial" w:eastAsia="Arial" w:hAnsi="Arial"/>
                <w:sz w:val="14"/>
                <w:szCs w:val="14"/>
                <w:b w:val="1"/>
                <w:bCs w:val="1"/>
                <w:color w:val="auto"/>
                <w:w w:val="93"/>
              </w:rPr>
              <w:t>Target</w:t>
            </w:r>
          </w:p>
        </w:tc>
        <w:tc>
          <w:tcPr>
            <w:tcW w:w="980" w:type="dxa"/>
            <w:vAlign w:val="bottom"/>
          </w:tcPr>
          <w:p>
            <w:pPr>
              <w:jc w:val="right"/>
              <w:ind w:right="155"/>
              <w:spacing w:after="0" w:line="144" w:lineRule="exact"/>
              <w:rPr>
                <w:sz w:val="20"/>
                <w:szCs w:val="20"/>
                <w:color w:val="auto"/>
              </w:rPr>
            </w:pPr>
            <w:r>
              <w:rPr>
                <w:rFonts w:ascii="Arial" w:cs="Arial" w:eastAsia="Arial" w:hAnsi="Arial"/>
                <w:sz w:val="14"/>
                <w:szCs w:val="14"/>
                <w:b w:val="1"/>
                <w:bCs w:val="1"/>
                <w:color w:val="auto"/>
              </w:rPr>
              <w:t>Maximum</w:t>
            </w:r>
          </w:p>
        </w:tc>
        <w:tc>
          <w:tcPr>
            <w:tcW w:w="1040" w:type="dxa"/>
            <w:vAlign w:val="bottom"/>
          </w:tcPr>
          <w:p>
            <w:pPr>
              <w:jc w:val="center"/>
              <w:ind w:right="141"/>
              <w:spacing w:after="0" w:line="144" w:lineRule="exact"/>
              <w:rPr>
                <w:sz w:val="20"/>
                <w:szCs w:val="20"/>
                <w:color w:val="auto"/>
              </w:rPr>
            </w:pPr>
            <w:r>
              <w:rPr>
                <w:rFonts w:ascii="Arial" w:cs="Arial" w:eastAsia="Arial" w:hAnsi="Arial"/>
                <w:sz w:val="14"/>
                <w:szCs w:val="14"/>
                <w:b w:val="1"/>
                <w:bCs w:val="1"/>
                <w:color w:val="auto"/>
                <w:w w:val="97"/>
              </w:rPr>
              <w:t>Units</w:t>
            </w:r>
          </w:p>
        </w:tc>
        <w:tc>
          <w:tcPr>
            <w:tcW w:w="1200" w:type="dxa"/>
            <w:vAlign w:val="bottom"/>
          </w:tcPr>
          <w:p>
            <w:pPr>
              <w:jc w:val="center"/>
              <w:ind w:right="97"/>
              <w:spacing w:after="0" w:line="144"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6"/>
        </w:trPr>
        <w:tc>
          <w:tcPr>
            <w:tcW w:w="16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99"/>
              </w:rPr>
              <w:t>(#)(3)</w:t>
            </w: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232"/>
        </w:trPr>
        <w:tc>
          <w:tcPr>
            <w:tcW w:w="162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1220" w:type="dxa"/>
            <w:vAlign w:val="bottom"/>
          </w:tcPr>
          <w:p>
            <w:pPr>
              <w:spacing w:after="0"/>
              <w:rPr>
                <w:sz w:val="20"/>
                <w:szCs w:val="20"/>
                <w:color w:val="auto"/>
              </w:rPr>
            </w:pPr>
          </w:p>
        </w:tc>
        <w:tc>
          <w:tcPr>
            <w:tcW w:w="1180" w:type="dxa"/>
            <w:vAlign w:val="bottom"/>
          </w:tcPr>
          <w:p>
            <w:pPr>
              <w:ind w:left="440"/>
              <w:spacing w:after="0"/>
              <w:rPr>
                <w:sz w:val="20"/>
                <w:szCs w:val="20"/>
                <w:color w:val="auto"/>
              </w:rPr>
            </w:pPr>
            <w:r>
              <w:rPr>
                <w:rFonts w:ascii="Arial" w:cs="Arial" w:eastAsia="Arial" w:hAnsi="Arial"/>
                <w:sz w:val="18"/>
                <w:szCs w:val="18"/>
                <w:color w:val="auto"/>
              </w:rPr>
              <w:t>860,000</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1,720,000</w:t>
            </w:r>
          </w:p>
        </w:tc>
        <w:tc>
          <w:tcPr>
            <w:tcW w:w="22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3,440,000</w:t>
            </w: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spacing w:after="0"/>
              <w:rPr>
                <w:sz w:val="19"/>
                <w:szCs w:val="19"/>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22,937</w:t>
            </w:r>
          </w:p>
        </w:tc>
        <w:tc>
          <w:tcPr>
            <w:tcW w:w="88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45,874</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114,685</w:t>
            </w:r>
          </w:p>
        </w:tc>
        <w:tc>
          <w:tcPr>
            <w:tcW w:w="10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7,212,769(4)</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Arial" w:cs="Arial" w:eastAsia="Arial" w:hAnsi="Arial"/>
                <w:sz w:val="18"/>
                <w:szCs w:val="18"/>
                <w:color w:val="auto"/>
              </w:rPr>
              <w:t>30,583</w:t>
            </w:r>
          </w:p>
        </w:tc>
        <w:tc>
          <w:tcPr>
            <w:tcW w:w="1200" w:type="dxa"/>
            <w:vAlign w:val="bottom"/>
          </w:tcPr>
          <w:p>
            <w:pPr>
              <w:jc w:val="right"/>
              <w:spacing w:after="0"/>
              <w:rPr>
                <w:sz w:val="20"/>
                <w:szCs w:val="20"/>
                <w:color w:val="auto"/>
              </w:rPr>
            </w:pPr>
            <w:r>
              <w:rPr>
                <w:rFonts w:ascii="Arial" w:cs="Arial" w:eastAsia="Arial" w:hAnsi="Arial"/>
                <w:sz w:val="18"/>
                <w:szCs w:val="18"/>
                <w:color w:val="auto"/>
              </w:rPr>
              <w:t>4,399,976(5)</w:t>
            </w: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1220" w:type="dxa"/>
            <w:vAlign w:val="bottom"/>
            <w:shd w:val="clear" w:color="auto" w:fill="DBDBDB"/>
          </w:tcPr>
          <w:p>
            <w:pPr>
              <w:spacing w:after="0"/>
              <w:rPr>
                <w:sz w:val="19"/>
                <w:szCs w:val="19"/>
                <w:color w:val="auto"/>
              </w:rPr>
            </w:pPr>
          </w:p>
        </w:tc>
        <w:tc>
          <w:tcPr>
            <w:tcW w:w="1180" w:type="dxa"/>
            <w:vAlign w:val="bottom"/>
            <w:shd w:val="clear" w:color="auto" w:fill="DBDBDB"/>
          </w:tcPr>
          <w:p>
            <w:pPr>
              <w:ind w:left="440"/>
              <w:spacing w:after="0"/>
              <w:rPr>
                <w:sz w:val="20"/>
                <w:szCs w:val="20"/>
                <w:color w:val="auto"/>
              </w:rPr>
            </w:pPr>
            <w:r>
              <w:rPr>
                <w:rFonts w:ascii="Arial" w:cs="Arial" w:eastAsia="Arial" w:hAnsi="Arial"/>
                <w:sz w:val="18"/>
                <w:szCs w:val="18"/>
                <w:color w:val="auto"/>
              </w:rPr>
              <w:t>280,000</w:t>
            </w:r>
          </w:p>
        </w:tc>
        <w:tc>
          <w:tcPr>
            <w:tcW w:w="1080" w:type="dxa"/>
            <w:vAlign w:val="bottom"/>
            <w:shd w:val="clear" w:color="auto" w:fill="DBDBDB"/>
          </w:tcPr>
          <w:p>
            <w:pPr>
              <w:jc w:val="right"/>
              <w:ind w:right="57"/>
              <w:spacing w:after="0"/>
              <w:rPr>
                <w:sz w:val="20"/>
                <w:szCs w:val="20"/>
                <w:color w:val="auto"/>
              </w:rPr>
            </w:pPr>
            <w:r>
              <w:rPr>
                <w:rFonts w:ascii="Arial" w:cs="Arial" w:eastAsia="Arial" w:hAnsi="Arial"/>
                <w:sz w:val="18"/>
                <w:szCs w:val="18"/>
                <w:color w:val="auto"/>
              </w:rPr>
              <w:t>560,000</w:t>
            </w: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w w:val="92"/>
              </w:rPr>
              <w:t>1,120,000</w:t>
            </w: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7,089</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14,179</w:t>
            </w:r>
          </w:p>
        </w:tc>
        <w:tc>
          <w:tcPr>
            <w:tcW w:w="980" w:type="dxa"/>
            <w:vAlign w:val="bottom"/>
          </w:tcPr>
          <w:p>
            <w:pPr>
              <w:jc w:val="right"/>
              <w:spacing w:after="0"/>
              <w:rPr>
                <w:sz w:val="20"/>
                <w:szCs w:val="20"/>
                <w:color w:val="auto"/>
              </w:rPr>
            </w:pPr>
            <w:r>
              <w:rPr>
                <w:rFonts w:ascii="Arial" w:cs="Arial" w:eastAsia="Arial" w:hAnsi="Arial"/>
                <w:sz w:val="18"/>
                <w:szCs w:val="18"/>
                <w:color w:val="auto"/>
              </w:rPr>
              <w:t>35,447</w:t>
            </w:r>
          </w:p>
        </w:tc>
        <w:tc>
          <w:tcPr>
            <w:tcW w:w="10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2,229,364(4)</w:t>
            </w: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spacing w:after="0"/>
              <w:rPr>
                <w:sz w:val="19"/>
                <w:szCs w:val="19"/>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1"/>
              <w:spacing w:after="0"/>
              <w:rPr>
                <w:sz w:val="20"/>
                <w:szCs w:val="20"/>
                <w:color w:val="auto"/>
              </w:rPr>
            </w:pPr>
            <w:r>
              <w:rPr>
                <w:rFonts w:ascii="Arial" w:cs="Arial" w:eastAsia="Arial" w:hAnsi="Arial"/>
                <w:sz w:val="18"/>
                <w:szCs w:val="18"/>
                <w:color w:val="auto"/>
              </w:rPr>
              <w:t>9,452</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1,359,859(5)</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1220" w:type="dxa"/>
            <w:vAlign w:val="bottom"/>
          </w:tcPr>
          <w:p>
            <w:pPr>
              <w:spacing w:after="0"/>
              <w:rPr>
                <w:sz w:val="19"/>
                <w:szCs w:val="19"/>
                <w:color w:val="auto"/>
              </w:rPr>
            </w:pPr>
          </w:p>
        </w:tc>
        <w:tc>
          <w:tcPr>
            <w:tcW w:w="1180" w:type="dxa"/>
            <w:vAlign w:val="bottom"/>
          </w:tcPr>
          <w:p>
            <w:pPr>
              <w:ind w:left="440"/>
              <w:spacing w:after="0"/>
              <w:rPr>
                <w:sz w:val="20"/>
                <w:szCs w:val="20"/>
                <w:color w:val="auto"/>
              </w:rPr>
            </w:pPr>
            <w:r>
              <w:rPr>
                <w:rFonts w:ascii="Arial" w:cs="Arial" w:eastAsia="Arial" w:hAnsi="Arial"/>
                <w:sz w:val="18"/>
                <w:szCs w:val="18"/>
                <w:color w:val="auto"/>
              </w:rPr>
              <w:t>190,000</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380,000</w:t>
            </w:r>
          </w:p>
        </w:tc>
        <w:tc>
          <w:tcPr>
            <w:tcW w:w="2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760,000</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spacing w:after="0"/>
              <w:rPr>
                <w:sz w:val="19"/>
                <w:szCs w:val="19"/>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6,047</w:t>
            </w:r>
          </w:p>
        </w:tc>
        <w:tc>
          <w:tcPr>
            <w:tcW w:w="88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12,094</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30,235</w:t>
            </w:r>
          </w:p>
        </w:tc>
        <w:tc>
          <w:tcPr>
            <w:tcW w:w="10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1,901,540(4)</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Arial" w:cs="Arial" w:eastAsia="Arial" w:hAnsi="Arial"/>
                <w:sz w:val="18"/>
                <w:szCs w:val="18"/>
                <w:color w:val="auto"/>
              </w:rPr>
              <w:t>8,062</w:t>
            </w:r>
          </w:p>
        </w:tc>
        <w:tc>
          <w:tcPr>
            <w:tcW w:w="1200" w:type="dxa"/>
            <w:vAlign w:val="bottom"/>
          </w:tcPr>
          <w:p>
            <w:pPr>
              <w:jc w:val="right"/>
              <w:spacing w:after="0"/>
              <w:rPr>
                <w:sz w:val="20"/>
                <w:szCs w:val="20"/>
                <w:color w:val="auto"/>
              </w:rPr>
            </w:pPr>
            <w:r>
              <w:rPr>
                <w:rFonts w:ascii="Arial" w:cs="Arial" w:eastAsia="Arial" w:hAnsi="Arial"/>
                <w:sz w:val="18"/>
                <w:szCs w:val="18"/>
                <w:color w:val="auto"/>
              </w:rPr>
              <w:t>1,159,880(5)</w:t>
            </w: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J. Terry</w:t>
            </w:r>
          </w:p>
        </w:tc>
        <w:tc>
          <w:tcPr>
            <w:tcW w:w="1220" w:type="dxa"/>
            <w:vAlign w:val="bottom"/>
            <w:shd w:val="clear" w:color="auto" w:fill="DBDBDB"/>
          </w:tcPr>
          <w:p>
            <w:pPr>
              <w:spacing w:after="0"/>
              <w:rPr>
                <w:sz w:val="19"/>
                <w:szCs w:val="19"/>
                <w:color w:val="auto"/>
              </w:rPr>
            </w:pPr>
          </w:p>
        </w:tc>
        <w:tc>
          <w:tcPr>
            <w:tcW w:w="1180" w:type="dxa"/>
            <w:vAlign w:val="bottom"/>
            <w:shd w:val="clear" w:color="auto" w:fill="DBDBDB"/>
          </w:tcPr>
          <w:p>
            <w:pPr>
              <w:ind w:left="440"/>
              <w:spacing w:after="0"/>
              <w:rPr>
                <w:sz w:val="20"/>
                <w:szCs w:val="20"/>
                <w:color w:val="auto"/>
              </w:rPr>
            </w:pPr>
            <w:r>
              <w:rPr>
                <w:rFonts w:ascii="Arial" w:cs="Arial" w:eastAsia="Arial" w:hAnsi="Arial"/>
                <w:sz w:val="18"/>
                <w:szCs w:val="18"/>
                <w:color w:val="auto"/>
              </w:rPr>
              <w:t>196,800</w:t>
            </w:r>
          </w:p>
        </w:tc>
        <w:tc>
          <w:tcPr>
            <w:tcW w:w="1080" w:type="dxa"/>
            <w:vAlign w:val="bottom"/>
            <w:shd w:val="clear" w:color="auto" w:fill="DBDBDB"/>
          </w:tcPr>
          <w:p>
            <w:pPr>
              <w:jc w:val="right"/>
              <w:ind w:right="57"/>
              <w:spacing w:after="0"/>
              <w:rPr>
                <w:sz w:val="20"/>
                <w:szCs w:val="20"/>
                <w:color w:val="auto"/>
              </w:rPr>
            </w:pPr>
            <w:r>
              <w:rPr>
                <w:rFonts w:ascii="Arial" w:cs="Arial" w:eastAsia="Arial" w:hAnsi="Arial"/>
                <w:sz w:val="18"/>
                <w:szCs w:val="18"/>
                <w:color w:val="auto"/>
              </w:rPr>
              <w:t>393,600</w:t>
            </w: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787,200</w:t>
            </w: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5,630</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11,260</w:t>
            </w:r>
          </w:p>
        </w:tc>
        <w:tc>
          <w:tcPr>
            <w:tcW w:w="980" w:type="dxa"/>
            <w:vAlign w:val="bottom"/>
          </w:tcPr>
          <w:p>
            <w:pPr>
              <w:jc w:val="right"/>
              <w:spacing w:after="0"/>
              <w:rPr>
                <w:sz w:val="20"/>
                <w:szCs w:val="20"/>
                <w:color w:val="auto"/>
              </w:rPr>
            </w:pPr>
            <w:r>
              <w:rPr>
                <w:rFonts w:ascii="Arial" w:cs="Arial" w:eastAsia="Arial" w:hAnsi="Arial"/>
                <w:sz w:val="18"/>
                <w:szCs w:val="18"/>
                <w:color w:val="auto"/>
              </w:rPr>
              <w:t>28,150</w:t>
            </w:r>
          </w:p>
        </w:tc>
        <w:tc>
          <w:tcPr>
            <w:tcW w:w="10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1,770,410(4)</w:t>
            </w: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spacing w:after="0"/>
              <w:rPr>
                <w:sz w:val="19"/>
                <w:szCs w:val="19"/>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1"/>
              <w:spacing w:after="0"/>
              <w:rPr>
                <w:sz w:val="20"/>
                <w:szCs w:val="20"/>
                <w:color w:val="auto"/>
              </w:rPr>
            </w:pPr>
            <w:r>
              <w:rPr>
                <w:rFonts w:ascii="Arial" w:cs="Arial" w:eastAsia="Arial" w:hAnsi="Arial"/>
                <w:sz w:val="18"/>
                <w:szCs w:val="18"/>
                <w:color w:val="auto"/>
              </w:rPr>
              <w:t>7,506</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1,079,888(5)</w:t>
            </w: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Karilee A. Durham</w:t>
            </w:r>
          </w:p>
        </w:tc>
        <w:tc>
          <w:tcPr>
            <w:tcW w:w="1220" w:type="dxa"/>
            <w:vAlign w:val="bottom"/>
          </w:tcPr>
          <w:p>
            <w:pPr>
              <w:spacing w:after="0"/>
              <w:rPr>
                <w:sz w:val="19"/>
                <w:szCs w:val="19"/>
                <w:color w:val="auto"/>
              </w:rPr>
            </w:pPr>
          </w:p>
        </w:tc>
        <w:tc>
          <w:tcPr>
            <w:tcW w:w="1180" w:type="dxa"/>
            <w:vAlign w:val="bottom"/>
          </w:tcPr>
          <w:p>
            <w:pPr>
              <w:ind w:left="440"/>
              <w:spacing w:after="0"/>
              <w:rPr>
                <w:sz w:val="20"/>
                <w:szCs w:val="20"/>
                <w:color w:val="auto"/>
              </w:rPr>
            </w:pPr>
            <w:r>
              <w:rPr>
                <w:rFonts w:ascii="Arial" w:cs="Arial" w:eastAsia="Arial" w:hAnsi="Arial"/>
                <w:sz w:val="18"/>
                <w:szCs w:val="18"/>
                <w:color w:val="auto"/>
              </w:rPr>
              <w:t>180,000</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360,000</w:t>
            </w:r>
          </w:p>
        </w:tc>
        <w:tc>
          <w:tcPr>
            <w:tcW w:w="2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720,000</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DBDBDB"/>
          </w:tcPr>
          <w:p>
            <w:pPr>
              <w:spacing w:after="0"/>
              <w:rPr>
                <w:sz w:val="19"/>
                <w:szCs w:val="19"/>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3,961</w:t>
            </w:r>
          </w:p>
        </w:tc>
        <w:tc>
          <w:tcPr>
            <w:tcW w:w="88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7,923</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19,807</w:t>
            </w:r>
          </w:p>
        </w:tc>
        <w:tc>
          <w:tcPr>
            <w:tcW w:w="10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1,245,733(4)</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Arial" w:cs="Arial" w:eastAsia="Arial" w:hAnsi="Arial"/>
                <w:sz w:val="18"/>
                <w:szCs w:val="18"/>
                <w:color w:val="auto"/>
              </w:rPr>
              <w:t>5,282</w:t>
            </w:r>
          </w:p>
        </w:tc>
        <w:tc>
          <w:tcPr>
            <w:tcW w:w="1200" w:type="dxa"/>
            <w:vAlign w:val="bottom"/>
          </w:tcPr>
          <w:p>
            <w:pPr>
              <w:jc w:val="right"/>
              <w:spacing w:after="0"/>
              <w:rPr>
                <w:sz w:val="20"/>
                <w:szCs w:val="20"/>
                <w:color w:val="auto"/>
              </w:rPr>
            </w:pPr>
            <w:r>
              <w:rPr>
                <w:rFonts w:ascii="Arial" w:cs="Arial" w:eastAsia="Arial" w:hAnsi="Arial"/>
                <w:sz w:val="18"/>
                <w:szCs w:val="18"/>
                <w:color w:val="auto"/>
              </w:rPr>
              <w:t>759,921(5)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64" w:lineRule="auto"/>
        <w:tabs>
          <w:tab w:leader="none" w:pos="2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Non-Equity Incentive Plan Compensation</w:t>
      </w:r>
      <w:r>
        <w:rPr>
          <w:rFonts w:ascii="Arial" w:cs="Arial" w:eastAsia="Arial" w:hAnsi="Arial"/>
          <w:sz w:val="17"/>
          <w:szCs w:val="17"/>
          <w:color w:val="auto"/>
        </w:rPr>
        <w:t>.” For a more complete description of the Incentive Plan, please see description above under “</w:t>
      </w:r>
      <w:r>
        <w:rPr>
          <w:rFonts w:ascii="Arial" w:cs="Arial" w:eastAsia="Arial" w:hAnsi="Arial"/>
          <w:sz w:val="17"/>
          <w:szCs w:val="17"/>
          <w:i w:val="1"/>
          <w:iCs w:val="1"/>
          <w:color w:val="auto"/>
        </w:rPr>
        <w:t>Components of Compensation—Short-Term Incentives</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260" w:hanging="252"/>
        <w:spacing w:after="0" w:line="264" w:lineRule="auto"/>
        <w:tabs>
          <w:tab w:leader="none" w:pos="2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shown represent shares potentially issuable pursuant to the FY21 PSAs granted on November 11, 2021, under the Company’s 2015 Long-Term Incentive Plan, as described above under “</w:t>
      </w:r>
      <w:r>
        <w:rPr>
          <w:rFonts w:ascii="Arial" w:cs="Arial" w:eastAsia="Arial" w:hAnsi="Arial"/>
          <w:sz w:val="17"/>
          <w:szCs w:val="17"/>
          <w:i w:val="1"/>
          <w:iCs w:val="1"/>
          <w:color w:val="auto"/>
        </w:rPr>
        <w:t>Components of Compensation—Long-Term Stock-Based Compensation</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260" w:hanging="252"/>
        <w:spacing w:after="0" w:line="264" w:lineRule="auto"/>
        <w:tabs>
          <w:tab w:leader="none" w:pos="272"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2" w:lineRule="exact"/>
        <w:rPr>
          <w:rFonts w:ascii="Arial" w:cs="Arial" w:eastAsia="Arial" w:hAnsi="Arial"/>
          <w:sz w:val="17"/>
          <w:szCs w:val="17"/>
          <w:color w:val="auto"/>
        </w:rPr>
      </w:pPr>
    </w:p>
    <w:p>
      <w:pPr>
        <w:jc w:val="both"/>
        <w:ind w:left="260" w:hanging="252"/>
        <w:spacing w:after="0" w:line="264" w:lineRule="auto"/>
        <w:tabs>
          <w:tab w:leader="none" w:pos="292"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the grant date fair value of the FY21 PSAs, computed in accordance with the provisions of ASC 718, using (a) a Monte Carlo simulation (which weights the probability of multiple potential outcomes) to value the portion of the award related to TSR percentile ranking, and (b) a price of $143.87 per share, which was the closing sale price of the Company’s common stock on the Nasdaq Global Select Market on November 11, 2020, to value the portion of the award related to emerging revenue growth and design wins, assuming performance at the “target” level. For a description of the assumptions used in calculating the fair value of equity awards granted in fiscal year 2021 under ASC 718, see Note 10 of the Company’s financial statements included in the Company’s Annual Report on Form 10-K filed with the SEC on November 24, 2021.</w:t>
      </w:r>
    </w:p>
    <w:p>
      <w:pPr>
        <w:spacing w:after="0" w:line="4" w:lineRule="exact"/>
        <w:rPr>
          <w:rFonts w:ascii="Arial" w:cs="Arial" w:eastAsia="Arial" w:hAnsi="Arial"/>
          <w:sz w:val="17"/>
          <w:szCs w:val="17"/>
          <w:color w:val="auto"/>
        </w:rPr>
      </w:pPr>
    </w:p>
    <w:p>
      <w:pPr>
        <w:ind w:left="260" w:hanging="252"/>
        <w:spacing w:after="0" w:line="322" w:lineRule="auto"/>
        <w:tabs>
          <w:tab w:leader="none" w:pos="2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grant date fair value of the RSUs granted on November 11, 2020, computed in accordance with the provisions of ASC 718 using a price of $143.87 per share, which was the closing price of the Company’s common stock on the Nasdaq Global Select Market on November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 w:name="page23"/>
    <w:bookmarkEnd w:id="22"/>
    <w:p>
      <w:pPr>
        <w:ind w:left="400"/>
        <w:spacing w:after="0"/>
        <w:rPr>
          <w:sz w:val="20"/>
          <w:szCs w:val="20"/>
          <w:color w:val="auto"/>
        </w:rPr>
      </w:pPr>
      <w:r>
        <w:rPr>
          <w:rFonts w:ascii="Arial" w:cs="Arial" w:eastAsia="Arial" w:hAnsi="Arial"/>
          <w:sz w:val="18"/>
          <w:szCs w:val="18"/>
          <w:b w:val="1"/>
          <w:bCs w:val="1"/>
          <w:i w:val="1"/>
          <w:iCs w:val="1"/>
          <w:color w:val="auto"/>
        </w:rPr>
        <w:t>Outstanding Equity Awards at Fiscal Year End Table</w:t>
      </w:r>
    </w:p>
    <w:p>
      <w:pPr>
        <w:spacing w:after="0" w:line="225" w:lineRule="exact"/>
        <w:rPr>
          <w:sz w:val="20"/>
          <w:szCs w:val="20"/>
          <w:color w:val="auto"/>
        </w:rPr>
      </w:pPr>
    </w:p>
    <w:p>
      <w:pPr>
        <w:ind w:firstLine="388"/>
        <w:spacing w:after="0" w:line="277" w:lineRule="auto"/>
        <w:rPr>
          <w:sz w:val="20"/>
          <w:szCs w:val="20"/>
          <w:color w:val="auto"/>
        </w:rPr>
      </w:pPr>
      <w:r>
        <w:rPr>
          <w:rFonts w:ascii="Arial" w:cs="Arial" w:eastAsia="Arial" w:hAnsi="Arial"/>
          <w:sz w:val="18"/>
          <w:szCs w:val="18"/>
          <w:color w:val="auto"/>
        </w:rPr>
        <w:t>The following table summarizes the unvested stock awards and all stock options held by the Named Executive Officers as of the end of fiscal year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Option Awards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gridSpan w:val="2"/>
          </w:tcPr>
          <w:p>
            <w:pPr>
              <w:jc w:val="right"/>
              <w:ind w:right="723"/>
              <w:spacing w:after="0"/>
              <w:rPr>
                <w:sz w:val="20"/>
                <w:szCs w:val="20"/>
                <w:color w:val="auto"/>
              </w:rPr>
            </w:pPr>
            <w:r>
              <w:rPr>
                <w:rFonts w:ascii="Arial" w:cs="Arial" w:eastAsia="Arial" w:hAnsi="Arial"/>
                <w:sz w:val="15"/>
                <w:szCs w:val="15"/>
                <w:b w:val="1"/>
                <w:bCs w:val="1"/>
                <w:color w:val="auto"/>
              </w:rPr>
              <w:t>Stock Awards</w:t>
            </w:r>
          </w:p>
        </w:tc>
        <w:tc>
          <w:tcPr>
            <w:tcW w:w="10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3"/>
        </w:trPr>
        <w:tc>
          <w:tcPr>
            <w:tcW w:w="1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3"/>
              </w:rPr>
              <w:t>Equity</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2"/>
              </w:rPr>
              <w:t>Incentive</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4"/>
              </w:rPr>
              <w:t>Plan</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8"/>
              </w:rPr>
              <w:t>Number</w:t>
            </w:r>
          </w:p>
        </w:tc>
        <w:tc>
          <w:tcPr>
            <w:tcW w:w="118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Market</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8"/>
              </w:rPr>
              <w:t>Number</w:t>
            </w:r>
          </w:p>
        </w:tc>
        <w:tc>
          <w:tcPr>
            <w:tcW w:w="10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87"/>
              </w:rPr>
              <w:t>of Shares</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1"/>
              </w:rPr>
              <w:t>Value of</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2"/>
              </w:rPr>
              <w:t>of Unearned</w:t>
            </w:r>
          </w:p>
        </w:tc>
        <w:tc>
          <w:tcPr>
            <w:tcW w:w="10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4"/>
              </w:rPr>
              <w:t>or Units</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89"/>
              </w:rPr>
              <w:t>Shares</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86"/>
              </w:rPr>
              <w:t>Shares,</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0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0"/>
              </w:rPr>
              <w:t>of Stock</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4"/>
              </w:rPr>
              <w:t>or Units</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0"/>
              </w:rPr>
              <w:t>Units or</w:t>
            </w:r>
          </w:p>
        </w:tc>
        <w:tc>
          <w:tcPr>
            <w:tcW w:w="10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132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tcPr>
          <w:p>
            <w:pPr>
              <w:spacing w:after="0"/>
              <w:rPr>
                <w:sz w:val="11"/>
                <w:szCs w:val="11"/>
                <w:color w:val="auto"/>
              </w:rPr>
            </w:pPr>
          </w:p>
        </w:tc>
        <w:tc>
          <w:tcPr>
            <w:tcW w:w="110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93"/>
              </w:rPr>
              <w:t>that</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0"/>
              </w:rPr>
              <w:t>of Stock</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1"/>
              </w:rPr>
              <w:t>other</w:t>
            </w:r>
          </w:p>
        </w:tc>
        <w:tc>
          <w:tcPr>
            <w:tcW w:w="10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32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vMerge w:val="continue"/>
          </w:tcPr>
          <w:p>
            <w:pPr>
              <w:spacing w:after="0"/>
              <w:rPr>
                <w:sz w:val="11"/>
                <w:szCs w:val="11"/>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95"/>
              </w:rPr>
              <w:t>Have</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that</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1"/>
              </w:rPr>
              <w:t>Rights</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2"/>
              </w:rPr>
              <w:t>other Rights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Options</w:t>
            </w:r>
          </w:p>
        </w:tc>
        <w:tc>
          <w:tcPr>
            <w:tcW w:w="132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90"/>
              </w:rPr>
              <w:t>Options</w:t>
            </w:r>
          </w:p>
        </w:tc>
        <w:tc>
          <w:tcPr>
            <w:tcW w:w="840" w:type="dxa"/>
            <w:vAlign w:val="bottom"/>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vMerge w:val="continue"/>
          </w:tcPr>
          <w:p>
            <w:pPr>
              <w:spacing w:after="0"/>
              <w:rPr>
                <w:sz w:val="11"/>
                <w:szCs w:val="11"/>
                <w:color w:val="auto"/>
              </w:rPr>
            </w:pPr>
          </w:p>
        </w:tc>
        <w:tc>
          <w:tcPr>
            <w:tcW w:w="110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rPr>
              <w:t>Not</w:t>
            </w:r>
          </w:p>
        </w:tc>
        <w:tc>
          <w:tcPr>
            <w:tcW w:w="118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5"/>
              </w:rPr>
              <w:t>Have Not</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5"/>
              </w:rPr>
              <w:t>that Have</w:t>
            </w:r>
          </w:p>
        </w:tc>
        <w:tc>
          <w:tcPr>
            <w:tcW w:w="108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35"/>
        </w:trPr>
        <w:tc>
          <w:tcPr>
            <w:tcW w:w="1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320" w:type="dxa"/>
            <w:vAlign w:val="bottom"/>
          </w:tcPr>
          <w:p>
            <w:pPr>
              <w:jc w:val="center"/>
              <w:ind w:right="163"/>
              <w:spacing w:after="0" w:line="135"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9"/>
              </w:rPr>
              <w:t>Expiration</w:t>
            </w:r>
          </w:p>
        </w:tc>
        <w:tc>
          <w:tcPr>
            <w:tcW w:w="110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87"/>
              </w:rPr>
              <w:t>Vested</w:t>
            </w:r>
          </w:p>
        </w:tc>
        <w:tc>
          <w:tcPr>
            <w:tcW w:w="1180" w:type="dxa"/>
            <w:vAlign w:val="bottom"/>
          </w:tcPr>
          <w:p>
            <w:pPr>
              <w:jc w:val="center"/>
              <w:ind w:right="181"/>
              <w:spacing w:after="0" w:line="135" w:lineRule="exact"/>
              <w:rPr>
                <w:sz w:val="20"/>
                <w:szCs w:val="20"/>
                <w:color w:val="auto"/>
              </w:rPr>
            </w:pPr>
            <w:r>
              <w:rPr>
                <w:rFonts w:ascii="Arial" w:cs="Arial" w:eastAsia="Arial" w:hAnsi="Arial"/>
                <w:sz w:val="14"/>
                <w:szCs w:val="14"/>
                <w:b w:val="1"/>
                <w:bCs w:val="1"/>
                <w:color w:val="auto"/>
                <w:w w:val="87"/>
              </w:rPr>
              <w:t>Vested</w:t>
            </w:r>
          </w:p>
        </w:tc>
        <w:tc>
          <w:tcPr>
            <w:tcW w:w="1200" w:type="dxa"/>
            <w:vAlign w:val="bottom"/>
          </w:tcPr>
          <w:p>
            <w:pPr>
              <w:jc w:val="center"/>
              <w:ind w:right="123"/>
              <w:spacing w:after="0" w:line="135" w:lineRule="exact"/>
              <w:rPr>
                <w:sz w:val="20"/>
                <w:szCs w:val="20"/>
                <w:color w:val="auto"/>
              </w:rPr>
            </w:pPr>
            <w:r>
              <w:rPr>
                <w:rFonts w:ascii="Arial" w:cs="Arial" w:eastAsia="Arial" w:hAnsi="Arial"/>
                <w:sz w:val="14"/>
                <w:szCs w:val="14"/>
                <w:b w:val="1"/>
                <w:bCs w:val="1"/>
                <w:color w:val="auto"/>
                <w:w w:val="92"/>
              </w:rPr>
              <w:t>Not Vested</w:t>
            </w:r>
          </w:p>
        </w:tc>
        <w:tc>
          <w:tcPr>
            <w:tcW w:w="10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86"/>
        </w:trPr>
        <w:tc>
          <w:tcPr>
            <w:tcW w:w="1560" w:type="dxa"/>
            <w:vAlign w:val="bottom"/>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320" w:type="dxa"/>
            <w:vAlign w:val="bottom"/>
          </w:tcPr>
          <w:p>
            <w:pPr>
              <w:jc w:val="center"/>
              <w:ind w:right="183"/>
              <w:spacing w:after="0"/>
              <w:rPr>
                <w:sz w:val="20"/>
                <w:szCs w:val="20"/>
                <w:color w:val="auto"/>
              </w:rPr>
            </w:pPr>
            <w:r>
              <w:rPr>
                <w:rFonts w:ascii="Arial" w:cs="Arial" w:eastAsia="Arial" w:hAnsi="Arial"/>
                <w:sz w:val="14"/>
                <w:szCs w:val="14"/>
                <w:b w:val="1"/>
                <w:bCs w:val="1"/>
                <w:color w:val="auto"/>
                <w:w w:val="90"/>
              </w:rPr>
              <w:t>Unexercisable</w:t>
            </w: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($)(1)</w:t>
            </w: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215"/>
        </w:trPr>
        <w:tc>
          <w:tcPr>
            <w:tcW w:w="1560" w:type="dxa"/>
            <w:vAlign w:val="bottom"/>
          </w:tcPr>
          <w:p>
            <w:pPr>
              <w:ind w:left="20"/>
              <w:spacing w:after="0"/>
              <w:rPr>
                <w:sz w:val="20"/>
                <w:szCs w:val="20"/>
                <w:color w:val="auto"/>
              </w:rPr>
            </w:pPr>
            <w:r>
              <w:rPr>
                <w:rFonts w:ascii="Arial" w:cs="Arial" w:eastAsia="Arial" w:hAnsi="Arial"/>
                <w:sz w:val="16"/>
                <w:szCs w:val="16"/>
                <w:color w:val="auto"/>
              </w:rPr>
              <w:t>Liam K. Griffin</w:t>
            </w:r>
          </w:p>
        </w:tc>
        <w:tc>
          <w:tcPr>
            <w:tcW w:w="1740" w:type="dxa"/>
            <w:vAlign w:val="bottom"/>
          </w:tcPr>
          <w:p>
            <w:pPr>
              <w:jc w:val="right"/>
              <w:ind w:right="42"/>
              <w:spacing w:after="0"/>
              <w:rPr>
                <w:sz w:val="20"/>
                <w:szCs w:val="20"/>
                <w:color w:val="auto"/>
              </w:rPr>
            </w:pPr>
            <w:r>
              <w:rPr>
                <w:rFonts w:ascii="Arial" w:cs="Arial" w:eastAsia="Arial" w:hAnsi="Arial"/>
                <w:sz w:val="16"/>
                <w:szCs w:val="16"/>
                <w:color w:val="auto"/>
              </w:rPr>
              <w:t>13,211(2)</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77.66</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11/9/2023</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26,914(2)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4,411,743</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91,164(10)</w:t>
            </w:r>
          </w:p>
        </w:tc>
        <w:tc>
          <w:tcPr>
            <w:tcW w:w="1080" w:type="dxa"/>
            <w:vAlign w:val="bottom"/>
          </w:tcPr>
          <w:p>
            <w:pPr>
              <w:jc w:val="right"/>
              <w:spacing w:after="0"/>
              <w:rPr>
                <w:sz w:val="20"/>
                <w:szCs w:val="20"/>
                <w:color w:val="auto"/>
              </w:rPr>
            </w:pPr>
            <w:r>
              <w:rPr>
                <w:rFonts w:ascii="Arial" w:cs="Arial" w:eastAsia="Arial" w:hAnsi="Arial"/>
                <w:sz w:val="16"/>
                <w:szCs w:val="16"/>
                <w:color w:val="auto"/>
              </w:rPr>
              <w:t>14,943,603</w:t>
            </w: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30,388(3)</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4,981,201</w:t>
            </w:r>
          </w:p>
        </w:tc>
        <w:tc>
          <w:tcPr>
            <w:tcW w:w="1200" w:type="dxa"/>
            <w:vAlign w:val="bottom"/>
            <w:shd w:val="clear" w:color="auto" w:fill="DBDBDB"/>
          </w:tcPr>
          <w:p>
            <w:pPr>
              <w:jc w:val="right"/>
              <w:ind w:right="43"/>
              <w:spacing w:after="0"/>
              <w:rPr>
                <w:sz w:val="20"/>
                <w:szCs w:val="20"/>
                <w:color w:val="auto"/>
              </w:rPr>
            </w:pPr>
            <w:r>
              <w:rPr>
                <w:rFonts w:ascii="Arial" w:cs="Arial" w:eastAsia="Arial" w:hAnsi="Arial"/>
                <w:sz w:val="16"/>
                <w:szCs w:val="16"/>
                <w:color w:val="auto"/>
              </w:rPr>
              <w:t>11,468(11)</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1,879,835</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94,965(4)</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15,566,663</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45,874(5)</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7,519,666</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6,193(6)</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1,015,157</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24,200(7)</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3,966,864</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30,388(8)</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4,981,201</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30,583(9)</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5,013,165</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1740" w:type="dxa"/>
            <w:vAlign w:val="bottom"/>
          </w:tcPr>
          <w:p>
            <w:pPr>
              <w:jc w:val="right"/>
              <w:ind w:right="42"/>
              <w:spacing w:after="0"/>
              <w:rPr>
                <w:sz w:val="20"/>
                <w:szCs w:val="20"/>
                <w:color w:val="auto"/>
              </w:rPr>
            </w:pPr>
            <w:r>
              <w:rPr>
                <w:rFonts w:ascii="Arial" w:cs="Arial" w:eastAsia="Arial" w:hAnsi="Arial"/>
                <w:sz w:val="18"/>
                <w:szCs w:val="18"/>
                <w:color w:val="auto"/>
              </w:rPr>
              <w:t>40,000</w:t>
            </w:r>
          </w:p>
        </w:tc>
        <w:tc>
          <w:tcPr>
            <w:tcW w:w="1320" w:type="dxa"/>
            <w:vAlign w:val="bottom"/>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75.22</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8/29/2023</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7,535(2)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1,235,137</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29,172(10)</w:t>
            </w:r>
          </w:p>
        </w:tc>
        <w:tc>
          <w:tcPr>
            <w:tcW w:w="1080" w:type="dxa"/>
            <w:vAlign w:val="bottom"/>
          </w:tcPr>
          <w:p>
            <w:pPr>
              <w:jc w:val="right"/>
              <w:spacing w:after="0"/>
              <w:rPr>
                <w:sz w:val="20"/>
                <w:szCs w:val="20"/>
                <w:color w:val="auto"/>
              </w:rPr>
            </w:pPr>
            <w:r>
              <w:rPr>
                <w:rFonts w:ascii="Arial" w:cs="Arial" w:eastAsia="Arial" w:hAnsi="Arial"/>
                <w:sz w:val="16"/>
                <w:szCs w:val="16"/>
                <w:color w:val="auto"/>
              </w:rPr>
              <w:t>4,781,874</w:t>
            </w:r>
          </w:p>
        </w:tc>
        <w:tc>
          <w:tcPr>
            <w:tcW w:w="0" w:type="dxa"/>
            <w:vAlign w:val="bottom"/>
          </w:tcPr>
          <w:p>
            <w:pPr>
              <w:spacing w:after="0"/>
              <w:rPr>
                <w:sz w:val="1"/>
                <w:szCs w:val="1"/>
                <w:color w:val="auto"/>
              </w:rPr>
            </w:pPr>
          </w:p>
        </w:tc>
      </w:tr>
      <w:tr>
        <w:trPr>
          <w:trHeight w:val="22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42"/>
              <w:spacing w:after="0"/>
              <w:rPr>
                <w:sz w:val="20"/>
                <w:szCs w:val="20"/>
                <w:color w:val="auto"/>
              </w:rPr>
            </w:pPr>
            <w:r>
              <w:rPr>
                <w:rFonts w:ascii="Arial" w:cs="Arial" w:eastAsia="Arial" w:hAnsi="Arial"/>
                <w:sz w:val="18"/>
                <w:szCs w:val="18"/>
                <w:color w:val="auto"/>
              </w:rPr>
              <w:t>12,770</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80"/>
              <w:spacing w:after="0"/>
              <w:rPr>
                <w:sz w:val="20"/>
                <w:szCs w:val="20"/>
                <w:color w:val="auto"/>
              </w:rPr>
            </w:pPr>
            <w:r>
              <w:rPr>
                <w:rFonts w:ascii="Arial" w:cs="Arial" w:eastAsia="Arial" w:hAnsi="Arial"/>
                <w:sz w:val="18"/>
                <w:szCs w:val="18"/>
                <w:color w:val="auto"/>
              </w:rPr>
              <w:t>77.66</w:t>
            </w:r>
          </w:p>
        </w:tc>
        <w:tc>
          <w:tcPr>
            <w:tcW w:w="1220" w:type="dxa"/>
            <w:vAlign w:val="bottom"/>
            <w:shd w:val="clear" w:color="auto" w:fill="DBDBDB"/>
          </w:tcPr>
          <w:p>
            <w:pPr>
              <w:jc w:val="right"/>
              <w:ind w:right="59"/>
              <w:spacing w:after="0"/>
              <w:rPr>
                <w:sz w:val="20"/>
                <w:szCs w:val="20"/>
                <w:color w:val="auto"/>
              </w:rPr>
            </w:pPr>
            <w:r>
              <w:rPr>
                <w:rFonts w:ascii="Arial" w:cs="Arial" w:eastAsia="Arial" w:hAnsi="Arial"/>
                <w:sz w:val="18"/>
                <w:szCs w:val="18"/>
                <w:color w:val="auto"/>
              </w:rPr>
              <w:t>11/9/2023</w:t>
            </w: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9,724(3)</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1,593,958</w:t>
            </w:r>
          </w:p>
        </w:tc>
        <w:tc>
          <w:tcPr>
            <w:tcW w:w="1200" w:type="dxa"/>
            <w:vAlign w:val="bottom"/>
            <w:shd w:val="clear" w:color="auto" w:fill="DBDBDB"/>
          </w:tcPr>
          <w:p>
            <w:pPr>
              <w:jc w:val="right"/>
              <w:ind w:right="43"/>
              <w:spacing w:after="0"/>
              <w:rPr>
                <w:sz w:val="20"/>
                <w:szCs w:val="20"/>
                <w:color w:val="auto"/>
              </w:rPr>
            </w:pPr>
            <w:r>
              <w:rPr>
                <w:rFonts w:ascii="Arial" w:cs="Arial" w:eastAsia="Arial" w:hAnsi="Arial"/>
                <w:sz w:val="18"/>
                <w:szCs w:val="18"/>
                <w:color w:val="auto"/>
              </w:rPr>
              <w:t>3,544(11)</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580,932</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14,180(4)</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2,324,386</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2,158(6)</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353,739</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6,776(7)</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1,110,722</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9,723(8)</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1,593,794</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8,610(12)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1,411,351</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9,452(9)</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1,549,372</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7,266(2)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1,191,043</w:t>
            </w:r>
          </w:p>
        </w:tc>
        <w:tc>
          <w:tcPr>
            <w:tcW w:w="1200" w:type="dxa"/>
            <w:vAlign w:val="bottom"/>
          </w:tcPr>
          <w:p>
            <w:pPr>
              <w:jc w:val="right"/>
              <w:ind w:right="43"/>
              <w:spacing w:after="0"/>
              <w:rPr>
                <w:sz w:val="20"/>
                <w:szCs w:val="20"/>
                <w:color w:val="auto"/>
              </w:rPr>
            </w:pPr>
            <w:r>
              <w:rPr>
                <w:rFonts w:ascii="Arial" w:cs="Arial" w:eastAsia="Arial" w:hAnsi="Arial"/>
                <w:sz w:val="18"/>
                <w:szCs w:val="18"/>
                <w:color w:val="auto"/>
              </w:rPr>
              <w:t>24,615(10)</w:t>
            </w:r>
          </w:p>
        </w:tc>
        <w:tc>
          <w:tcPr>
            <w:tcW w:w="1080" w:type="dxa"/>
            <w:vAlign w:val="bottom"/>
          </w:tcPr>
          <w:p>
            <w:pPr>
              <w:jc w:val="right"/>
              <w:spacing w:after="0"/>
              <w:rPr>
                <w:sz w:val="20"/>
                <w:szCs w:val="20"/>
                <w:color w:val="auto"/>
              </w:rPr>
            </w:pPr>
            <w:r>
              <w:rPr>
                <w:rFonts w:ascii="Arial" w:cs="Arial" w:eastAsia="Arial" w:hAnsi="Arial"/>
                <w:sz w:val="18"/>
                <w:szCs w:val="18"/>
                <w:color w:val="auto"/>
              </w:rPr>
              <w:t>4,034,891</w:t>
            </w:r>
          </w:p>
        </w:tc>
        <w:tc>
          <w:tcPr>
            <w:tcW w:w="0" w:type="dxa"/>
            <w:vAlign w:val="bottom"/>
          </w:tcPr>
          <w:p>
            <w:pPr>
              <w:spacing w:after="0"/>
              <w:rPr>
                <w:sz w:val="1"/>
                <w:szCs w:val="1"/>
                <w:color w:val="auto"/>
              </w:rPr>
            </w:pPr>
          </w:p>
        </w:tc>
      </w:tr>
      <w:tr>
        <w:trPr>
          <w:trHeight w:val="22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8,204(3)</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1,344,800</w:t>
            </w:r>
          </w:p>
        </w:tc>
        <w:tc>
          <w:tcPr>
            <w:tcW w:w="1200" w:type="dxa"/>
            <w:vAlign w:val="bottom"/>
            <w:shd w:val="clear" w:color="auto" w:fill="DBDBDB"/>
          </w:tcPr>
          <w:p>
            <w:pPr>
              <w:jc w:val="right"/>
              <w:ind w:right="43"/>
              <w:spacing w:after="0"/>
              <w:rPr>
                <w:sz w:val="20"/>
                <w:szCs w:val="20"/>
                <w:color w:val="auto"/>
              </w:rPr>
            </w:pPr>
            <w:r>
              <w:rPr>
                <w:rFonts w:ascii="Arial" w:cs="Arial" w:eastAsia="Arial" w:hAnsi="Arial"/>
                <w:sz w:val="18"/>
                <w:szCs w:val="18"/>
                <w:color w:val="auto"/>
              </w:rPr>
              <w:t>3,023(11)</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495,530</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12,094(4)</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1,982,448</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2,158(6)</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353,739</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6,534(7)</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1,071,053</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8,205(8)</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1,344,964</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7,597(12)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1,245,300</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8,062(9)</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1,321,523</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6"/>
                <w:szCs w:val="16"/>
                <w:color w:val="auto"/>
              </w:rPr>
              <w:t>Robert J. Terry</w:t>
            </w:r>
          </w:p>
        </w:tc>
        <w:tc>
          <w:tcPr>
            <w:tcW w:w="1740" w:type="dxa"/>
            <w:vAlign w:val="bottom"/>
          </w:tcPr>
          <w:p>
            <w:pPr>
              <w:jc w:val="right"/>
              <w:ind w:right="42"/>
              <w:spacing w:after="0"/>
              <w:rPr>
                <w:sz w:val="20"/>
                <w:szCs w:val="20"/>
                <w:color w:val="auto"/>
              </w:rPr>
            </w:pPr>
            <w:r>
              <w:rPr>
                <w:rFonts w:ascii="Arial" w:cs="Arial" w:eastAsia="Arial" w:hAnsi="Arial"/>
                <w:sz w:val="18"/>
                <w:szCs w:val="18"/>
                <w:color w:val="auto"/>
              </w:rPr>
              <w:t>502</w:t>
            </w:r>
          </w:p>
        </w:tc>
        <w:tc>
          <w:tcPr>
            <w:tcW w:w="1320" w:type="dxa"/>
            <w:vAlign w:val="bottom"/>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75.91</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11/10/2023</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4,575(2)</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749,934</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23,703(10)</w:t>
            </w:r>
          </w:p>
        </w:tc>
        <w:tc>
          <w:tcPr>
            <w:tcW w:w="1080" w:type="dxa"/>
            <w:vAlign w:val="bottom"/>
          </w:tcPr>
          <w:p>
            <w:pPr>
              <w:jc w:val="right"/>
              <w:spacing w:after="0"/>
              <w:rPr>
                <w:sz w:val="20"/>
                <w:szCs w:val="20"/>
                <w:color w:val="auto"/>
              </w:rPr>
            </w:pPr>
            <w:r>
              <w:rPr>
                <w:rFonts w:ascii="Arial" w:cs="Arial" w:eastAsia="Arial" w:hAnsi="Arial"/>
                <w:sz w:val="16"/>
                <w:szCs w:val="16"/>
                <w:color w:val="auto"/>
              </w:rPr>
              <w:t>3,885,396</w:t>
            </w:r>
          </w:p>
        </w:tc>
        <w:tc>
          <w:tcPr>
            <w:tcW w:w="0" w:type="dxa"/>
            <w:vAlign w:val="bottom"/>
          </w:tcPr>
          <w:p>
            <w:pPr>
              <w:spacing w:after="0"/>
              <w:rPr>
                <w:sz w:val="1"/>
                <w:szCs w:val="1"/>
                <w:color w:val="auto"/>
              </w:rPr>
            </w:pPr>
          </w:p>
        </w:tc>
      </w:tr>
      <w:tr>
        <w:trPr>
          <w:trHeight w:val="216"/>
        </w:trPr>
        <w:tc>
          <w:tcPr>
            <w:tcW w:w="1560" w:type="dxa"/>
            <w:vAlign w:val="bottom"/>
            <w:shd w:val="clear" w:color="auto" w:fill="DBDBDB"/>
          </w:tcPr>
          <w:p>
            <w:pPr>
              <w:spacing w:after="0"/>
              <w:rPr>
                <w:sz w:val="18"/>
                <w:szCs w:val="18"/>
                <w:color w:val="auto"/>
              </w:rPr>
            </w:pPr>
          </w:p>
        </w:tc>
        <w:tc>
          <w:tcPr>
            <w:tcW w:w="17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7,900(3)</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1,294,968</w:t>
            </w:r>
          </w:p>
        </w:tc>
        <w:tc>
          <w:tcPr>
            <w:tcW w:w="1200" w:type="dxa"/>
            <w:vAlign w:val="bottom"/>
            <w:shd w:val="clear" w:color="auto" w:fill="DBDBDB"/>
          </w:tcPr>
          <w:p>
            <w:pPr>
              <w:jc w:val="right"/>
              <w:ind w:right="43"/>
              <w:spacing w:after="0"/>
              <w:rPr>
                <w:sz w:val="20"/>
                <w:szCs w:val="20"/>
                <w:color w:val="auto"/>
              </w:rPr>
            </w:pPr>
            <w:r>
              <w:rPr>
                <w:rFonts w:ascii="Arial" w:cs="Arial" w:eastAsia="Arial" w:hAnsi="Arial"/>
                <w:sz w:val="16"/>
                <w:szCs w:val="16"/>
                <w:color w:val="auto"/>
              </w:rPr>
              <w:t>2,815(11)</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461,435</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11,260(4)</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1,845,739</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shd w:val="clear" w:color="auto" w:fill="DBDBDB"/>
          </w:tcPr>
          <w:p>
            <w:pPr>
              <w:spacing w:after="0"/>
              <w:rPr>
                <w:sz w:val="19"/>
                <w:szCs w:val="19"/>
                <w:color w:val="auto"/>
              </w:rPr>
            </w:pPr>
          </w:p>
        </w:tc>
        <w:tc>
          <w:tcPr>
            <w:tcW w:w="17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1"/>
              <w:spacing w:after="0"/>
              <w:rPr>
                <w:sz w:val="20"/>
                <w:szCs w:val="20"/>
                <w:color w:val="auto"/>
              </w:rPr>
            </w:pPr>
            <w:r>
              <w:rPr>
                <w:rFonts w:ascii="Arial" w:cs="Arial" w:eastAsia="Arial" w:hAnsi="Arial"/>
                <w:sz w:val="16"/>
                <w:szCs w:val="16"/>
                <w:color w:val="auto"/>
              </w:rPr>
              <w:t>1,349(6)</w:t>
            </w:r>
          </w:p>
        </w:tc>
        <w:tc>
          <w:tcPr>
            <w:tcW w:w="118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221,128</w:t>
            </w:r>
          </w:p>
        </w:tc>
        <w:tc>
          <w:tcPr>
            <w:tcW w:w="12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4,114(7)</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674,367</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DBDBDB"/>
          </w:tcPr>
          <w:p>
            <w:pPr>
              <w:spacing w:after="0"/>
              <w:rPr>
                <w:sz w:val="18"/>
                <w:szCs w:val="18"/>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7,900(8)</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1,294,968</w:t>
            </w:r>
          </w:p>
        </w:tc>
        <w:tc>
          <w:tcPr>
            <w:tcW w:w="1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13"/>
        </w:trPr>
        <w:tc>
          <w:tcPr>
            <w:tcW w:w="4000" w:type="dxa"/>
            <w:vAlign w:val="bottom"/>
          </w:tcPr>
          <w:p>
            <w:pPr>
              <w:spacing w:after="0"/>
              <w:rPr>
                <w:sz w:val="18"/>
                <w:szCs w:val="18"/>
                <w:color w:val="auto"/>
              </w:rPr>
            </w:pPr>
          </w:p>
        </w:tc>
        <w:tc>
          <w:tcPr>
            <w:tcW w:w="3880" w:type="dxa"/>
            <w:vAlign w:val="bottom"/>
          </w:tcPr>
          <w:p>
            <w:pPr>
              <w:jc w:val="right"/>
              <w:ind w:right="177"/>
              <w:spacing w:after="0"/>
              <w:rPr>
                <w:sz w:val="20"/>
                <w:szCs w:val="20"/>
                <w:color w:val="auto"/>
              </w:rPr>
            </w:pPr>
            <w:r>
              <w:rPr>
                <w:rFonts w:ascii="Arial" w:cs="Arial" w:eastAsia="Arial" w:hAnsi="Arial"/>
                <w:sz w:val="16"/>
                <w:szCs w:val="16"/>
                <w:color w:val="auto"/>
              </w:rPr>
              <w:t>6,077(12)</w:t>
            </w:r>
          </w:p>
        </w:tc>
        <w:tc>
          <w:tcPr>
            <w:tcW w:w="1220" w:type="dxa"/>
            <w:vAlign w:val="bottom"/>
          </w:tcPr>
          <w:p>
            <w:pPr>
              <w:jc w:val="right"/>
              <w:ind w:right="237"/>
              <w:spacing w:after="0"/>
              <w:rPr>
                <w:sz w:val="20"/>
                <w:szCs w:val="20"/>
                <w:color w:val="auto"/>
              </w:rPr>
            </w:pPr>
            <w:r>
              <w:rPr>
                <w:rFonts w:ascii="Arial" w:cs="Arial" w:eastAsia="Arial" w:hAnsi="Arial"/>
                <w:sz w:val="16"/>
                <w:szCs w:val="16"/>
                <w:color w:val="auto"/>
              </w:rPr>
              <w:t>996,142</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00" w:type="dxa"/>
            <w:vAlign w:val="bottom"/>
            <w:shd w:val="clear" w:color="auto" w:fill="DBDBDB"/>
          </w:tcPr>
          <w:p>
            <w:pPr>
              <w:spacing w:after="0"/>
              <w:rPr>
                <w:sz w:val="19"/>
                <w:szCs w:val="19"/>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7,506(9)</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1,230,384</w:t>
            </w:r>
          </w:p>
        </w:tc>
        <w:tc>
          <w:tcPr>
            <w:tcW w:w="1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Karilee A. Durham</w:t>
            </w:r>
          </w:p>
        </w:tc>
        <w:tc>
          <w:tcPr>
            <w:tcW w:w="3880" w:type="dxa"/>
            <w:vAlign w:val="bottom"/>
          </w:tcPr>
          <w:p>
            <w:pPr>
              <w:jc w:val="right"/>
              <w:ind w:right="597"/>
              <w:spacing w:after="0"/>
              <w:rPr>
                <w:sz w:val="20"/>
                <w:szCs w:val="20"/>
                <w:color w:val="auto"/>
              </w:rPr>
            </w:pPr>
            <w:r>
              <w:rPr>
                <w:rFonts w:ascii="Arial" w:cs="Arial" w:eastAsia="Arial" w:hAnsi="Arial"/>
                <w:sz w:val="18"/>
                <w:szCs w:val="18"/>
                <w:color w:val="auto"/>
              </w:rPr>
              <w:t>2,960(2)</w:t>
            </w:r>
          </w:p>
        </w:tc>
        <w:tc>
          <w:tcPr>
            <w:tcW w:w="2360" w:type="dxa"/>
            <w:vAlign w:val="bottom"/>
            <w:gridSpan w:val="2"/>
          </w:tcPr>
          <w:p>
            <w:pPr>
              <w:jc w:val="right"/>
              <w:ind w:right="499"/>
              <w:spacing w:after="0"/>
              <w:rPr>
                <w:sz w:val="20"/>
                <w:szCs w:val="20"/>
                <w:color w:val="auto"/>
              </w:rPr>
            </w:pPr>
            <w:r>
              <w:rPr>
                <w:rFonts w:ascii="Arial" w:cs="Arial" w:eastAsia="Arial" w:hAnsi="Arial"/>
                <w:sz w:val="18"/>
                <w:szCs w:val="18"/>
                <w:color w:val="auto"/>
              </w:rPr>
              <w:t>485,203 16,410(10)</w:t>
            </w:r>
          </w:p>
        </w:tc>
        <w:tc>
          <w:tcPr>
            <w:tcW w:w="1000" w:type="dxa"/>
            <w:vAlign w:val="bottom"/>
          </w:tcPr>
          <w:p>
            <w:pPr>
              <w:jc w:val="right"/>
              <w:spacing w:after="0"/>
              <w:rPr>
                <w:sz w:val="20"/>
                <w:szCs w:val="20"/>
                <w:color w:val="auto"/>
              </w:rPr>
            </w:pPr>
            <w:r>
              <w:rPr>
                <w:rFonts w:ascii="Arial" w:cs="Arial" w:eastAsia="Arial" w:hAnsi="Arial"/>
                <w:sz w:val="18"/>
                <w:szCs w:val="18"/>
                <w:color w:val="auto"/>
              </w:rPr>
              <w:t>2,689,927</w:t>
            </w:r>
          </w:p>
        </w:tc>
      </w:tr>
      <w:tr>
        <w:trPr>
          <w:trHeight w:val="216"/>
        </w:trPr>
        <w:tc>
          <w:tcPr>
            <w:tcW w:w="4000" w:type="dxa"/>
            <w:vAlign w:val="bottom"/>
            <w:shd w:val="clear" w:color="auto" w:fill="DBDBDB"/>
          </w:tcPr>
          <w:p>
            <w:pPr>
              <w:spacing w:after="0"/>
              <w:rPr>
                <w:sz w:val="18"/>
                <w:szCs w:val="18"/>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5,468(3)</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896,315</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1,980(11)</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324,562</w:t>
            </w:r>
          </w:p>
        </w:tc>
      </w:tr>
      <w:tr>
        <w:trPr>
          <w:trHeight w:val="213"/>
        </w:trPr>
        <w:tc>
          <w:tcPr>
            <w:tcW w:w="4000" w:type="dxa"/>
            <w:vAlign w:val="bottom"/>
          </w:tcPr>
          <w:p>
            <w:pPr>
              <w:spacing w:after="0"/>
              <w:rPr>
                <w:sz w:val="18"/>
                <w:szCs w:val="18"/>
                <w:color w:val="auto"/>
              </w:rPr>
            </w:pPr>
          </w:p>
        </w:tc>
        <w:tc>
          <w:tcPr>
            <w:tcW w:w="3880" w:type="dxa"/>
            <w:vAlign w:val="bottom"/>
          </w:tcPr>
          <w:p>
            <w:pPr>
              <w:jc w:val="right"/>
              <w:ind w:right="177"/>
              <w:spacing w:after="0"/>
              <w:rPr>
                <w:sz w:val="20"/>
                <w:szCs w:val="20"/>
                <w:color w:val="auto"/>
              </w:rPr>
            </w:pPr>
            <w:r>
              <w:rPr>
                <w:rFonts w:ascii="Arial" w:cs="Arial" w:eastAsia="Arial" w:hAnsi="Arial"/>
                <w:sz w:val="16"/>
                <w:szCs w:val="16"/>
                <w:color w:val="auto"/>
              </w:rPr>
              <w:t>7,924(4)</w:t>
            </w:r>
          </w:p>
        </w:tc>
        <w:tc>
          <w:tcPr>
            <w:tcW w:w="1220" w:type="dxa"/>
            <w:vAlign w:val="bottom"/>
          </w:tcPr>
          <w:p>
            <w:pPr>
              <w:jc w:val="right"/>
              <w:ind w:right="237"/>
              <w:spacing w:after="0"/>
              <w:rPr>
                <w:sz w:val="20"/>
                <w:szCs w:val="20"/>
                <w:color w:val="auto"/>
              </w:rPr>
            </w:pPr>
            <w:r>
              <w:rPr>
                <w:rFonts w:ascii="Arial" w:cs="Arial" w:eastAsia="Arial" w:hAnsi="Arial"/>
                <w:sz w:val="16"/>
                <w:szCs w:val="16"/>
                <w:color w:val="auto"/>
              </w:rPr>
              <w:t>1,298,902</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00" w:type="dxa"/>
            <w:vAlign w:val="bottom"/>
            <w:shd w:val="clear" w:color="auto" w:fill="DBDBDB"/>
          </w:tcPr>
          <w:p>
            <w:pPr>
              <w:spacing w:after="0"/>
              <w:rPr>
                <w:sz w:val="19"/>
                <w:szCs w:val="19"/>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4,426(13)</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725,510</w:t>
            </w:r>
          </w:p>
        </w:tc>
        <w:tc>
          <w:tcPr>
            <w:tcW w:w="1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3880" w:type="dxa"/>
            <w:vAlign w:val="bottom"/>
          </w:tcPr>
          <w:p>
            <w:pPr>
              <w:jc w:val="right"/>
              <w:ind w:right="597"/>
              <w:spacing w:after="0"/>
              <w:rPr>
                <w:sz w:val="20"/>
                <w:szCs w:val="20"/>
                <w:color w:val="auto"/>
              </w:rPr>
            </w:pPr>
            <w:r>
              <w:rPr>
                <w:rFonts w:ascii="Arial" w:cs="Arial" w:eastAsia="Arial" w:hAnsi="Arial"/>
                <w:sz w:val="18"/>
                <w:szCs w:val="18"/>
                <w:color w:val="auto"/>
              </w:rPr>
              <w:t>2,662(7)</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436,355</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4000" w:type="dxa"/>
            <w:vAlign w:val="bottom"/>
            <w:shd w:val="clear" w:color="auto" w:fill="DBDBDB"/>
          </w:tcPr>
          <w:p>
            <w:pPr>
              <w:spacing w:after="0"/>
              <w:rPr>
                <w:sz w:val="18"/>
                <w:szCs w:val="18"/>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5,469(8)</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896,478</w:t>
            </w:r>
          </w:p>
        </w:tc>
        <w:tc>
          <w:tcPr>
            <w:tcW w:w="1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13"/>
        </w:trPr>
        <w:tc>
          <w:tcPr>
            <w:tcW w:w="4000" w:type="dxa"/>
            <w:vAlign w:val="bottom"/>
          </w:tcPr>
          <w:p>
            <w:pPr>
              <w:spacing w:after="0"/>
              <w:rPr>
                <w:sz w:val="18"/>
                <w:szCs w:val="18"/>
                <w:color w:val="auto"/>
              </w:rPr>
            </w:pPr>
          </w:p>
        </w:tc>
        <w:tc>
          <w:tcPr>
            <w:tcW w:w="3880" w:type="dxa"/>
            <w:vAlign w:val="bottom"/>
          </w:tcPr>
          <w:p>
            <w:pPr>
              <w:jc w:val="right"/>
              <w:ind w:right="177"/>
              <w:spacing w:after="0"/>
              <w:rPr>
                <w:sz w:val="20"/>
                <w:szCs w:val="20"/>
                <w:color w:val="auto"/>
              </w:rPr>
            </w:pPr>
            <w:r>
              <w:rPr>
                <w:rFonts w:ascii="Arial" w:cs="Arial" w:eastAsia="Arial" w:hAnsi="Arial"/>
                <w:sz w:val="16"/>
                <w:szCs w:val="16"/>
                <w:color w:val="auto"/>
              </w:rPr>
              <w:t>4,051(12)</w:t>
            </w:r>
          </w:p>
        </w:tc>
        <w:tc>
          <w:tcPr>
            <w:tcW w:w="1220" w:type="dxa"/>
            <w:vAlign w:val="bottom"/>
          </w:tcPr>
          <w:p>
            <w:pPr>
              <w:jc w:val="right"/>
              <w:ind w:right="237"/>
              <w:spacing w:after="0"/>
              <w:rPr>
                <w:sz w:val="20"/>
                <w:szCs w:val="20"/>
                <w:color w:val="auto"/>
              </w:rPr>
            </w:pPr>
            <w:r>
              <w:rPr>
                <w:rFonts w:ascii="Arial" w:cs="Arial" w:eastAsia="Arial" w:hAnsi="Arial"/>
                <w:sz w:val="16"/>
                <w:szCs w:val="16"/>
                <w:color w:val="auto"/>
              </w:rPr>
              <w:t>664,040</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00" w:type="dxa"/>
            <w:vAlign w:val="bottom"/>
            <w:shd w:val="clear" w:color="auto" w:fill="DBDBDB"/>
          </w:tcPr>
          <w:p>
            <w:pPr>
              <w:spacing w:after="0"/>
              <w:rPr>
                <w:sz w:val="19"/>
                <w:szCs w:val="19"/>
                <w:color w:val="auto"/>
              </w:rPr>
            </w:pPr>
          </w:p>
        </w:tc>
        <w:tc>
          <w:tcPr>
            <w:tcW w:w="3880" w:type="dxa"/>
            <w:vAlign w:val="bottom"/>
            <w:shd w:val="clear" w:color="auto" w:fill="DBDBDB"/>
          </w:tcPr>
          <w:p>
            <w:pPr>
              <w:jc w:val="right"/>
              <w:ind w:right="177"/>
              <w:spacing w:after="0"/>
              <w:rPr>
                <w:sz w:val="20"/>
                <w:szCs w:val="20"/>
                <w:color w:val="auto"/>
              </w:rPr>
            </w:pPr>
            <w:r>
              <w:rPr>
                <w:rFonts w:ascii="Arial" w:cs="Arial" w:eastAsia="Arial" w:hAnsi="Arial"/>
                <w:sz w:val="16"/>
                <w:szCs w:val="16"/>
                <w:color w:val="auto"/>
              </w:rPr>
              <w:t>5,282(9)</w:t>
            </w:r>
          </w:p>
        </w:tc>
        <w:tc>
          <w:tcPr>
            <w:tcW w:w="1220" w:type="dxa"/>
            <w:vAlign w:val="bottom"/>
            <w:shd w:val="clear" w:color="auto" w:fill="DBDBDB"/>
          </w:tcPr>
          <w:p>
            <w:pPr>
              <w:jc w:val="right"/>
              <w:ind w:right="237"/>
              <w:spacing w:after="0"/>
              <w:rPr>
                <w:sz w:val="20"/>
                <w:szCs w:val="20"/>
                <w:color w:val="auto"/>
              </w:rPr>
            </w:pPr>
            <w:r>
              <w:rPr>
                <w:rFonts w:ascii="Arial" w:cs="Arial" w:eastAsia="Arial" w:hAnsi="Arial"/>
                <w:sz w:val="16"/>
                <w:szCs w:val="16"/>
                <w:color w:val="auto"/>
              </w:rPr>
              <w:t>865,825</w:t>
            </w:r>
          </w:p>
        </w:tc>
        <w:tc>
          <w:tcPr>
            <w:tcW w:w="1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5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a price of $163.92 per share, which was the closing sale price of the Company’s common stock on the Nasdaq Global Select Market on October 1, 2021.</w:t>
      </w:r>
    </w:p>
    <w:p>
      <w:pPr>
        <w:ind w:left="260" w:hanging="252"/>
        <w:spacing w:after="0" w:line="264" w:lineRule="auto"/>
        <w:tabs>
          <w:tab w:leader="none" w:pos="2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shares issuable under the fiscal year 2019 PSAs (“FY19 PSAs”) with respect to the TSR percentile ranking performance metric. The shares earned under this portion of the FY19 PSAs, which was subject to a three-year performance period, were issued on November 6, 2021.</w:t>
      </w:r>
    </w:p>
    <w:p>
      <w:pPr>
        <w:spacing w:after="0" w:line="1" w:lineRule="exact"/>
        <w:rPr>
          <w:rFonts w:ascii="Arial" w:cs="Arial" w:eastAsia="Arial" w:hAnsi="Arial"/>
          <w:sz w:val="17"/>
          <w:szCs w:val="17"/>
          <w:color w:val="auto"/>
        </w:rPr>
      </w:pPr>
    </w:p>
    <w:p>
      <w:pPr>
        <w:jc w:val="both"/>
        <w:ind w:left="260" w:hanging="252"/>
        <w:spacing w:after="0" w:line="250" w:lineRule="auto"/>
        <w:tabs>
          <w:tab w:leader="none" w:pos="2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the fiscal year 2020 PSAs (the “FY20 PSAs”) with respect to two performance metrics measured over a one-year performance period consisting of the Company’s fiscal year 2020. Fifty percent (50%) of the shares earned under the FY20 PSAs with respect to such metrics were issued on November 5, 2020, and the remaining fifty percent (50%) of the shares earned with respect to such metrics were issued on November 5, 2021.</w:t>
      </w:r>
    </w:p>
    <w:p>
      <w:pPr>
        <w:jc w:val="both"/>
        <w:ind w:left="260" w:hanging="252"/>
        <w:spacing w:after="0" w:line="244" w:lineRule="auto"/>
        <w:tabs>
          <w:tab w:leader="none" w:pos="2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shares issuable under the one-time, non-recurring stock-based award granted to Mr. Griffin on November 5, 2019 (as described above under “</w:t>
      </w:r>
      <w:r>
        <w:rPr>
          <w:rFonts w:ascii="Arial" w:cs="Arial" w:eastAsia="Arial" w:hAnsi="Arial"/>
          <w:sz w:val="17"/>
          <w:szCs w:val="17"/>
          <w:i w:val="1"/>
          <w:iCs w:val="1"/>
          <w:color w:val="auto"/>
        </w:rPr>
        <w:t>Components of Compensation—Long-Term Stock-Based Compensation</w:t>
      </w:r>
      <w:r>
        <w:rPr>
          <w:rFonts w:ascii="Arial" w:cs="Arial" w:eastAsia="Arial" w:hAnsi="Arial"/>
          <w:sz w:val="17"/>
          <w:szCs w:val="17"/>
          <w:color w:val="auto"/>
        </w:rPr>
        <w:t>”), with respect to a non-GAAP EBITDA margin metric measured over the Company’s fiscal year 2020 and fiscal year 2021. During fiscal year 2020, the Company achieved a non-GAAP EBITDA margin of 43%, which put the Company in the 87.5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peer group, resulting in achievement with respect to such metric of 200% of the target level of shares with respect to fiscal year 2020. During fiscal year 2021, the Company achieved a non-GAAP EBITDA margin of 45%, which put the Company in the 68.75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peer group, resulting in achievement with respect to such metric of 175% of the target level of shares with respect to fiscal year 2021. The shares earned under this award were issued on November 5, 2021.</w:t>
      </w:r>
    </w:p>
    <w:p>
      <w:pPr>
        <w:spacing w:after="0" w:line="2" w:lineRule="exact"/>
        <w:rPr>
          <w:rFonts w:ascii="Arial" w:cs="Arial" w:eastAsia="Arial" w:hAnsi="Arial"/>
          <w:sz w:val="17"/>
          <w:szCs w:val="17"/>
          <w:color w:val="auto"/>
        </w:rPr>
      </w:pPr>
    </w:p>
    <w:p>
      <w:pPr>
        <w:jc w:val="both"/>
        <w:ind w:left="260" w:hanging="252"/>
        <w:spacing w:after="0" w:line="264" w:lineRule="auto"/>
        <w:tabs>
          <w:tab w:leader="none" w:pos="2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shares issuable under the FY21 PSAs (awarded on November 11, 2020, as described above under “</w:t>
      </w:r>
      <w:r>
        <w:rPr>
          <w:rFonts w:ascii="Arial" w:cs="Arial" w:eastAsia="Arial" w:hAnsi="Arial"/>
          <w:sz w:val="17"/>
          <w:szCs w:val="17"/>
          <w:i w:val="1"/>
          <w:iCs w:val="1"/>
          <w:color w:val="auto"/>
        </w:rPr>
        <w:t>Components of Compensation—Long-Term Stock-Based Compensation</w:t>
      </w:r>
      <w:r>
        <w:rPr>
          <w:rFonts w:ascii="Arial" w:cs="Arial" w:eastAsia="Arial" w:hAnsi="Arial"/>
          <w:sz w:val="17"/>
          <w:szCs w:val="17"/>
          <w:color w:val="auto"/>
        </w:rPr>
        <w:t>”) with respect to two performance metrics measured over a one-year performance period consisting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2021, assuming achievement at the “maximum” level of performance. Fifty percent (50%) of the shares earned under the FY21 PSAs with respect to such metrics were issued on November 11, 2021, and the remaining fifty percent (50%) of the shares earned with respect to such metrics will be issued on November 11, 2022, provided that the executive meets the continued employment condition.</w:t>
      </w:r>
    </w:p>
    <w:p>
      <w:pPr>
        <w:spacing w:after="0" w:line="3" w:lineRule="exact"/>
        <w:rPr>
          <w:rFonts w:ascii="Arial" w:cs="Arial" w:eastAsia="Arial" w:hAnsi="Arial"/>
          <w:sz w:val="17"/>
          <w:szCs w:val="17"/>
          <w:color w:val="auto"/>
        </w:rPr>
      </w:pPr>
    </w:p>
    <w:p>
      <w:pPr>
        <w:ind w:left="260" w:hanging="252"/>
        <w:spacing w:after="0" w:line="281" w:lineRule="auto"/>
        <w:tabs>
          <w:tab w:leader="none" w:pos="2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shares issuable under an RSU award granted on November 7, 2017, under the Company’s 2015 Long-Term Incentive Plan. The RSU award vested at a rate of twenty-five percent (25%) per year on each anniversary of the grant date until they became fully vested on November 7, 2021.</w:t>
      </w:r>
    </w:p>
    <w:p>
      <w:pPr>
        <w:ind w:left="260" w:hanging="252"/>
        <w:spacing w:after="0" w:line="250" w:lineRule="auto"/>
        <w:tabs>
          <w:tab w:leader="none" w:pos="2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6, 2018, under the Company’s 2015 Long-Term Incentive Plan. The RSU award vests at a rate of twenty-five percent (25%) per year on each anniversary of the grant date through November 6, 2022.</w:t>
      </w:r>
    </w:p>
    <w:p>
      <w:pPr>
        <w:ind w:left="260" w:hanging="252"/>
        <w:spacing w:after="0" w:line="250" w:lineRule="auto"/>
        <w:tabs>
          <w:tab w:leader="none" w:pos="2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5, 2019, under the Company’s 2015 Long-Term Incentive Plan. The RSU award vests at a rate of twenty-five percent (25%) per year on each anniversary of the grant date through November 5, 2023.</w:t>
      </w:r>
    </w:p>
    <w:p>
      <w:pPr>
        <w:ind w:left="260" w:hanging="252"/>
        <w:spacing w:after="0" w:line="260" w:lineRule="auto"/>
        <w:tabs>
          <w:tab w:leader="none" w:pos="2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11, 2020, under the Company’s 2015 Long-Term Incentive Plan. The RSU award vests at a rate of twenty-five percent (25%) per year on each anniversary of the grant date through November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24" w:name="page25"/>
    <w:bookmarkEnd w:id="24"/>
    <w:p>
      <w:pPr>
        <w:jc w:val="both"/>
        <w:ind w:left="260" w:hanging="252"/>
        <w:spacing w:after="0" w:line="255" w:lineRule="auto"/>
        <w:tabs>
          <w:tab w:leader="none" w:pos="3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shares issuable under the FY20 PSAs with respect to the TSR percentile ranking performance metric, assuming achievement at the “maximum” level of performance. This portion of the FY21 PSAs, which is subject to a three-year performance period, will be issued on November 5, 2022, to the extent earned and provided that the executive meets the continued employment condition.</w:t>
      </w:r>
    </w:p>
    <w:p>
      <w:pPr>
        <w:spacing w:after="0" w:line="1" w:lineRule="exact"/>
        <w:rPr>
          <w:rFonts w:ascii="Arial" w:cs="Arial" w:eastAsia="Arial" w:hAnsi="Arial"/>
          <w:sz w:val="18"/>
          <w:szCs w:val="18"/>
          <w:color w:val="auto"/>
        </w:rPr>
      </w:pPr>
    </w:p>
    <w:p>
      <w:pPr>
        <w:jc w:val="both"/>
        <w:ind w:left="260" w:hanging="252"/>
        <w:spacing w:after="0" w:line="250" w:lineRule="auto"/>
        <w:tabs>
          <w:tab w:leader="none" w:pos="3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shares issuable under the FY21 PSAs (awarded on November 11, 2020, as described above under “</w:t>
      </w:r>
      <w:r>
        <w:rPr>
          <w:rFonts w:ascii="Arial" w:cs="Arial" w:eastAsia="Arial" w:hAnsi="Arial"/>
          <w:sz w:val="18"/>
          <w:szCs w:val="18"/>
          <w:i w:val="1"/>
          <w:iCs w:val="1"/>
          <w:color w:val="auto"/>
        </w:rPr>
        <w:t>Components of Compensation—Long-Term Stock-Based Compensation</w:t>
      </w:r>
      <w:r>
        <w:rPr>
          <w:rFonts w:ascii="Arial" w:cs="Arial" w:eastAsia="Arial" w:hAnsi="Arial"/>
          <w:sz w:val="18"/>
          <w:szCs w:val="18"/>
          <w:color w:val="auto"/>
        </w:rPr>
        <w:t>”) with respect to the TSR percentile ranking performance metric, assuming achievement at the “threshold”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This portion of the FY21 PSAs, which is subject to a three-year performance period, will be issued on November 11, 2023, to the extent earned and provided that the executive meets the continued employment condition.</w:t>
      </w:r>
    </w:p>
    <w:p>
      <w:pPr>
        <w:ind w:left="260" w:hanging="252"/>
        <w:spacing w:after="0" w:line="281" w:lineRule="auto"/>
        <w:tabs>
          <w:tab w:leader="none" w:pos="3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shares issuable under an RSU award granted on November 5, 2019, under the Company’s 2015 Long-Term Incentive Plan. The RSU award vested at a rate of fifty percent (50%) per year on each anniversary of the grant date until they became fully vested on November 5, 2021.</w:t>
      </w:r>
    </w:p>
    <w:p>
      <w:pPr>
        <w:ind w:left="260" w:hanging="252"/>
        <w:spacing w:after="0" w:line="260" w:lineRule="auto"/>
        <w:tabs>
          <w:tab w:leader="none" w:pos="3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April 9, 2018, under the Company’s 2015 Long-Term Incentive Plan. The RSU award vests at a rate of twenty-five percent (25%) per year on each anniversary of the grant date through April 9, 2022.</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Option Exercises and Stock Vested Table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Named Executive Officers’ option exercises and stock award vesting during fiscal year 2021.</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Option Awards</w:t>
            </w:r>
          </w:p>
        </w:tc>
        <w:tc>
          <w:tcPr>
            <w:tcW w:w="166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278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w w:val="92"/>
              </w:rPr>
              <w:t>Number of Shares</w:t>
            </w:r>
          </w:p>
        </w:tc>
        <w:tc>
          <w:tcPr>
            <w:tcW w:w="1660" w:type="dxa"/>
            <w:vAlign w:val="bottom"/>
          </w:tcPr>
          <w:p>
            <w:pPr>
              <w:jc w:val="center"/>
              <w:ind w:right="577"/>
              <w:spacing w:after="0" w:line="147" w:lineRule="exact"/>
              <w:rPr>
                <w:sz w:val="20"/>
                <w:szCs w:val="20"/>
                <w:color w:val="auto"/>
              </w:rPr>
            </w:pPr>
            <w:r>
              <w:rPr>
                <w:rFonts w:ascii="Arial" w:cs="Arial" w:eastAsia="Arial" w:hAnsi="Arial"/>
                <w:sz w:val="14"/>
                <w:szCs w:val="14"/>
                <w:b w:val="1"/>
                <w:bCs w:val="1"/>
                <w:color w:val="auto"/>
                <w:w w:val="93"/>
              </w:rPr>
              <w:t>Value Realized</w:t>
            </w:r>
          </w:p>
        </w:tc>
        <w:tc>
          <w:tcPr>
            <w:tcW w:w="2240" w:type="dxa"/>
            <w:vAlign w:val="bottom"/>
          </w:tcPr>
          <w:p>
            <w:pPr>
              <w:jc w:val="center"/>
              <w:ind w:right="558"/>
              <w:spacing w:after="0" w:line="147" w:lineRule="exact"/>
              <w:rPr>
                <w:sz w:val="20"/>
                <w:szCs w:val="20"/>
                <w:color w:val="auto"/>
              </w:rPr>
            </w:pPr>
            <w:r>
              <w:rPr>
                <w:rFonts w:ascii="Arial" w:cs="Arial" w:eastAsia="Arial" w:hAnsi="Arial"/>
                <w:sz w:val="14"/>
                <w:szCs w:val="14"/>
                <w:b w:val="1"/>
                <w:bCs w:val="1"/>
                <w:color w:val="auto"/>
                <w:w w:val="92"/>
              </w:rPr>
              <w:t>Number of Shares</w:t>
            </w:r>
          </w:p>
        </w:tc>
        <w:tc>
          <w:tcPr>
            <w:tcW w:w="14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35"/>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2"/>
              </w:rPr>
              <w:t>Acquired on Exercise</w:t>
            </w:r>
          </w:p>
        </w:tc>
        <w:tc>
          <w:tcPr>
            <w:tcW w:w="1660" w:type="dxa"/>
            <w:vAlign w:val="bottom"/>
          </w:tcPr>
          <w:p>
            <w:pPr>
              <w:jc w:val="center"/>
              <w:ind w:right="577"/>
              <w:spacing w:after="0" w:line="135" w:lineRule="exact"/>
              <w:rPr>
                <w:sz w:val="20"/>
                <w:szCs w:val="20"/>
                <w:color w:val="auto"/>
              </w:rPr>
            </w:pPr>
            <w:r>
              <w:rPr>
                <w:rFonts w:ascii="Arial" w:cs="Arial" w:eastAsia="Arial" w:hAnsi="Arial"/>
                <w:sz w:val="14"/>
                <w:szCs w:val="14"/>
                <w:b w:val="1"/>
                <w:bCs w:val="1"/>
                <w:color w:val="auto"/>
                <w:w w:val="91"/>
              </w:rPr>
              <w:t>on Exercise</w:t>
            </w:r>
          </w:p>
        </w:tc>
        <w:tc>
          <w:tcPr>
            <w:tcW w:w="2240" w:type="dxa"/>
            <w:vAlign w:val="bottom"/>
          </w:tcPr>
          <w:p>
            <w:pPr>
              <w:jc w:val="center"/>
              <w:ind w:right="558"/>
              <w:spacing w:after="0" w:line="135" w:lineRule="exact"/>
              <w:rPr>
                <w:sz w:val="20"/>
                <w:szCs w:val="20"/>
                <w:color w:val="auto"/>
              </w:rPr>
            </w:pPr>
            <w:r>
              <w:rPr>
                <w:rFonts w:ascii="Arial" w:cs="Arial" w:eastAsia="Arial" w:hAnsi="Arial"/>
                <w:sz w:val="14"/>
                <w:szCs w:val="14"/>
                <w:b w:val="1"/>
                <w:bCs w:val="1"/>
                <w:color w:val="auto"/>
                <w:w w:val="91"/>
              </w:rPr>
              <w:t>Acquired on Vesting</w:t>
            </w:r>
          </w:p>
        </w:tc>
        <w:tc>
          <w:tcPr>
            <w:tcW w:w="146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86"/>
        </w:trPr>
        <w:tc>
          <w:tcPr>
            <w:tcW w:w="2040" w:type="dxa"/>
            <w:vAlign w:val="bottom"/>
            <w:vMerge w:val="continue"/>
          </w:tcPr>
          <w:p>
            <w:pPr>
              <w:spacing w:after="0"/>
              <w:rPr>
                <w:sz w:val="16"/>
                <w:szCs w:val="16"/>
                <w:color w:val="auto"/>
              </w:rPr>
            </w:pPr>
          </w:p>
        </w:tc>
        <w:tc>
          <w:tcPr>
            <w:tcW w:w="278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Pr>
          <w:p>
            <w:pPr>
              <w:jc w:val="center"/>
              <w:ind w:right="577"/>
              <w:spacing w:after="0"/>
              <w:rPr>
                <w:sz w:val="20"/>
                <w:szCs w:val="20"/>
                <w:color w:val="auto"/>
              </w:rPr>
            </w:pPr>
            <w:r>
              <w:rPr>
                <w:rFonts w:ascii="Arial" w:cs="Arial" w:eastAsia="Arial" w:hAnsi="Arial"/>
                <w:sz w:val="14"/>
                <w:szCs w:val="14"/>
                <w:b w:val="1"/>
                <w:bCs w:val="1"/>
                <w:color w:val="auto"/>
                <w:w w:val="93"/>
              </w:rPr>
              <w:t>($)(1)</w:t>
            </w:r>
          </w:p>
        </w:tc>
        <w:tc>
          <w:tcPr>
            <w:tcW w:w="2240" w:type="dxa"/>
            <w:vAlign w:val="bottom"/>
          </w:tcPr>
          <w:p>
            <w:pPr>
              <w:jc w:val="center"/>
              <w:ind w:right="558"/>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Pr>
          <w:p>
            <w:pPr>
              <w:jc w:val="center"/>
              <w:ind w:right="397"/>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232"/>
        </w:trPr>
        <w:tc>
          <w:tcPr>
            <w:tcW w:w="204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278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62,677</w:t>
            </w:r>
          </w:p>
        </w:tc>
        <w:tc>
          <w:tcPr>
            <w:tcW w:w="1460" w:type="dxa"/>
            <w:vAlign w:val="bottom"/>
          </w:tcPr>
          <w:p>
            <w:pPr>
              <w:jc w:val="right"/>
              <w:spacing w:after="0"/>
              <w:rPr>
                <w:sz w:val="20"/>
                <w:szCs w:val="20"/>
                <w:color w:val="auto"/>
              </w:rPr>
            </w:pPr>
            <w:r>
              <w:rPr>
                <w:rFonts w:ascii="Arial" w:cs="Arial" w:eastAsia="Arial" w:hAnsi="Arial"/>
                <w:sz w:val="18"/>
                <w:szCs w:val="18"/>
                <w:color w:val="auto"/>
              </w:rPr>
              <w:t>9,271,879</w:t>
            </w:r>
          </w:p>
        </w:tc>
        <w:tc>
          <w:tcPr>
            <w:tcW w:w="0" w:type="dxa"/>
            <w:vAlign w:val="bottom"/>
          </w:tcPr>
          <w:p>
            <w:pPr>
              <w:spacing w:after="0"/>
              <w:rPr>
                <w:sz w:val="1"/>
                <w:szCs w:val="1"/>
                <w:color w:val="auto"/>
              </w:rPr>
            </w:pPr>
          </w:p>
        </w:tc>
      </w:tr>
      <w:tr>
        <w:trPr>
          <w:trHeight w:val="229"/>
        </w:trPr>
        <w:tc>
          <w:tcPr>
            <w:tcW w:w="2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2780" w:type="dxa"/>
            <w:vAlign w:val="bottom"/>
            <w:shd w:val="clear" w:color="auto" w:fill="DBDBDB"/>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shd w:val="clear" w:color="auto" w:fill="DBDBDB"/>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shd w:val="clear" w:color="auto" w:fill="DBDBDB"/>
          </w:tcPr>
          <w:p>
            <w:pPr>
              <w:jc w:val="right"/>
              <w:ind w:right="418"/>
              <w:spacing w:after="0"/>
              <w:rPr>
                <w:sz w:val="20"/>
                <w:szCs w:val="20"/>
                <w:color w:val="auto"/>
              </w:rPr>
            </w:pPr>
            <w:r>
              <w:rPr>
                <w:rFonts w:ascii="Arial" w:cs="Arial" w:eastAsia="Arial" w:hAnsi="Arial"/>
                <w:sz w:val="18"/>
                <w:szCs w:val="18"/>
                <w:color w:val="auto"/>
              </w:rPr>
              <w:t>28,055</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4,161,448</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2780" w:type="dxa"/>
            <w:vAlign w:val="bottom"/>
          </w:tcPr>
          <w:p>
            <w:pPr>
              <w:jc w:val="right"/>
              <w:ind w:right="438"/>
              <w:spacing w:after="0"/>
              <w:rPr>
                <w:sz w:val="20"/>
                <w:szCs w:val="20"/>
                <w:color w:val="auto"/>
              </w:rPr>
            </w:pPr>
            <w:r>
              <w:rPr>
                <w:rFonts w:ascii="Arial" w:cs="Arial" w:eastAsia="Arial" w:hAnsi="Arial"/>
                <w:sz w:val="18"/>
                <w:szCs w:val="18"/>
                <w:color w:val="auto"/>
              </w:rPr>
              <w:t>15,938</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1,700,702</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24,864</w:t>
            </w:r>
          </w:p>
        </w:tc>
        <w:tc>
          <w:tcPr>
            <w:tcW w:w="1460" w:type="dxa"/>
            <w:vAlign w:val="bottom"/>
          </w:tcPr>
          <w:p>
            <w:pPr>
              <w:jc w:val="right"/>
              <w:spacing w:after="0"/>
              <w:rPr>
                <w:sz w:val="20"/>
                <w:szCs w:val="20"/>
                <w:color w:val="auto"/>
              </w:rPr>
            </w:pPr>
            <w:r>
              <w:rPr>
                <w:rFonts w:ascii="Arial" w:cs="Arial" w:eastAsia="Arial" w:hAnsi="Arial"/>
                <w:sz w:val="18"/>
                <w:szCs w:val="18"/>
                <w:color w:val="auto"/>
              </w:rPr>
              <w:t>3,686,040</w:t>
            </w:r>
          </w:p>
        </w:tc>
        <w:tc>
          <w:tcPr>
            <w:tcW w:w="0" w:type="dxa"/>
            <w:vAlign w:val="bottom"/>
          </w:tcPr>
          <w:p>
            <w:pPr>
              <w:spacing w:after="0"/>
              <w:rPr>
                <w:sz w:val="1"/>
                <w:szCs w:val="1"/>
                <w:color w:val="auto"/>
              </w:rPr>
            </w:pPr>
          </w:p>
        </w:tc>
      </w:tr>
      <w:tr>
        <w:trPr>
          <w:trHeight w:val="229"/>
        </w:trPr>
        <w:tc>
          <w:tcPr>
            <w:tcW w:w="2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J. Terry</w:t>
            </w:r>
          </w:p>
        </w:tc>
        <w:tc>
          <w:tcPr>
            <w:tcW w:w="2780" w:type="dxa"/>
            <w:vAlign w:val="bottom"/>
            <w:shd w:val="clear" w:color="auto" w:fill="DBDBDB"/>
          </w:tcPr>
          <w:p>
            <w:pPr>
              <w:jc w:val="right"/>
              <w:ind w:right="438"/>
              <w:spacing w:after="0"/>
              <w:rPr>
                <w:sz w:val="20"/>
                <w:szCs w:val="20"/>
                <w:color w:val="auto"/>
              </w:rPr>
            </w:pPr>
            <w:r>
              <w:rPr>
                <w:rFonts w:ascii="Arial" w:cs="Arial" w:eastAsia="Arial" w:hAnsi="Arial"/>
                <w:sz w:val="18"/>
                <w:szCs w:val="18"/>
                <w:color w:val="auto"/>
              </w:rPr>
              <w:t>1,750</w:t>
            </w:r>
          </w:p>
        </w:tc>
        <w:tc>
          <w:tcPr>
            <w:tcW w:w="1660" w:type="dxa"/>
            <w:vAlign w:val="bottom"/>
            <w:shd w:val="clear" w:color="auto" w:fill="DBDBDB"/>
          </w:tcPr>
          <w:p>
            <w:pPr>
              <w:jc w:val="right"/>
              <w:ind w:right="97"/>
              <w:spacing w:after="0"/>
              <w:rPr>
                <w:sz w:val="20"/>
                <w:szCs w:val="20"/>
                <w:color w:val="auto"/>
              </w:rPr>
            </w:pPr>
            <w:r>
              <w:rPr>
                <w:rFonts w:ascii="Arial" w:cs="Arial" w:eastAsia="Arial" w:hAnsi="Arial"/>
                <w:sz w:val="18"/>
                <w:szCs w:val="18"/>
                <w:color w:val="auto"/>
              </w:rPr>
              <w:t>128,203</w:t>
            </w:r>
          </w:p>
        </w:tc>
        <w:tc>
          <w:tcPr>
            <w:tcW w:w="2240" w:type="dxa"/>
            <w:vAlign w:val="bottom"/>
            <w:shd w:val="clear" w:color="auto" w:fill="DBDBDB"/>
          </w:tcPr>
          <w:p>
            <w:pPr>
              <w:jc w:val="right"/>
              <w:ind w:right="418"/>
              <w:spacing w:after="0"/>
              <w:rPr>
                <w:sz w:val="20"/>
                <w:szCs w:val="20"/>
                <w:color w:val="auto"/>
              </w:rPr>
            </w:pPr>
            <w:r>
              <w:rPr>
                <w:rFonts w:ascii="Arial" w:cs="Arial" w:eastAsia="Arial" w:hAnsi="Arial"/>
                <w:sz w:val="18"/>
                <w:szCs w:val="18"/>
                <w:color w:val="auto"/>
              </w:rPr>
              <w:t>20,678</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3,064,656</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Karilee A. Durham</w:t>
            </w:r>
          </w:p>
        </w:tc>
        <w:tc>
          <w:tcPr>
            <w:tcW w:w="278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17,105</w:t>
            </w:r>
          </w:p>
        </w:tc>
        <w:tc>
          <w:tcPr>
            <w:tcW w:w="1460" w:type="dxa"/>
            <w:vAlign w:val="bottom"/>
          </w:tcPr>
          <w:p>
            <w:pPr>
              <w:jc w:val="right"/>
              <w:spacing w:after="0"/>
              <w:rPr>
                <w:sz w:val="20"/>
                <w:szCs w:val="20"/>
                <w:color w:val="auto"/>
              </w:rPr>
            </w:pPr>
            <w:r>
              <w:rPr>
                <w:rFonts w:ascii="Arial" w:cs="Arial" w:eastAsia="Arial" w:hAnsi="Arial"/>
                <w:sz w:val="18"/>
                <w:szCs w:val="18"/>
                <w:color w:val="auto"/>
              </w:rPr>
              <w:t>2,722,837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50" w:lineRule="auto"/>
        <w:tabs>
          <w:tab w:leader="none" w:pos="2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realized on exercise is based on the amount by which the market price of a share of the Company’s common stock at the time of exercise exceeded the applicable exercise price per share of the exercised option.</w:t>
      </w:r>
    </w:p>
    <w:p>
      <w:pPr>
        <w:ind w:left="260" w:hanging="252"/>
        <w:spacing w:after="0" w:line="260" w:lineRule="auto"/>
        <w:tabs>
          <w:tab w:leader="none" w:pos="2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Mr. Griffin</w:t>
      </w:r>
    </w:p>
    <w:p>
      <w:pPr>
        <w:spacing w:after="0" w:line="225" w:lineRule="exact"/>
        <w:rPr>
          <w:sz w:val="20"/>
          <w:szCs w:val="20"/>
          <w:color w:val="auto"/>
        </w:rPr>
      </w:pPr>
    </w:p>
    <w:p>
      <w:pPr>
        <w:jc w:val="both"/>
        <w:ind w:firstLine="388"/>
        <w:spacing w:after="0" w:line="253" w:lineRule="auto"/>
        <w:rPr>
          <w:sz w:val="20"/>
          <w:szCs w:val="20"/>
          <w:color w:val="auto"/>
        </w:rPr>
      </w:pPr>
      <w:r>
        <w:rPr>
          <w:rFonts w:ascii="Arial" w:cs="Arial" w:eastAsia="Arial" w:hAnsi="Arial"/>
          <w:sz w:val="18"/>
          <w:szCs w:val="18"/>
          <w:color w:val="auto"/>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218"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7"/>
          <w:szCs w:val="17"/>
          <w:color w:val="auto"/>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2</w:t>
      </w:r>
      <w:r>
        <w:rPr>
          <w:rFonts w:ascii="Arial" w:cs="Arial" w:eastAsia="Arial" w:hAnsi="Arial"/>
          <w:sz w:val="17"/>
          <w:szCs w:val="17"/>
          <w:color w:val="auto"/>
        </w:rPr>
        <w:t>) times the sum of (A) his annual base salary immediately prior to the change in control, and (B)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16"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09"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90"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6" w:name="page27"/>
    <w:bookmarkEnd w:id="26"/>
    <w:p>
      <w:pPr>
        <w:jc w:val="both"/>
        <w:ind w:firstLine="388"/>
        <w:spacing w:after="0" w:line="263" w:lineRule="auto"/>
        <w:rPr>
          <w:sz w:val="20"/>
          <w:szCs w:val="20"/>
          <w:color w:val="auto"/>
        </w:rPr>
      </w:pPr>
      <w:r>
        <w:rPr>
          <w:rFonts w:ascii="Arial" w:cs="Arial" w:eastAsia="Arial" w:hAnsi="Arial"/>
          <w:sz w:val="18"/>
          <w:szCs w:val="18"/>
          <w:color w:val="auto"/>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209"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Mr. Sennesael, Mr. Bori, Mr. Terry, and Ms. Durham</w:t>
      </w:r>
    </w:p>
    <w:p>
      <w:pPr>
        <w:spacing w:after="0" w:line="225"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8"/>
          <w:szCs w:val="18"/>
          <w:color w:val="auto"/>
        </w:rPr>
        <w:t>The Company entered into Change in Control / Severance Agreements with each of Mr. Sennesael, Mr. Bori, Mr. Terry, and Ms. Durham on August 29, 2016, November 9, 2016, November 10, 2016, and April 13, 2018, respectively. Each such Change in Control / Severance Agreement is referred to herein as a “CIC Agreement.”</w:t>
      </w:r>
    </w:p>
    <w:p>
      <w:pPr>
        <w:spacing w:after="0" w:line="209"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7"/>
          <w:szCs w:val="17"/>
          <w:color w:val="auto"/>
        </w:rPr>
        <w:t>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 would consist of the following: (i) a lump sum payment equal to one and one-half (1</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2</w:t>
      </w:r>
      <w:r>
        <w:rPr>
          <w:rFonts w:ascii="Arial" w:cs="Arial" w:eastAsia="Arial" w:hAnsi="Arial"/>
          <w:sz w:val="17"/>
          <w:szCs w:val="17"/>
          <w:color w:val="auto"/>
        </w:rPr>
        <w:t>) times the sum of (A) his or her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14"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7"/>
          <w:szCs w:val="17"/>
          <w:color w:val="auto"/>
        </w:rPr>
        <w:t>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09"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biweekly compensation continuation payments for a period of twelve (12) months, with each such compensation continuation payment being equal to the aggregate payment amount divided by twenty-six (26), where the aggregate payment is equal to the sum of (x) his or her annual base salary, and (y) any short-term cash incentive award then due; (ii) all then-vested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196"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90"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or she had received all of the payments due.</w:t>
      </w:r>
    </w:p>
    <w:p>
      <w:pPr>
        <w:spacing w:after="0" w:line="202" w:lineRule="exact"/>
        <w:rPr>
          <w:sz w:val="20"/>
          <w:szCs w:val="20"/>
          <w:color w:val="auto"/>
        </w:rPr>
      </w:pPr>
    </w:p>
    <w:p>
      <w:pPr>
        <w:jc w:val="both"/>
        <w:ind w:firstLine="388"/>
        <w:spacing w:after="0" w:line="286" w:lineRule="auto"/>
        <w:rPr>
          <w:sz w:val="20"/>
          <w:szCs w:val="20"/>
          <w:color w:val="auto"/>
        </w:rPr>
      </w:pPr>
      <w:r>
        <w:rPr>
          <w:rFonts w:ascii="Arial" w:cs="Arial" w:eastAsia="Arial" w:hAnsi="Arial"/>
          <w:sz w:val="17"/>
          <w:szCs w:val="17"/>
          <w:color w:val="auto"/>
        </w:rPr>
        <w:t>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w:t>
      </w:r>
    </w:p>
    <w:p>
      <w:pPr>
        <w:spacing w:after="0" w:line="191" w:lineRule="exact"/>
        <w:rPr>
          <w:sz w:val="20"/>
          <w:szCs w:val="20"/>
          <w:color w:val="auto"/>
        </w:rPr>
      </w:pPr>
    </w:p>
    <w:p>
      <w:pPr>
        <w:jc w:val="both"/>
        <w:ind w:firstLine="388"/>
        <w:spacing w:after="0" w:line="253" w:lineRule="auto"/>
        <w:rPr>
          <w:sz w:val="20"/>
          <w:szCs w:val="20"/>
          <w:color w:val="auto"/>
        </w:rPr>
      </w:pPr>
      <w:r>
        <w:rPr>
          <w:rFonts w:ascii="Arial" w:cs="Arial" w:eastAsia="Arial" w:hAnsi="Arial"/>
          <w:sz w:val="18"/>
          <w:szCs w:val="18"/>
          <w:color w:val="auto"/>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21" w:lineRule="exact"/>
        <w:rPr>
          <w:sz w:val="20"/>
          <w:szCs w:val="20"/>
          <w:color w:val="auto"/>
        </w:rPr>
      </w:pPr>
    </w:p>
    <w:p>
      <w:pPr>
        <w:ind w:right="660" w:firstLine="388"/>
        <w:spacing w:after="0" w:line="277" w:lineRule="auto"/>
        <w:rPr>
          <w:sz w:val="20"/>
          <w:szCs w:val="20"/>
          <w:color w:val="auto"/>
        </w:rPr>
      </w:pPr>
      <w:r>
        <w:rPr>
          <w:rFonts w:ascii="Arial" w:cs="Arial" w:eastAsia="Arial" w:hAnsi="Arial"/>
          <w:sz w:val="18"/>
          <w:szCs w:val="18"/>
          <w:color w:val="auto"/>
        </w:rPr>
        <w:t>The following table summarizes the payments and benefits that would be made to the Named Executive Officers as of October 1, 2021, in the following circumstances as of such date:</w:t>
      </w:r>
    </w:p>
    <w:p>
      <w:pPr>
        <w:spacing w:after="0" w:line="196" w:lineRule="exact"/>
        <w:rPr>
          <w:sz w:val="20"/>
          <w:szCs w:val="20"/>
          <w:color w:val="auto"/>
        </w:rPr>
      </w:pPr>
    </w:p>
    <w:p>
      <w:pPr>
        <w:ind w:left="660" w:hanging="32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without cause outside of a change in control;</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without cause or for good reason in connection with a change in control; and</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a termination of employment because of death or disability.</w:t>
      </w:r>
    </w:p>
    <w:p>
      <w:pPr>
        <w:spacing w:after="0" w:line="225" w:lineRule="exact"/>
        <w:rPr>
          <w:sz w:val="20"/>
          <w:szCs w:val="20"/>
          <w:color w:val="auto"/>
        </w:rPr>
      </w:pPr>
    </w:p>
    <w:p>
      <w:pPr>
        <w:ind w:firstLine="388"/>
        <w:spacing w:after="0" w:line="307" w:lineRule="auto"/>
        <w:rPr>
          <w:sz w:val="20"/>
          <w:szCs w:val="20"/>
          <w:color w:val="auto"/>
        </w:rPr>
      </w:pPr>
      <w:r>
        <w:rPr>
          <w:rFonts w:ascii="Arial" w:cs="Arial" w:eastAsia="Arial" w:hAnsi="Arial"/>
          <w:sz w:val="17"/>
          <w:szCs w:val="17"/>
          <w:color w:val="auto"/>
        </w:rPr>
        <w:t>The accelerated equity values in the table reflect a price of $163.92 per share, which was the closing sale price of the Company’s common stock on the Nasdaq Global Select Market on October 1, 2021. The table does not reflect any equity awards made after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3"/>
              </w:rPr>
              <w:t>Termination</w:t>
            </w:r>
          </w:p>
        </w:tc>
        <w:tc>
          <w:tcPr>
            <w:tcW w:w="17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Termination</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9"/>
              </w:rPr>
              <w:t>w/o Cause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w/o Cause</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2"/>
              </w:rPr>
              <w:t>or for Good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Outside</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5"/>
              </w:rPr>
              <w:t>Reason,</w:t>
            </w: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Death/</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Change in</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5"/>
              </w:rPr>
              <w:t>After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Benefit</w:t>
            </w:r>
          </w:p>
        </w:tc>
        <w:tc>
          <w:tcPr>
            <w:tcW w:w="20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3"/>
              </w:rPr>
              <w:t>Control</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1"/>
              </w:rPr>
              <w:t>Change in</w:t>
            </w: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Disability</w:t>
            </w:r>
          </w:p>
        </w:tc>
        <w:tc>
          <w:tcPr>
            <w:tcW w:w="0" w:type="dxa"/>
            <w:vAlign w:val="bottom"/>
          </w:tcPr>
          <w:p>
            <w:pPr>
              <w:spacing w:after="0"/>
              <w:rPr>
                <w:sz w:val="1"/>
                <w:szCs w:val="1"/>
                <w:color w:val="auto"/>
              </w:rPr>
            </w:pPr>
          </w:p>
        </w:tc>
      </w:tr>
      <w:tr>
        <w:trPr>
          <w:trHeight w:val="228"/>
        </w:trPr>
        <w:tc>
          <w:tcPr>
            <w:tcW w:w="202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($)(1)</w:t>
            </w:r>
          </w:p>
        </w:tc>
        <w:tc>
          <w:tcPr>
            <w:tcW w:w="176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Control ($)</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Liam K. Griffin(2)</w:t>
            </w:r>
          </w:p>
        </w:tc>
        <w:tc>
          <w:tcPr>
            <w:tcW w:w="4240" w:type="dxa"/>
            <w:vAlign w:val="bottom"/>
          </w:tcPr>
          <w:p>
            <w:pPr>
              <w:ind w:left="400"/>
              <w:spacing w:after="0"/>
              <w:rPr>
                <w:sz w:val="20"/>
                <w:szCs w:val="20"/>
                <w:color w:val="auto"/>
              </w:rPr>
            </w:pPr>
            <w:r>
              <w:rPr>
                <w:rFonts w:ascii="Arial" w:cs="Arial" w:eastAsia="Arial" w:hAnsi="Arial"/>
                <w:sz w:val="18"/>
                <w:szCs w:val="18"/>
                <w:color w:val="auto"/>
              </w:rPr>
              <w:t>Salary and Short-Term Incentive</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5,875,814(3)</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7,344,767 (4)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Accelerated RSUs</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14,976,387</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14,976,387</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14,976,387</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Accelerated PSAs (5)</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44,142,836</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44,142,836</w:t>
            </w:r>
          </w:p>
        </w:tc>
        <w:tc>
          <w:tcPr>
            <w:tcW w:w="1200" w:type="dxa"/>
            <w:vAlign w:val="bottom"/>
          </w:tcPr>
          <w:p>
            <w:pPr>
              <w:jc w:val="right"/>
              <w:spacing w:after="0"/>
              <w:rPr>
                <w:sz w:val="20"/>
                <w:szCs w:val="20"/>
                <w:color w:val="auto"/>
              </w:rPr>
            </w:pPr>
            <w:r>
              <w:rPr>
                <w:rFonts w:ascii="Arial" w:cs="Arial" w:eastAsia="Arial" w:hAnsi="Arial"/>
                <w:sz w:val="18"/>
                <w:szCs w:val="18"/>
                <w:color w:val="auto"/>
              </w:rPr>
              <w:t>44,142,836</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Medical</w:t>
            </w:r>
          </w:p>
        </w:tc>
        <w:tc>
          <w:tcPr>
            <w:tcW w:w="20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27,458</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32,950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65,022,495</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66,496,940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59,119,223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BDBDB"/>
            </w:tcBorders>
          </w:tcPr>
          <w:p>
            <w:pPr>
              <w:spacing w:after="0" w:line="20" w:lineRule="exact"/>
              <w:rPr>
                <w:sz w:val="1"/>
                <w:szCs w:val="1"/>
                <w:color w:val="auto"/>
              </w:rPr>
            </w:pPr>
          </w:p>
        </w:tc>
        <w:tc>
          <w:tcPr>
            <w:tcW w:w="4240" w:type="dxa"/>
            <w:vAlign w:val="bottom"/>
            <w:tcBorders>
              <w:bottom w:val="single" w:sz="8" w:color="DBDBDB"/>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Sennesael(2)</w:t>
            </w: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Salary and Short-Term Incentive</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560,000(6)</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1,715,904(7)</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Accelerated RSUs</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6,018,978</w:t>
            </w:r>
          </w:p>
        </w:tc>
        <w:tc>
          <w:tcPr>
            <w:tcW w:w="1200" w:type="dxa"/>
            <w:vAlign w:val="bottom"/>
          </w:tcPr>
          <w:p>
            <w:pPr>
              <w:jc w:val="right"/>
              <w:spacing w:after="0"/>
              <w:rPr>
                <w:sz w:val="20"/>
                <w:szCs w:val="20"/>
                <w:color w:val="auto"/>
              </w:rPr>
            </w:pPr>
            <w:r>
              <w:rPr>
                <w:rFonts w:ascii="Arial" w:cs="Arial" w:eastAsia="Arial" w:hAnsi="Arial"/>
                <w:sz w:val="18"/>
                <w:szCs w:val="18"/>
                <w:color w:val="auto"/>
              </w:rPr>
              <w:t>6,018,978</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Accelerated PSAs (5)</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8,783,161</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8,783,161</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DBDBDB"/>
            </w:tcBorders>
          </w:tcPr>
          <w:p>
            <w:pPr>
              <w:spacing w:after="0"/>
              <w:rPr>
                <w:sz w:val="19"/>
                <w:szCs w:val="19"/>
                <w:color w:val="auto"/>
              </w:rPr>
            </w:pPr>
          </w:p>
        </w:tc>
        <w:tc>
          <w:tcPr>
            <w:tcW w:w="42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Medical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24,426</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DBDBDB"/>
            </w:tcBorders>
            <w:shd w:val="clear" w:color="auto" w:fill="DBDBDB"/>
          </w:tcPr>
          <w:p>
            <w:pPr>
              <w:spacing w:after="0"/>
              <w:rPr>
                <w:sz w:val="21"/>
                <w:szCs w:val="21"/>
                <w:color w:val="auto"/>
              </w:rPr>
            </w:pPr>
          </w:p>
        </w:tc>
        <w:tc>
          <w:tcPr>
            <w:tcW w:w="424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584,426</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16,554,682</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14,802,139</w:t>
            </w:r>
          </w:p>
        </w:tc>
        <w:tc>
          <w:tcPr>
            <w:tcW w:w="0" w:type="dxa"/>
            <w:vAlign w:val="bottom"/>
          </w:tcPr>
          <w:p>
            <w:pPr>
              <w:spacing w:after="0"/>
              <w:rPr>
                <w:sz w:val="1"/>
                <w:szCs w:val="1"/>
                <w:color w:val="auto"/>
              </w:rPr>
            </w:pPr>
          </w:p>
        </w:tc>
      </w:tr>
      <w:tr>
        <w:trPr>
          <w:trHeight w:val="20"/>
        </w:trPr>
        <w:tc>
          <w:tcPr>
            <w:tcW w:w="20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Carlos S. Bori(2)</w:t>
            </w:r>
          </w:p>
        </w:tc>
        <w:tc>
          <w:tcPr>
            <w:tcW w:w="4240" w:type="dxa"/>
            <w:vAlign w:val="bottom"/>
            <w:tcBorders>
              <w:top w:val="single" w:sz="8" w:color="DBDBDB"/>
              <w:bottom w:val="single" w:sz="8" w:color="DBDBDB"/>
            </w:tcBorders>
            <w:vMerge w:val="restart"/>
          </w:tcPr>
          <w:p>
            <w:pPr>
              <w:ind w:left="400"/>
              <w:spacing w:after="0"/>
              <w:rPr>
                <w:sz w:val="20"/>
                <w:szCs w:val="20"/>
                <w:color w:val="auto"/>
              </w:rPr>
            </w:pPr>
            <w:r>
              <w:rPr>
                <w:rFonts w:ascii="Arial" w:cs="Arial" w:eastAsia="Arial" w:hAnsi="Arial"/>
                <w:sz w:val="18"/>
                <w:szCs w:val="18"/>
                <w:color w:val="auto"/>
              </w:rPr>
              <w:t>Salary and Short-Term Incentive</w:t>
            </w: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4240" w:type="dxa"/>
            <w:vAlign w:val="bottom"/>
            <w:vMerge w:val="continue"/>
          </w:tcPr>
          <w:p>
            <w:pPr>
              <w:spacing w:after="0"/>
              <w:rPr>
                <w:sz w:val="17"/>
                <w:szCs w:val="17"/>
                <w:color w:val="auto"/>
              </w:rPr>
            </w:pPr>
          </w:p>
        </w:tc>
        <w:tc>
          <w:tcPr>
            <w:tcW w:w="20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475,000(6)</w:t>
            </w:r>
          </w:p>
        </w:tc>
        <w:tc>
          <w:tcPr>
            <w:tcW w:w="17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1,315,121(7)</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Accelerated RSUs</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5,336,580</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5,336,580</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Accelerated PSAs (5)</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7,643,590</w:t>
            </w:r>
          </w:p>
        </w:tc>
        <w:tc>
          <w:tcPr>
            <w:tcW w:w="1200" w:type="dxa"/>
            <w:vAlign w:val="bottom"/>
          </w:tcPr>
          <w:p>
            <w:pPr>
              <w:jc w:val="right"/>
              <w:spacing w:after="0"/>
              <w:rPr>
                <w:sz w:val="20"/>
                <w:szCs w:val="20"/>
                <w:color w:val="auto"/>
              </w:rPr>
            </w:pPr>
            <w:r>
              <w:rPr>
                <w:rFonts w:ascii="Arial" w:cs="Arial" w:eastAsia="Arial" w:hAnsi="Arial"/>
                <w:sz w:val="18"/>
                <w:szCs w:val="18"/>
                <w:color w:val="auto"/>
              </w:rPr>
              <w:t>7,643,590</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Medical</w:t>
            </w:r>
          </w:p>
        </w:tc>
        <w:tc>
          <w:tcPr>
            <w:tcW w:w="20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24,426</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36,639</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499,426</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14,331,930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12,980,170</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BDBDB"/>
            </w:tcBorders>
          </w:tcPr>
          <w:p>
            <w:pPr>
              <w:spacing w:after="0" w:line="20" w:lineRule="exact"/>
              <w:rPr>
                <w:sz w:val="1"/>
                <w:szCs w:val="1"/>
                <w:color w:val="auto"/>
              </w:rPr>
            </w:pPr>
          </w:p>
        </w:tc>
        <w:tc>
          <w:tcPr>
            <w:tcW w:w="4240" w:type="dxa"/>
            <w:vAlign w:val="bottom"/>
            <w:tcBorders>
              <w:bottom w:val="single" w:sz="8" w:color="DBDBDB"/>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J. Terry(2)</w:t>
            </w: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Salary and Short-Term Incentive</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492,000(6)</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1,360,413(7)</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Accelerated RSUs</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4,416,988</w:t>
            </w:r>
          </w:p>
        </w:tc>
        <w:tc>
          <w:tcPr>
            <w:tcW w:w="1200" w:type="dxa"/>
            <w:vAlign w:val="bottom"/>
          </w:tcPr>
          <w:p>
            <w:pPr>
              <w:jc w:val="right"/>
              <w:spacing w:after="0"/>
              <w:rPr>
                <w:sz w:val="20"/>
                <w:szCs w:val="20"/>
                <w:color w:val="auto"/>
              </w:rPr>
            </w:pPr>
            <w:r>
              <w:rPr>
                <w:rFonts w:ascii="Arial" w:cs="Arial" w:eastAsia="Arial" w:hAnsi="Arial"/>
                <w:sz w:val="18"/>
                <w:szCs w:val="18"/>
                <w:color w:val="auto"/>
              </w:rPr>
              <w:t>4,416,988</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Accelerated PSAs (5)</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6,729,900</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6,729,900</w:t>
            </w:r>
          </w:p>
        </w:tc>
        <w:tc>
          <w:tcPr>
            <w:tcW w:w="0" w:type="dxa"/>
            <w:vAlign w:val="bottom"/>
          </w:tcPr>
          <w:p>
            <w:pPr>
              <w:spacing w:after="0"/>
              <w:rPr>
                <w:sz w:val="1"/>
                <w:szCs w:val="1"/>
                <w:color w:val="auto"/>
              </w:rPr>
            </w:pPr>
          </w:p>
        </w:tc>
      </w:tr>
      <w:tr>
        <w:trPr>
          <w:trHeight w:val="229"/>
        </w:trPr>
        <w:tc>
          <w:tcPr>
            <w:tcW w:w="2020" w:type="dxa"/>
            <w:vAlign w:val="bottom"/>
            <w:tcBorders>
              <w:bottom w:val="single" w:sz="8" w:color="DBDBDB"/>
            </w:tcBorders>
          </w:tcPr>
          <w:p>
            <w:pPr>
              <w:spacing w:after="0"/>
              <w:rPr>
                <w:sz w:val="19"/>
                <w:szCs w:val="19"/>
                <w:color w:val="auto"/>
              </w:rPr>
            </w:pPr>
          </w:p>
        </w:tc>
        <w:tc>
          <w:tcPr>
            <w:tcW w:w="4240" w:type="dxa"/>
            <w:vAlign w:val="bottom"/>
            <w:tcBorders>
              <w:bottom w:val="single" w:sz="8" w:color="DBDBDB"/>
            </w:tcBorders>
          </w:tcPr>
          <w:p>
            <w:pPr>
              <w:ind w:left="400"/>
              <w:spacing w:after="0"/>
              <w:rPr>
                <w:sz w:val="20"/>
                <w:szCs w:val="20"/>
                <w:color w:val="auto"/>
              </w:rPr>
            </w:pPr>
            <w:r>
              <w:rPr>
                <w:rFonts w:ascii="Arial" w:cs="Arial" w:eastAsia="Arial" w:hAnsi="Arial"/>
                <w:sz w:val="18"/>
                <w:szCs w:val="18"/>
                <w:color w:val="auto"/>
              </w:rPr>
              <w:t>Medical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24,426</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DBDBDB"/>
            </w:tcBorders>
            <w:shd w:val="clear" w:color="auto" w:fill="DBDBDB"/>
          </w:tcPr>
          <w:p>
            <w:pPr>
              <w:spacing w:after="0"/>
              <w:rPr>
                <w:sz w:val="21"/>
                <w:szCs w:val="21"/>
                <w:color w:val="auto"/>
              </w:rPr>
            </w:pPr>
          </w:p>
        </w:tc>
        <w:tc>
          <w:tcPr>
            <w:tcW w:w="424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516,426</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12,543,940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11,146,888</w:t>
            </w:r>
          </w:p>
        </w:tc>
        <w:tc>
          <w:tcPr>
            <w:tcW w:w="0" w:type="dxa"/>
            <w:vAlign w:val="bottom"/>
          </w:tcPr>
          <w:p>
            <w:pPr>
              <w:spacing w:after="0"/>
              <w:rPr>
                <w:sz w:val="1"/>
                <w:szCs w:val="1"/>
                <w:color w:val="auto"/>
              </w:rPr>
            </w:pPr>
          </w:p>
        </w:tc>
      </w:tr>
      <w:tr>
        <w:trPr>
          <w:trHeight w:val="20"/>
        </w:trPr>
        <w:tc>
          <w:tcPr>
            <w:tcW w:w="20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Karilee A. Durham(2)</w:t>
            </w:r>
          </w:p>
        </w:tc>
        <w:tc>
          <w:tcPr>
            <w:tcW w:w="4240" w:type="dxa"/>
            <w:vAlign w:val="bottom"/>
            <w:tcBorders>
              <w:top w:val="single" w:sz="8" w:color="DBDBDB"/>
              <w:bottom w:val="single" w:sz="8" w:color="DBDBDB"/>
            </w:tcBorders>
            <w:vMerge w:val="restart"/>
          </w:tcPr>
          <w:p>
            <w:pPr>
              <w:ind w:left="400"/>
              <w:spacing w:after="0"/>
              <w:rPr>
                <w:sz w:val="20"/>
                <w:szCs w:val="20"/>
                <w:color w:val="auto"/>
              </w:rPr>
            </w:pPr>
            <w:r>
              <w:rPr>
                <w:rFonts w:ascii="Arial" w:cs="Arial" w:eastAsia="Arial" w:hAnsi="Arial"/>
                <w:sz w:val="18"/>
                <w:szCs w:val="18"/>
                <w:color w:val="auto"/>
              </w:rPr>
              <w:t>Salary and Short-Term Incentive</w:t>
            </w: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20" w:type="dxa"/>
            <w:vAlign w:val="bottom"/>
            <w:vMerge w:val="continue"/>
          </w:tcPr>
          <w:p>
            <w:pPr>
              <w:spacing w:after="0"/>
              <w:rPr>
                <w:sz w:val="17"/>
                <w:szCs w:val="17"/>
                <w:color w:val="auto"/>
              </w:rPr>
            </w:pPr>
          </w:p>
        </w:tc>
        <w:tc>
          <w:tcPr>
            <w:tcW w:w="4240" w:type="dxa"/>
            <w:vAlign w:val="bottom"/>
            <w:vMerge w:val="continue"/>
          </w:tcPr>
          <w:p>
            <w:pPr>
              <w:spacing w:after="0"/>
              <w:rPr>
                <w:sz w:val="17"/>
                <w:szCs w:val="17"/>
                <w:color w:val="auto"/>
              </w:rPr>
            </w:pPr>
          </w:p>
        </w:tc>
        <w:tc>
          <w:tcPr>
            <w:tcW w:w="20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450,000(6)</w:t>
            </w:r>
          </w:p>
        </w:tc>
        <w:tc>
          <w:tcPr>
            <w:tcW w:w="17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1,264,453(7)</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Accelerated RSUs</w:t>
            </w:r>
          </w:p>
        </w:tc>
        <w:tc>
          <w:tcPr>
            <w:tcW w:w="20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3,588,209</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3,588,209</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Accelerated PSAs (5)</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4,644,673</w:t>
            </w:r>
          </w:p>
        </w:tc>
        <w:tc>
          <w:tcPr>
            <w:tcW w:w="1200" w:type="dxa"/>
            <w:vAlign w:val="bottom"/>
          </w:tcPr>
          <w:p>
            <w:pPr>
              <w:jc w:val="right"/>
              <w:spacing w:after="0"/>
              <w:rPr>
                <w:sz w:val="20"/>
                <w:szCs w:val="20"/>
                <w:color w:val="auto"/>
              </w:rPr>
            </w:pPr>
            <w:r>
              <w:rPr>
                <w:rFonts w:ascii="Arial" w:cs="Arial" w:eastAsia="Arial" w:hAnsi="Arial"/>
                <w:sz w:val="18"/>
                <w:szCs w:val="18"/>
                <w:color w:val="auto"/>
              </w:rPr>
              <w:t>4,644,673</w:t>
            </w:r>
          </w:p>
        </w:tc>
        <w:tc>
          <w:tcPr>
            <w:tcW w:w="0" w:type="dxa"/>
            <w:vAlign w:val="bottom"/>
          </w:tcPr>
          <w:p>
            <w:pPr>
              <w:spacing w:after="0"/>
              <w:rPr>
                <w:sz w:val="1"/>
                <w:szCs w:val="1"/>
                <w:color w:val="auto"/>
              </w:rPr>
            </w:pPr>
          </w:p>
        </w:tc>
      </w:tr>
      <w:tr>
        <w:trPr>
          <w:trHeight w:val="229"/>
        </w:trPr>
        <w:tc>
          <w:tcPr>
            <w:tcW w:w="2020" w:type="dxa"/>
            <w:vAlign w:val="bottom"/>
            <w:shd w:val="clear" w:color="auto" w:fill="DBDBDB"/>
          </w:tcPr>
          <w:p>
            <w:pPr>
              <w:spacing w:after="0"/>
              <w:rPr>
                <w:sz w:val="19"/>
                <w:szCs w:val="19"/>
                <w:color w:val="auto"/>
              </w:rPr>
            </w:pPr>
          </w:p>
        </w:tc>
        <w:tc>
          <w:tcPr>
            <w:tcW w:w="42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Medical</w:t>
            </w:r>
          </w:p>
        </w:tc>
        <w:tc>
          <w:tcPr>
            <w:tcW w:w="20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24,426</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36,639</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474,426</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9,533,974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8,232,882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Mr. Griffin, includes amounts payable pursuant to a termination for good reason outside of a change in control.</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the value of accrued vacation/paid time off required by law to be paid upon termination.</w:t>
      </w:r>
    </w:p>
    <w:p>
      <w:pPr>
        <w:spacing w:after="0" w:line="8" w:lineRule="exact"/>
        <w:rPr>
          <w:rFonts w:ascii="Arial" w:cs="Arial" w:eastAsia="Arial" w:hAnsi="Arial"/>
          <w:sz w:val="18"/>
          <w:szCs w:val="18"/>
          <w:color w:val="auto"/>
        </w:rPr>
      </w:pPr>
    </w:p>
    <w:p>
      <w:pPr>
        <w:jc w:val="both"/>
        <w:ind w:left="260" w:hanging="252"/>
        <w:spacing w:after="0" w:line="250" w:lineRule="auto"/>
        <w:tabs>
          <w:tab w:leader="none" w:pos="2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an amount equal to two (2) times the sum of (A) Mr. Griffin’s annual base salary as of October 1, 2021, and (B) an Incentive Plan payment, which is equal to the three (3) year average of the actual incentive payments made to Mr. Griffin for fiscal years 2018, 2019, and 2020, since such average is greater than the “target” short-term cash incentive award for fiscal year 2021.</w:t>
      </w:r>
    </w:p>
    <w:p>
      <w:pPr>
        <w:jc w:val="both"/>
        <w:ind w:left="260" w:hanging="252"/>
        <w:spacing w:after="0" w:line="250" w:lineRule="auto"/>
        <w:tabs>
          <w:tab w:leader="none" w:pos="2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an amount equal to two and one-half (2½) times the sum of (A) Mr. Griffin’s annual base salary as of October 1, 2021, and (B) an Incentive Plan payment, which is equal to the three (3) year average of the actual incentive payments made to Mr. Griffin for fiscal years 2018, 2019, and 2020, since such average is greater than the “target” short-term cash incentive award for fiscal year 2021.</w:t>
      </w:r>
    </w:p>
    <w:p>
      <w:pPr>
        <w:jc w:val="both"/>
        <w:ind w:left="260" w:hanging="252"/>
        <w:spacing w:after="0" w:line="255" w:lineRule="auto"/>
        <w:tabs>
          <w:tab w:leader="none" w:pos="2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value of PSAs that were unvested and outstanding as of October 1, 2021, in accordance with Item 402(j) of Regulation S-K, using the following assumptions: (a) achievement at the “target” level of performance for the FY19 PSAs (3-year TSR percentile ranking metric) scheduled to vest on November 6, 2021,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29" w:name="page30"/>
    <w:bookmarkEnd w:id="29"/>
    <w:p>
      <w:pPr>
        <w:jc w:val="both"/>
        <w:ind w:left="260"/>
        <w:spacing w:after="0" w:line="266" w:lineRule="auto"/>
        <w:rPr>
          <w:sz w:val="20"/>
          <w:szCs w:val="20"/>
          <w:color w:val="auto"/>
        </w:rPr>
      </w:pPr>
      <w:r>
        <w:rPr>
          <w:rFonts w:ascii="Arial" w:cs="Arial" w:eastAsia="Arial" w:hAnsi="Arial"/>
          <w:sz w:val="17"/>
          <w:szCs w:val="17"/>
          <w:color w:val="auto"/>
        </w:rPr>
        <w:t>Company’s actual TSR relative to peers for fiscal years 2019–2021 falling below the “target” level of performance; (b) achievement at 200% of the “target” level of performance for the FY20 PSAs (emerging revenue growth and design wins metrics) scheduled to vest on November 6, 2021, based on the Company’s actual achievement at the “maximum” level of performance with respect to both performance metrics measured over a one-year performance period consisting of the Company’s fiscal year 2020; (c) achievement at 127.78% of the “target” level of performance for the FY20 PSAs (3-year TSR percentile ranking metric) scheduled to vest on November 5, 2022, based on the Company’s TSR relative to peers for fiscal years 2020 and 2021; (d) achievement at 200% of the “target” level of performance for the FY21 PSAs (emerging revenue growth and design wins metrics) scheduled to vest on November 11, 2021, and November 11, 2022, based on the Company’s actual achievement at the “maximum” level of performance with respect to both performance metrics measured over a one-year performance period consisting of the Company’s fiscal year 2021; (e) achievement at the “target” level of performance for the FY21 PSAs (3-year TSR percentile ranking metric) scheduled to vest on November 11, 2023, based on the Company’s TSR relative to peers for fiscal year 2021 falling below the “target” level of performance; and (f) achievement at 187.5% of the “target” level of performance for the one-time, non-recurring stock-based award granted to Mr. Griffin scheduled to vest on November 5, 2021, based on the Company’s actual achievement at the “maximum” level of performance with respect to fiscal year 2020 and at 175% of the “target” level of performance with respect to fiscal year 2021.</w:t>
      </w:r>
    </w:p>
    <w:p>
      <w:pPr>
        <w:spacing w:after="0" w:line="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an amount equal to the Named Executive Officer’s annual base salary as of October 1, 2021.</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an amount equal to one and one-half (1½) times the sum of (A) the Named Executive Officer’s annual base salary as of October 1, 2021, and</w:t>
      </w:r>
    </w:p>
    <w:p>
      <w:pPr>
        <w:spacing w:after="0" w:line="31" w:lineRule="exact"/>
        <w:rPr>
          <w:rFonts w:ascii="Arial" w:cs="Arial" w:eastAsia="Arial" w:hAnsi="Arial"/>
          <w:sz w:val="16"/>
          <w:szCs w:val="16"/>
          <w:color w:val="auto"/>
        </w:rPr>
      </w:pPr>
    </w:p>
    <w:p>
      <w:pPr>
        <w:jc w:val="both"/>
        <w:ind w:left="260" w:hanging="9"/>
        <w:spacing w:after="0" w:line="255" w:lineRule="auto"/>
        <w:tabs>
          <w:tab w:leader="none" w:pos="5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Incentive Plan payment, which is equal to the three (3) year average of the actual incentive payments made to the Named Executive Officer for fiscal years 2018, 2019, and 2020, since such average is greater than the Named Executive Officer’s “target” short-term cash incentive award for fiscal year 2021.</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CEO Pay Ratio</w:t>
      </w:r>
    </w:p>
    <w:p>
      <w:pPr>
        <w:spacing w:after="0" w:line="225" w:lineRule="exact"/>
        <w:rPr>
          <w:sz w:val="20"/>
          <w:szCs w:val="20"/>
          <w:color w:val="auto"/>
        </w:rPr>
      </w:pPr>
    </w:p>
    <w:p>
      <w:pPr>
        <w:ind w:firstLine="388"/>
        <w:spacing w:after="0" w:line="277" w:lineRule="auto"/>
        <w:rPr>
          <w:sz w:val="20"/>
          <w:szCs w:val="20"/>
          <w:color w:val="auto"/>
        </w:rPr>
      </w:pPr>
      <w:r>
        <w:rPr>
          <w:rFonts w:ascii="Arial" w:cs="Arial" w:eastAsia="Arial" w:hAnsi="Arial"/>
          <w:sz w:val="18"/>
          <w:szCs w:val="18"/>
          <w:color w:val="auto"/>
        </w:rPr>
        <w:t>Following is an estimate, prepared under applicable SEC rules, of the ratio of the annual total compensation of our Chief Executive Officer to the median of the annual total compensation of our other employees. For fiscal year 2021:</w:t>
      </w:r>
    </w:p>
    <w:p>
      <w:pPr>
        <w:spacing w:after="0" w:line="62" w:lineRule="exact"/>
        <w:rPr>
          <w:sz w:val="20"/>
          <w:szCs w:val="20"/>
          <w:color w:val="auto"/>
        </w:rPr>
      </w:pPr>
    </w:p>
    <w:p>
      <w:pPr>
        <w:ind w:left="660" w:hanging="329"/>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was $16,150,421.</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our median compensated employee was $17,409.</w:t>
      </w:r>
    </w:p>
    <w:p>
      <w:pPr>
        <w:spacing w:after="0" w:line="116" w:lineRule="exact"/>
        <w:rPr>
          <w:rFonts w:ascii="Arial" w:cs="Arial" w:eastAsia="Arial" w:hAnsi="Arial"/>
          <w:sz w:val="18"/>
          <w:szCs w:val="18"/>
          <w:color w:val="auto"/>
        </w:rPr>
      </w:pPr>
    </w:p>
    <w:p>
      <w:pPr>
        <w:ind w:left="660" w:right="20" w:hanging="329"/>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the foregoing, we estimate that our Chief Executive Officer’s total annual compensation was approximately 928 times that of our median employee.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 determine the median of the annual total compensation of our employees, we applied the following methodology and material assumptions:</w:t>
      </w:r>
    </w:p>
    <w:p>
      <w:pPr>
        <w:spacing w:after="0" w:line="128" w:lineRule="exact"/>
        <w:rPr>
          <w:sz w:val="20"/>
          <w:szCs w:val="20"/>
          <w:color w:val="auto"/>
        </w:rPr>
      </w:pPr>
    </w:p>
    <w:p>
      <w:pPr>
        <w:ind w:left="660" w:right="120" w:hanging="329"/>
        <w:spacing w:after="0" w:line="293"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did not use the de minimis exception to exclude any non-U.S. employees. We have a globally diverse workforce with total headcount of approximately 11,000 as of October 1, 2021, of which approximately 77% are located outside the United States, primarily in locations employing large direct labor forces such as Mexico and Singapore where wages are significantly lower than in the United States. As permitted under SEC rules, we excluded from our headcount approximately 340 employees who became employees of the Company during fiscal year 2021 due to our acquisition of Silicon Labs’ Infrastructure and Automotive business. The median employee within our employee population was identified, consistent with prior years, as of the last day of our fiscal year, or October 1, 2021, and is a full-time employee in our Mexicali, Mexico facility.</w:t>
      </w:r>
    </w:p>
    <w:p>
      <w:pPr>
        <w:spacing w:after="0" w:line="54" w:lineRule="exact"/>
        <w:rPr>
          <w:rFonts w:ascii="Arial" w:cs="Arial" w:eastAsia="Arial" w:hAnsi="Arial"/>
          <w:sz w:val="16"/>
          <w:szCs w:val="16"/>
          <w:color w:val="auto"/>
        </w:rPr>
      </w:pPr>
    </w:p>
    <w:p>
      <w:pPr>
        <w:jc w:val="both"/>
        <w:ind w:left="660" w:hanging="329"/>
        <w:spacing w:after="0" w:line="301"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identify the median employee, we used a consistently applied compensation measure that included total taxable earnings paid to our 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0" w:name="page31"/>
    <w:bookmarkEnd w:id="30"/>
    <w:p>
      <w:pPr>
        <w:ind w:left="660" w:hanging="329"/>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Using this consistently applied compensation measure, we identified an employee at the median and calculated such employee’s total compensation for fiscal year 2021 in accordance with Item 402(c)(2)(x) of Regulation S-K.</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did not use any cost-of-living adjustments in identifying the median employee.</w:t>
      </w:r>
    </w:p>
    <w:p>
      <w:pPr>
        <w:spacing w:after="0" w:line="116" w:lineRule="exact"/>
        <w:rPr>
          <w:rFonts w:ascii="Arial" w:cs="Arial" w:eastAsia="Arial" w:hAnsi="Arial"/>
          <w:sz w:val="18"/>
          <w:szCs w:val="18"/>
          <w:color w:val="auto"/>
        </w:rPr>
      </w:pPr>
    </w:p>
    <w:p>
      <w:pPr>
        <w:ind w:left="660" w:hanging="329"/>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is the amount reported in the “Total” column of our Summary Compensation Table for fiscal year 2021.</w:t>
      </w:r>
    </w:p>
    <w:p>
      <w:pPr>
        <w:spacing w:after="0" w:line="62"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19" w:lineRule="exact"/>
        <w:rPr>
          <w:sz w:val="20"/>
          <w:szCs w:val="20"/>
          <w:color w:val="auto"/>
        </w:rPr>
      </w:pPr>
    </w:p>
    <w:p>
      <w:pPr>
        <w:jc w:val="both"/>
        <w:ind w:firstLine="388"/>
        <w:spacing w:after="0" w:line="301" w:lineRule="auto"/>
        <w:rPr>
          <w:sz w:val="20"/>
          <w:szCs w:val="20"/>
          <w:color w:val="auto"/>
        </w:rPr>
      </w:pPr>
      <w:r>
        <w:rPr>
          <w:rFonts w:ascii="Arial" w:cs="Arial" w:eastAsia="Arial" w:hAnsi="Arial"/>
          <w:sz w:val="16"/>
          <w:szCs w:val="16"/>
          <w:color w:val="auto"/>
        </w:rPr>
        <w:t>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Non-employee directors are paid, in quarterly installments, an annual retainer of $75,000.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of Directors that additional cash payments be made to a non-employee director for extraordinary service during a fiscal year.</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ind w:firstLine="388"/>
        <w:spacing w:after="0" w:line="253" w:lineRule="auto"/>
        <w:rPr>
          <w:sz w:val="20"/>
          <w:szCs w:val="20"/>
          <w:color w:val="auto"/>
        </w:rPr>
      </w:pPr>
      <w:r>
        <w:rPr>
          <w:rFonts w:ascii="Arial" w:cs="Arial" w:eastAsia="Arial" w:hAnsi="Arial"/>
          <w:sz w:val="18"/>
          <w:szCs w:val="18"/>
          <w:color w:val="auto"/>
        </w:rPr>
        <w:t>Currently, following each annual meeting of stockholders, each non-employee director who is reelected will receive a grant of RSUs having a value of approximately $200,000. Any newly appointed non-employee director will receive an initial equity grant of RSUs having a value of approximately $200,000.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218"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No director who is also an employee receives separate compensation for services rendered as a director. Mr. Griffin is currently the only director who is also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1" w:name="page32"/>
    <w:bookmarkEnd w:id="3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Director Compensation Table</w:t>
            </w:r>
          </w:p>
        </w:tc>
        <w:tc>
          <w:tcPr>
            <w:tcW w:w="3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000" w:type="dxa"/>
            <w:vAlign w:val="bottom"/>
            <w:gridSpan w:val="3"/>
          </w:tcPr>
          <w:p>
            <w:pPr>
              <w:ind w:left="400"/>
              <w:spacing w:after="0"/>
              <w:rPr>
                <w:sz w:val="20"/>
                <w:szCs w:val="20"/>
                <w:color w:val="auto"/>
              </w:rPr>
            </w:pPr>
            <w:r>
              <w:rPr>
                <w:rFonts w:ascii="Arial" w:cs="Arial" w:eastAsia="Arial" w:hAnsi="Arial"/>
                <w:sz w:val="18"/>
                <w:szCs w:val="18"/>
                <w:color w:val="auto"/>
              </w:rPr>
              <w:t>The following table summarizes the compensation paid to the Company’s non-employee directors for fiscal year 2021.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20" w:type="dxa"/>
            <w:vAlign w:val="bottom"/>
          </w:tcPr>
          <w:p>
            <w:pPr>
              <w:spacing w:after="0"/>
              <w:rPr>
                <w:sz w:val="24"/>
                <w:szCs w:val="24"/>
                <w:color w:val="auto"/>
              </w:rPr>
            </w:pPr>
          </w:p>
        </w:tc>
        <w:tc>
          <w:tcPr>
            <w:tcW w:w="318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Fees Earned</w:t>
            </w: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5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180" w:type="dxa"/>
            <w:vAlign w:val="bottom"/>
          </w:tcPr>
          <w:p>
            <w:pPr>
              <w:jc w:val="center"/>
              <w:ind w:left="770"/>
              <w:spacing w:after="0" w:line="176" w:lineRule="exact"/>
              <w:rPr>
                <w:sz w:val="20"/>
                <w:szCs w:val="20"/>
                <w:color w:val="auto"/>
              </w:rPr>
            </w:pPr>
            <w:r>
              <w:rPr>
                <w:rFonts w:ascii="Arial" w:cs="Arial" w:eastAsia="Arial" w:hAnsi="Arial"/>
                <w:sz w:val="18"/>
                <w:szCs w:val="18"/>
                <w:b w:val="1"/>
                <w:bCs w:val="1"/>
                <w:color w:val="auto"/>
                <w:w w:val="91"/>
              </w:rPr>
              <w:t>or Paid in Cash</w:t>
            </w:r>
          </w:p>
        </w:tc>
        <w:tc>
          <w:tcPr>
            <w:tcW w:w="1600" w:type="dxa"/>
            <w:vAlign w:val="bottom"/>
          </w:tcPr>
          <w:p>
            <w:pPr>
              <w:jc w:val="center"/>
              <w:ind w:right="410"/>
              <w:spacing w:after="0" w:line="176" w:lineRule="exact"/>
              <w:rPr>
                <w:sz w:val="20"/>
                <w:szCs w:val="20"/>
                <w:color w:val="auto"/>
              </w:rPr>
            </w:pPr>
            <w:r>
              <w:rPr>
                <w:rFonts w:ascii="Arial" w:cs="Arial" w:eastAsia="Arial" w:hAnsi="Arial"/>
                <w:sz w:val="18"/>
                <w:szCs w:val="18"/>
                <w:b w:val="1"/>
                <w:bCs w:val="1"/>
                <w:color w:val="auto"/>
                <w:w w:val="89"/>
              </w:rPr>
              <w:t>Awards</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20" w:type="dxa"/>
            <w:vAlign w:val="bottom"/>
            <w:vMerge w:val="continue"/>
          </w:tcPr>
          <w:p>
            <w:pPr>
              <w:spacing w:after="0"/>
              <w:rPr>
                <w:sz w:val="19"/>
                <w:szCs w:val="19"/>
                <w:color w:val="auto"/>
              </w:rPr>
            </w:pPr>
          </w:p>
        </w:tc>
        <w:tc>
          <w:tcPr>
            <w:tcW w:w="318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w:t>
            </w: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($)(1)(2)</w:t>
            </w: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David J. Aldrich, Former Chairman of the Board (3)</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126,154</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126,154</w:t>
            </w:r>
          </w:p>
        </w:tc>
        <w:tc>
          <w:tcPr>
            <w:tcW w:w="0" w:type="dxa"/>
            <w:vAlign w:val="bottom"/>
          </w:tcPr>
          <w:p>
            <w:pPr>
              <w:spacing w:after="0"/>
              <w:rPr>
                <w:sz w:val="1"/>
                <w:szCs w:val="1"/>
                <w:color w:val="auto"/>
              </w:rPr>
            </w:pPr>
          </w:p>
        </w:tc>
      </w:tr>
      <w:tr>
        <w:trPr>
          <w:trHeight w:val="229"/>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Christine King, Lead Independent Director</w:t>
            </w:r>
          </w:p>
        </w:tc>
        <w:tc>
          <w:tcPr>
            <w:tcW w:w="3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160,000</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335,099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Alan S. Batey</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82,500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tcPr>
          <w:p>
            <w:pPr>
              <w:jc w:val="right"/>
              <w:spacing w:after="0"/>
              <w:rPr>
                <w:sz w:val="20"/>
                <w:szCs w:val="20"/>
                <w:color w:val="auto"/>
              </w:rPr>
            </w:pPr>
            <w:r>
              <w:rPr>
                <w:rFonts w:ascii="Arial" w:cs="Arial" w:eastAsia="Arial" w:hAnsi="Arial"/>
                <w:sz w:val="18"/>
                <w:szCs w:val="18"/>
                <w:color w:val="auto"/>
              </w:rPr>
              <w:t>257,599</w:t>
            </w:r>
          </w:p>
        </w:tc>
        <w:tc>
          <w:tcPr>
            <w:tcW w:w="0" w:type="dxa"/>
            <w:vAlign w:val="bottom"/>
          </w:tcPr>
          <w:p>
            <w:pPr>
              <w:spacing w:after="0"/>
              <w:rPr>
                <w:sz w:val="1"/>
                <w:szCs w:val="1"/>
                <w:color w:val="auto"/>
              </w:rPr>
            </w:pPr>
          </w:p>
        </w:tc>
      </w:tr>
      <w:tr>
        <w:trPr>
          <w:trHeight w:val="229"/>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Kevin L. Beebe</w:t>
            </w:r>
          </w:p>
        </w:tc>
        <w:tc>
          <w:tcPr>
            <w:tcW w:w="3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90,000</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265,099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Timothy R. Furey</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97,500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tcPr>
          <w:p>
            <w:pPr>
              <w:jc w:val="right"/>
              <w:spacing w:after="0"/>
              <w:rPr>
                <w:sz w:val="20"/>
                <w:szCs w:val="20"/>
                <w:color w:val="auto"/>
              </w:rPr>
            </w:pPr>
            <w:r>
              <w:rPr>
                <w:rFonts w:ascii="Arial" w:cs="Arial" w:eastAsia="Arial" w:hAnsi="Arial"/>
                <w:sz w:val="18"/>
                <w:szCs w:val="18"/>
                <w:color w:val="auto"/>
              </w:rPr>
              <w:t>272,599</w:t>
            </w:r>
          </w:p>
        </w:tc>
        <w:tc>
          <w:tcPr>
            <w:tcW w:w="0" w:type="dxa"/>
            <w:vAlign w:val="bottom"/>
          </w:tcPr>
          <w:p>
            <w:pPr>
              <w:spacing w:after="0"/>
              <w:rPr>
                <w:sz w:val="1"/>
                <w:szCs w:val="1"/>
                <w:color w:val="auto"/>
              </w:rPr>
            </w:pPr>
          </w:p>
        </w:tc>
      </w:tr>
      <w:tr>
        <w:trPr>
          <w:trHeight w:val="229"/>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David P. McGlade</w:t>
            </w:r>
          </w:p>
        </w:tc>
        <w:tc>
          <w:tcPr>
            <w:tcW w:w="3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115,000</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290,099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Robert A. Schriesheim</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100,000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tcPr>
          <w:p>
            <w:pPr>
              <w:jc w:val="right"/>
              <w:spacing w:after="0"/>
              <w:rPr>
                <w:sz w:val="20"/>
                <w:szCs w:val="20"/>
                <w:color w:val="auto"/>
              </w:rPr>
            </w:pPr>
            <w:r>
              <w:rPr>
                <w:rFonts w:ascii="Arial" w:cs="Arial" w:eastAsia="Arial" w:hAnsi="Arial"/>
                <w:sz w:val="18"/>
                <w:szCs w:val="18"/>
                <w:color w:val="auto"/>
              </w:rPr>
              <w:t>275,099</w:t>
            </w:r>
          </w:p>
        </w:tc>
        <w:tc>
          <w:tcPr>
            <w:tcW w:w="0" w:type="dxa"/>
            <w:vAlign w:val="bottom"/>
          </w:tcPr>
          <w:p>
            <w:pPr>
              <w:spacing w:after="0"/>
              <w:rPr>
                <w:sz w:val="1"/>
                <w:szCs w:val="1"/>
                <w:color w:val="auto"/>
              </w:rPr>
            </w:pPr>
          </w:p>
        </w:tc>
      </w:tr>
      <w:tr>
        <w:trPr>
          <w:trHeight w:val="229"/>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Kimberly S. Stevenson</w:t>
            </w:r>
          </w:p>
        </w:tc>
        <w:tc>
          <w:tcPr>
            <w:tcW w:w="31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82,500</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175,099</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257,599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1" w:lineRule="exact"/>
        <w:rPr>
          <w:sz w:val="20"/>
          <w:szCs w:val="20"/>
          <w:color w:val="auto"/>
        </w:rPr>
      </w:pPr>
    </w:p>
    <w:p>
      <w:pPr>
        <w:ind w:left="260" w:hanging="252"/>
        <w:spacing w:after="0" w:line="233" w:lineRule="auto"/>
        <w:tabs>
          <w:tab w:leader="none" w:pos="5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non-employee members of the Board of Directors who held such positions on October 1, 2021, held the following aggregate number of unexercised stock options and unvested RSU awards as of such date:</w:t>
      </w: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4020" w:type="dxa"/>
            <w:vAlign w:val="bottom"/>
          </w:tcPr>
          <w:p>
            <w:pPr>
              <w:jc w:val="center"/>
              <w:ind w:left="1690"/>
              <w:spacing w:after="0" w:line="190" w:lineRule="exact"/>
              <w:rPr>
                <w:sz w:val="20"/>
                <w:szCs w:val="20"/>
                <w:color w:val="auto"/>
              </w:rPr>
            </w:pPr>
            <w:r>
              <w:rPr>
                <w:rFonts w:ascii="Arial" w:cs="Arial" w:eastAsia="Arial" w:hAnsi="Arial"/>
                <w:sz w:val="18"/>
                <w:szCs w:val="18"/>
                <w:b w:val="1"/>
                <w:bCs w:val="1"/>
                <w:color w:val="auto"/>
                <w:w w:val="93"/>
              </w:rPr>
              <w:t>Number of</w:t>
            </w:r>
          </w:p>
        </w:tc>
        <w:tc>
          <w:tcPr>
            <w:tcW w:w="20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175"/>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4020" w:type="dxa"/>
            <w:vAlign w:val="bottom"/>
          </w:tcPr>
          <w:p>
            <w:pPr>
              <w:jc w:val="center"/>
              <w:ind w:left="1710"/>
              <w:spacing w:after="0" w:line="176" w:lineRule="exact"/>
              <w:rPr>
                <w:sz w:val="20"/>
                <w:szCs w:val="20"/>
                <w:color w:val="auto"/>
              </w:rPr>
            </w:pPr>
            <w:r>
              <w:rPr>
                <w:rFonts w:ascii="Arial" w:cs="Arial" w:eastAsia="Arial" w:hAnsi="Arial"/>
                <w:sz w:val="18"/>
                <w:szCs w:val="18"/>
                <w:b w:val="1"/>
                <w:bCs w:val="1"/>
                <w:color w:val="auto"/>
                <w:w w:val="89"/>
              </w:rPr>
              <w:t>Securities Underlying</w:t>
            </w:r>
          </w:p>
        </w:tc>
        <w:tc>
          <w:tcPr>
            <w:tcW w:w="2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Subject to</w:t>
            </w:r>
          </w:p>
        </w:tc>
        <w:tc>
          <w:tcPr>
            <w:tcW w:w="0" w:type="dxa"/>
            <w:vAlign w:val="bottom"/>
          </w:tcPr>
          <w:p>
            <w:pPr>
              <w:spacing w:after="0"/>
              <w:rPr>
                <w:sz w:val="1"/>
                <w:szCs w:val="1"/>
                <w:color w:val="auto"/>
              </w:rPr>
            </w:pPr>
          </w:p>
        </w:tc>
      </w:tr>
      <w:tr>
        <w:trPr>
          <w:trHeight w:val="228"/>
        </w:trPr>
        <w:tc>
          <w:tcPr>
            <w:tcW w:w="5200" w:type="dxa"/>
            <w:vAlign w:val="bottom"/>
            <w:vMerge w:val="continue"/>
          </w:tcPr>
          <w:p>
            <w:pPr>
              <w:spacing w:after="0"/>
              <w:rPr>
                <w:sz w:val="19"/>
                <w:szCs w:val="19"/>
                <w:color w:val="auto"/>
              </w:rPr>
            </w:pPr>
          </w:p>
        </w:tc>
        <w:tc>
          <w:tcPr>
            <w:tcW w:w="4020" w:type="dxa"/>
            <w:vAlign w:val="bottom"/>
          </w:tcPr>
          <w:p>
            <w:pPr>
              <w:jc w:val="center"/>
              <w:ind w:left="1750"/>
              <w:spacing w:after="0"/>
              <w:rPr>
                <w:sz w:val="20"/>
                <w:szCs w:val="20"/>
                <w:color w:val="auto"/>
              </w:rPr>
            </w:pPr>
            <w:r>
              <w:rPr>
                <w:rFonts w:ascii="Arial" w:cs="Arial" w:eastAsia="Arial" w:hAnsi="Arial"/>
                <w:sz w:val="18"/>
                <w:szCs w:val="18"/>
                <w:b w:val="1"/>
                <w:bCs w:val="1"/>
                <w:color w:val="auto"/>
                <w:w w:val="87"/>
              </w:rPr>
              <w:t>Unexercised Options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Unvested RSUs</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Christine King, Lead Independent Director</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r>
        <w:trPr>
          <w:trHeight w:val="229"/>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Alan S. Batey</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1,924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Kevin L. Beebe</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r>
        <w:trPr>
          <w:trHeight w:val="229"/>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Timothy R. Furey</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David P. McGlade</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r>
        <w:trPr>
          <w:trHeight w:val="229"/>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A. Schriesheim</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Kimberly S. Stevenson</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1,084</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260" w:hanging="252"/>
        <w:spacing w:after="0" w:line="255" w:lineRule="auto"/>
        <w:tabs>
          <w:tab w:leader="none" w:pos="4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grant date fair value of 1,084 RSUs granted on May 12, 2021, to each non-employee director elected at the 2021 Annual Meeting of Stockholders, computed in accordance with the provisions of ASC 718 using a price of $161.53 per share, which was the closing sale price of the Company’s common stock on the Nasdaq Global Select Market on May 12, 2021.</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Aldrich served as Chairman of the Board and as a director until the 2021 Annual Meeting of Stockholders on May 12, 2021.</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Director Stock Ownership Requirements</w:t>
      </w:r>
    </w:p>
    <w:p>
      <w:pPr>
        <w:spacing w:after="0" w:line="225"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$75,000)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period ending with the determination date. All of our directors have met the stock ownership guidelines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9" w:lineRule="exact"/>
        <w:rPr>
          <w:sz w:val="20"/>
          <w:szCs w:val="20"/>
          <w:color w:val="auto"/>
        </w:rPr>
      </w:pPr>
    </w:p>
    <w:p>
      <w:pPr>
        <w:jc w:val="both"/>
        <w:ind w:firstLine="388"/>
        <w:spacing w:after="0" w:line="296" w:lineRule="auto"/>
        <w:rPr>
          <w:sz w:val="20"/>
          <w:szCs w:val="20"/>
          <w:color w:val="auto"/>
        </w:rPr>
      </w:pPr>
      <w:r>
        <w:rPr>
          <w:rFonts w:ascii="Arial" w:cs="Arial" w:eastAsia="Arial" w:hAnsi="Arial"/>
          <w:sz w:val="16"/>
          <w:szCs w:val="16"/>
          <w:color w:val="auto"/>
        </w:rPr>
        <w:t>The Compensation Committee of the Board of Directors currently consists of, and during fiscal year 2021 consisted of, Ms. King (Chairman), Mr. McGlade, and Mr. Schriesheim. No member of this committee was at any time during fiscal year 2021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05" w:lineRule="exact"/>
        <w:rPr>
          <w:sz w:val="20"/>
          <w:szCs w:val="20"/>
          <w:color w:val="auto"/>
        </w:rPr>
      </w:pPr>
    </w:p>
    <w:p>
      <w:pPr>
        <w:jc w:val="both"/>
        <w:ind w:right="160" w:firstLine="388"/>
        <w:spacing w:after="0" w:line="23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the annual report on this Form 10-K for the year ended October 1, 2021.</w:t>
      </w: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Christine King, Chairman</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David P. McGlade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3" w:name="page34"/>
    <w:bookmarkEnd w:id="33"/>
    <w:p>
      <w:pPr>
        <w:ind w:right="560"/>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19"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To the Company’s knowledge, the following table sets forth the beneficial ownership of the Company’s common stock as of January 21, 2022, by the following individuals or entities: (i) each person or entity who beneficially owns five percent (5%) or more of the outstanding shares of the Company’s common stock as of January 21, 2022; (ii) the Named Executive Officers (as defined above in Item 11 “</w:t>
      </w:r>
      <w:r>
        <w:rPr>
          <w:rFonts w:ascii="Arial" w:cs="Arial" w:eastAsia="Arial" w:hAnsi="Arial"/>
          <w:sz w:val="18"/>
          <w:szCs w:val="18"/>
          <w:i w:val="1"/>
          <w:iCs w:val="1"/>
          <w:color w:val="auto"/>
        </w:rPr>
        <w:t>Executive Compensation</w:t>
      </w:r>
      <w:r>
        <w:rPr>
          <w:rFonts w:ascii="Arial" w:cs="Arial" w:eastAsia="Arial" w:hAnsi="Arial"/>
          <w:sz w:val="18"/>
          <w:szCs w:val="18"/>
          <w:color w:val="auto"/>
        </w:rPr>
        <w:t>”); (iii) each director and nominee for director; and (iv) all current executive officers and directors of the Company, as a group.</w:t>
      </w:r>
    </w:p>
    <w:p>
      <w:pPr>
        <w:spacing w:after="0" w:line="212"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21, 2022, there were 166,691,622 shares of the Company’s common stock issued and outstanding.</w:t>
      </w:r>
    </w:p>
    <w:p>
      <w:pPr>
        <w:spacing w:after="0" w:line="209"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21, 2022, are deemed outstanding. These shares are not, however, deemed outstanding for the purpose of computing the percentage ownership of any other person.</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Names and Addresses of Beneficial Owners(1)</w:t>
            </w:r>
          </w:p>
        </w:tc>
        <w:tc>
          <w:tcPr>
            <w:tcW w:w="2960" w:type="dxa"/>
            <w:vAlign w:val="bottom"/>
          </w:tcPr>
          <w:p>
            <w:pPr>
              <w:jc w:val="right"/>
              <w:ind w:right="590"/>
              <w:spacing w:after="0"/>
              <w:rPr>
                <w:sz w:val="20"/>
                <w:szCs w:val="20"/>
                <w:color w:val="auto"/>
              </w:rPr>
            </w:pPr>
            <w:r>
              <w:rPr>
                <w:rFonts w:ascii="Arial" w:cs="Arial" w:eastAsia="Arial" w:hAnsi="Arial"/>
                <w:sz w:val="18"/>
                <w:szCs w:val="18"/>
                <w:b w:val="1"/>
                <w:bCs w:val="1"/>
                <w:color w:val="auto"/>
              </w:rPr>
              <w:t>Number of Shares</w:t>
            </w:r>
          </w:p>
        </w:tc>
        <w:tc>
          <w:tcPr>
            <w:tcW w:w="1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29"/>
        </w:trPr>
        <w:tc>
          <w:tcPr>
            <w:tcW w:w="5400" w:type="dxa"/>
            <w:vAlign w:val="bottom"/>
            <w:vMerge w:val="continue"/>
          </w:tcPr>
          <w:p>
            <w:pPr>
              <w:spacing w:after="0"/>
              <w:rPr>
                <w:sz w:val="19"/>
                <w:szCs w:val="19"/>
                <w:color w:val="auto"/>
              </w:rPr>
            </w:pPr>
          </w:p>
        </w:tc>
        <w:tc>
          <w:tcPr>
            <w:tcW w:w="2960" w:type="dxa"/>
            <w:vAlign w:val="bottom"/>
          </w:tcPr>
          <w:p>
            <w:pPr>
              <w:jc w:val="right"/>
              <w:ind w:right="590"/>
              <w:spacing w:after="0"/>
              <w:rPr>
                <w:sz w:val="20"/>
                <w:szCs w:val="20"/>
                <w:color w:val="auto"/>
              </w:rPr>
            </w:pPr>
            <w:r>
              <w:rPr>
                <w:rFonts w:ascii="Arial" w:cs="Arial" w:eastAsia="Arial" w:hAnsi="Arial"/>
                <w:sz w:val="18"/>
                <w:szCs w:val="18"/>
                <w:b w:val="1"/>
                <w:bCs w:val="1"/>
                <w:color w:val="auto"/>
              </w:rPr>
              <w:t>Beneficially Owned(2)</w:t>
            </w: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 Vanguard Group, Inc.</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17,911,518(3)</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15,290,274(4)</w:t>
            </w:r>
          </w:p>
        </w:tc>
        <w:tc>
          <w:tcPr>
            <w:tcW w:w="1920" w:type="dxa"/>
            <w:vAlign w:val="bottom"/>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Alan S. Batey</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3,821</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Kevin L. Beebe</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56,870</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25,818(5)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Karilee A. Durham</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13,632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Timothy R. Furey</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18,758</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108,424(5)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Christine King</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17,995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David P. McGlade</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39,932</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A. Schriesheim</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80,418</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129,189</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Kimberly S. Stevenson</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6,451</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9,177(5)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 current directors and executive officers as a group (13 persons)</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521,189(5)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10" w:lineRule="exact"/>
        <w:rPr>
          <w:sz w:val="20"/>
          <w:szCs w:val="20"/>
          <w:color w:val="auto"/>
        </w:rPr>
      </w:pPr>
    </w:p>
    <w:p>
      <w:pPr>
        <w:jc w:val="both"/>
        <w:ind w:left="260" w:hanging="252"/>
        <w:spacing w:after="0" w:line="255" w:lineRule="auto"/>
        <w:tabs>
          <w:tab w:leader="none" w:pos="2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set forth in the following notes, each person’s address is the address of our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1" w:lineRule="exact"/>
        <w:rPr>
          <w:rFonts w:ascii="Arial" w:cs="Arial" w:eastAsia="Arial" w:hAnsi="Arial"/>
          <w:sz w:val="18"/>
          <w:szCs w:val="18"/>
          <w:color w:val="auto"/>
        </w:rPr>
      </w:pPr>
    </w:p>
    <w:p>
      <w:pPr>
        <w:jc w:val="both"/>
        <w:ind w:left="260" w:hanging="252"/>
        <w:spacing w:after="0" w:line="253" w:lineRule="auto"/>
        <w:tabs>
          <w:tab w:leader="none" w:pos="2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the number of shares of Company common stock subject to stock options held by that person that are currently exercisable or will become exercisable within sixty (60) days of January 21, 2022 (the “Current Options”), as follows: Mr. Griffin—13,211 shares under Current Options; Mr. Sennesael—52,770 shares under Current Options; Mr. Terry—502 shares under Current Options; current directors and executive officers as a group (13 persons)—66,483 shares under Current Options. The table does not reflect the number of shares 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4" w:name="page35"/>
    <w:bookmarkEnd w:id="34"/>
    <w:p>
      <w:pPr>
        <w:jc w:val="both"/>
        <w:ind w:left="260"/>
        <w:spacing w:after="0" w:line="283" w:lineRule="auto"/>
        <w:rPr>
          <w:sz w:val="20"/>
          <w:szCs w:val="20"/>
          <w:color w:val="auto"/>
        </w:rPr>
      </w:pPr>
      <w:r>
        <w:rPr>
          <w:rFonts w:ascii="Arial" w:cs="Arial" w:eastAsia="Arial" w:hAnsi="Arial"/>
          <w:sz w:val="16"/>
          <w:szCs w:val="16"/>
          <w:color w:val="auto"/>
        </w:rPr>
        <w:t>Company common stock to be issued pursuant to unvested restricted stock units (the “Unvested RSUs”) and earned, but unissued, performance share awards subject to time-based vesting only (the “Unvested PSAs”) that are not scheduled to vest within sixty (60) days of January 21, 2022, as follows: Mr. Batey—1,924 shares under Unvested RSUs; Mr. Beebe—1,084 shares under Unvested RSUs; Mr. Bori—24,539 shares under Unvested RSUs and 20,680 shares under Unvested PSAs; Ms. Durham—18,815 shares under Unvested RSUs and 12,137 shares under Unvested PSAs; Mr. Furey—1,084 shares under Unvested RSUs; Mr. Griffin—87,108 shares under Unvested RSUs and 70,656 shares under Unvested PSAs; Ms. King—1,084 shares under Unvested RSUs; Mr. McGlade—1,084 shares under Unvested RSUs; Mr. Schriesheim—1,084 shares under Unvested RSUs; Mr. Sennesael— 27,002 shares under Unvested RSUs and 22,152 shares under Unvested PSAs; Ms. Stevenson—1,084 shares under Unvested RSUs; Mr. Terry—20,986 shares under Unvested RSUs and 17,679 shares under Unvested PSAs; current directors and executive officers as a group (13 persons)—211,404 shares under Unvested RSUs and 164,818 shares under Unvested PSAs.</w:t>
      </w:r>
    </w:p>
    <w:p>
      <w:pPr>
        <w:spacing w:after="0" w:line="4" w:lineRule="exact"/>
        <w:rPr>
          <w:sz w:val="20"/>
          <w:szCs w:val="20"/>
          <w:color w:val="auto"/>
        </w:rPr>
      </w:pPr>
    </w:p>
    <w:p>
      <w:pPr>
        <w:jc w:val="both"/>
        <w:ind w:left="260" w:hanging="252"/>
        <w:spacing w:after="0" w:line="264" w:lineRule="auto"/>
        <w:tabs>
          <w:tab w:leader="none" w:pos="291"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shares beneficially owned by The Vanguard Group, Inc. (“Vanguard”), which has sole voting power with respect to zero shares, shared voting power with respect to 272,990 shares, sole dispositive power with respect to 17,183,878 shares, and shared dispositive power with respect to 727,640 shares. Vanguard Fiduciary Trust Company, a wholly owned subsidiary of Vanguard, is the beneficial owner of 193,126 shares as a result of its serving as investment manager of collective trust accounts. Vanguard Investments Australia, Ltd., a wholly owned subsidiary of Vanguard, is the beneficial owner of 147,691 shares as a result of its serving as investment manager of Australian investment offerings. With respect to the information relating to Vanguard, we have relied on information supplied by Vanguard on a Schedule 13G/A filed with the SEC on February 10, 2021. The address of Vanguard is 100 Vanguard Blvd., Malvern, PA 19355.</w:t>
      </w:r>
    </w:p>
    <w:p>
      <w:pPr>
        <w:spacing w:after="0" w:line="5" w:lineRule="exact"/>
        <w:rPr>
          <w:rFonts w:ascii="Arial" w:cs="Arial" w:eastAsia="Arial" w:hAnsi="Arial"/>
          <w:sz w:val="17"/>
          <w:szCs w:val="17"/>
          <w:color w:val="auto"/>
        </w:rPr>
      </w:pPr>
    </w:p>
    <w:p>
      <w:pPr>
        <w:jc w:val="both"/>
        <w:ind w:left="260" w:hanging="252"/>
        <w:spacing w:after="0" w:line="264" w:lineRule="auto"/>
        <w:tabs>
          <w:tab w:leader="none" w:pos="272"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13,187,489 shares and sole dispositive power with respect to 15,290,274 shares which are held by the following of its subsidiaries: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supplied by BlackRock on a Schedule 13G/A filed with the SEC on February 1, 2021. The address of BlackRock is 55 East 52nd Street, New York, NY 10055.</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held in the Company’s 401(k) Savings and Investment Plan as of January 21,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19" w:lineRule="exact"/>
        <w:rPr>
          <w:sz w:val="20"/>
          <w:szCs w:val="20"/>
          <w:color w:val="auto"/>
        </w:rPr>
      </w:pPr>
    </w:p>
    <w:p>
      <w:pPr>
        <w:ind w:firstLine="388"/>
        <w:spacing w:after="0" w:line="277" w:lineRule="auto"/>
        <w:rPr>
          <w:sz w:val="20"/>
          <w:szCs w:val="20"/>
          <w:color w:val="auto"/>
        </w:rPr>
      </w:pPr>
      <w:r>
        <w:rPr>
          <w:rFonts w:ascii="Arial" w:cs="Arial" w:eastAsia="Arial" w:hAnsi="Arial"/>
          <w:sz w:val="18"/>
          <w:szCs w:val="18"/>
          <w:color w:val="auto"/>
        </w:rPr>
        <w:t>As of October 1, 2021, the Company has the following equity compensation plans under which its equity securities were authorized for issuance to its employees and/or directors:</w:t>
      </w:r>
    </w:p>
    <w:p>
      <w:pPr>
        <w:spacing w:after="0" w:line="62" w:lineRule="exact"/>
        <w:rPr>
          <w:sz w:val="20"/>
          <w:szCs w:val="20"/>
          <w:color w:val="auto"/>
        </w:rPr>
      </w:pPr>
    </w:p>
    <w:p>
      <w:pPr>
        <w:ind w:left="760" w:hanging="10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116" w:lineRule="exact"/>
        <w:rPr>
          <w:rFonts w:ascii="Arial" w:cs="Arial" w:eastAsia="Arial" w:hAnsi="Arial"/>
          <w:sz w:val="18"/>
          <w:szCs w:val="18"/>
          <w:color w:val="auto"/>
        </w:rPr>
      </w:pPr>
    </w:p>
    <w:p>
      <w:pPr>
        <w:ind w:left="760" w:hanging="10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116" w:lineRule="exact"/>
        <w:rPr>
          <w:rFonts w:ascii="Arial" w:cs="Arial" w:eastAsia="Arial" w:hAnsi="Arial"/>
          <w:sz w:val="18"/>
          <w:szCs w:val="18"/>
          <w:color w:val="auto"/>
        </w:rPr>
      </w:pPr>
    </w:p>
    <w:p>
      <w:pPr>
        <w:ind w:left="760" w:hanging="10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116" w:lineRule="exact"/>
        <w:rPr>
          <w:rFonts w:ascii="Arial" w:cs="Arial" w:eastAsia="Arial" w:hAnsi="Arial"/>
          <w:sz w:val="18"/>
          <w:szCs w:val="18"/>
          <w:color w:val="auto"/>
        </w:rPr>
      </w:pPr>
    </w:p>
    <w:p>
      <w:pPr>
        <w:ind w:left="760" w:hanging="10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116" w:lineRule="exact"/>
        <w:rPr>
          <w:rFonts w:ascii="Arial" w:cs="Arial" w:eastAsia="Arial" w:hAnsi="Arial"/>
          <w:sz w:val="18"/>
          <w:szCs w:val="18"/>
          <w:color w:val="auto"/>
        </w:rPr>
      </w:pPr>
    </w:p>
    <w:p>
      <w:pPr>
        <w:ind w:left="760" w:hanging="10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2015 Long-Term Incentive Plan</w:t>
      </w:r>
    </w:p>
    <w:p>
      <w:pPr>
        <w:spacing w:after="0" w:line="117"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8"/>
          <w:szCs w:val="18"/>
          <w:color w:val="auto"/>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Arial" w:cs="Arial" w:eastAsia="Arial" w:hAnsi="Arial"/>
          <w:sz w:val="18"/>
          <w:szCs w:val="18"/>
          <w:i w:val="1"/>
          <w:iCs w:val="1"/>
          <w:color w:val="auto"/>
        </w:rPr>
        <w:t>Non-Qualified Employee Stock Purchase Plan</w:t>
      </w:r>
      <w:r>
        <w:rPr>
          <w:rFonts w:ascii="Arial" w:cs="Arial" w:eastAsia="Arial" w:hAnsi="Arial"/>
          <w:sz w:val="18"/>
          <w:szCs w:val="18"/>
          <w:color w:val="auto"/>
        </w:rPr>
        <w: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information about these plans as of October 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Available for</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080" w:type="dxa"/>
            <w:vAlign w:val="bottom"/>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Exercise Price of</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Equity Compensation</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Issued Upon Exercise of</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 (Excluding</w:t>
            </w:r>
          </w:p>
        </w:tc>
        <w:tc>
          <w:tcPr>
            <w:tcW w:w="0" w:type="dxa"/>
            <w:vAlign w:val="bottom"/>
          </w:tcPr>
          <w:p>
            <w:pPr>
              <w:spacing w:after="0"/>
              <w:rPr>
                <w:sz w:val="1"/>
                <w:szCs w:val="1"/>
                <w:color w:val="auto"/>
              </w:rPr>
            </w:pPr>
          </w:p>
        </w:tc>
      </w:tr>
      <w:tr>
        <w:trPr>
          <w:trHeight w:val="17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Outstanding Options,</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Warrants, and Rights ($)</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DBDBDB"/>
            </w:tcBorders>
            <w:vMerge w:val="continue"/>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 (#)(a)</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 (#)(c)</w:t>
            </w:r>
          </w:p>
        </w:tc>
        <w:tc>
          <w:tcPr>
            <w:tcW w:w="0" w:type="dxa"/>
            <w:vAlign w:val="bottom"/>
          </w:tcPr>
          <w:p>
            <w:pPr>
              <w:spacing w:after="0"/>
              <w:rPr>
                <w:sz w:val="1"/>
                <w:szCs w:val="1"/>
                <w:color w:val="auto"/>
              </w:rPr>
            </w:pPr>
          </w:p>
        </w:tc>
      </w:tr>
      <w:tr>
        <w:trPr>
          <w:trHeight w:val="22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187,254(1)</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74.68</w:t>
            </w: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15,929,067(2)</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344,841(3)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187,254</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74.68</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16,273,908</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________________________</w:t>
            </w:r>
          </w:p>
        </w:tc>
        <w:tc>
          <w:tcPr>
            <w:tcW w:w="228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6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line="250" w:lineRule="auto"/>
        <w:tabs>
          <w:tab w:leader="none" w:pos="5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1,774,893 unvested shares under restricted stock and RSU awards and 908,623 unvested shares under PSAs, which number assumes achievement of performance goals under outstanding PSAs at target levels.</w:t>
      </w:r>
    </w:p>
    <w:p>
      <w:pPr>
        <w:jc w:val="both"/>
        <w:ind w:left="260" w:hanging="252"/>
        <w:spacing w:after="0" w:line="250"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1,298,961 shares available for future issuance under the 2002 Employee Stock Purchase Plan, 14,048,425 shares available for future issuance under the 2015 Long-Term Incentive Plan, and 581,681 shares available for future issuance under the 2008 Director Long-Term Incentive Plan. No further grants will be made under the 2005 Long-Term Incentive Plan.</w:t>
      </w: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shares available under the Non-Qualified ESPP.</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Employee Stock Purchase Plan</w:t>
      </w:r>
    </w:p>
    <w:p>
      <w:pPr>
        <w:spacing w:after="0" w:line="157"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7"/>
          <w:szCs w:val="17"/>
          <w:color w:val="auto"/>
        </w:rPr>
        <w:t>We maintain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36" w:name="page37"/>
    <w:bookmarkEnd w:id="36"/>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88"/>
        <w:spacing w:after="0" w:line="288" w:lineRule="auto"/>
        <w:rPr>
          <w:sz w:val="20"/>
          <w:szCs w:val="20"/>
          <w:color w:val="auto"/>
        </w:rPr>
      </w:pP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Other than compensation agreements and other arrangements which are described above in Item 11</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since October 3, 2020,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of Directors has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192"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i w:val="1"/>
          <w:iCs w:val="1"/>
          <w:color w:val="auto"/>
        </w:rPr>
        <w:t>Director Independence</w:t>
      </w:r>
      <w:r>
        <w:rPr>
          <w:rFonts w:ascii="Arial" w:cs="Arial" w:eastAsia="Arial" w:hAnsi="Arial"/>
          <w:sz w:val="16"/>
          <w:szCs w:val="16"/>
          <w:color w:val="auto"/>
        </w:rPr>
        <w:t>: Each year, the Board of Directors reviews the relationships that each director has with the Company and with other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Only 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seven of the eight members of the Board of Directors, namely, Alan S. Batey, Kevin L. Beebe, Timothy R. Furey, Christine King,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5" w:lineRule="exact"/>
        <w:rPr>
          <w:sz w:val="20"/>
          <w:szCs w:val="20"/>
          <w:color w:val="auto"/>
        </w:rPr>
      </w:pPr>
    </w:p>
    <w:p>
      <w:pPr>
        <w:ind w:right="140" w:firstLine="388"/>
        <w:spacing w:after="0" w:line="253" w:lineRule="auto"/>
        <w:rPr>
          <w:sz w:val="20"/>
          <w:szCs w:val="20"/>
          <w:color w:val="auto"/>
        </w:rPr>
      </w:pPr>
      <w:r>
        <w:rPr>
          <w:rFonts w:ascii="Arial" w:cs="Arial" w:eastAsia="Arial" w:hAnsi="Arial"/>
          <w:sz w:val="17"/>
          <w:szCs w:val="17"/>
          <w:color w:val="auto"/>
        </w:rPr>
        <w:t>KPMG LLP provided audit services to the Company consisting of the annual audit of the Company’s 2021 consolidated financial statements contained in the Company’s Annual Report on Form 10-K and reviews of the financial statements contained in the Company’s Quarterly Reports on Form 10-Q for fiscal year 2021. The following table summarizes the fees of KPMG LLP billed to the Company for the last two fiscal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Fee Category</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 Year</w:t>
            </w: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 of</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 Year</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 ($)</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 (%)</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 ($)</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3"/>
        </w:trPr>
        <w:tc>
          <w:tcPr>
            <w:tcW w:w="5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Fees(1)</w:t>
            </w:r>
          </w:p>
        </w:tc>
        <w:tc>
          <w:tcPr>
            <w:tcW w:w="14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2,656,000</w:t>
            </w:r>
          </w:p>
        </w:tc>
        <w:tc>
          <w:tcPr>
            <w:tcW w:w="1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92.7</w:t>
            </w:r>
          </w:p>
        </w:tc>
        <w:tc>
          <w:tcPr>
            <w:tcW w:w="1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2,437,150</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Tax Fees(2)</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210,000</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115,115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Fees</w:t>
            </w:r>
          </w:p>
        </w:tc>
        <w:tc>
          <w:tcPr>
            <w:tcW w:w="14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2,866,000</w:t>
            </w:r>
          </w:p>
        </w:tc>
        <w:tc>
          <w:tcPr>
            <w:tcW w:w="1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2,552,265</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64" w:lineRule="auto"/>
        <w:tabs>
          <w:tab w:leader="none" w:pos="2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2021 and 2020. Fiscal year 2021 and 2020 audit fees included fees for services incurred in connection with rendering an opinion under Section 404 of the Sarbanes-Oxley Act. Fiscal year 2021 and 2020 audit fees also included fees for the review of registration statement auditor consents to incorporate by reference prior year financial statement opinions in Form S-3 and Form S-8 filings, respectively.</w:t>
      </w:r>
    </w:p>
    <w:p>
      <w:pPr>
        <w:spacing w:after="0" w:line="3" w:lineRule="exact"/>
        <w:rPr>
          <w:rFonts w:ascii="Arial" w:cs="Arial" w:eastAsia="Arial" w:hAnsi="Arial"/>
          <w:sz w:val="17"/>
          <w:szCs w:val="17"/>
          <w:color w:val="auto"/>
        </w:rPr>
      </w:pPr>
    </w:p>
    <w:p>
      <w:pPr>
        <w:ind w:left="260" w:right="20" w:hanging="252"/>
        <w:spacing w:after="0" w:line="260" w:lineRule="auto"/>
        <w:tabs>
          <w:tab w:leader="none" w:pos="2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primarily relate to the review of our U.S. tax returns, accounted for $210,000 and $104,615 of the total tax fees for fiscal years 2021 and 2020, respectively.</w:t>
      </w:r>
    </w:p>
    <w:p>
      <w:pPr>
        <w:spacing w:after="0" w:line="184"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2021 and fiscal year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44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820" w:type="dxa"/>
            <w:vAlign w:val="bottom"/>
          </w:tcPr>
          <w:p>
            <w:pPr>
              <w:spacing w:after="0"/>
              <w:rPr>
                <w:sz w:val="20"/>
                <w:szCs w:val="20"/>
                <w:color w:val="auto"/>
              </w:rPr>
            </w:pPr>
          </w:p>
        </w:tc>
      </w:tr>
      <w:tr>
        <w:trPr>
          <w:trHeight w:val="431"/>
        </w:trPr>
        <w:tc>
          <w:tcPr>
            <w:tcW w:w="744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820" w:type="dxa"/>
            <w:vAlign w:val="bottom"/>
          </w:tcPr>
          <w:p>
            <w:pPr>
              <w:spacing w:after="0"/>
              <w:rPr>
                <w:sz w:val="24"/>
                <w:szCs w:val="24"/>
                <w:color w:val="auto"/>
              </w:rPr>
            </w:pPr>
          </w:p>
        </w:tc>
      </w:tr>
      <w:tr>
        <w:trPr>
          <w:trHeight w:val="431"/>
        </w:trPr>
        <w:tc>
          <w:tcPr>
            <w:tcW w:w="7440" w:type="dxa"/>
            <w:vAlign w:val="bottom"/>
          </w:tcPr>
          <w:p>
            <w:pPr>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2820" w:type="dxa"/>
            <w:vAlign w:val="bottom"/>
          </w:tcPr>
          <w:p>
            <w:pPr>
              <w:spacing w:after="0"/>
              <w:rPr>
                <w:sz w:val="24"/>
                <w:szCs w:val="24"/>
                <w:color w:val="auto"/>
              </w:rPr>
            </w:pPr>
          </w:p>
        </w:tc>
      </w:tr>
      <w:tr>
        <w:trPr>
          <w:trHeight w:val="499"/>
        </w:trPr>
        <w:tc>
          <w:tcPr>
            <w:tcW w:w="7440" w:type="dxa"/>
            <w:vAlign w:val="bottom"/>
          </w:tcPr>
          <w:p>
            <w:pPr>
              <w:ind w:left="20"/>
              <w:spacing w:after="0"/>
              <w:rPr>
                <w:sz w:val="20"/>
                <w:szCs w:val="20"/>
                <w:color w:val="auto"/>
              </w:rPr>
            </w:pPr>
            <w:r>
              <w:rPr>
                <w:rFonts w:ascii="Arial" w:cs="Arial" w:eastAsia="Arial" w:hAnsi="Arial"/>
                <w:sz w:val="18"/>
                <w:szCs w:val="18"/>
                <w:color w:val="auto"/>
              </w:rPr>
              <w:t>1.   Index to Financial Statements</w:t>
            </w:r>
          </w:p>
        </w:tc>
        <w:tc>
          <w:tcPr>
            <w:tcW w:w="2820" w:type="dxa"/>
            <w:vAlign w:val="bottom"/>
          </w:tcPr>
          <w:p>
            <w:pPr>
              <w:ind w:left="300"/>
              <w:spacing w:after="0"/>
              <w:rPr>
                <w:sz w:val="20"/>
                <w:szCs w:val="20"/>
                <w:color w:val="auto"/>
              </w:rPr>
            </w:pPr>
            <w:r>
              <w:rPr>
                <w:rFonts w:ascii="Arial" w:cs="Arial" w:eastAsia="Arial" w:hAnsi="Arial"/>
                <w:sz w:val="18"/>
                <w:szCs w:val="18"/>
                <w:color w:val="auto"/>
                <w:w w:val="91"/>
              </w:rPr>
              <w:t>Page number of the Original Filing</w:t>
            </w:r>
          </w:p>
        </w:tc>
      </w:tr>
      <w:tr>
        <w:trPr>
          <w:trHeight w:val="458"/>
        </w:trPr>
        <w:tc>
          <w:tcPr>
            <w:tcW w:w="7440" w:type="dxa"/>
            <w:vAlign w:val="bottom"/>
          </w:tcPr>
          <w:p>
            <w:pPr>
              <w:ind w:left="380"/>
              <w:spacing w:after="0"/>
              <w:rPr>
                <w:sz w:val="20"/>
                <w:szCs w:val="20"/>
                <w:color w:val="auto"/>
              </w:rPr>
            </w:pPr>
            <w:r>
              <w:rPr>
                <w:rFonts w:ascii="Arial" w:cs="Arial" w:eastAsia="Arial" w:hAnsi="Arial"/>
                <w:sz w:val="18"/>
                <w:szCs w:val="18"/>
                <w:color w:val="auto"/>
              </w:rPr>
              <w:t>Report of Independent Registered Public Accounting Firm</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37</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Consolidated Statements of Operations for the three years ended October 1, 2021</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39</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w w:val="93"/>
              </w:rPr>
              <w:t>Consolidated Statements of Comprehensive Income for the three years ended October 1, 2021</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40</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Consolidated Balance Sheets at October 1, 2021, and October 2, 2020</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41</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Consolidated Statements of Cash Flows for the three years ended October 1, 2021</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42</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w w:val="96"/>
              </w:rPr>
              <w:t>Consolidated Statements of Stockholders’ Equity for the three years ended October 1, 2021</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3"/>
              </w:rPr>
              <w:t>Page 43</w:t>
            </w: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Notes to Consolidated Financial Statements</w:t>
            </w:r>
          </w:p>
        </w:tc>
        <w:tc>
          <w:tcPr>
            <w:tcW w:w="2820" w:type="dxa"/>
            <w:vAlign w:val="bottom"/>
          </w:tcPr>
          <w:p>
            <w:pPr>
              <w:jc w:val="center"/>
              <w:ind w:left="1170"/>
              <w:spacing w:after="0"/>
              <w:rPr>
                <w:sz w:val="20"/>
                <w:szCs w:val="20"/>
                <w:color w:val="auto"/>
              </w:rPr>
            </w:pPr>
            <w:r>
              <w:rPr>
                <w:rFonts w:ascii="Arial" w:cs="Arial" w:eastAsia="Arial" w:hAnsi="Arial"/>
                <w:sz w:val="18"/>
                <w:szCs w:val="18"/>
                <w:color w:val="auto"/>
                <w:w w:val="88"/>
              </w:rPr>
              <w:t>Pages 44 through 63</w:t>
            </w:r>
          </w:p>
        </w:tc>
      </w:tr>
    </w:tbl>
    <w:p>
      <w:pPr>
        <w:spacing w:after="0" w:line="228" w:lineRule="exact"/>
        <w:rPr>
          <w:sz w:val="20"/>
          <w:szCs w:val="20"/>
          <w:color w:val="auto"/>
        </w:rPr>
      </w:pPr>
    </w:p>
    <w:p>
      <w:pPr>
        <w:ind w:left="380" w:hanging="354"/>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schedule listed below is filed as part of this Annual Report on Form 10-K:</w:t>
      </w:r>
    </w:p>
    <w:p>
      <w:pPr>
        <w:spacing w:after="0" w:line="23" w:lineRule="exact"/>
        <w:rPr>
          <w:rFonts w:ascii="Arial" w:cs="Arial" w:eastAsia="Arial" w:hAnsi="Arial"/>
          <w:sz w:val="18"/>
          <w:szCs w:val="18"/>
          <w:color w:val="auto"/>
        </w:rPr>
      </w:pPr>
    </w:p>
    <w:p>
      <w:pPr>
        <w:ind w:left="380" w:right="3240"/>
        <w:spacing w:after="0" w:line="234" w:lineRule="auto"/>
        <w:rPr>
          <w:rFonts w:ascii="Arial" w:cs="Arial" w:eastAsia="Arial" w:hAnsi="Arial"/>
          <w:sz w:val="18"/>
          <w:szCs w:val="18"/>
          <w:color w:val="auto"/>
        </w:rPr>
      </w:pPr>
      <w:r>
        <w:rPr>
          <w:rFonts w:ascii="Arial" w:cs="Arial" w:eastAsia="Arial" w:hAnsi="Arial"/>
          <w:sz w:val="18"/>
          <w:szCs w:val="18"/>
          <w:color w:val="auto"/>
        </w:rPr>
        <w:t>All required schedule information is included in the Notes to Consolidated Financial Statements or is omitted because it is either not required or not applicable.</w:t>
      </w:r>
    </w:p>
    <w:p>
      <w:pPr>
        <w:ind w:left="380" w:right="3300" w:hanging="354"/>
        <w:spacing w:after="0" w:line="23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following this Item 15 are filed as a part of this Annual Report on Form 10-K.</w:t>
      </w:r>
    </w:p>
    <w:p>
      <w:pPr>
        <w:spacing w:after="0" w:line="31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03" w:right="699" w:bottom="1440" w:gutter="0" w:footer="0" w:header="0"/>
        </w:sectPr>
      </w:pPr>
    </w:p>
    <w:bookmarkStart w:id="39" w:name="page40"/>
    <w:bookmarkEnd w:id="39"/>
    <w:p>
      <w:pPr>
        <w:spacing w:after="0" w:line="185" w:lineRule="auto"/>
        <w:framePr w:w="1480" w:h="160" w:wrap="auto" w:vAnchor="page" w:hAnchor="page" w:x="280" w:y="1126"/>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205" w:lineRule="auto"/>
        <w:framePr w:w="540" w:h="128" w:wrap="auto" w:vAnchor="page" w:hAnchor="page" w:x="720" w:y="1671"/>
        <w:rPr>
          <w:rFonts w:ascii="Arial" w:cs="Arial" w:eastAsia="Arial" w:hAnsi="Arial"/>
          <w:sz w:val="13"/>
          <w:szCs w:val="13"/>
          <w:b w:val="1"/>
          <w:bCs w:val="1"/>
          <w:color w:val="auto"/>
        </w:rPr>
      </w:pPr>
      <w:r>
        <w:rPr>
          <w:rFonts w:ascii="Arial" w:cs="Arial" w:eastAsia="Arial" w:hAnsi="Arial"/>
          <w:sz w:val="13"/>
          <w:szCs w:val="13"/>
          <w:b w:val="1"/>
          <w:bCs w:val="1"/>
          <w:color w:val="auto"/>
        </w:rPr>
        <w:t>Exhibit</w:t>
      </w:r>
    </w:p>
    <w:p>
      <w:pPr>
        <w:spacing w:after="0" w:line="205" w:lineRule="auto"/>
        <w:framePr w:w="580" w:h="128" w:wrap="auto" w:vAnchor="page" w:hAnchor="page" w:x="700" w:y="1819"/>
        <w:rPr>
          <w:rFonts w:ascii="Arial" w:cs="Arial" w:eastAsia="Arial" w:hAnsi="Arial"/>
          <w:sz w:val="13"/>
          <w:szCs w:val="13"/>
          <w:b w:val="1"/>
          <w:bCs w:val="1"/>
          <w:color w:val="auto"/>
        </w:rPr>
      </w:pPr>
      <w:r>
        <w:rPr>
          <w:rFonts w:ascii="Arial" w:cs="Arial" w:eastAsia="Arial" w:hAnsi="Arial"/>
          <w:sz w:val="13"/>
          <w:szCs w:val="13"/>
          <w:b w:val="1"/>
          <w:bCs w:val="1"/>
          <w:color w:val="auto"/>
        </w:rPr>
        <w:t>Number</w:t>
      </w:r>
    </w:p>
    <w:p>
      <w:pPr>
        <w:spacing w:after="0" w:line="161" w:lineRule="exact"/>
        <w:rPr>
          <w:rFonts w:ascii="Arial" w:cs="Arial" w:eastAsia="Arial" w:hAnsi="Arial"/>
          <w:sz w:val="13"/>
          <w:szCs w:val="13"/>
          <w:b w:val="1"/>
          <w:bCs w:val="1"/>
          <w:color w:val="auto"/>
        </w:rPr>
      </w:pPr>
    </w:p>
    <w:tbl>
      <w:tblPr>
        <w:tblLayout w:type="fixed"/>
        <w:tblInd w:w="252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w w:val="91"/>
              </w:rPr>
              <w:t>Incorporated by Reference</w:t>
            </w:r>
          </w:p>
        </w:tc>
        <w:tc>
          <w:tcPr>
            <w:tcW w:w="920" w:type="dxa"/>
            <w:vAlign w:val="bottom"/>
          </w:tcPr>
          <w:p>
            <w:pPr>
              <w:spacing w:after="0"/>
              <w:rPr>
                <w:sz w:val="16"/>
                <w:szCs w:val="16"/>
                <w:color w:val="auto"/>
              </w:rPr>
            </w:pPr>
          </w:p>
        </w:tc>
        <w:tc>
          <w:tcPr>
            <w:tcW w:w="7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52"/>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6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Form</w:t>
            </w: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17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Exhibit</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1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-260985</wp:posOffset>
            </wp:positionH>
            <wp:positionV relativeFrom="paragraph">
              <wp:posOffset>1905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740" w:top="1440" w:right="519" w:bottom="1440" w:gutter="0" w:footer="0" w:header="0"/>
        </w:sectPr>
      </w:pPr>
    </w:p>
    <w:p>
      <w:pPr>
        <w:spacing w:after="0" w:line="15" w:lineRule="exact"/>
        <w:rPr>
          <w:rFonts w:ascii="Arial" w:cs="Arial" w:eastAsia="Arial" w:hAnsi="Arial"/>
          <w:sz w:val="13"/>
          <w:szCs w:val="13"/>
          <w:b w:val="1"/>
          <w:bCs w:val="1"/>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9"/>
              </w:rPr>
              <w:t>2.1^</w:t>
            </w:r>
          </w:p>
        </w:tc>
        <w:tc>
          <w:tcPr>
            <w:tcW w:w="4180" w:type="dxa"/>
            <w:vAlign w:val="bottom"/>
            <w:gridSpan w:val="12"/>
            <w:vMerge w:val="restart"/>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Asset Purchase Agreement, dated as of April 22, 2021, by</w:t>
              </w:r>
            </w:hyperlink>
          </w:p>
        </w:tc>
        <w:tc>
          <w:tcPr>
            <w:tcW w:w="20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820" w:type="dxa"/>
            <w:vAlign w:val="bottom"/>
          </w:tcPr>
          <w:p>
            <w:pPr>
              <w:spacing w:after="0"/>
              <w:rPr>
                <w:sz w:val="2"/>
                <w:szCs w:val="2"/>
                <w:color w:val="auto"/>
              </w:rPr>
            </w:pPr>
          </w:p>
        </w:tc>
        <w:tc>
          <w:tcPr>
            <w:tcW w:w="4180" w:type="dxa"/>
            <w:vAlign w:val="bottom"/>
            <w:tcBorders>
              <w:bottom w:val="single" w:sz="8" w:color="0000FF"/>
            </w:tcBorders>
            <w:gridSpan w:val="12"/>
            <w:vMerge w:val="continue"/>
          </w:tcPr>
          <w:p>
            <w:pPr>
              <w:spacing w:after="0"/>
              <w:rPr>
                <w:sz w:val="2"/>
                <w:szCs w:val="2"/>
                <w:color w:val="auto"/>
              </w:rPr>
            </w:pPr>
          </w:p>
        </w:tc>
        <w:tc>
          <w:tcPr>
            <w:tcW w:w="20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380" w:type="dxa"/>
            <w:vAlign w:val="bottom"/>
            <w:gridSpan w:val="16"/>
          </w:tcPr>
          <w:p>
            <w:pPr>
              <w:spacing w:after="0" w:line="195" w:lineRule="exact"/>
              <w:rPr>
                <w:rFonts w:ascii="Arial" w:cs="Arial" w:eastAsia="Arial" w:hAnsi="Arial"/>
                <w:sz w:val="18"/>
                <w:szCs w:val="18"/>
                <w:color w:val="0000FF"/>
              </w:rPr>
            </w:pPr>
            <w:hyperlink r:id="rId48">
              <w:r>
                <w:rPr>
                  <w:rFonts w:ascii="Arial" w:cs="Arial" w:eastAsia="Arial" w:hAnsi="Arial"/>
                  <w:sz w:val="18"/>
                  <w:szCs w:val="18"/>
                  <w:color w:val="0000FF"/>
                </w:rPr>
                <w:t>and between Skyworks Solutions Inc., and Silicon</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2"/>
          </w:tcPr>
          <w:p>
            <w:pPr>
              <w:spacing w:after="0" w:line="195"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Laboratories Inc.</w:t>
              </w:r>
            </w:hyperlink>
          </w:p>
        </w:tc>
        <w:tc>
          <w:tcPr>
            <w:tcW w:w="2380" w:type="dxa"/>
            <w:vAlign w:val="bottom"/>
            <w:tcBorders>
              <w:top w:val="single" w:sz="8" w:color="0000FF"/>
            </w:tcBorders>
            <w:gridSpan w:val="4"/>
          </w:tcPr>
          <w:p>
            <w:pPr>
              <w:spacing w:after="0"/>
              <w:rPr>
                <w:sz w:val="17"/>
                <w:szCs w:val="17"/>
                <w:color w:val="auto"/>
              </w:rPr>
            </w:pPr>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3.1</w:t>
            </w:r>
          </w:p>
        </w:tc>
        <w:tc>
          <w:tcPr>
            <w:tcW w:w="3640" w:type="dxa"/>
            <w:vAlign w:val="bottom"/>
            <w:gridSpan w:val="7"/>
            <w:vMerge w:val="restart"/>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Restated Certificate of Incorporation, as Amended</w:t>
              </w:r>
            </w:hyperlink>
          </w:p>
        </w:tc>
        <w:tc>
          <w:tcPr>
            <w:tcW w:w="74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3640" w:type="dxa"/>
            <w:vAlign w:val="bottom"/>
            <w:tcBorders>
              <w:bottom w:val="single" w:sz="8" w:color="0000FF"/>
            </w:tcBorders>
            <w:gridSpan w:val="7"/>
            <w:vMerge w:val="continue"/>
          </w:tcPr>
          <w:p>
            <w:pPr>
              <w:spacing w:after="0"/>
              <w:rPr>
                <w:sz w:val="3"/>
                <w:szCs w:val="3"/>
                <w:color w:val="auto"/>
              </w:rPr>
            </w:pPr>
          </w:p>
        </w:tc>
        <w:tc>
          <w:tcPr>
            <w:tcW w:w="74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3.2</w:t>
            </w:r>
          </w:p>
        </w:tc>
        <w:tc>
          <w:tcPr>
            <w:tcW w:w="4380" w:type="dxa"/>
            <w:vAlign w:val="bottom"/>
            <w:gridSpan w:val="16"/>
            <w:vMerge w:val="restart"/>
          </w:tcPr>
          <w:p>
            <w:pPr>
              <w:spacing w:after="0"/>
              <w:rPr>
                <w:rFonts w:ascii="Arial" w:cs="Arial" w:eastAsia="Arial" w:hAnsi="Arial"/>
                <w:sz w:val="18"/>
                <w:szCs w:val="18"/>
                <w:color w:val="0000FF"/>
              </w:rPr>
            </w:pPr>
            <w:hyperlink r:id="rId50">
              <w:r>
                <w:rPr>
                  <w:rFonts w:ascii="Arial" w:cs="Arial" w:eastAsia="Arial" w:hAnsi="Arial"/>
                  <w:sz w:val="18"/>
                  <w:szCs w:val="18"/>
                  <w:color w:val="0000FF"/>
                </w:rPr>
                <w:t>Third Amended and Restated By-laws, as Amended</w:t>
              </w:r>
            </w:hyperlink>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438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4.1</w:t>
            </w:r>
          </w:p>
        </w:tc>
        <w:tc>
          <w:tcPr>
            <w:tcW w:w="3740" w:type="dxa"/>
            <w:vAlign w:val="bottom"/>
            <w:tcBorders>
              <w:top w:val="single" w:sz="8" w:color="0000FF"/>
            </w:tcBorders>
            <w:gridSpan w:val="9"/>
            <w:vMerge w:val="restart"/>
          </w:tcPr>
          <w:p>
            <w:pPr>
              <w:spacing w:after="0"/>
              <w:rPr>
                <w:rFonts w:ascii="Arial" w:cs="Arial" w:eastAsia="Arial" w:hAnsi="Arial"/>
                <w:sz w:val="18"/>
                <w:szCs w:val="18"/>
                <w:color w:val="0000FF"/>
              </w:rPr>
            </w:pPr>
            <w:hyperlink r:id="rId51">
              <w:r>
                <w:rPr>
                  <w:rFonts w:ascii="Arial" w:cs="Arial" w:eastAsia="Arial" w:hAnsi="Arial"/>
                  <w:sz w:val="18"/>
                  <w:szCs w:val="18"/>
                  <w:color w:val="0000FF"/>
                </w:rPr>
                <w:t>Specimen Certificate of Common Stock</w:t>
              </w:r>
            </w:hyperlink>
          </w:p>
        </w:tc>
        <w:tc>
          <w:tcPr>
            <w:tcW w:w="64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3740" w:type="dxa"/>
            <w:vAlign w:val="bottom"/>
            <w:gridSpan w:val="9"/>
            <w:vMerge w:val="continue"/>
          </w:tcPr>
          <w:p>
            <w:pPr>
              <w:spacing w:after="0"/>
              <w:rPr>
                <w:sz w:val="3"/>
                <w:szCs w:val="3"/>
                <w:color w:val="auto"/>
              </w:rPr>
            </w:pPr>
          </w:p>
        </w:tc>
        <w:tc>
          <w:tcPr>
            <w:tcW w:w="6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6"/>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4.2</w:t>
            </w:r>
          </w:p>
        </w:tc>
        <w:tc>
          <w:tcPr>
            <w:tcW w:w="2060" w:type="dxa"/>
            <w:vAlign w:val="bottom"/>
            <w:tcBorders>
              <w:top w:val="single" w:sz="8" w:color="0000FF"/>
            </w:tcBorders>
            <w:gridSpan w:val="3"/>
            <w:vMerge w:val="restart"/>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Description of Capital Stock</w:t>
              </w:r>
            </w:hyperlink>
          </w:p>
        </w:tc>
        <w:tc>
          <w:tcPr>
            <w:tcW w:w="820" w:type="dxa"/>
            <w:vAlign w:val="bottom"/>
            <w:tcBorders>
              <w:top w:val="single" w:sz="8" w:color="0000FF"/>
            </w:tcBorders>
            <w:vMerge w:val="restart"/>
          </w:tcPr>
          <w:p>
            <w:pPr>
              <w:spacing w:after="0"/>
              <w:rPr>
                <w:sz w:val="24"/>
                <w:szCs w:val="24"/>
                <w:color w:val="auto"/>
              </w:rPr>
            </w:pPr>
          </w:p>
        </w:tc>
        <w:tc>
          <w:tcPr>
            <w:tcW w:w="150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2060" w:type="dxa"/>
            <w:vAlign w:val="bottom"/>
            <w:tcBorders>
              <w:bottom w:val="single" w:sz="8" w:color="0000FF"/>
            </w:tcBorders>
            <w:gridSpan w:val="3"/>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5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4.3</w:t>
            </w:r>
          </w:p>
        </w:tc>
        <w:tc>
          <w:tcPr>
            <w:tcW w:w="4380" w:type="dxa"/>
            <w:vAlign w:val="bottom"/>
            <w:gridSpan w:val="16"/>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Indenture, dated as of May 26, 2021, by and between the</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Company and U.S. Bank National Association</w:t>
              </w:r>
            </w:hyperlink>
          </w:p>
        </w:tc>
        <w:tc>
          <w:tcPr>
            <w:tcW w:w="740" w:type="dxa"/>
            <w:vAlign w:val="bottom"/>
            <w:tcBorders>
              <w:top w:val="single" w:sz="8" w:color="0000FF"/>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4.4</w:t>
            </w:r>
          </w:p>
        </w:tc>
        <w:tc>
          <w:tcPr>
            <w:tcW w:w="4380" w:type="dxa"/>
            <w:vAlign w:val="bottom"/>
            <w:gridSpan w:val="16"/>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First Supplemental Indenture, dated as of May 26, 2021, by</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and between the Company and U.S. Bank National</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Association</w:t>
              </w:r>
            </w:hyperlink>
          </w:p>
        </w:tc>
        <w:tc>
          <w:tcPr>
            <w:tcW w:w="2820" w:type="dxa"/>
            <w:vAlign w:val="bottom"/>
            <w:tcBorders>
              <w:top w:val="single" w:sz="8" w:color="0000FF"/>
            </w:tcBorders>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4.5</w:t>
            </w:r>
          </w:p>
        </w:tc>
        <w:tc>
          <w:tcPr>
            <w:tcW w:w="4380" w:type="dxa"/>
            <w:vAlign w:val="bottom"/>
            <w:gridSpan w:val="1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Second Supplemental Indenture, dated as of May 26, 2021,</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260" w:type="dxa"/>
            <w:vAlign w:val="bottom"/>
            <w:tcBorders>
              <w:top w:val="single" w:sz="8" w:color="0000FF"/>
            </w:tcBorders>
            <w:gridSpan w:val="13"/>
          </w:tcPr>
          <w:p>
            <w:pPr>
              <w:spacing w:after="0" w:line="156" w:lineRule="exact"/>
              <w:rPr>
                <w:rFonts w:ascii="Arial" w:cs="Arial" w:eastAsia="Arial" w:hAnsi="Arial"/>
                <w:sz w:val="18"/>
                <w:szCs w:val="18"/>
                <w:color w:val="0000FF"/>
                <w:w w:val="98"/>
              </w:rPr>
            </w:pPr>
            <w:hyperlink r:id="rId55">
              <w:r>
                <w:rPr>
                  <w:rFonts w:ascii="Arial" w:cs="Arial" w:eastAsia="Arial" w:hAnsi="Arial"/>
                  <w:sz w:val="18"/>
                  <w:szCs w:val="18"/>
                  <w:color w:val="0000FF"/>
                  <w:w w:val="98"/>
                </w:rPr>
                <w:t>by and between the Company and U.S. Bank National</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Association</w:t>
              </w:r>
            </w:hyperlink>
          </w:p>
        </w:tc>
        <w:tc>
          <w:tcPr>
            <w:tcW w:w="3040" w:type="dxa"/>
            <w:vAlign w:val="bottom"/>
            <w:tcBorders>
              <w:top w:val="single" w:sz="8" w:color="0000FF"/>
            </w:tcBorders>
            <w:gridSpan w:val="9"/>
          </w:tcPr>
          <w:p>
            <w:pPr>
              <w:spacing w:after="0"/>
              <w:rPr>
                <w:sz w:val="13"/>
                <w:szCs w:val="13"/>
                <w:color w:val="auto"/>
              </w:rPr>
            </w:pPr>
          </w:p>
        </w:tc>
        <w:tc>
          <w:tcPr>
            <w:tcW w:w="4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430"/>
              <w:spacing w:after="0"/>
              <w:rPr>
                <w:sz w:val="20"/>
                <w:szCs w:val="20"/>
                <w:color w:val="auto"/>
              </w:rPr>
            </w:pPr>
            <w:r>
              <w:rPr>
                <w:rFonts w:ascii="Arial" w:cs="Arial" w:eastAsia="Arial" w:hAnsi="Arial"/>
                <w:sz w:val="18"/>
                <w:szCs w:val="18"/>
                <w:color w:val="auto"/>
                <w:w w:val="87"/>
              </w:rPr>
              <w:t>4.6</w:t>
            </w:r>
          </w:p>
        </w:tc>
        <w:tc>
          <w:tcPr>
            <w:tcW w:w="4380" w:type="dxa"/>
            <w:vAlign w:val="bottom"/>
            <w:gridSpan w:val="16"/>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Third Supplemental Indenture, dated as of May 26, 2021, by</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3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and between the Company and U.S. Bank National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Association</w:t>
              </w:r>
            </w:hyperlink>
          </w:p>
        </w:tc>
        <w:tc>
          <w:tcPr>
            <w:tcW w:w="2820" w:type="dxa"/>
            <w:vAlign w:val="bottom"/>
            <w:tcBorders>
              <w:top w:val="single" w:sz="8" w:color="0000FF"/>
            </w:tcBorders>
            <w:gridSpan w:val="7"/>
          </w:tcPr>
          <w:p>
            <w:pPr>
              <w:spacing w:after="0"/>
              <w:rPr>
                <w:sz w:val="13"/>
                <w:szCs w:val="13"/>
                <w:color w:val="auto"/>
              </w:rPr>
            </w:pPr>
          </w:p>
        </w:tc>
        <w:tc>
          <w:tcPr>
            <w:tcW w:w="7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10.1*</w:t>
            </w:r>
          </w:p>
        </w:tc>
        <w:tc>
          <w:tcPr>
            <w:tcW w:w="4180" w:type="dxa"/>
            <w:vAlign w:val="bottom"/>
            <w:gridSpan w:val="12"/>
            <w:vMerge w:val="restart"/>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Skyworks Solutions, Inc. 2002 Employee Stock Purchase</w:t>
              </w:r>
            </w:hyperlink>
          </w:p>
        </w:tc>
        <w:tc>
          <w:tcPr>
            <w:tcW w:w="2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80" w:type="dxa"/>
            <w:vAlign w:val="bottom"/>
            <w:tcBorders>
              <w:bottom w:val="single" w:sz="8" w:color="0000FF"/>
            </w:tcBorders>
            <w:gridSpan w:val="1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57">
              <w:r>
                <w:rPr>
                  <w:rFonts w:ascii="Arial" w:cs="Arial" w:eastAsia="Arial" w:hAnsi="Arial"/>
                  <w:sz w:val="18"/>
                  <w:szCs w:val="18"/>
                  <w:color w:val="0000FF"/>
                </w:rPr>
                <w:t>Plan, as Amended</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10.2*</w:t>
            </w:r>
          </w:p>
        </w:tc>
        <w:tc>
          <w:tcPr>
            <w:tcW w:w="1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160" w:type="dxa"/>
            <w:vAlign w:val="bottom"/>
            <w:gridSpan w:val="11"/>
            <w:vMerge w:val="restart"/>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Skyworks Solutions, Inc. Non-Qualified Employee Stock</w:t>
              </w:r>
            </w:hyperlink>
          </w:p>
        </w:tc>
        <w:tc>
          <w:tcPr>
            <w:tcW w:w="2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60" w:type="dxa"/>
            <w:vAlign w:val="bottom"/>
            <w:tcBorders>
              <w:bottom w:val="single" w:sz="8" w:color="0000FF"/>
            </w:tcBorders>
            <w:gridSpan w:val="1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58">
              <w:r>
                <w:rPr>
                  <w:rFonts w:ascii="Arial" w:cs="Arial" w:eastAsia="Arial" w:hAnsi="Arial"/>
                  <w:sz w:val="18"/>
                  <w:szCs w:val="18"/>
                  <w:color w:val="0000FF"/>
                </w:rPr>
                <w:t>Purchase Plan, as Amended</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10.3*</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3940" w:type="dxa"/>
            <w:vAlign w:val="bottom"/>
            <w:gridSpan w:val="9"/>
            <w:vMerge w:val="restart"/>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Skyworks Solutions, Inc. Amended and Restated 2005</w:t>
              </w:r>
            </w:hyperlink>
          </w:p>
        </w:tc>
        <w:tc>
          <w:tcPr>
            <w:tcW w:w="4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940" w:type="dxa"/>
            <w:vAlign w:val="bottom"/>
            <w:tcBorders>
              <w:bottom w:val="single" w:sz="8" w:color="0000FF"/>
            </w:tcBorders>
            <w:gridSpan w:val="9"/>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59">
              <w:r>
                <w:rPr>
                  <w:rFonts w:ascii="Arial" w:cs="Arial" w:eastAsia="Arial" w:hAnsi="Arial"/>
                  <w:sz w:val="18"/>
                  <w:szCs w:val="18"/>
                  <w:color w:val="0000FF"/>
                </w:rPr>
                <w:t>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10.4*</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140" w:type="dxa"/>
            <w:vAlign w:val="bottom"/>
            <w:gridSpan w:val="10"/>
            <w:vMerge w:val="restart"/>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Form of Nonstatutory Stock Option Agreement under the</w:t>
              </w:r>
            </w:hyperlink>
          </w:p>
        </w:tc>
        <w:tc>
          <w:tcPr>
            <w:tcW w:w="2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40" w:type="dxa"/>
            <w:vAlign w:val="bottom"/>
            <w:tcBorders>
              <w:bottom w:val="single" w:sz="8" w:color="0000FF"/>
            </w:tcBorders>
            <w:gridSpan w:val="10"/>
            <w:vMerge w:val="continue"/>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60">
              <w:r>
                <w:rPr>
                  <w:rFonts w:ascii="Arial" w:cs="Arial" w:eastAsia="Arial" w:hAnsi="Arial"/>
                  <w:sz w:val="18"/>
                  <w:szCs w:val="18"/>
                  <w:color w:val="0000FF"/>
                </w:rPr>
                <w:t>Company’s 2005 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10.5*</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3940" w:type="dxa"/>
            <w:vAlign w:val="bottom"/>
            <w:gridSpan w:val="9"/>
            <w:vMerge w:val="restart"/>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Skyworks Solutions, Inc. Amended and Restated 2008</w:t>
              </w:r>
            </w:hyperlink>
          </w:p>
        </w:tc>
        <w:tc>
          <w:tcPr>
            <w:tcW w:w="4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940" w:type="dxa"/>
            <w:vAlign w:val="bottom"/>
            <w:tcBorders>
              <w:bottom w:val="single" w:sz="8" w:color="0000FF"/>
            </w:tcBorders>
            <w:gridSpan w:val="9"/>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61">
              <w:r>
                <w:rPr>
                  <w:rFonts w:ascii="Arial" w:cs="Arial" w:eastAsia="Arial" w:hAnsi="Arial"/>
                  <w:sz w:val="18"/>
                  <w:szCs w:val="18"/>
                  <w:color w:val="0000FF"/>
                </w:rPr>
                <w:t>Director Long-Term Incentive Plan, as Amended</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10.6*</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140" w:type="dxa"/>
            <w:vAlign w:val="bottom"/>
            <w:gridSpan w:val="10"/>
            <w:vMerge w:val="restart"/>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Form of Nonstatutory Stock Option Agreement under the</w:t>
              </w:r>
            </w:hyperlink>
          </w:p>
        </w:tc>
        <w:tc>
          <w:tcPr>
            <w:tcW w:w="2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40" w:type="dxa"/>
            <w:vAlign w:val="bottom"/>
            <w:tcBorders>
              <w:bottom w:val="single" w:sz="8" w:color="0000FF"/>
            </w:tcBorders>
            <w:gridSpan w:val="10"/>
            <w:vMerge w:val="continue"/>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8"/>
          </w:tcPr>
          <w:p>
            <w:pPr>
              <w:spacing w:after="0" w:line="195"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Company’s 2008 Director Long-Term Incentive Plan</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10.7*</w:t>
            </w:r>
          </w:p>
        </w:tc>
        <w:tc>
          <w:tcPr>
            <w:tcW w:w="4380" w:type="dxa"/>
            <w:vAlign w:val="bottom"/>
            <w:gridSpan w:val="13"/>
            <w:vMerge w:val="restart"/>
          </w:tcPr>
          <w:p>
            <w:pPr>
              <w:spacing w:after="0"/>
              <w:rPr>
                <w:rFonts w:ascii="Arial" w:cs="Arial" w:eastAsia="Arial" w:hAnsi="Arial"/>
                <w:sz w:val="18"/>
                <w:szCs w:val="18"/>
                <w:color w:val="0000FF"/>
              </w:rPr>
            </w:pPr>
            <w:hyperlink r:id="rId63">
              <w:r>
                <w:rPr>
                  <w:rFonts w:ascii="Arial" w:cs="Arial" w:eastAsia="Arial" w:hAnsi="Arial"/>
                  <w:sz w:val="18"/>
                  <w:szCs w:val="18"/>
                  <w:color w:val="0000FF"/>
                </w:rPr>
                <w:t>Form of Restricted Stock Unit Agreement under the</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438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8"/>
          </w:tcPr>
          <w:p>
            <w:pPr>
              <w:spacing w:after="0" w:line="195"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Company’s 2008 Director Long-Term Incentive Plan</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10.8*</w:t>
            </w:r>
          </w:p>
        </w:tc>
        <w:tc>
          <w:tcPr>
            <w:tcW w:w="3940" w:type="dxa"/>
            <w:vAlign w:val="bottom"/>
            <w:gridSpan w:val="9"/>
            <w:vMerge w:val="restart"/>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Skyworks Solutions, Inc. Amended and Restated 2015</w:t>
              </w:r>
            </w:hyperlink>
          </w:p>
        </w:tc>
        <w:tc>
          <w:tcPr>
            <w:tcW w:w="4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940" w:type="dxa"/>
            <w:vAlign w:val="bottom"/>
            <w:tcBorders>
              <w:bottom w:val="single" w:sz="8" w:color="0000FF"/>
            </w:tcBorders>
            <w:gridSpan w:val="9"/>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64">
              <w:r>
                <w:rPr>
                  <w:rFonts w:ascii="Arial" w:cs="Arial" w:eastAsia="Arial" w:hAnsi="Arial"/>
                  <w:sz w:val="18"/>
                  <w:szCs w:val="18"/>
                  <w:color w:val="0000FF"/>
                </w:rPr>
                <w:t>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10.9*</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140" w:type="dxa"/>
            <w:vAlign w:val="bottom"/>
            <w:gridSpan w:val="10"/>
            <w:vMerge w:val="restart"/>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Form of Nonstatutory Stock Option Agreement under the</w:t>
              </w:r>
            </w:hyperlink>
          </w:p>
        </w:tc>
        <w:tc>
          <w:tcPr>
            <w:tcW w:w="2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40" w:type="dxa"/>
            <w:vAlign w:val="bottom"/>
            <w:tcBorders>
              <w:bottom w:val="single" w:sz="8" w:color="0000FF"/>
            </w:tcBorders>
            <w:gridSpan w:val="10"/>
            <w:vMerge w:val="continue"/>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65">
              <w:r>
                <w:rPr>
                  <w:rFonts w:ascii="Arial" w:cs="Arial" w:eastAsia="Arial" w:hAnsi="Arial"/>
                  <w:sz w:val="18"/>
                  <w:szCs w:val="18"/>
                  <w:color w:val="0000FF"/>
                </w:rPr>
                <w:t>Company’s 2015 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5"/>
              </w:rPr>
              <w:t>10.10*</w:t>
            </w: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3580" w:type="dxa"/>
            <w:vAlign w:val="bottom"/>
            <w:gridSpan w:val="6"/>
            <w:vMerge w:val="restart"/>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Form of Performance Share Agreement under the</w:t>
              </w:r>
            </w:hyperlink>
          </w:p>
        </w:tc>
        <w:tc>
          <w:tcPr>
            <w:tcW w:w="8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580" w:type="dxa"/>
            <w:vAlign w:val="bottom"/>
            <w:tcBorders>
              <w:bottom w:val="single" w:sz="8" w:color="0000FF"/>
            </w:tcBorders>
            <w:gridSpan w:val="6"/>
            <w:vMerge w:val="continue"/>
          </w:tcPr>
          <w:p>
            <w:pPr>
              <w:spacing w:after="0"/>
              <w:rPr>
                <w:sz w:val="3"/>
                <w:szCs w:val="3"/>
                <w:color w:val="auto"/>
              </w:rPr>
            </w:pPr>
          </w:p>
        </w:tc>
        <w:tc>
          <w:tcPr>
            <w:tcW w:w="8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13"/>
          </w:tcPr>
          <w:p>
            <w:pPr>
              <w:spacing w:after="0" w:line="195" w:lineRule="exact"/>
              <w:rPr>
                <w:rFonts w:ascii="Arial" w:cs="Arial" w:eastAsia="Arial" w:hAnsi="Arial"/>
                <w:sz w:val="18"/>
                <w:szCs w:val="18"/>
                <w:color w:val="0000FF"/>
              </w:rPr>
            </w:pPr>
            <w:hyperlink r:id="rId66">
              <w:r>
                <w:rPr>
                  <w:rFonts w:ascii="Arial" w:cs="Arial" w:eastAsia="Arial" w:hAnsi="Arial"/>
                  <w:sz w:val="18"/>
                  <w:szCs w:val="18"/>
                  <w:color w:val="0000FF"/>
                </w:rPr>
                <w:t>Company’s 2015 Long-Term Incentive Plan</w:t>
              </w:r>
            </w:hyperlink>
          </w:p>
        </w:tc>
        <w:tc>
          <w:tcPr>
            <w:tcW w:w="0" w:type="dxa"/>
            <w:vAlign w:val="bottom"/>
          </w:tcPr>
          <w:p>
            <w:pPr>
              <w:spacing w:after="0"/>
              <w:rPr>
                <w:sz w:val="1"/>
                <w:szCs w:val="1"/>
                <w:color w:val="auto"/>
              </w:rPr>
            </w:pPr>
          </w:p>
        </w:tc>
      </w:tr>
      <w:tr>
        <w:trPr>
          <w:trHeight w:val="695"/>
        </w:trPr>
        <w:tc>
          <w:tcPr>
            <w:tcW w:w="920" w:type="dxa"/>
            <w:vAlign w:val="bottom"/>
          </w:tcPr>
          <w:p>
            <w:pPr>
              <w:spacing w:after="0"/>
              <w:rPr>
                <w:sz w:val="24"/>
                <w:szCs w:val="24"/>
                <w:color w:val="auto"/>
              </w:rPr>
            </w:pPr>
          </w:p>
        </w:tc>
        <w:tc>
          <w:tcPr>
            <w:tcW w:w="3160" w:type="dxa"/>
            <w:vAlign w:val="bottom"/>
            <w:tcBorders>
              <w:top w:val="single" w:sz="8" w:color="0000FF"/>
            </w:tcBorders>
            <w:gridSpan w:val="4"/>
          </w:tcPr>
          <w:p>
            <w:pPr>
              <w:spacing w:after="0"/>
              <w:rPr>
                <w:sz w:val="24"/>
                <w:szCs w:val="24"/>
                <w:color w:val="auto"/>
              </w:rPr>
            </w:pPr>
          </w:p>
        </w:tc>
        <w:tc>
          <w:tcPr>
            <w:tcW w:w="1220" w:type="dxa"/>
            <w:vAlign w:val="bottom"/>
            <w:gridSpan w:val="9"/>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4/22/2021</w:t>
            </w:r>
          </w:p>
        </w:tc>
        <w:tc>
          <w:tcPr>
            <w:tcW w:w="0" w:type="dxa"/>
            <w:vAlign w:val="bottom"/>
          </w:tcPr>
          <w:p>
            <w:pPr>
              <w:spacing w:after="0"/>
              <w:rPr>
                <w:sz w:val="1"/>
                <w:szCs w:val="1"/>
                <w:color w:val="auto"/>
              </w:rPr>
            </w:pPr>
          </w:p>
        </w:tc>
      </w:tr>
      <w:tr>
        <w:trPr>
          <w:trHeight w:val="782"/>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8/3/2016</w:t>
            </w:r>
          </w:p>
        </w:tc>
        <w:tc>
          <w:tcPr>
            <w:tcW w:w="0" w:type="dxa"/>
            <w:vAlign w:val="bottom"/>
          </w:tcPr>
          <w:p>
            <w:pPr>
              <w:spacing w:after="0"/>
              <w:rPr>
                <w:sz w:val="1"/>
                <w:szCs w:val="1"/>
                <w:color w:val="auto"/>
              </w:rPr>
            </w:pPr>
          </w:p>
        </w:tc>
      </w:tr>
      <w:tr>
        <w:trPr>
          <w:trHeight w:val="36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4/30/2021</w:t>
            </w:r>
          </w:p>
        </w:tc>
        <w:tc>
          <w:tcPr>
            <w:tcW w:w="0" w:type="dxa"/>
            <w:vAlign w:val="bottom"/>
          </w:tcPr>
          <w:p>
            <w:pPr>
              <w:spacing w:after="0"/>
              <w:rPr>
                <w:sz w:val="1"/>
                <w:szCs w:val="1"/>
                <w:color w:val="auto"/>
              </w:rPr>
            </w:pPr>
          </w:p>
        </w:tc>
      </w:tr>
      <w:tr>
        <w:trPr>
          <w:trHeight w:val="36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333-92394</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7/15/2002</w:t>
            </w:r>
          </w:p>
        </w:tc>
        <w:tc>
          <w:tcPr>
            <w:tcW w:w="0" w:type="dxa"/>
            <w:vAlign w:val="bottom"/>
          </w:tcPr>
          <w:p>
            <w:pPr>
              <w:spacing w:after="0"/>
              <w:rPr>
                <w:sz w:val="1"/>
                <w:szCs w:val="1"/>
                <w:color w:val="auto"/>
              </w:rPr>
            </w:pPr>
          </w:p>
        </w:tc>
      </w:tr>
      <w:tr>
        <w:trPr>
          <w:trHeight w:val="607"/>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80" w:type="dxa"/>
            <w:vAlign w:val="bottom"/>
            <w:vMerge w:val="restart"/>
          </w:tcPr>
          <w:p>
            <w:pPr>
              <w:jc w:val="center"/>
              <w:ind w:left="170"/>
              <w:spacing w:after="0"/>
              <w:rPr>
                <w:sz w:val="20"/>
                <w:szCs w:val="20"/>
                <w:color w:val="auto"/>
              </w:rPr>
            </w:pPr>
            <w:r>
              <w:rPr>
                <w:rFonts w:ascii="Arial" w:cs="Arial" w:eastAsia="Arial" w:hAnsi="Arial"/>
                <w:sz w:val="18"/>
                <w:szCs w:val="18"/>
                <w:color w:val="auto"/>
                <w:w w:val="90"/>
              </w:rPr>
              <w:t>11/14/2019</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175"/>
        </w:trPr>
        <w:tc>
          <w:tcPr>
            <w:tcW w:w="6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6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6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4.4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7/24/2020</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7/24/2020</w:t>
            </w:r>
          </w:p>
        </w:tc>
        <w:tc>
          <w:tcPr>
            <w:tcW w:w="0" w:type="dxa"/>
            <w:vAlign w:val="bottom"/>
          </w:tcPr>
          <w:p>
            <w:pPr>
              <w:spacing w:after="0"/>
              <w:rPr>
                <w:sz w:val="1"/>
                <w:szCs w:val="1"/>
                <w:color w:val="auto"/>
              </w:rPr>
            </w:pP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5/13/2013</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1/31/2013</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5/4/2018</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5/7/2008</w:t>
            </w:r>
          </w:p>
        </w:tc>
        <w:tc>
          <w:tcPr>
            <w:tcW w:w="0" w:type="dxa"/>
            <w:vAlign w:val="bottom"/>
          </w:tcPr>
          <w:p>
            <w:pPr>
              <w:spacing w:after="0"/>
              <w:rPr>
                <w:sz w:val="1"/>
                <w:szCs w:val="1"/>
                <w:color w:val="auto"/>
              </w:rPr>
            </w:pPr>
          </w:p>
        </w:tc>
      </w:tr>
      <w:tr>
        <w:trPr>
          <w:trHeight w:val="9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5/4/2016</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7/30/2021</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8/5/2015</w:t>
            </w:r>
          </w:p>
        </w:tc>
        <w:tc>
          <w:tcPr>
            <w:tcW w:w="0" w:type="dxa"/>
            <w:vAlign w:val="bottom"/>
          </w:tcPr>
          <w:p>
            <w:pPr>
              <w:spacing w:after="0"/>
              <w:rPr>
                <w:sz w:val="1"/>
                <w:szCs w:val="1"/>
                <w:color w:val="auto"/>
              </w:rPr>
            </w:pP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001-05560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88"/>
              </w:rPr>
              <w:t>8/5/2015</w:t>
            </w:r>
          </w:p>
        </w:tc>
        <w:tc>
          <w:tcPr>
            <w:tcW w:w="0" w:type="dxa"/>
            <w:vAlign w:val="bottom"/>
          </w:tcPr>
          <w:p>
            <w:pPr>
              <w:spacing w:after="0"/>
              <w:rPr>
                <w:sz w:val="1"/>
                <w:szCs w:val="1"/>
                <w:color w:val="auto"/>
              </w:rPr>
            </w:pPr>
          </w:p>
        </w:tc>
      </w:tr>
    </w:tbl>
    <w:p>
      <w:pPr>
        <w:sectPr>
          <w:pgSz w:w="11900" w:h="16838" w:orient="portrait"/>
          <w:cols w:equalWidth="0" w:num="2">
            <w:col w:w="5300" w:space="340"/>
            <w:col w:w="5000"/>
          </w:cols>
          <w:pgMar w:left="740" w:top="1440" w:right="519" w:bottom="1440" w:gutter="0" w:footer="0" w:header="0"/>
          <w:type w:val="continuous"/>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10.11*</w:t>
            </w:r>
          </w:p>
        </w:tc>
        <w:tc>
          <w:tcPr>
            <w:tcW w:w="4420" w:type="dxa"/>
            <w:vAlign w:val="bottom"/>
            <w:gridSpan w:val="23"/>
            <w:vMerge w:val="restart"/>
          </w:tcPr>
          <w:p>
            <w:pPr>
              <w:spacing w:after="0"/>
              <w:rPr>
                <w:rFonts w:ascii="Arial" w:cs="Arial" w:eastAsia="Arial" w:hAnsi="Arial"/>
                <w:sz w:val="18"/>
                <w:szCs w:val="18"/>
                <w:color w:val="0000FF"/>
              </w:rPr>
            </w:pPr>
            <w:hyperlink r:id="rId68">
              <w:r>
                <w:rPr>
                  <w:rFonts w:ascii="Arial" w:cs="Arial" w:eastAsia="Arial" w:hAnsi="Arial"/>
                  <w:sz w:val="18"/>
                  <w:szCs w:val="18"/>
                  <w:color w:val="0000FF"/>
                </w:rPr>
                <w:t>Form of Restricted Stock Unit Agreement under the</w:t>
              </w:r>
            </w:hyperlink>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42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760" w:type="dxa"/>
            <w:vAlign w:val="bottom"/>
            <w:tcBorders>
              <w:top w:val="single" w:sz="8" w:color="0000FF"/>
            </w:tcBorders>
            <w:gridSpan w:val="11"/>
          </w:tcPr>
          <w:p>
            <w:pPr>
              <w:spacing w:after="0" w:line="195" w:lineRule="exact"/>
              <w:rPr>
                <w:rFonts w:ascii="Arial" w:cs="Arial" w:eastAsia="Arial" w:hAnsi="Arial"/>
                <w:sz w:val="18"/>
                <w:szCs w:val="18"/>
                <w:color w:val="0000FF"/>
              </w:rPr>
            </w:pPr>
            <w:hyperlink r:id="rId68">
              <w:r>
                <w:rPr>
                  <w:rFonts w:ascii="Arial" w:cs="Arial" w:eastAsia="Arial" w:hAnsi="Arial"/>
                  <w:sz w:val="18"/>
                  <w:szCs w:val="18"/>
                  <w:color w:val="0000FF"/>
                </w:rPr>
                <w:t>Company’s 2015 Long-Term Incentive Plan</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10.12*^</w:t>
            </w:r>
          </w:p>
        </w:tc>
        <w:tc>
          <w:tcPr>
            <w:tcW w:w="3060" w:type="dxa"/>
            <w:vAlign w:val="bottom"/>
            <w:tcBorders>
              <w:top w:val="single" w:sz="8" w:color="0000FF"/>
            </w:tcBorders>
            <w:gridSpan w:val="6"/>
            <w:vMerge w:val="restart"/>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Fiscal Year 2021 Executive Incentive Plan</w:t>
              </w:r>
            </w:hyperlink>
          </w:p>
        </w:tc>
        <w:tc>
          <w:tcPr>
            <w:tcW w:w="100" w:type="dxa"/>
            <w:vAlign w:val="bottom"/>
            <w:tcBorders>
              <w:top w:val="single" w:sz="8" w:color="0000FF"/>
            </w:tcBorders>
            <w:vMerge w:val="restart"/>
          </w:tcPr>
          <w:p>
            <w:pPr>
              <w:spacing w:after="0"/>
              <w:rPr>
                <w:sz w:val="24"/>
                <w:szCs w:val="24"/>
                <w:color w:val="auto"/>
              </w:rPr>
            </w:pPr>
          </w:p>
        </w:tc>
        <w:tc>
          <w:tcPr>
            <w:tcW w:w="126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3060" w:type="dxa"/>
            <w:vAlign w:val="bottom"/>
            <w:tcBorders>
              <w:bottom w:val="single" w:sz="8" w:color="0000FF"/>
            </w:tcBorders>
            <w:gridSpan w:val="6"/>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6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10.13*</w:t>
            </w:r>
          </w:p>
        </w:tc>
        <w:tc>
          <w:tcPr>
            <w:tcW w:w="4420" w:type="dxa"/>
            <w:vAlign w:val="bottom"/>
            <w:gridSpan w:val="23"/>
            <w:vMerge w:val="restart"/>
          </w:tcPr>
          <w:p>
            <w:pPr>
              <w:spacing w:after="0"/>
              <w:rPr>
                <w:rFonts w:ascii="Arial" w:cs="Arial" w:eastAsia="Arial" w:hAnsi="Arial"/>
                <w:sz w:val="18"/>
                <w:szCs w:val="18"/>
                <w:color w:val="0000FF"/>
              </w:rPr>
            </w:pPr>
            <w:hyperlink r:id="rId70">
              <w:r>
                <w:rPr>
                  <w:rFonts w:ascii="Arial" w:cs="Arial" w:eastAsia="Arial" w:hAnsi="Arial"/>
                  <w:sz w:val="18"/>
                  <w:szCs w:val="18"/>
                  <w:color w:val="0000FF"/>
                </w:rPr>
                <w:t>Skyworks Solutions, Inc. Cash Compensation Plan for</w:t>
              </w:r>
            </w:hyperlink>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42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Directors</w:t>
              </w:r>
            </w:hyperlink>
          </w:p>
        </w:tc>
        <w:tc>
          <w:tcPr>
            <w:tcW w:w="3240" w:type="dxa"/>
            <w:vAlign w:val="bottom"/>
            <w:tcBorders>
              <w:top w:val="single" w:sz="8" w:color="0000FF"/>
            </w:tcBorders>
            <w:gridSpan w:val="11"/>
          </w:tcPr>
          <w:p>
            <w:pPr>
              <w:spacing w:after="0"/>
              <w:rPr>
                <w:sz w:val="17"/>
                <w:szCs w:val="17"/>
                <w:color w:val="auto"/>
              </w:rPr>
            </w:pPr>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10.14*</w:t>
            </w:r>
          </w:p>
        </w:tc>
        <w:tc>
          <w:tcPr>
            <w:tcW w:w="4420" w:type="dxa"/>
            <w:vAlign w:val="bottom"/>
            <w:gridSpan w:val="23"/>
            <w:vMerge w:val="restart"/>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Amended and Restated Change in Control / Severance</w:t>
              </w:r>
            </w:hyperlink>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42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23"/>
          </w:tcPr>
          <w:p>
            <w:pPr>
              <w:spacing w:after="0" w:line="195"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Agreement, dated May 11, 2016, between the Company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320" w:type="dxa"/>
            <w:vAlign w:val="bottom"/>
            <w:tcBorders>
              <w:top w:val="single" w:sz="8" w:color="0000FF"/>
            </w:tcBorders>
            <w:gridSpan w:val="18"/>
          </w:tcPr>
          <w:p>
            <w:pPr>
              <w:spacing w:after="0" w:line="195" w:lineRule="exact"/>
              <w:rPr>
                <w:rFonts w:ascii="Arial" w:cs="Arial" w:eastAsia="Arial" w:hAnsi="Arial"/>
                <w:sz w:val="18"/>
                <w:szCs w:val="18"/>
                <w:color w:val="0000FF"/>
              </w:rPr>
            </w:pPr>
            <w:hyperlink r:id="rId71">
              <w:r>
                <w:rPr>
                  <w:rFonts w:ascii="Arial" w:cs="Arial" w:eastAsia="Arial" w:hAnsi="Arial"/>
                  <w:sz w:val="18"/>
                  <w:szCs w:val="18"/>
                  <w:color w:val="0000FF"/>
                </w:rPr>
                <w:t>Liam Griffin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10.15*</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continue"/>
          </w:tcPr>
          <w:p>
            <w:pPr>
              <w:spacing w:after="0"/>
              <w:rPr>
                <w:sz w:val="24"/>
                <w:szCs w:val="24"/>
                <w:color w:val="auto"/>
              </w:rPr>
            </w:pPr>
          </w:p>
        </w:tc>
        <w:tc>
          <w:tcPr>
            <w:tcW w:w="4400" w:type="dxa"/>
            <w:vAlign w:val="bottom"/>
            <w:gridSpan w:val="22"/>
            <w:vMerge w:val="restart"/>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Change in Control / Severance Agreement, dated August 29,</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400" w:type="dxa"/>
            <w:vAlign w:val="bottom"/>
            <w:tcBorders>
              <w:bottom w:val="single" w:sz="8" w:color="0000FF"/>
            </w:tcBorders>
            <w:gridSpan w:val="2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23"/>
          </w:tcPr>
          <w:p>
            <w:pPr>
              <w:spacing w:after="0" w:line="195" w:lineRule="exact"/>
              <w:rPr>
                <w:rFonts w:ascii="Arial" w:cs="Arial" w:eastAsia="Arial" w:hAnsi="Arial"/>
                <w:sz w:val="18"/>
                <w:szCs w:val="18"/>
                <w:color w:val="0000FF"/>
              </w:rPr>
            </w:pPr>
            <w:hyperlink r:id="rId72">
              <w:r>
                <w:rPr>
                  <w:rFonts w:ascii="Arial" w:cs="Arial" w:eastAsia="Arial" w:hAnsi="Arial"/>
                  <w:sz w:val="18"/>
                  <w:szCs w:val="18"/>
                  <w:color w:val="0000FF"/>
                </w:rPr>
                <w:t>2016, between the Company and Kris Sennesael</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10.16*</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continue"/>
          </w:tcPr>
          <w:p>
            <w:pPr>
              <w:spacing w:after="0"/>
              <w:rPr>
                <w:sz w:val="24"/>
                <w:szCs w:val="24"/>
                <w:color w:val="auto"/>
              </w:rPr>
            </w:pPr>
          </w:p>
        </w:tc>
        <w:tc>
          <w:tcPr>
            <w:tcW w:w="4340" w:type="dxa"/>
            <w:vAlign w:val="bottom"/>
            <w:gridSpan w:val="19"/>
            <w:vMerge w:val="restart"/>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Change in Control / Severance Agreement, dated November</w:t>
              </w:r>
            </w:hyperlink>
          </w:p>
        </w:tc>
        <w:tc>
          <w:tcPr>
            <w:tcW w:w="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340" w:type="dxa"/>
            <w:vAlign w:val="bottom"/>
            <w:tcBorders>
              <w:bottom w:val="single" w:sz="8" w:color="0000FF"/>
            </w:tcBorders>
            <w:gridSpan w:val="19"/>
            <w:vMerge w:val="continue"/>
          </w:tcPr>
          <w:p>
            <w:pPr>
              <w:spacing w:after="0"/>
              <w:rPr>
                <w:sz w:val="3"/>
                <w:szCs w:val="3"/>
                <w:color w:val="auto"/>
              </w:rPr>
            </w:pPr>
          </w:p>
        </w:tc>
        <w:tc>
          <w:tcPr>
            <w:tcW w:w="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23"/>
          </w:tcPr>
          <w:p>
            <w:pPr>
              <w:spacing w:after="0" w:line="195" w:lineRule="exact"/>
              <w:rPr>
                <w:rFonts w:ascii="Arial" w:cs="Arial" w:eastAsia="Arial" w:hAnsi="Arial"/>
                <w:sz w:val="18"/>
                <w:szCs w:val="18"/>
                <w:color w:val="0000FF"/>
              </w:rPr>
            </w:pPr>
            <w:hyperlink r:id="rId73">
              <w:r>
                <w:rPr>
                  <w:rFonts w:ascii="Arial" w:cs="Arial" w:eastAsia="Arial" w:hAnsi="Arial"/>
                  <w:sz w:val="18"/>
                  <w:szCs w:val="18"/>
                  <w:color w:val="0000FF"/>
                </w:rPr>
                <w:t>10, 2016, between the Company and Robert J. Terry</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10.17*</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continue"/>
          </w:tcPr>
          <w:p>
            <w:pPr>
              <w:spacing w:after="0"/>
              <w:rPr>
                <w:sz w:val="24"/>
                <w:szCs w:val="24"/>
                <w:color w:val="auto"/>
              </w:rPr>
            </w:pPr>
          </w:p>
        </w:tc>
        <w:tc>
          <w:tcPr>
            <w:tcW w:w="4340" w:type="dxa"/>
            <w:vAlign w:val="bottom"/>
            <w:gridSpan w:val="19"/>
            <w:vMerge w:val="restart"/>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Change in Control / Severance Agreement, dated November</w:t>
              </w:r>
            </w:hyperlink>
          </w:p>
        </w:tc>
        <w:tc>
          <w:tcPr>
            <w:tcW w:w="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340" w:type="dxa"/>
            <w:vAlign w:val="bottom"/>
            <w:tcBorders>
              <w:bottom w:val="single" w:sz="8" w:color="0000FF"/>
            </w:tcBorders>
            <w:gridSpan w:val="19"/>
            <w:vMerge w:val="continue"/>
          </w:tcPr>
          <w:p>
            <w:pPr>
              <w:spacing w:after="0"/>
              <w:rPr>
                <w:sz w:val="3"/>
                <w:szCs w:val="3"/>
                <w:color w:val="auto"/>
              </w:rPr>
            </w:pPr>
          </w:p>
        </w:tc>
        <w:tc>
          <w:tcPr>
            <w:tcW w:w="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20" w:type="dxa"/>
            <w:vAlign w:val="bottom"/>
            <w:tcBorders>
              <w:bottom w:val="single" w:sz="8" w:color="0000FF"/>
            </w:tcBorders>
            <w:gridSpan w:val="10"/>
          </w:tcPr>
          <w:p>
            <w:pPr>
              <w:spacing w:after="0" w:line="195"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9, 2016, between the Company and Carlos S. Bori</w:t>
              </w:r>
            </w:hyperlink>
          </w:p>
        </w:tc>
        <w:tc>
          <w:tcPr>
            <w:tcW w:w="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10.18*</w:t>
            </w:r>
          </w:p>
        </w:tc>
        <w:tc>
          <w:tcPr>
            <w:tcW w:w="4240" w:type="dxa"/>
            <w:vAlign w:val="bottom"/>
            <w:gridSpan w:val="17"/>
            <w:vMerge w:val="restart"/>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Change in Control / Severance Agreement, dated April 13,</w:t>
              </w:r>
            </w:hyperlink>
          </w:p>
        </w:tc>
        <w:tc>
          <w:tcPr>
            <w:tcW w:w="1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240" w:type="dxa"/>
            <w:vAlign w:val="bottom"/>
            <w:tcBorders>
              <w:bottom w:val="single" w:sz="8" w:color="0000FF"/>
            </w:tcBorders>
            <w:gridSpan w:val="17"/>
            <w:vMerge w:val="continue"/>
          </w:tcPr>
          <w:p>
            <w:pPr>
              <w:spacing w:after="0"/>
              <w:rPr>
                <w:sz w:val="3"/>
                <w:szCs w:val="3"/>
                <w:color w:val="auto"/>
              </w:rPr>
            </w:pPr>
          </w:p>
        </w:tc>
        <w:tc>
          <w:tcPr>
            <w:tcW w:w="1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20" w:type="dxa"/>
            <w:vAlign w:val="bottom"/>
            <w:gridSpan w:val="23"/>
          </w:tcPr>
          <w:p>
            <w:pPr>
              <w:spacing w:after="0" w:line="195" w:lineRule="exact"/>
              <w:rPr>
                <w:rFonts w:ascii="Arial" w:cs="Arial" w:eastAsia="Arial" w:hAnsi="Arial"/>
                <w:sz w:val="18"/>
                <w:szCs w:val="18"/>
                <w:color w:val="0000FF"/>
              </w:rPr>
            </w:pPr>
            <w:hyperlink r:id="rId75">
              <w:r>
                <w:rPr>
                  <w:rFonts w:ascii="Arial" w:cs="Arial" w:eastAsia="Arial" w:hAnsi="Arial"/>
                  <w:sz w:val="18"/>
                  <w:szCs w:val="18"/>
                  <w:color w:val="0000FF"/>
                </w:rPr>
                <w:t>2018, between the Company and Kari A. Durham</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3"/>
              </w:rPr>
              <w:t>10.19</w:t>
            </w:r>
          </w:p>
        </w:tc>
        <w:tc>
          <w:tcPr>
            <w:tcW w:w="4420" w:type="dxa"/>
            <w:vAlign w:val="bottom"/>
            <w:gridSpan w:val="23"/>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Debt Commitment Letter, dated as of April 22, 2021, by and</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36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between Skyworks Solutions, Inc., and JPMorgan Chase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0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Bank, N.A</w:t>
              </w:r>
            </w:hyperlink>
          </w:p>
        </w:tc>
        <w:tc>
          <w:tcPr>
            <w:tcW w:w="1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3"/>
              </w:rPr>
              <w:t>10.20^</w:t>
            </w:r>
          </w:p>
        </w:tc>
        <w:tc>
          <w:tcPr>
            <w:tcW w:w="4220" w:type="dxa"/>
            <w:vAlign w:val="bottom"/>
            <w:tcBorders>
              <w:bottom w:val="single" w:sz="8" w:color="0000FF"/>
            </w:tcBorders>
            <w:gridSpan w:val="16"/>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Term Credit Agreement, dated as of May 21, 2021, among</w:t>
              </w:r>
            </w:hyperlink>
          </w:p>
        </w:tc>
        <w:tc>
          <w:tcPr>
            <w:tcW w:w="2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420" w:type="dxa"/>
            <w:vAlign w:val="bottom"/>
            <w:gridSpan w:val="23"/>
          </w:tcPr>
          <w:p>
            <w:pPr>
              <w:spacing w:after="0" w:line="15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the Company, the lenders party thereto and JPMorgan Chase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Bank, N.A., as the administrative agent</w:t>
              </w:r>
            </w:hyperlink>
          </w:p>
        </w:tc>
        <w:tc>
          <w:tcPr>
            <w:tcW w:w="15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3"/>
              </w:rPr>
              <w:t>10.21^</w:t>
            </w:r>
          </w:p>
        </w:tc>
        <w:tc>
          <w:tcPr>
            <w:tcW w:w="4420" w:type="dxa"/>
            <w:vAlign w:val="bottom"/>
            <w:gridSpan w:val="23"/>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Revolving Credit Agreement, dated as of May 21, 2021,</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06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among the Company, the Borrowing Subsidiaries party</w:t>
              </w:r>
            </w:hyperlink>
          </w:p>
        </w:tc>
        <w:tc>
          <w:tcPr>
            <w:tcW w:w="3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396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thereto, the lenders party thereto and JPMorgan Chase</w:t>
              </w:r>
            </w:hyperlink>
          </w:p>
        </w:tc>
        <w:tc>
          <w:tcPr>
            <w:tcW w:w="460" w:type="dxa"/>
            <w:vAlign w:val="bottom"/>
            <w:gridSpan w:val="10"/>
          </w:tcPr>
          <w:p>
            <w:pPr>
              <w:spacing w:after="0" w:line="15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Bank,</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4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N.A., as the administrative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60" w:hanging="761"/>
        <w:spacing w:after="0" w:line="195" w:lineRule="auto"/>
        <w:tabs>
          <w:tab w:leader="none" w:pos="960" w:val="left"/>
        </w:tabs>
        <w:numPr>
          <w:ilvl w:val="0"/>
          <w:numId w:val="47"/>
        </w:numPr>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Subsidiaries of the Company</w:t>
        </w:r>
      </w:hyperlink>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23.1</w:t>
            </w:r>
          </w:p>
        </w:tc>
        <w:tc>
          <w:tcPr>
            <w:tcW w:w="1720" w:type="dxa"/>
            <w:vAlign w:val="bottom"/>
            <w:vMerge w:val="restart"/>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Consent of KPMG LLP</w:t>
              </w:r>
            </w:hyperlink>
          </w:p>
        </w:tc>
        <w:tc>
          <w:tcPr>
            <w:tcW w:w="242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820" w:type="dxa"/>
            <w:vAlign w:val="bottom"/>
          </w:tcPr>
          <w:p>
            <w:pPr>
              <w:spacing w:after="0"/>
              <w:rPr>
                <w:sz w:val="2"/>
                <w:szCs w:val="2"/>
                <w:color w:val="auto"/>
              </w:rPr>
            </w:pPr>
          </w:p>
        </w:tc>
        <w:tc>
          <w:tcPr>
            <w:tcW w:w="1720" w:type="dxa"/>
            <w:vAlign w:val="bottom"/>
            <w:tcBorders>
              <w:bottom w:val="single" w:sz="8" w:color="0000FF"/>
            </w:tcBorders>
            <w:vMerge w:val="continue"/>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31.1</w:t>
            </w:r>
          </w:p>
        </w:tc>
        <w:tc>
          <w:tcPr>
            <w:tcW w:w="4140" w:type="dxa"/>
            <w:vAlign w:val="bottom"/>
            <w:gridSpan w:val="6"/>
            <w:vMerge w:val="restart"/>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Certification of the Company’s Chief Executive Officer</w:t>
              </w:r>
            </w:hyperlink>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41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120" w:type="dxa"/>
            <w:vAlign w:val="bottom"/>
            <w:tcBorders>
              <w:bottom w:val="single" w:sz="8" w:color="0000FF"/>
            </w:tcBorders>
            <w:gridSpan w:val="5"/>
          </w:tcPr>
          <w:p>
            <w:pPr>
              <w:spacing w:after="0" w:line="195"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pursuant to Securities and Exchange Act Rules 13a-14(a)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80" w:type="dxa"/>
            <w:vAlign w:val="bottom"/>
            <w:tcBorders>
              <w:bottom w:val="single" w:sz="8" w:color="0000FF"/>
            </w:tcBorders>
            <w:gridSpan w:val="4"/>
          </w:tcPr>
          <w:p>
            <w:pPr>
              <w:spacing w:after="0" w:line="195" w:lineRule="exact"/>
              <w:rPr>
                <w:rFonts w:ascii="Arial" w:cs="Arial" w:eastAsia="Arial" w:hAnsi="Arial"/>
                <w:sz w:val="18"/>
                <w:szCs w:val="18"/>
                <w:color w:val="0000FF"/>
                <w:w w:val="88"/>
              </w:rPr>
            </w:pPr>
            <w:hyperlink r:id="rId81">
              <w:r>
                <w:rPr>
                  <w:rFonts w:ascii="Arial" w:cs="Arial" w:eastAsia="Arial" w:hAnsi="Arial"/>
                  <w:sz w:val="18"/>
                  <w:szCs w:val="18"/>
                  <w:color w:val="0000FF"/>
                  <w:w w:val="88"/>
                </w:rPr>
                <w:t>and 15d-14(a), as adopted pursuant to Section 302 of the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5"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Sarbanes-Oxley Act of 2002</w:t>
              </w:r>
            </w:hyperlink>
          </w:p>
        </w:tc>
        <w:tc>
          <w:tcPr>
            <w:tcW w:w="20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31.2</w:t>
            </w:r>
          </w:p>
        </w:tc>
        <w:tc>
          <w:tcPr>
            <w:tcW w:w="4000" w:type="dxa"/>
            <w:vAlign w:val="bottom"/>
            <w:gridSpan w:val="3"/>
            <w:vMerge w:val="restart"/>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Certification of the Company’s Chief Financial Officer</w:t>
              </w:r>
            </w:hyperlink>
          </w:p>
        </w:tc>
        <w:tc>
          <w:tcPr>
            <w:tcW w:w="1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4000" w:type="dxa"/>
            <w:vAlign w:val="bottom"/>
            <w:tcBorders>
              <w:bottom w:val="single" w:sz="8" w:color="0000FF"/>
            </w:tcBorders>
            <w:gridSpan w:val="3"/>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120" w:type="dxa"/>
            <w:vAlign w:val="bottom"/>
            <w:tcBorders>
              <w:bottom w:val="single" w:sz="8" w:color="0000FF"/>
            </w:tcBorders>
            <w:gridSpan w:val="5"/>
          </w:tcPr>
          <w:p>
            <w:pPr>
              <w:spacing w:after="0" w:line="195" w:lineRule="exact"/>
              <w:rPr>
                <w:rFonts w:ascii="Arial" w:cs="Arial" w:eastAsia="Arial" w:hAnsi="Arial"/>
                <w:sz w:val="18"/>
                <w:szCs w:val="18"/>
                <w:color w:val="0000FF"/>
                <w:w w:val="89"/>
              </w:rPr>
            </w:pPr>
            <w:hyperlink r:id="rId82">
              <w:r>
                <w:rPr>
                  <w:rFonts w:ascii="Arial" w:cs="Arial" w:eastAsia="Arial" w:hAnsi="Arial"/>
                  <w:sz w:val="18"/>
                  <w:szCs w:val="18"/>
                  <w:color w:val="0000FF"/>
                  <w:w w:val="89"/>
                </w:rPr>
                <w:t>pursuant to Securities and Exchange Act Rules 13a-14(a)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80" w:type="dxa"/>
            <w:vAlign w:val="bottom"/>
            <w:tcBorders>
              <w:bottom w:val="single" w:sz="8" w:color="0000FF"/>
            </w:tcBorders>
            <w:gridSpan w:val="4"/>
          </w:tcPr>
          <w:p>
            <w:pPr>
              <w:spacing w:after="0" w:line="195" w:lineRule="exact"/>
              <w:rPr>
                <w:rFonts w:ascii="Arial" w:cs="Arial" w:eastAsia="Arial" w:hAnsi="Arial"/>
                <w:sz w:val="18"/>
                <w:szCs w:val="18"/>
                <w:color w:val="0000FF"/>
                <w:w w:val="88"/>
              </w:rPr>
            </w:pPr>
            <w:hyperlink r:id="rId82">
              <w:r>
                <w:rPr>
                  <w:rFonts w:ascii="Arial" w:cs="Arial" w:eastAsia="Arial" w:hAnsi="Arial"/>
                  <w:sz w:val="18"/>
                  <w:szCs w:val="18"/>
                  <w:color w:val="0000FF"/>
                  <w:w w:val="88"/>
                </w:rPr>
                <w:t>and 15d-14(a), as adopted pursuant to Section 302 of the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5"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Sarbanes-Oxley Act of 2002</w:t>
              </w:r>
            </w:hyperlink>
          </w:p>
        </w:tc>
        <w:tc>
          <w:tcPr>
            <w:tcW w:w="20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31.3</w:t>
            </w:r>
          </w:p>
        </w:tc>
        <w:tc>
          <w:tcPr>
            <w:tcW w:w="4140" w:type="dxa"/>
            <w:vAlign w:val="bottom"/>
            <w:gridSpan w:val="6"/>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of the Company’s Chief Executive Officer</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0" w:type="dxa"/>
            <w:vAlign w:val="bottom"/>
          </w:tcPr>
          <w:p>
            <w:pPr>
              <w:spacing w:after="0"/>
              <w:rPr>
                <w:sz w:val="13"/>
                <w:szCs w:val="13"/>
                <w:color w:val="auto"/>
              </w:rPr>
            </w:pPr>
          </w:p>
        </w:tc>
        <w:tc>
          <w:tcPr>
            <w:tcW w:w="4140" w:type="dxa"/>
            <w:vAlign w:val="bottom"/>
            <w:gridSpan w:val="6"/>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pursuant to Securities and Exchange Act Rules 13a-14(a)</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and 15d-14(a), as adopted pursuant to Section 302 of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Sarbanes-Oxley Act of 2002</w:t>
              </w:r>
            </w:hyperlink>
          </w:p>
        </w:tc>
        <w:tc>
          <w:tcPr>
            <w:tcW w:w="202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31.4</w:t>
            </w:r>
          </w:p>
        </w:tc>
        <w:tc>
          <w:tcPr>
            <w:tcW w:w="40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Certification of the Company’s Chief Financial Officer</w:t>
              </w:r>
            </w:hyperlink>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140" w:type="dxa"/>
            <w:vAlign w:val="bottom"/>
            <w:gridSpan w:val="6"/>
          </w:tcPr>
          <w:p>
            <w:pPr>
              <w:spacing w:after="0" w:line="15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pursuant to Securities and Exchange Act Rules 13a-14(a)</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and 15d-14(a), as adopted pursuant to Section 302 of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Sarbanes-Oxley Act of 2002</w:t>
              </w:r>
            </w:hyperlink>
          </w:p>
        </w:tc>
        <w:tc>
          <w:tcPr>
            <w:tcW w:w="202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88"/>
              </w:rPr>
              <w:t>8/5/2015</w:t>
            </w: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1/29/2021</w:t>
            </w:r>
          </w:p>
        </w:tc>
      </w:tr>
      <w:tr>
        <w:trPr>
          <w:trHeight w:val="36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88"/>
              </w:rPr>
              <w:t>5/5/2020</w:t>
            </w: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88"/>
              </w:rPr>
              <w:t>8/3/2016</w:t>
            </w:r>
          </w:p>
        </w:tc>
      </w:tr>
      <w:tr>
        <w:trPr>
          <w:trHeight w:val="796"/>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11/22/2016</w:t>
            </w: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88"/>
              </w:rPr>
              <w:t>2/7/2017</w:t>
            </w: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11/13/2017</w:t>
            </w:r>
          </w:p>
        </w:tc>
      </w:tr>
      <w:tr>
        <w:trPr>
          <w:trHeight w:val="823"/>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1/24/2020</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4/22/2021</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r>
      <w:tr>
        <w:trPr>
          <w:trHeight w:val="755"/>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11/24/2021</w:t>
            </w:r>
          </w:p>
        </w:tc>
      </w:tr>
      <w:tr>
        <w:trPr>
          <w:trHeight w:val="36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11/24/2021</w:t>
            </w:r>
          </w:p>
        </w:tc>
      </w:tr>
      <w:tr>
        <w:trPr>
          <w:trHeight w:val="36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11/24/2021</w:t>
            </w:r>
          </w:p>
        </w:tc>
      </w:tr>
      <w:tr>
        <w:trPr>
          <w:trHeight w:val="1011"/>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11/24/2021</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340" w:space="340"/>
            <w:col w:w="4780"/>
          </w:cols>
          <w:pgMar w:left="700" w:top="934" w:right="739" w:bottom="1440" w:gutter="0" w:footer="0" w:header="0"/>
        </w:sectPr>
      </w:pPr>
    </w:p>
    <w:bookmarkStart w:id="41" w:name="page42"/>
    <w:bookmarkEnd w:id="41"/>
    <w:tbl>
      <w:tblPr>
        <w:tblLayout w:type="fixed"/>
        <w:tblInd w:w="340" w:type="dxa"/>
        <w:tblCellMar>
          <w:top w:w="0" w:type="dxa"/>
          <w:left w:w="0" w:type="dxa"/>
          <w:bottom w:w="0" w:type="dxa"/>
          <w:right w:w="0" w:type="dxa"/>
        </w:tblCellMar>
      </w:tblPr>
      <w:tr>
        <w:trPr>
          <w:trHeight w:val="23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32.1</w:t>
            </w:r>
          </w:p>
        </w:tc>
        <w:tc>
          <w:tcPr>
            <w:tcW w:w="4260" w:type="dxa"/>
            <w:vAlign w:val="bottom"/>
            <w:gridSpan w:val="3"/>
            <w:vMerge w:val="restart"/>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Certification of the Company’s Chief Executive Officer</w:t>
              </w:r>
            </w:hyperlink>
          </w:p>
        </w:tc>
        <w:tc>
          <w:tcPr>
            <w:tcW w:w="0" w:type="dxa"/>
            <w:vAlign w:val="bottom"/>
          </w:tcPr>
          <w:p>
            <w:pPr>
              <w:spacing w:after="0"/>
              <w:rPr>
                <w:sz w:val="1"/>
                <w:szCs w:val="1"/>
                <w:color w:val="auto"/>
              </w:rPr>
            </w:pPr>
          </w:p>
        </w:tc>
      </w:tr>
      <w:tr>
        <w:trPr>
          <w:trHeight w:val="40"/>
        </w:trPr>
        <w:tc>
          <w:tcPr>
            <w:tcW w:w="1000" w:type="dxa"/>
            <w:vAlign w:val="bottom"/>
          </w:tcPr>
          <w:p>
            <w:pPr>
              <w:spacing w:after="0"/>
              <w:rPr>
                <w:sz w:val="3"/>
                <w:szCs w:val="3"/>
                <w:color w:val="auto"/>
              </w:rPr>
            </w:pPr>
          </w:p>
        </w:tc>
        <w:tc>
          <w:tcPr>
            <w:tcW w:w="4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tcBorders>
              <w:bottom w:val="single" w:sz="8" w:color="0000FF"/>
            </w:tcBorders>
            <w:gridSpan w:val="3"/>
          </w:tcPr>
          <w:p>
            <w:pPr>
              <w:spacing w:after="0" w:line="195" w:lineRule="exact"/>
              <w:rPr>
                <w:rFonts w:ascii="Arial" w:cs="Arial" w:eastAsia="Arial" w:hAnsi="Arial"/>
                <w:sz w:val="18"/>
                <w:szCs w:val="18"/>
                <w:color w:val="0000FF"/>
                <w:w w:val="88"/>
              </w:rPr>
            </w:pPr>
            <w:hyperlink r:id="rId84">
              <w:r>
                <w:rPr>
                  <w:rFonts w:ascii="Arial" w:cs="Arial" w:eastAsia="Arial" w:hAnsi="Arial"/>
                  <w:sz w:val="18"/>
                  <w:szCs w:val="18"/>
                  <w:color w:val="0000FF"/>
                  <w:w w:val="88"/>
                </w:rPr>
                <w:t>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20" w:type="dxa"/>
            <w:vAlign w:val="bottom"/>
            <w:tcBorders>
              <w:bottom w:val="single" w:sz="8" w:color="0000FF"/>
            </w:tcBorders>
          </w:tcPr>
          <w:p>
            <w:pPr>
              <w:spacing w:after="0" w:line="195"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Section 906 of the Sarbanes-Oxley Act of 2002</w:t>
              </w:r>
            </w:hyperlink>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32.2</w:t>
            </w:r>
          </w:p>
        </w:tc>
        <w:tc>
          <w:tcPr>
            <w:tcW w:w="4000" w:type="dxa"/>
            <w:vAlign w:val="bottom"/>
            <w:gridSpan w:val="2"/>
            <w:vMerge w:val="restart"/>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Certification of the Company’s Chief Financial Officer</w:t>
              </w:r>
            </w:hyperlink>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4000" w:type="dxa"/>
            <w:vAlign w:val="bottom"/>
            <w:tcBorders>
              <w:bottom w:val="single" w:sz="8" w:color="0000FF"/>
            </w:tcBorders>
            <w:gridSpan w:val="2"/>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tcBorders>
              <w:bottom w:val="single" w:sz="8" w:color="0000FF"/>
            </w:tcBorders>
            <w:gridSpan w:val="3"/>
          </w:tcPr>
          <w:p>
            <w:pPr>
              <w:spacing w:after="0" w:line="195"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420" w:type="dxa"/>
            <w:vAlign w:val="bottom"/>
            <w:tcBorders>
              <w:bottom w:val="single" w:sz="8" w:color="0000FF"/>
            </w:tcBorders>
          </w:tcPr>
          <w:p>
            <w:pPr>
              <w:spacing w:after="0" w:line="195"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Section 906 of the Sarbanes-Oxley Act of 2002</w:t>
              </w:r>
            </w:hyperlink>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101.INS</w:t>
            </w:r>
          </w:p>
        </w:tc>
        <w:tc>
          <w:tcPr>
            <w:tcW w:w="4260" w:type="dxa"/>
            <w:vAlign w:val="bottom"/>
            <w:gridSpan w:val="3"/>
          </w:tcPr>
          <w:p>
            <w:pPr>
              <w:spacing w:after="0"/>
              <w:rPr>
                <w:sz w:val="20"/>
                <w:szCs w:val="20"/>
                <w:color w:val="auto"/>
              </w:rPr>
            </w:pPr>
            <w:r>
              <w:rPr>
                <w:rFonts w:ascii="Arial" w:cs="Arial" w:eastAsia="Arial" w:hAnsi="Arial"/>
                <w:sz w:val="18"/>
                <w:szCs w:val="18"/>
                <w:color w:val="auto"/>
                <w:w w:val="93"/>
              </w:rPr>
              <w:t>Inline XBRL Instance Document - the instance document</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w w:val="96"/>
              </w:rPr>
              <w:t>does not appear in the Interactive Data File because its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4260" w:type="dxa"/>
            <w:vAlign w:val="bottom"/>
            <w:gridSpan w:val="3"/>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0" w:type="dxa"/>
            <w:vAlign w:val="bottom"/>
          </w:tcPr>
          <w:p>
            <w:pPr>
              <w:spacing w:after="0"/>
              <w:rPr>
                <w:sz w:val="1"/>
                <w:szCs w:val="1"/>
                <w:color w:val="auto"/>
              </w:rPr>
            </w:pPr>
          </w:p>
        </w:tc>
      </w:tr>
      <w:tr>
        <w:trPr>
          <w:trHeight w:val="176"/>
        </w:trPr>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4"/>
              </w:rPr>
              <w:t>101.CAL</w:t>
            </w: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w w:val="96"/>
              </w:rPr>
              <w:t>Inline XBRL Taxonomy Extension Calculation Linkbase</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2"/>
              </w:rPr>
              <w:t>101.DEF</w:t>
            </w: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w w:val="99"/>
              </w:rPr>
              <w:t>Inline XBRL Taxonomy Extension Definition Linkbase</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5"/>
              </w:rPr>
              <w:t>101.LAB</w:t>
            </w: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1"/>
              </w:rPr>
              <w:t>101.PRE</w:t>
            </w:r>
          </w:p>
        </w:tc>
        <w:tc>
          <w:tcPr>
            <w:tcW w:w="4260" w:type="dxa"/>
            <w:vAlign w:val="bottom"/>
            <w:gridSpan w:val="3"/>
          </w:tcPr>
          <w:p>
            <w:pPr>
              <w:spacing w:after="0" w:line="176" w:lineRule="exact"/>
              <w:rPr>
                <w:sz w:val="20"/>
                <w:szCs w:val="20"/>
                <w:color w:val="auto"/>
              </w:rPr>
            </w:pPr>
            <w:r>
              <w:rPr>
                <w:rFonts w:ascii="Arial" w:cs="Arial" w:eastAsia="Arial" w:hAnsi="Arial"/>
                <w:sz w:val="18"/>
                <w:szCs w:val="18"/>
                <w:color w:val="auto"/>
                <w:w w:val="93"/>
              </w:rPr>
              <w:t>Inline XBRL Taxonomy Extension Presentation Linkbase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340" w:hanging="806"/>
        <w:spacing w:after="0" w:line="223" w:lineRule="auto"/>
        <w:tabs>
          <w:tab w:leader="none" w:pos="13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tabs>
          <w:tab w:leader="none" w:pos="880" w:val="left"/>
          <w:tab w:leader="none" w:pos="2280" w:val="left"/>
          <w:tab w:leader="none" w:pos="32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11/24/2021</w:t>
      </w:r>
    </w:p>
    <w:p>
      <w:pPr>
        <w:spacing w:after="0" w:line="200" w:lineRule="exact"/>
        <w:rPr>
          <w:sz w:val="20"/>
          <w:szCs w:val="20"/>
          <w:color w:val="auto"/>
        </w:rPr>
      </w:pPr>
    </w:p>
    <w:p>
      <w:pPr>
        <w:spacing w:after="0" w:line="389" w:lineRule="exact"/>
        <w:rPr>
          <w:sz w:val="20"/>
          <w:szCs w:val="20"/>
          <w:color w:val="auto"/>
        </w:rPr>
      </w:pPr>
    </w:p>
    <w:p>
      <w:pPr>
        <w:spacing w:after="0"/>
        <w:tabs>
          <w:tab w:leader="none" w:pos="880" w:val="left"/>
          <w:tab w:leader="none" w:pos="2280" w:val="left"/>
          <w:tab w:leader="none" w:pos="32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11/24/2021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197"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1253" w:lineRule="exact"/>
        <w:rPr>
          <w:sz w:val="20"/>
          <w:szCs w:val="20"/>
          <w:color w:val="auto"/>
        </w:rPr>
      </w:pPr>
    </w:p>
    <w:p>
      <w:pPr>
        <w:sectPr>
          <w:pgSz w:w="11900" w:h="16838" w:orient="portrait"/>
          <w:cols w:equalWidth="0" w:num="2">
            <w:col w:w="5680" w:space="380"/>
            <w:col w:w="5180"/>
          </w:cols>
          <w:pgMar w:left="320" w:top="934" w:right="339" w:bottom="1440" w:gutter="0" w:footer="0" w:header="0"/>
        </w:sectPr>
      </w:pPr>
    </w:p>
    <w:p>
      <w:pPr>
        <w:spacing w:after="0" w:line="36" w:lineRule="exact"/>
        <w:rPr>
          <w:sz w:val="20"/>
          <w:szCs w:val="20"/>
          <w:color w:val="auto"/>
        </w:rPr>
      </w:pPr>
    </w:p>
    <w:p>
      <w:pPr>
        <w:ind w:firstLine="8"/>
        <w:spacing w:after="0" w:line="277" w:lineRule="auto"/>
        <w:tabs>
          <w:tab w:leader="none" w:pos="1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42" w:name="page43"/>
    <w:bookmarkEnd w:id="4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00" w:lineRule="exact"/>
        <w:rPr>
          <w:sz w:val="20"/>
          <w:szCs w:val="20"/>
          <w:color w:val="auto"/>
        </w:rPr>
      </w:pP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8"/>
          <w:szCs w:val="18"/>
          <w:u w:val="single" w:color="auto"/>
          <w:color w:val="auto"/>
        </w:rPr>
        <w:t>SKYWORKS SOLUTIONS, INC.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8"/>
          <w:szCs w:val="18"/>
          <w:color w:val="auto"/>
        </w:rPr>
        <w:t>By:</w:t>
        <w:tab/>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14605</wp:posOffset>
            </wp:positionV>
            <wp:extent cx="3099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Chairman, Chief Executive Officer and President</w:t>
      </w:r>
    </w:p>
    <w:p>
      <w:pPr>
        <w:spacing w:after="0" w:line="2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890" w:right="5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31.3</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CEO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Liam K. Griffin, certify that:</w:t>
      </w:r>
    </w:p>
    <w:p>
      <w:pPr>
        <w:spacing w:after="0" w:line="251" w:lineRule="exact"/>
        <w:rPr>
          <w:sz w:val="20"/>
          <w:szCs w:val="20"/>
          <w:color w:val="auto"/>
        </w:rPr>
      </w:pPr>
    </w:p>
    <w:p>
      <w:pPr>
        <w:ind w:left="680" w:hanging="308"/>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51" w:lineRule="exact"/>
        <w:rPr>
          <w:rFonts w:ascii="Arial" w:cs="Arial" w:eastAsia="Arial" w:hAnsi="Arial"/>
          <w:sz w:val="18"/>
          <w:szCs w:val="18"/>
          <w:color w:val="auto"/>
        </w:rPr>
      </w:pPr>
    </w:p>
    <w:p>
      <w:pPr>
        <w:jc w:val="both"/>
        <w:ind w:left="660" w:right="100" w:hanging="288"/>
        <w:spacing w:after="0" w:line="263" w:lineRule="auto"/>
        <w:tabs>
          <w:tab w:leader="none" w:pos="6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right="60" w:hanging="288"/>
        <w:spacing w:after="0" w:line="307" w:lineRule="auto"/>
        <w:tabs>
          <w:tab w:leader="none" w:pos="691"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20" w:hanging="288"/>
        <w:spacing w:after="0" w:line="263" w:lineRule="auto"/>
        <w:tabs>
          <w:tab w:leader="none" w:pos="6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980" w:right="60" w:hanging="284"/>
        <w:spacing w:after="0" w:line="263" w:lineRule="auto"/>
        <w:tabs>
          <w:tab w:leader="none" w:pos="101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980" w:right="380" w:hanging="284"/>
        <w:spacing w:after="0" w:line="263" w:lineRule="auto"/>
        <w:tabs>
          <w:tab w:leader="none" w:pos="10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jc w:val="both"/>
        <w:ind w:left="980" w:right="540" w:hanging="284"/>
        <w:spacing w:after="0" w:line="341" w:lineRule="auto"/>
        <w:tabs>
          <w:tab w:leader="none" w:pos="1016"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980" w:right="60" w:hanging="284"/>
        <w:spacing w:after="0" w:line="263" w:lineRule="auto"/>
        <w:tabs>
          <w:tab w:leader="none" w:pos="10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right="260" w:hanging="288"/>
        <w:spacing w:after="0" w:line="341" w:lineRule="auto"/>
        <w:tabs>
          <w:tab w:leader="none" w:pos="6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6"/>
          <w:szCs w:val="16"/>
          <w:color w:val="auto"/>
        </w:rPr>
      </w:pPr>
    </w:p>
    <w:p>
      <w:pPr>
        <w:ind w:left="980" w:right="800" w:hanging="284"/>
        <w:spacing w:after="0" w:line="341" w:lineRule="auto"/>
        <w:tabs>
          <w:tab w:leader="none" w:pos="1016"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980" w:right="480" w:hanging="284"/>
        <w:spacing w:after="0" w:line="277" w:lineRule="auto"/>
        <w:tabs>
          <w:tab w:leader="none" w:pos="10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16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Liam K.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31.4</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CFO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251" w:lineRule="exact"/>
        <w:rPr>
          <w:sz w:val="20"/>
          <w:szCs w:val="20"/>
          <w:color w:val="auto"/>
        </w:rPr>
      </w:pPr>
    </w:p>
    <w:p>
      <w:pPr>
        <w:ind w:left="680" w:hanging="308"/>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51" w:lineRule="exact"/>
        <w:rPr>
          <w:rFonts w:ascii="Arial" w:cs="Arial" w:eastAsia="Arial" w:hAnsi="Arial"/>
          <w:sz w:val="18"/>
          <w:szCs w:val="18"/>
          <w:color w:val="auto"/>
        </w:rPr>
      </w:pPr>
    </w:p>
    <w:p>
      <w:pPr>
        <w:jc w:val="both"/>
        <w:ind w:left="660" w:right="100" w:hanging="288"/>
        <w:spacing w:after="0" w:line="263" w:lineRule="auto"/>
        <w:tabs>
          <w:tab w:leader="none" w:pos="69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right="60" w:hanging="288"/>
        <w:spacing w:after="0" w:line="307" w:lineRule="auto"/>
        <w:tabs>
          <w:tab w:leader="none" w:pos="691"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20" w:hanging="288"/>
        <w:spacing w:after="0" w:line="263" w:lineRule="auto"/>
        <w:tabs>
          <w:tab w:leader="none" w:pos="6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ind w:left="980" w:right="60" w:hanging="284"/>
        <w:spacing w:after="0" w:line="263" w:lineRule="auto"/>
        <w:tabs>
          <w:tab w:leader="none" w:pos="10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980" w:right="380" w:hanging="284"/>
        <w:spacing w:after="0" w:line="263"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jc w:val="both"/>
        <w:ind w:left="980" w:right="540" w:hanging="284"/>
        <w:spacing w:after="0" w:line="341" w:lineRule="auto"/>
        <w:tabs>
          <w:tab w:leader="none" w:pos="1016"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980" w:right="60" w:hanging="284"/>
        <w:spacing w:after="0" w:line="263"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right="260" w:hanging="288"/>
        <w:spacing w:after="0" w:line="341" w:lineRule="auto"/>
        <w:tabs>
          <w:tab w:leader="none" w:pos="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6"/>
          <w:szCs w:val="16"/>
          <w:color w:val="auto"/>
        </w:rPr>
      </w:pPr>
    </w:p>
    <w:p>
      <w:pPr>
        <w:ind w:left="980" w:right="800" w:hanging="284"/>
        <w:spacing w:after="0" w:line="341" w:lineRule="auto"/>
        <w:tabs>
          <w:tab w:leader="none" w:pos="1016"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980" w:right="480" w:hanging="284"/>
        <w:spacing w:after="0" w:line="277"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Kris Sennesael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 Sennesael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1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lowerRoman"/>
      <w:start w:val="5"/>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0"/>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6"/>
    </w:lvl>
    <w:lvl w:ilvl="1">
      <w:lvlJc w:val="left"/>
      <w:lvlText w:val="(%2)"/>
      <w:numFmt w:val="upperLetter"/>
      <w:start w:val="2"/>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2"/>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decimal"/>
      <w:start w:val="21"/>
    </w:lvl>
  </w:abstractNum>
  <w:abstractNum w:abstractNumId="47">
    <w:nsid w:val="579478FE"/>
    <w:multiLevelType w:val="hybridMultilevel"/>
    <w:lvl w:ilvl="0">
      <w:lvlJc w:val="left"/>
      <w:lvlText w:val="*"/>
      <w:numFmt w:val="bullet"/>
      <w:start w:val="1"/>
    </w:lvl>
    <w:lvl w:ilvl="1">
      <w:lvlJc w:val="left"/>
      <w:lvlText w:val="%2"/>
      <w:numFmt w:val="decimal"/>
      <w:start w:val="104"/>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7" Type="http://schemas.openxmlformats.org/officeDocument/2006/relationships/image" Target="media/image41.png"/><Relationship Id="rId83"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4.png"/><Relationship Id="rId88" Type="http://schemas.openxmlformats.org/officeDocument/2006/relationships/image" Target="media/image45.png"/><Relationship Id="rId48" Type="http://schemas.openxmlformats.org/officeDocument/2006/relationships/hyperlink" Target="https://www.sec.gov/Archives/edgar/data/0000004127/000110465921053805/tm2113063d1_ex2-1.htm" TargetMode="External"/><Relationship Id="rId49" Type="http://schemas.openxmlformats.org/officeDocument/2006/relationships/hyperlink" Target="https://www.sec.gov/Archives/edgar/data/4127/000000412716000062/q316exhibit31skyworksresta.htm" TargetMode="External"/><Relationship Id="rId50" Type="http://schemas.openxmlformats.org/officeDocument/2006/relationships/hyperlink" Target="https://www.sec.gov/Archives/edgar/data/4127/000000412718000011/exh31-thirdamendedandresta.htm" TargetMode="External"/><Relationship Id="rId51" Type="http://schemas.openxmlformats.org/officeDocument/2006/relationships/hyperlink" Target="http://www.sec.gov/Archives/edgar/data/4127/000095013502003322/b43499ssexv4.txt" TargetMode="External"/><Relationship Id="rId52" Type="http://schemas.openxmlformats.org/officeDocument/2006/relationships/hyperlink" Target="https://www.sec.gov/Archives/edgar/data/4127/000000412719000049/fy1910k92719ex42.htm" TargetMode="External"/><Relationship Id="rId53" Type="http://schemas.openxmlformats.org/officeDocument/2006/relationships/hyperlink" Target="https://www.sec.gov/Archives/edgar/data/0000004127/000110465921072130/tm2115447d6_ex4-1.htm" TargetMode="External"/><Relationship Id="rId54" Type="http://schemas.openxmlformats.org/officeDocument/2006/relationships/hyperlink" Target="https://www.sec.gov/Archives/edgar/data/0000004127/000110465921072130/tm2115447d6_ex4-2.htm" TargetMode="External"/><Relationship Id="rId55" Type="http://schemas.openxmlformats.org/officeDocument/2006/relationships/hyperlink" Target="https://www.sec.gov/Archives/edgar/data/0000004127/000110465921072130/tm2115447d6_ex4-3.htm" TargetMode="External"/><Relationship Id="rId56" Type="http://schemas.openxmlformats.org/officeDocument/2006/relationships/hyperlink" Target="https://www.sec.gov/Archives/edgar/data/0000004127/000110465921072130/tm2115447d6_ex4-4.htm" TargetMode="External"/><Relationship Id="rId57" Type="http://schemas.openxmlformats.org/officeDocument/2006/relationships/hyperlink" Target="https://www.sec.gov/Archives/edgar/data/4127/000000412720000046/ex1012002esppmay2020.htm" TargetMode="External"/><Relationship Id="rId58" Type="http://schemas.openxmlformats.org/officeDocument/2006/relationships/hyperlink" Target="https://www.sec.gov/Archives/edgar/data/4127/000000412720000046/ex102nqesppmay2020.htm" TargetMode="External"/><Relationship Id="rId59" Type="http://schemas.openxmlformats.org/officeDocument/2006/relationships/hyperlink" Target="http://www.sec.gov/Archives/edgar/data/4127/000000412713000023/fy12proxyvoteexhibit101.htm" TargetMode="External"/><Relationship Id="rId60" Type="http://schemas.openxmlformats.org/officeDocument/2006/relationships/hyperlink" Target="http://www.sec.gov/Archives/edgar/data/4127/000000412713000006/a2005long-termincentiveupd.htm" TargetMode="External"/><Relationship Id="rId61" Type="http://schemas.openxmlformats.org/officeDocument/2006/relationships/hyperlink" Target="http://www.sec.gov/Archives/edgar/data/4127/000000412718000021/q218exhibit101amendedandre.htm" TargetMode="External"/><Relationship Id="rId62" Type="http://schemas.openxmlformats.org/officeDocument/2006/relationships/hyperlink" Target="http://www.sec.gov/Archives/edgar/data/4127/000089256908000778/a40452exv10woo.htm" TargetMode="External"/><Relationship Id="rId63" Type="http://schemas.openxmlformats.org/officeDocument/2006/relationships/hyperlink" Target="http://www.sec.gov/Archives/edgar/data/4127/000000412716000049/ex1022008dltiprsuagreement.htm" TargetMode="External"/><Relationship Id="rId64" Type="http://schemas.openxmlformats.org/officeDocument/2006/relationships/hyperlink" Target="https://www.sec.gov/Archives/edgar/data/4127/000000412721000050/q321exhibit102.htm" TargetMode="External"/><Relationship Id="rId65" Type="http://schemas.openxmlformats.org/officeDocument/2006/relationships/hyperlink" Target="http://www.sec.gov/Archives/edgar/data/4127/000000412715000027/exh102optionagreement.htm" TargetMode="External"/><Relationship Id="rId66" Type="http://schemas.openxmlformats.org/officeDocument/2006/relationships/hyperlink" Target="http://www.sec.gov/Archives/edgar/data/4127/000000412715000027/exh103psaagreement.htm" TargetMode="External"/><Relationship Id="rId68" Type="http://schemas.openxmlformats.org/officeDocument/2006/relationships/hyperlink" Target="http://www.sec.gov/Archives/edgar/data/4127/000000412715000027/exh104rsuagreement.htm" TargetMode="External"/><Relationship Id="rId69" Type="http://schemas.openxmlformats.org/officeDocument/2006/relationships/hyperlink" Target="https://www.sec.gov/Archives/edgar/data/4127/000000412721000013/q121exhibit101.htm" TargetMode="External"/><Relationship Id="rId70" Type="http://schemas.openxmlformats.org/officeDocument/2006/relationships/hyperlink" Target="https://www.sec.gov/Archives/edgar/data/4127/000000412720000027/q220exhibit101.htm" TargetMode="External"/><Relationship Id="rId71" Type="http://schemas.openxmlformats.org/officeDocument/2006/relationships/hyperlink" Target="http://www.sec.gov/Archives/edgar/data/4127/000000412716000062/q316exhibit102griffincicag.htm" TargetMode="External"/><Relationship Id="rId72" Type="http://schemas.openxmlformats.org/officeDocument/2006/relationships/hyperlink" Target="http://www.sec.gov/Archives/edgar/data/4127/000000412716000068/fy1610k903016ex1032sennesa.htm" TargetMode="External"/><Relationship Id="rId73" Type="http://schemas.openxmlformats.org/officeDocument/2006/relationships/hyperlink" Target="http://www.sec.gov/Archives/edgar/data/4127/000000412717000012/ex102terrycicagreement.htm" TargetMode="External"/><Relationship Id="rId74" Type="http://schemas.openxmlformats.org/officeDocument/2006/relationships/hyperlink" Target="http://www.sec.gov/Archives/edgar/data/4127/000000412717000033/fy1710k92917ex1027boricic.htm" TargetMode="External"/><Relationship Id="rId75" Type="http://schemas.openxmlformats.org/officeDocument/2006/relationships/hyperlink" Target="https://www.sec.gov/Archives/edgar/data/4127/000000412720000007/q120exhibit102.htm" TargetMode="External"/><Relationship Id="rId76" Type="http://schemas.openxmlformats.org/officeDocument/2006/relationships/hyperlink" Target="https://www.sec.gov/Archives/edgar/data/4127/000110465921053805/tm2113063d1_ex10-1.htm" TargetMode="External"/><Relationship Id="rId77" Type="http://schemas.openxmlformats.org/officeDocument/2006/relationships/hyperlink" Target="https://www.sec.gov/Archives/edgar/data/4127/000110465921072130/tm2115447d6_ex10-1.htm" TargetMode="External"/><Relationship Id="rId78" Type="http://schemas.openxmlformats.org/officeDocument/2006/relationships/hyperlink" Target="https://www.sec.gov/Archives/edgar/data/4127/000110465921072130/tm2115447d6_ex10-2.htm" TargetMode="External"/><Relationship Id="rId79" Type="http://schemas.openxmlformats.org/officeDocument/2006/relationships/hyperlink" Target="https://www.sec.gov/Archives/edgar/data/4127/000000412721000058/fy2110k10121ex21.htm" TargetMode="External"/><Relationship Id="rId80" Type="http://schemas.openxmlformats.org/officeDocument/2006/relationships/hyperlink" Target="https://www.sec.gov/Archives/edgar/data/4127/000000412721000058/fy2110121ex231kpmgconsent.htm" TargetMode="External"/><Relationship Id="rId81" Type="http://schemas.openxmlformats.org/officeDocument/2006/relationships/hyperlink" Target="https://www.sec.gov/Archives/edgar/data/4127/000000412721000058/fy2110k10121ex311.htm" TargetMode="External"/><Relationship Id="rId82" Type="http://schemas.openxmlformats.org/officeDocument/2006/relationships/hyperlink" Target="https://www.sec.gov/Archives/edgar/data/4127/000000412721000058/fy2110k10121ex312.htm" TargetMode="External"/><Relationship Id="rId84" Type="http://schemas.openxmlformats.org/officeDocument/2006/relationships/hyperlink" Target="https://www.sec.gov/Archives/edgar/data/4127/000000412721000058/fy2110k10121ex321.htm" TargetMode="External"/><Relationship Id="rId85" Type="http://schemas.openxmlformats.org/officeDocument/2006/relationships/hyperlink" Target="https://www.sec.gov/Archives/edgar/data/4127/000000412721000058/fy2110k10121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2022-01-28T15:16:27Z</dcterms:created>
  <dcterms:modified xsi:type="dcterms:W3CDTF">2022-01-28T15:16:27Z</dcterms:modified>
</cp:coreProperties>
</file>